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19E50" w14:textId="25B7A17F" w:rsidR="009030EA" w:rsidRPr="005A2796" w:rsidRDefault="009030EA" w:rsidP="005A2796">
      <w:pPr>
        <w:tabs>
          <w:tab w:val="left" w:pos="7088"/>
          <w:tab w:val="left" w:pos="7371"/>
        </w:tabs>
        <w:spacing w:line="276" w:lineRule="auto"/>
        <w:jc w:val="both"/>
        <w:rPr>
          <w:rFonts w:ascii="Calibri" w:hAnsi="Calibri" w:cs="Calibri"/>
          <w:sz w:val="20"/>
        </w:rPr>
      </w:pPr>
      <w:r>
        <w:rPr>
          <w:rFonts w:asciiTheme="majorHAnsi" w:hAnsiTheme="majorHAnsi"/>
          <w:lang w:val="en-US"/>
        </w:rPr>
        <w:tab/>
      </w:r>
      <w:r>
        <w:rPr>
          <w:rFonts w:asciiTheme="majorHAnsi" w:hAnsiTheme="majorHAnsi"/>
          <w:lang w:val="en-US"/>
        </w:rPr>
        <w:tab/>
      </w:r>
      <w:r>
        <w:rPr>
          <w:rFonts w:asciiTheme="majorHAnsi" w:hAnsiTheme="majorHAnsi"/>
          <w:lang w:val="en-US"/>
        </w:rPr>
        <w:tab/>
      </w:r>
      <w:r>
        <w:rPr>
          <w:rFonts w:asciiTheme="majorHAnsi" w:hAnsiTheme="majorHAnsi"/>
          <w:lang w:val="en-US"/>
        </w:rPr>
        <w:tab/>
      </w:r>
      <w:r w:rsidRPr="005A2796">
        <w:rPr>
          <w:rFonts w:ascii="Calibri" w:hAnsi="Calibri" w:cs="Calibri"/>
          <w:sz w:val="20"/>
        </w:rPr>
        <w:t xml:space="preserve">Helsinki </w:t>
      </w:r>
      <w:r w:rsidR="005A2796" w:rsidRPr="005A2796">
        <w:rPr>
          <w:rFonts w:ascii="Calibri" w:hAnsi="Calibri" w:cs="Calibri"/>
          <w:sz w:val="20"/>
        </w:rPr>
        <w:t>January</w:t>
      </w:r>
      <w:r w:rsidRPr="005A2796">
        <w:rPr>
          <w:rFonts w:ascii="Calibri" w:hAnsi="Calibri" w:cs="Calibri"/>
          <w:sz w:val="20"/>
        </w:rPr>
        <w:t xml:space="preserve"> </w:t>
      </w:r>
      <w:r w:rsidR="005A2796" w:rsidRPr="005A2796">
        <w:rPr>
          <w:rFonts w:ascii="Calibri" w:hAnsi="Calibri" w:cs="Calibri"/>
          <w:sz w:val="20"/>
        </w:rPr>
        <w:t>7</w:t>
      </w:r>
      <w:r w:rsidRPr="005A2796">
        <w:rPr>
          <w:rFonts w:ascii="Calibri" w:hAnsi="Calibri" w:cs="Calibri"/>
          <w:sz w:val="20"/>
        </w:rPr>
        <w:t>, 201</w:t>
      </w:r>
      <w:r w:rsidR="005A2796" w:rsidRPr="005A2796">
        <w:rPr>
          <w:rFonts w:ascii="Calibri" w:hAnsi="Calibri" w:cs="Calibri"/>
          <w:sz w:val="20"/>
        </w:rPr>
        <w:t>9</w:t>
      </w:r>
      <w:r w:rsidRPr="005A2796">
        <w:rPr>
          <w:rFonts w:ascii="Calibri" w:hAnsi="Calibri" w:cs="Calibri"/>
          <w:sz w:val="20"/>
        </w:rPr>
        <w:t xml:space="preserve"> </w:t>
      </w:r>
    </w:p>
    <w:p w14:paraId="79C341FE" w14:textId="77777777" w:rsidR="009030EA" w:rsidRPr="003B7243" w:rsidRDefault="009030EA" w:rsidP="009030EA">
      <w:pPr>
        <w:spacing w:line="276" w:lineRule="auto"/>
        <w:rPr>
          <w:rFonts w:asciiTheme="majorHAnsi" w:hAnsiTheme="majorHAnsi"/>
        </w:rPr>
      </w:pPr>
    </w:p>
    <w:p w14:paraId="52C7B2CB" w14:textId="77777777" w:rsidR="009030EA" w:rsidRPr="003B7243" w:rsidRDefault="009030EA" w:rsidP="009030EA">
      <w:pPr>
        <w:spacing w:line="276" w:lineRule="auto"/>
        <w:rPr>
          <w:rFonts w:asciiTheme="majorHAnsi" w:hAnsiTheme="majorHAnsi"/>
        </w:rPr>
      </w:pPr>
    </w:p>
    <w:p w14:paraId="7CC9DC46" w14:textId="268E06C7" w:rsidR="009030EA" w:rsidRDefault="009030EA" w:rsidP="009030EA">
      <w:pPr>
        <w:spacing w:line="276" w:lineRule="auto"/>
        <w:jc w:val="both"/>
        <w:rPr>
          <w:rFonts w:asciiTheme="majorHAnsi" w:hAnsiTheme="majorHAnsi" w:cs="Arial"/>
        </w:rPr>
      </w:pPr>
    </w:p>
    <w:p w14:paraId="6730D15C" w14:textId="77777777" w:rsidR="005A2796" w:rsidRPr="00ED3419" w:rsidRDefault="005A2796" w:rsidP="005A2796">
      <w:pPr>
        <w:rPr>
          <w:rFonts w:ascii="Calibri" w:hAnsi="Calibri" w:cs="Calibri"/>
          <w:color w:val="000000"/>
          <w:sz w:val="20"/>
          <w:lang w:val="en-US"/>
        </w:rPr>
      </w:pPr>
      <w:r w:rsidRPr="00ED3419">
        <w:rPr>
          <w:rFonts w:ascii="Calibri" w:hAnsi="Calibri" w:cs="Calibri"/>
          <w:color w:val="000000"/>
          <w:sz w:val="20"/>
          <w:lang w:val="en-US"/>
        </w:rPr>
        <w:t>Vineeta Bajaj, Ph.D </w:t>
      </w:r>
      <w:r w:rsidRPr="00ED3419">
        <w:rPr>
          <w:rFonts w:ascii="Calibri" w:hAnsi="Calibri" w:cs="Calibri"/>
          <w:color w:val="000000"/>
          <w:sz w:val="20"/>
          <w:lang w:val="en-US"/>
        </w:rPr>
        <w:br/>
        <w:t>Review Editor </w:t>
      </w:r>
    </w:p>
    <w:p w14:paraId="56DCAB9C" w14:textId="77777777" w:rsidR="005A2796" w:rsidRPr="00ED3419" w:rsidRDefault="005A2796" w:rsidP="005A2796">
      <w:pPr>
        <w:rPr>
          <w:rFonts w:ascii="Calibri" w:hAnsi="Calibri" w:cs="Calibri"/>
          <w:sz w:val="20"/>
        </w:rPr>
      </w:pPr>
      <w:r w:rsidRPr="00ED3419">
        <w:rPr>
          <w:rFonts w:ascii="Calibri" w:hAnsi="Calibri" w:cs="Calibri"/>
          <w:sz w:val="20"/>
        </w:rPr>
        <w:t>JoVE</w:t>
      </w:r>
    </w:p>
    <w:p w14:paraId="31A6CDC5" w14:textId="1C8B2F31" w:rsidR="005A2796" w:rsidRDefault="005A2796" w:rsidP="009030EA">
      <w:pPr>
        <w:spacing w:line="276" w:lineRule="auto"/>
        <w:jc w:val="both"/>
        <w:rPr>
          <w:rFonts w:asciiTheme="majorHAnsi" w:hAnsiTheme="majorHAnsi" w:cs="Arial"/>
        </w:rPr>
      </w:pPr>
    </w:p>
    <w:p w14:paraId="229E2F4A" w14:textId="2988F51D" w:rsidR="005A2796" w:rsidRDefault="005A2796" w:rsidP="009030EA">
      <w:pPr>
        <w:spacing w:line="276" w:lineRule="auto"/>
        <w:jc w:val="both"/>
        <w:rPr>
          <w:rFonts w:asciiTheme="majorHAnsi" w:hAnsiTheme="majorHAnsi" w:cs="Arial"/>
        </w:rPr>
      </w:pPr>
    </w:p>
    <w:p w14:paraId="6B1CBEAC" w14:textId="6D80C9EF" w:rsidR="005A2796" w:rsidRPr="005A2796" w:rsidRDefault="005A2796" w:rsidP="005A2796">
      <w:pPr>
        <w:spacing w:after="120" w:line="276" w:lineRule="auto"/>
        <w:ind w:left="567"/>
        <w:jc w:val="both"/>
        <w:rPr>
          <w:rFonts w:ascii="Calibri" w:hAnsi="Calibri" w:cs="Calibri"/>
          <w:sz w:val="20"/>
          <w:lang w:val="en-US"/>
        </w:rPr>
      </w:pPr>
      <w:r w:rsidRPr="005A2796">
        <w:rPr>
          <w:rFonts w:ascii="Calibri" w:hAnsi="Calibri" w:cs="Calibri"/>
          <w:sz w:val="20"/>
          <w:lang w:val="en-US"/>
        </w:rPr>
        <w:t>Enclosed please find our revised manuscript entitled "</w:t>
      </w:r>
      <w:r w:rsidRPr="005A2796">
        <w:rPr>
          <w:rFonts w:ascii="Calibri" w:hAnsi="Calibri" w:cs="Calibri"/>
          <w:i/>
          <w:sz w:val="20"/>
          <w:lang w:val="en-US"/>
        </w:rPr>
        <w:t xml:space="preserve">Blood-Brain Tumor-Barrier in a dish predicts </w:t>
      </w:r>
      <w:r w:rsidRPr="005A2796">
        <w:rPr>
          <w:rFonts w:ascii="Calibri" w:hAnsi="Calibri" w:cs="Calibri"/>
          <w:sz w:val="20"/>
          <w:lang w:val="en-US"/>
        </w:rPr>
        <w:t xml:space="preserve">in vivo </w:t>
      </w:r>
      <w:r w:rsidRPr="005A2796">
        <w:rPr>
          <w:rFonts w:ascii="Calibri" w:hAnsi="Calibri" w:cs="Calibri"/>
          <w:i/>
          <w:sz w:val="20"/>
          <w:lang w:val="en-US"/>
        </w:rPr>
        <w:t>delivery of payload</w:t>
      </w:r>
      <w:r w:rsidR="003946CB">
        <w:rPr>
          <w:rFonts w:ascii="Calibri" w:hAnsi="Calibri" w:cs="Calibri"/>
          <w:i/>
          <w:sz w:val="20"/>
          <w:lang w:val="en-US"/>
        </w:rPr>
        <w:t>s</w:t>
      </w:r>
      <w:r w:rsidRPr="005A2796">
        <w:rPr>
          <w:rFonts w:ascii="Calibri" w:hAnsi="Calibri" w:cs="Calibri"/>
          <w:i/>
          <w:color w:val="000000" w:themeColor="text1"/>
          <w:sz w:val="20"/>
          <w:lang w:val="en-US"/>
        </w:rPr>
        <w:t xml:space="preserve">” </w:t>
      </w:r>
      <w:r w:rsidRPr="005A2796">
        <w:rPr>
          <w:rFonts w:ascii="Calibri" w:hAnsi="Calibri" w:cs="Calibri"/>
          <w:sz w:val="20"/>
          <w:lang w:val="en-US"/>
        </w:rPr>
        <w:t>by Vadim Le Joncour, Sinem Karaman</w:t>
      </w:r>
      <w:r w:rsidR="003946CB">
        <w:rPr>
          <w:rFonts w:ascii="Calibri" w:hAnsi="Calibri" w:cs="Calibri"/>
          <w:sz w:val="20"/>
          <w:lang w:val="en-US"/>
        </w:rPr>
        <w:t>,</w:t>
      </w:r>
      <w:r w:rsidRPr="005A2796">
        <w:rPr>
          <w:rFonts w:ascii="Calibri" w:hAnsi="Calibri" w:cs="Calibri"/>
          <w:sz w:val="20"/>
          <w:lang w:val="en-US"/>
        </w:rPr>
        <w:t xml:space="preserve"> and Pirjo Laakkonen that we wish to resubmit</w:t>
      </w:r>
      <w:r w:rsidRPr="005A2796">
        <w:rPr>
          <w:rFonts w:ascii="Calibri" w:hAnsi="Calibri" w:cs="Calibri"/>
          <w:i/>
          <w:sz w:val="20"/>
          <w:lang w:val="en-US"/>
        </w:rPr>
        <w:t xml:space="preserve"> </w:t>
      </w:r>
      <w:r w:rsidRPr="005A2796">
        <w:rPr>
          <w:rFonts w:ascii="Calibri" w:hAnsi="Calibri" w:cs="Calibri"/>
          <w:sz w:val="20"/>
          <w:lang w:val="en-US"/>
        </w:rPr>
        <w:t xml:space="preserve">to the </w:t>
      </w:r>
      <w:r w:rsidRPr="005A2796">
        <w:rPr>
          <w:rFonts w:ascii="Calibri" w:hAnsi="Calibri" w:cs="Calibri"/>
          <w:i/>
          <w:sz w:val="20"/>
          <w:lang w:val="en-US"/>
        </w:rPr>
        <w:t>Journal of Vizualized Experiments.</w:t>
      </w:r>
      <w:r w:rsidRPr="005A2796">
        <w:rPr>
          <w:rFonts w:ascii="Calibri" w:hAnsi="Calibri" w:cs="Calibri"/>
          <w:sz w:val="20"/>
          <w:lang w:val="en-US"/>
        </w:rPr>
        <w:t xml:space="preserve"> This manuscript describes a methodology to generate an </w:t>
      </w:r>
      <w:r w:rsidRPr="005A2796">
        <w:rPr>
          <w:rFonts w:ascii="Calibri" w:hAnsi="Calibri" w:cs="Calibri"/>
          <w:i/>
          <w:sz w:val="20"/>
          <w:lang w:val="en-US"/>
        </w:rPr>
        <w:t xml:space="preserve">in vitro </w:t>
      </w:r>
      <w:r w:rsidRPr="005A2796">
        <w:rPr>
          <w:rFonts w:ascii="Calibri" w:hAnsi="Calibri" w:cs="Calibri"/>
          <w:sz w:val="20"/>
          <w:lang w:val="en-US"/>
        </w:rPr>
        <w:t>mimic of the blood-brain-barrier (BBB) using well characterized endothelial cell lines and astrocytes of murine and human origin. Inclusion of patient</w:t>
      </w:r>
      <w:r w:rsidR="003946CB">
        <w:rPr>
          <w:rFonts w:ascii="Calibri" w:hAnsi="Calibri" w:cs="Calibri"/>
          <w:sz w:val="20"/>
          <w:lang w:val="en-US"/>
        </w:rPr>
        <w:t>-</w:t>
      </w:r>
      <w:r w:rsidRPr="005A2796">
        <w:rPr>
          <w:rFonts w:ascii="Calibri" w:hAnsi="Calibri" w:cs="Calibri"/>
          <w:sz w:val="20"/>
          <w:lang w:val="en-US"/>
        </w:rPr>
        <w:t xml:space="preserve">derived glioblastoma cells in the assay permits the study of the blood-brain tumor-barrier (BBTB) with a focus on delivery of antitumor therapies. To compare the </w:t>
      </w:r>
      <w:r w:rsidRPr="005A2796">
        <w:rPr>
          <w:rFonts w:ascii="Calibri" w:hAnsi="Calibri" w:cs="Calibri"/>
          <w:i/>
          <w:sz w:val="20"/>
          <w:lang w:val="en-US"/>
        </w:rPr>
        <w:t xml:space="preserve">in vitro </w:t>
      </w:r>
      <w:r w:rsidRPr="005A2796">
        <w:rPr>
          <w:rFonts w:ascii="Calibri" w:hAnsi="Calibri" w:cs="Calibri"/>
          <w:sz w:val="20"/>
          <w:lang w:val="en-US"/>
        </w:rPr>
        <w:t xml:space="preserve">model’s characteristics with the actual </w:t>
      </w:r>
      <w:r w:rsidRPr="005A2796">
        <w:rPr>
          <w:rFonts w:ascii="Calibri" w:hAnsi="Calibri" w:cs="Calibri"/>
          <w:i/>
          <w:sz w:val="20"/>
          <w:lang w:val="en-US"/>
        </w:rPr>
        <w:t xml:space="preserve">in situ </w:t>
      </w:r>
      <w:r w:rsidRPr="005A2796">
        <w:rPr>
          <w:rFonts w:ascii="Calibri" w:hAnsi="Calibri" w:cs="Calibri"/>
          <w:sz w:val="20"/>
          <w:lang w:val="en-US"/>
        </w:rPr>
        <w:t xml:space="preserve">context of a mouse brain, we present a technique to determine the actual </w:t>
      </w:r>
      <w:r w:rsidRPr="005A2796">
        <w:rPr>
          <w:rFonts w:ascii="Calibri" w:hAnsi="Calibri" w:cs="Calibri"/>
          <w:i/>
          <w:sz w:val="20"/>
          <w:lang w:val="en-US"/>
        </w:rPr>
        <w:t xml:space="preserve">in vivo </w:t>
      </w:r>
      <w:r w:rsidRPr="005A2796">
        <w:rPr>
          <w:rFonts w:ascii="Calibri" w:hAnsi="Calibri" w:cs="Calibri"/>
          <w:sz w:val="20"/>
          <w:lang w:val="en-US"/>
        </w:rPr>
        <w:t xml:space="preserve">BBB permeability for systemically administered fluorescent probes and nanoparticles. In order to benchmark the models, our representative data shows very comparable behavior of the cellular and animal models. Indeed, permeability values calculated for the BBTB mimic were similar to those determined in mice. We also measured the passage of two types of nanoparticles, differing in their size (ø 110 or ø 350 nm), through the BBTB mimic </w:t>
      </w:r>
      <w:r w:rsidR="003946CB">
        <w:rPr>
          <w:rFonts w:ascii="Calibri" w:hAnsi="Calibri" w:cs="Calibri"/>
          <w:i/>
          <w:sz w:val="20"/>
          <w:lang w:val="en-US"/>
        </w:rPr>
        <w:t xml:space="preserve">in vitro </w:t>
      </w:r>
      <w:r w:rsidRPr="005A2796">
        <w:rPr>
          <w:rFonts w:ascii="Calibri" w:hAnsi="Calibri" w:cs="Calibri"/>
          <w:sz w:val="20"/>
          <w:lang w:val="en-US"/>
        </w:rPr>
        <w:t>and</w:t>
      </w:r>
      <w:r w:rsidR="003946CB">
        <w:rPr>
          <w:rFonts w:ascii="Calibri" w:hAnsi="Calibri" w:cs="Calibri"/>
          <w:sz w:val="20"/>
          <w:lang w:val="en-US"/>
        </w:rPr>
        <w:t xml:space="preserve"> in mice</w:t>
      </w:r>
      <w:r w:rsidRPr="005A2796">
        <w:rPr>
          <w:rFonts w:ascii="Calibri" w:hAnsi="Calibri" w:cs="Calibri"/>
          <w:sz w:val="20"/>
          <w:lang w:val="en-US"/>
        </w:rPr>
        <w:t xml:space="preserve"> </w:t>
      </w:r>
      <w:r w:rsidRPr="005A2796">
        <w:rPr>
          <w:rFonts w:ascii="Calibri" w:hAnsi="Calibri" w:cs="Calibri"/>
          <w:i/>
          <w:sz w:val="20"/>
          <w:lang w:val="en-US"/>
        </w:rPr>
        <w:t>in vivo</w:t>
      </w:r>
      <w:r w:rsidRPr="005A2796">
        <w:rPr>
          <w:rFonts w:ascii="Calibri" w:hAnsi="Calibri" w:cs="Calibri"/>
          <w:sz w:val="20"/>
          <w:lang w:val="en-US"/>
        </w:rPr>
        <w:t>. In that particular case, the BBTB mimic was able to predict the</w:t>
      </w:r>
      <w:r w:rsidR="003946CB">
        <w:rPr>
          <w:rFonts w:ascii="Calibri" w:hAnsi="Calibri" w:cs="Calibri"/>
          <w:sz w:val="20"/>
          <w:lang w:val="en-US"/>
        </w:rPr>
        <w:t xml:space="preserve"> passage of</w:t>
      </w:r>
      <w:r w:rsidRPr="005A2796">
        <w:rPr>
          <w:rFonts w:ascii="Calibri" w:hAnsi="Calibri" w:cs="Calibri"/>
          <w:sz w:val="20"/>
          <w:lang w:val="en-US"/>
        </w:rPr>
        <w:t xml:space="preserve"> ø 110 nm nanoparticles, unlike the ø 350 nm ones, </w:t>
      </w:r>
      <w:r w:rsidR="003946CB">
        <w:rPr>
          <w:rFonts w:ascii="Calibri" w:hAnsi="Calibri" w:cs="Calibri"/>
          <w:sz w:val="20"/>
          <w:lang w:val="en-US"/>
        </w:rPr>
        <w:t>through</w:t>
      </w:r>
      <w:r w:rsidR="003946CB" w:rsidRPr="005A2796">
        <w:rPr>
          <w:rFonts w:ascii="Calibri" w:hAnsi="Calibri" w:cs="Calibri"/>
          <w:sz w:val="20"/>
          <w:lang w:val="en-US"/>
        </w:rPr>
        <w:t xml:space="preserve"> </w:t>
      </w:r>
      <w:r w:rsidRPr="005A2796">
        <w:rPr>
          <w:rFonts w:ascii="Calibri" w:hAnsi="Calibri" w:cs="Calibri"/>
          <w:sz w:val="20"/>
          <w:lang w:val="en-US"/>
        </w:rPr>
        <w:t xml:space="preserve">the BBB and to the intracranially implanted patient-derived glioblastoma cells. </w:t>
      </w:r>
    </w:p>
    <w:p w14:paraId="48CBBADB" w14:textId="14D813AF" w:rsidR="005A2796" w:rsidRPr="005A2796" w:rsidRDefault="005A2796" w:rsidP="005A2796">
      <w:pPr>
        <w:spacing w:after="200" w:line="276" w:lineRule="auto"/>
        <w:ind w:left="567"/>
        <w:jc w:val="both"/>
        <w:rPr>
          <w:rFonts w:ascii="Calibri" w:hAnsi="Calibri" w:cs="Calibri"/>
          <w:sz w:val="20"/>
          <w:lang w:val="en-US"/>
        </w:rPr>
      </w:pPr>
      <w:r w:rsidRPr="005A2796">
        <w:rPr>
          <w:rFonts w:ascii="Calibri" w:hAnsi="Calibri" w:cs="Calibri"/>
          <w:sz w:val="20"/>
          <w:lang w:val="en-US"/>
        </w:rPr>
        <w:t xml:space="preserve">We believe that </w:t>
      </w:r>
      <w:r w:rsidR="003C335D">
        <w:rPr>
          <w:rFonts w:ascii="Calibri" w:hAnsi="Calibri" w:cs="Calibri"/>
          <w:sz w:val="20"/>
          <w:lang w:val="en-US"/>
        </w:rPr>
        <w:t xml:space="preserve">the </w:t>
      </w:r>
      <w:r w:rsidRPr="005A2796">
        <w:rPr>
          <w:rFonts w:ascii="Calibri" w:hAnsi="Calibri" w:cs="Calibri"/>
          <w:sz w:val="20"/>
          <w:lang w:val="en-US"/>
        </w:rPr>
        <w:t xml:space="preserve">BBTB mimics </w:t>
      </w:r>
      <w:r w:rsidR="003C335D">
        <w:rPr>
          <w:rFonts w:ascii="Calibri" w:hAnsi="Calibri" w:cs="Calibri"/>
          <w:sz w:val="20"/>
          <w:lang w:val="en-US"/>
        </w:rPr>
        <w:t>provides</w:t>
      </w:r>
      <w:r w:rsidRPr="005A2796">
        <w:rPr>
          <w:rFonts w:ascii="Calibri" w:hAnsi="Calibri" w:cs="Calibri"/>
          <w:sz w:val="20"/>
          <w:lang w:val="en-US"/>
        </w:rPr>
        <w:t xml:space="preserve"> a powerful tool in the context of personalized medicine and high-throughput drug screening for central nervous system diseases including cancer. Commercial cell culture insert</w:t>
      </w:r>
      <w:r w:rsidR="003C335D">
        <w:rPr>
          <w:rFonts w:ascii="Calibri" w:hAnsi="Calibri" w:cs="Calibri"/>
          <w:sz w:val="20"/>
          <w:lang w:val="en-US"/>
        </w:rPr>
        <w:t>-</w:t>
      </w:r>
      <w:r w:rsidRPr="005A2796">
        <w:rPr>
          <w:rFonts w:ascii="Calibri" w:hAnsi="Calibri" w:cs="Calibri"/>
          <w:sz w:val="20"/>
          <w:lang w:val="en-US"/>
        </w:rPr>
        <w:t xml:space="preserve">systems exist in sizes from 6 to 96 assays per plate, hence, allowing </w:t>
      </w:r>
      <w:r w:rsidR="003C335D">
        <w:rPr>
          <w:rFonts w:ascii="Calibri" w:hAnsi="Calibri" w:cs="Calibri"/>
          <w:sz w:val="20"/>
          <w:lang w:val="en-US"/>
        </w:rPr>
        <w:t>the</w:t>
      </w:r>
      <w:r w:rsidR="003C335D" w:rsidRPr="005A2796">
        <w:rPr>
          <w:rFonts w:ascii="Calibri" w:hAnsi="Calibri" w:cs="Calibri"/>
          <w:sz w:val="20"/>
          <w:lang w:val="en-US"/>
        </w:rPr>
        <w:t xml:space="preserve"> </w:t>
      </w:r>
      <w:r w:rsidRPr="005A2796">
        <w:rPr>
          <w:rFonts w:ascii="Calibri" w:hAnsi="Calibri" w:cs="Calibri"/>
          <w:sz w:val="20"/>
          <w:lang w:val="en-US"/>
        </w:rPr>
        <w:t xml:space="preserve">scale-up </w:t>
      </w:r>
      <w:r w:rsidR="003C335D">
        <w:rPr>
          <w:rFonts w:ascii="Calibri" w:hAnsi="Calibri" w:cs="Calibri"/>
          <w:sz w:val="20"/>
          <w:lang w:val="en-US"/>
        </w:rPr>
        <w:t xml:space="preserve">of </w:t>
      </w:r>
      <w:r w:rsidRPr="005A2796">
        <w:rPr>
          <w:rFonts w:ascii="Calibri" w:hAnsi="Calibri" w:cs="Calibri"/>
          <w:sz w:val="20"/>
          <w:lang w:val="en-US"/>
        </w:rPr>
        <w:t xml:space="preserve">the BBTB mimics in a high throughput fashion to accommodate the study at hand. Moreover, with the necessity to comply </w:t>
      </w:r>
      <w:r w:rsidR="00CE3247">
        <w:rPr>
          <w:rFonts w:ascii="Calibri" w:hAnsi="Calibri" w:cs="Calibri"/>
          <w:sz w:val="20"/>
          <w:lang w:val="en-US"/>
        </w:rPr>
        <w:t>with</w:t>
      </w:r>
      <w:r w:rsidR="00CE3247" w:rsidRPr="005A2796">
        <w:rPr>
          <w:rFonts w:ascii="Calibri" w:hAnsi="Calibri" w:cs="Calibri"/>
          <w:sz w:val="20"/>
          <w:lang w:val="en-US"/>
        </w:rPr>
        <w:t xml:space="preserve"> </w:t>
      </w:r>
      <w:r w:rsidRPr="005A2796">
        <w:rPr>
          <w:rFonts w:ascii="Calibri" w:hAnsi="Calibri" w:cs="Calibri"/>
          <w:sz w:val="20"/>
          <w:lang w:val="en-US"/>
        </w:rPr>
        <w:t xml:space="preserve">the 3R principle and reduce the number of animals included in preclinical studies, use of immortalized cells and cell lines </w:t>
      </w:r>
      <w:r w:rsidR="00DC24CF">
        <w:rPr>
          <w:rFonts w:ascii="Calibri" w:hAnsi="Calibri" w:cs="Calibri"/>
          <w:sz w:val="20"/>
          <w:lang w:val="en-US"/>
        </w:rPr>
        <w:t xml:space="preserve">instead of primary cells </w:t>
      </w:r>
      <w:r w:rsidRPr="005A2796">
        <w:rPr>
          <w:rFonts w:ascii="Calibri" w:hAnsi="Calibri" w:cs="Calibri"/>
          <w:sz w:val="20"/>
          <w:lang w:val="en-US"/>
        </w:rPr>
        <w:t>guarantees reproducibility of data at reasonable time and cost.</w:t>
      </w:r>
    </w:p>
    <w:p w14:paraId="4ACC2C77" w14:textId="3FD49562" w:rsidR="005A2796" w:rsidRPr="005A2796" w:rsidRDefault="005A2796" w:rsidP="005A2796">
      <w:pPr>
        <w:spacing w:line="276" w:lineRule="auto"/>
        <w:ind w:left="567"/>
        <w:jc w:val="both"/>
        <w:rPr>
          <w:rFonts w:ascii="Calibri" w:hAnsi="Calibri" w:cs="Calibri"/>
          <w:sz w:val="20"/>
          <w:lang w:val="en-US"/>
        </w:rPr>
      </w:pPr>
      <w:r w:rsidRPr="005A2796">
        <w:rPr>
          <w:rFonts w:ascii="Calibri" w:hAnsi="Calibri" w:cs="Calibri"/>
          <w:sz w:val="20"/>
          <w:lang w:val="en-US"/>
        </w:rPr>
        <w:t xml:space="preserve">We have substantially revised the Introduction, Methods, and Discussion sections of the manuscript to accommodate the referees’ constructive comments and suggestions, which </w:t>
      </w:r>
      <w:r w:rsidRPr="005A2796">
        <w:rPr>
          <w:rFonts w:ascii="Calibri" w:hAnsi="Calibri" w:cs="Calibri"/>
          <w:color w:val="000000"/>
          <w:sz w:val="20"/>
          <w:lang w:val="en-US"/>
        </w:rPr>
        <w:t xml:space="preserve">have helped us to better justify the use of </w:t>
      </w:r>
      <w:r w:rsidR="00DC24CF">
        <w:rPr>
          <w:rFonts w:ascii="Calibri" w:hAnsi="Calibri" w:cs="Calibri"/>
          <w:color w:val="000000"/>
          <w:sz w:val="20"/>
          <w:lang w:val="en-US"/>
        </w:rPr>
        <w:t xml:space="preserve">chosen </w:t>
      </w:r>
      <w:r w:rsidRPr="005A2796">
        <w:rPr>
          <w:rFonts w:ascii="Calibri" w:hAnsi="Calibri" w:cs="Calibri"/>
          <w:color w:val="000000"/>
          <w:sz w:val="20"/>
          <w:lang w:val="en-US"/>
        </w:rPr>
        <w:t>cellular models to study the BBTB</w:t>
      </w:r>
      <w:r w:rsidR="00DC24CF">
        <w:rPr>
          <w:rFonts w:ascii="Calibri" w:hAnsi="Calibri" w:cs="Calibri"/>
          <w:color w:val="000000"/>
          <w:sz w:val="20"/>
          <w:lang w:val="en-US"/>
        </w:rPr>
        <w:t xml:space="preserve"> permeability</w:t>
      </w:r>
      <w:r w:rsidRPr="005A2796">
        <w:rPr>
          <w:rFonts w:ascii="Calibri" w:hAnsi="Calibri" w:cs="Calibri"/>
          <w:sz w:val="20"/>
          <w:lang w:val="en-US"/>
        </w:rPr>
        <w:t xml:space="preserve">. However, as a majority of questions were focused on the biology rather than the technical aspects of the model, the added text might be considered as only partially relevant in a Methods Article. </w:t>
      </w:r>
      <w:r w:rsidRPr="005A2796">
        <w:rPr>
          <w:rFonts w:ascii="Calibri" w:hAnsi="Calibri" w:cs="Calibri"/>
          <w:color w:val="000000"/>
          <w:sz w:val="20"/>
          <w:lang w:val="en-US"/>
        </w:rPr>
        <w:t xml:space="preserve">Below </w:t>
      </w:r>
      <w:r w:rsidRPr="005A2796">
        <w:rPr>
          <w:rFonts w:ascii="Calibri" w:hAnsi="Calibri" w:cs="Calibri"/>
          <w:sz w:val="20"/>
          <w:lang w:val="en-US"/>
        </w:rPr>
        <w:t xml:space="preserve">please </w:t>
      </w:r>
      <w:r w:rsidRPr="005A2796">
        <w:rPr>
          <w:rFonts w:ascii="Calibri" w:hAnsi="Calibri" w:cs="Calibri"/>
          <w:color w:val="000000"/>
          <w:sz w:val="20"/>
          <w:lang w:val="en-US"/>
        </w:rPr>
        <w:t>find a point-by-point list of our responses to the comments.</w:t>
      </w:r>
      <w:r w:rsidRPr="005A2796">
        <w:rPr>
          <w:rFonts w:ascii="Calibri" w:hAnsi="Calibri" w:cs="Calibri"/>
          <w:sz w:val="20"/>
          <w:lang w:val="en-US"/>
        </w:rPr>
        <w:t xml:space="preserve"> </w:t>
      </w:r>
    </w:p>
    <w:p w14:paraId="15D2A0F5" w14:textId="77777777" w:rsidR="005A2796" w:rsidRPr="005A2796" w:rsidRDefault="005A2796" w:rsidP="005A2796">
      <w:pPr>
        <w:spacing w:line="276" w:lineRule="auto"/>
        <w:ind w:firstLine="567"/>
        <w:jc w:val="both"/>
        <w:rPr>
          <w:rFonts w:ascii="Calibri" w:hAnsi="Calibri" w:cs="Calibri"/>
          <w:sz w:val="20"/>
          <w:lang w:val="en-US"/>
        </w:rPr>
      </w:pPr>
    </w:p>
    <w:p w14:paraId="4C7594AB" w14:textId="543098CD" w:rsidR="005A2796" w:rsidRPr="008F004A" w:rsidRDefault="005A2796" w:rsidP="005A2796">
      <w:pPr>
        <w:spacing w:line="276" w:lineRule="auto"/>
        <w:ind w:left="567"/>
        <w:jc w:val="both"/>
        <w:rPr>
          <w:rFonts w:ascii="Calibri" w:hAnsi="Calibri" w:cs="Calibri"/>
          <w:sz w:val="20"/>
        </w:rPr>
      </w:pPr>
      <w:r w:rsidRPr="005A2796">
        <w:rPr>
          <w:rFonts w:ascii="Calibri" w:hAnsi="Calibri" w:cs="Calibri"/>
          <w:sz w:val="20"/>
          <w:lang w:val="en-US"/>
        </w:rPr>
        <w:t xml:space="preserve">We believe that </w:t>
      </w:r>
      <w:r w:rsidR="00DC24CF">
        <w:rPr>
          <w:rFonts w:ascii="Calibri" w:hAnsi="Calibri" w:cs="Calibri"/>
          <w:sz w:val="20"/>
          <w:lang w:val="en-US"/>
        </w:rPr>
        <w:t>in its</w:t>
      </w:r>
      <w:r w:rsidR="00DC24CF" w:rsidRPr="005A2796">
        <w:rPr>
          <w:rFonts w:ascii="Calibri" w:hAnsi="Calibri" w:cs="Calibri"/>
          <w:sz w:val="20"/>
          <w:lang w:val="en-US"/>
        </w:rPr>
        <w:t xml:space="preserve"> </w:t>
      </w:r>
      <w:r w:rsidRPr="005A2796">
        <w:rPr>
          <w:rFonts w:ascii="Calibri" w:hAnsi="Calibri" w:cs="Calibri"/>
          <w:sz w:val="20"/>
          <w:lang w:val="en-US"/>
        </w:rPr>
        <w:t xml:space="preserve">revised </w:t>
      </w:r>
      <w:r w:rsidR="00DC24CF">
        <w:rPr>
          <w:rFonts w:ascii="Calibri" w:hAnsi="Calibri" w:cs="Calibri"/>
          <w:sz w:val="20"/>
          <w:lang w:val="en-US"/>
        </w:rPr>
        <w:t xml:space="preserve">form our </w:t>
      </w:r>
      <w:r w:rsidRPr="005A2796">
        <w:rPr>
          <w:rFonts w:ascii="Calibri" w:hAnsi="Calibri" w:cs="Calibri"/>
          <w:sz w:val="20"/>
          <w:lang w:val="en-US"/>
        </w:rPr>
        <w:t xml:space="preserve">manuscript is of interest to the readership and viewers of the </w:t>
      </w:r>
      <w:r w:rsidRPr="005A2796">
        <w:rPr>
          <w:rFonts w:ascii="Calibri" w:hAnsi="Calibri" w:cs="Calibri"/>
          <w:i/>
          <w:sz w:val="20"/>
          <w:lang w:val="en-US"/>
        </w:rPr>
        <w:t>Journal of Visualized Experiments</w:t>
      </w:r>
      <w:r w:rsidRPr="005A2796">
        <w:rPr>
          <w:rFonts w:ascii="Calibri" w:hAnsi="Calibri" w:cs="Calibri"/>
          <w:sz w:val="20"/>
          <w:lang w:val="en-US"/>
        </w:rPr>
        <w:t>. We would like to kindly ask you to consider this method for publication</w:t>
      </w:r>
      <w:r w:rsidRPr="005A2796">
        <w:rPr>
          <w:rFonts w:ascii="Calibri" w:hAnsi="Calibri" w:cs="Calibri"/>
          <w:i/>
          <w:sz w:val="20"/>
          <w:lang w:val="en-US"/>
        </w:rPr>
        <w:t xml:space="preserve">. </w:t>
      </w:r>
      <w:r w:rsidRPr="00B01C0E">
        <w:rPr>
          <w:rFonts w:ascii="Calibri" w:hAnsi="Calibri" w:cs="Calibri"/>
          <w:sz w:val="20"/>
        </w:rPr>
        <w:t>The authors have declared no conflict of interest.</w:t>
      </w:r>
    </w:p>
    <w:p w14:paraId="06301B1A" w14:textId="77777777" w:rsidR="005A2796" w:rsidRPr="003B7243" w:rsidRDefault="005A2796" w:rsidP="009030EA">
      <w:pPr>
        <w:spacing w:line="276" w:lineRule="auto"/>
        <w:jc w:val="both"/>
        <w:rPr>
          <w:rFonts w:asciiTheme="majorHAnsi" w:hAnsiTheme="majorHAnsi" w:cs="Arial"/>
        </w:rPr>
      </w:pPr>
    </w:p>
    <w:p w14:paraId="67145C5E" w14:textId="77777777" w:rsidR="009030EA" w:rsidRPr="003B7243" w:rsidRDefault="009030EA" w:rsidP="009030EA">
      <w:pPr>
        <w:spacing w:line="276" w:lineRule="auto"/>
        <w:jc w:val="both"/>
        <w:rPr>
          <w:rFonts w:asciiTheme="majorHAnsi" w:hAnsiTheme="majorHAnsi" w:cs="Arial"/>
        </w:rPr>
      </w:pPr>
    </w:p>
    <w:p w14:paraId="120CA02B" w14:textId="77777777" w:rsidR="009030EA" w:rsidRPr="005A2796" w:rsidRDefault="009030EA" w:rsidP="009030EA">
      <w:pPr>
        <w:spacing w:line="276" w:lineRule="auto"/>
        <w:jc w:val="both"/>
        <w:rPr>
          <w:rFonts w:ascii="Calibri" w:hAnsi="Calibri" w:cs="Calibri"/>
          <w:sz w:val="20"/>
        </w:rPr>
      </w:pPr>
      <w:r w:rsidRPr="005A2796">
        <w:rPr>
          <w:rFonts w:ascii="Calibri" w:hAnsi="Calibri" w:cs="Calibri"/>
          <w:sz w:val="20"/>
        </w:rPr>
        <w:t>Sincerely,</w:t>
      </w:r>
    </w:p>
    <w:p w14:paraId="2522720D" w14:textId="77777777" w:rsidR="009030EA" w:rsidRPr="005A2796" w:rsidRDefault="009030EA" w:rsidP="009030EA">
      <w:pPr>
        <w:spacing w:line="276" w:lineRule="auto"/>
        <w:jc w:val="both"/>
        <w:rPr>
          <w:rFonts w:ascii="Calibri" w:hAnsi="Calibri" w:cs="Calibri"/>
          <w:sz w:val="20"/>
        </w:rPr>
      </w:pPr>
    </w:p>
    <w:p w14:paraId="357E2448" w14:textId="77777777" w:rsidR="009030EA" w:rsidRPr="005A2796" w:rsidRDefault="009030EA" w:rsidP="009030EA">
      <w:pPr>
        <w:spacing w:line="276" w:lineRule="auto"/>
        <w:jc w:val="both"/>
        <w:rPr>
          <w:rFonts w:ascii="Calibri" w:hAnsi="Calibri" w:cs="Calibri"/>
          <w:sz w:val="20"/>
        </w:rPr>
      </w:pPr>
      <w:r w:rsidRPr="005A2796">
        <w:rPr>
          <w:rFonts w:ascii="Calibri" w:hAnsi="Calibri" w:cs="Calibri"/>
          <w:sz w:val="20"/>
        </w:rPr>
        <w:t>Pirjo Laakkonen</w:t>
      </w:r>
    </w:p>
    <w:p w14:paraId="4565ACA7" w14:textId="4BB29CB4" w:rsidR="00657FD5" w:rsidRDefault="009030EA" w:rsidP="00ED3419">
      <w:pPr>
        <w:spacing w:line="276" w:lineRule="auto"/>
        <w:jc w:val="both"/>
        <w:rPr>
          <w:rStyle w:val="Lienhypertexte"/>
          <w:rFonts w:ascii="Calibri" w:hAnsi="Calibri" w:cs="Calibri"/>
          <w:sz w:val="20"/>
        </w:rPr>
      </w:pPr>
      <w:r w:rsidRPr="005A2796">
        <w:rPr>
          <w:rFonts w:ascii="Calibri" w:hAnsi="Calibri" w:cs="Calibri"/>
          <w:sz w:val="20"/>
        </w:rPr>
        <w:t xml:space="preserve">Email: </w:t>
      </w:r>
      <w:hyperlink r:id="rId7" w:history="1">
        <w:r w:rsidRPr="005A2796">
          <w:rPr>
            <w:rStyle w:val="Lienhypertexte"/>
            <w:rFonts w:ascii="Calibri" w:hAnsi="Calibri" w:cs="Calibri"/>
            <w:sz w:val="20"/>
          </w:rPr>
          <w:t>pirjo.laakkonen@helsinki.fi</w:t>
        </w:r>
      </w:hyperlink>
    </w:p>
    <w:p w14:paraId="1E3284DA" w14:textId="77777777" w:rsidR="00657FD5" w:rsidRDefault="00657FD5">
      <w:pPr>
        <w:tabs>
          <w:tab w:val="clear" w:pos="1304"/>
          <w:tab w:val="clear" w:pos="2608"/>
          <w:tab w:val="clear" w:pos="3912"/>
        </w:tabs>
        <w:spacing w:line="240" w:lineRule="auto"/>
        <w:rPr>
          <w:rStyle w:val="Lienhypertexte"/>
          <w:rFonts w:ascii="Calibri" w:hAnsi="Calibri" w:cs="Calibri"/>
          <w:sz w:val="20"/>
        </w:rPr>
      </w:pPr>
      <w:r>
        <w:rPr>
          <w:rStyle w:val="Lienhypertexte"/>
          <w:rFonts w:ascii="Calibri" w:hAnsi="Calibri" w:cs="Calibri"/>
          <w:sz w:val="20"/>
        </w:rPr>
        <w:br w:type="page"/>
      </w:r>
    </w:p>
    <w:p w14:paraId="131F6269" w14:textId="77777777" w:rsidR="00657FD5" w:rsidRPr="00CF129B" w:rsidRDefault="00657FD5" w:rsidP="00657FD5">
      <w:pPr>
        <w:jc w:val="both"/>
        <w:rPr>
          <w:b/>
        </w:rPr>
      </w:pPr>
      <w:r w:rsidRPr="00CF129B">
        <w:rPr>
          <w:b/>
        </w:rPr>
        <w:lastRenderedPageBreak/>
        <w:t>Editorial comments:</w:t>
      </w:r>
    </w:p>
    <w:p w14:paraId="360F0700" w14:textId="77777777" w:rsidR="00657FD5" w:rsidRPr="00CF129B" w:rsidRDefault="00657FD5" w:rsidP="00657FD5">
      <w:pPr>
        <w:jc w:val="both"/>
      </w:pPr>
      <w:r w:rsidRPr="00CF129B">
        <w:t>Changes to be made by the author(s) regasrding the manuscript:</w:t>
      </w:r>
    </w:p>
    <w:p w14:paraId="798C4EF5" w14:textId="59AB5E39" w:rsidR="00657FD5" w:rsidRDefault="00657FD5" w:rsidP="00657FD5">
      <w:pPr>
        <w:jc w:val="both"/>
      </w:pPr>
      <w:r w:rsidRPr="00CF129B">
        <w:t>1. Please take this opportunity to thoroughly proofread the manuscript to ensure that there are no spelling or grammar issues.</w:t>
      </w:r>
    </w:p>
    <w:p w14:paraId="1E4AA945" w14:textId="77777777" w:rsidR="007B71E9" w:rsidRPr="00CF129B" w:rsidRDefault="007B71E9" w:rsidP="00657FD5">
      <w:pPr>
        <w:jc w:val="both"/>
      </w:pPr>
    </w:p>
    <w:p w14:paraId="16BE038B" w14:textId="3453ADE0" w:rsidR="00657FD5" w:rsidRPr="00C5318F" w:rsidRDefault="00657FD5" w:rsidP="00657FD5">
      <w:pPr>
        <w:jc w:val="both"/>
        <w:rPr>
          <w:i/>
          <w:color w:val="4F81BD" w:themeColor="accent1"/>
        </w:rPr>
      </w:pPr>
      <w:r w:rsidRPr="00C5318F">
        <w:rPr>
          <w:i/>
          <w:color w:val="4F81BD" w:themeColor="accent1"/>
        </w:rPr>
        <w:t>We have proofread the revised manuscript to ensure that no spelling or grammar issues exist.</w:t>
      </w:r>
    </w:p>
    <w:p w14:paraId="094230BD" w14:textId="77777777" w:rsidR="007B71E9" w:rsidRPr="00CF129B" w:rsidRDefault="007B71E9" w:rsidP="00657FD5">
      <w:pPr>
        <w:jc w:val="both"/>
        <w:rPr>
          <w:i/>
          <w:color w:val="365F91" w:themeColor="accent1" w:themeShade="BF"/>
        </w:rPr>
      </w:pPr>
    </w:p>
    <w:p w14:paraId="129AACC3" w14:textId="7FA613F1" w:rsidR="00657FD5" w:rsidRDefault="00657FD5" w:rsidP="00657FD5">
      <w:pPr>
        <w:jc w:val="both"/>
      </w:pPr>
      <w:r w:rsidRPr="00CF129B">
        <w:t>2. Please revise the title to be more concise and avoid the use of colon.</w:t>
      </w:r>
    </w:p>
    <w:p w14:paraId="21580AF9" w14:textId="77777777" w:rsidR="007B71E9" w:rsidRPr="00CF129B" w:rsidRDefault="007B71E9" w:rsidP="00657FD5">
      <w:pPr>
        <w:jc w:val="both"/>
      </w:pPr>
    </w:p>
    <w:p w14:paraId="52E27055" w14:textId="66538C3F" w:rsidR="00657FD5" w:rsidRPr="00C5318F" w:rsidRDefault="00657FD5" w:rsidP="007B71E9">
      <w:pPr>
        <w:spacing w:line="240" w:lineRule="auto"/>
        <w:rPr>
          <w:rFonts w:cstheme="minorHAnsi"/>
          <w:i/>
          <w:color w:val="4F81BD" w:themeColor="accent1"/>
        </w:rPr>
      </w:pPr>
      <w:r w:rsidRPr="00C5318F">
        <w:rPr>
          <w:i/>
          <w:color w:val="4F81BD" w:themeColor="accent1"/>
        </w:rPr>
        <w:t>We have now revised the title to “</w:t>
      </w:r>
      <w:r w:rsidRPr="00C5318F">
        <w:rPr>
          <w:rFonts w:cstheme="minorHAnsi"/>
          <w:i/>
          <w:color w:val="4F81BD" w:themeColor="accent1"/>
        </w:rPr>
        <w:t>Blood-Brain Tumor-Barrier in a dish predicts in vivo delivery of a payload”.</w:t>
      </w:r>
    </w:p>
    <w:p w14:paraId="2E383976" w14:textId="77777777" w:rsidR="007B71E9" w:rsidRPr="00CF129B" w:rsidRDefault="007B71E9" w:rsidP="007B71E9">
      <w:pPr>
        <w:spacing w:line="240" w:lineRule="auto"/>
        <w:rPr>
          <w:rFonts w:cstheme="minorHAnsi"/>
          <w:i/>
          <w:color w:val="4F81BD" w:themeColor="accent1"/>
        </w:rPr>
      </w:pPr>
    </w:p>
    <w:p w14:paraId="53FC4F42" w14:textId="49A9C733" w:rsidR="00657FD5" w:rsidRDefault="00657FD5" w:rsidP="00657FD5">
      <w:pPr>
        <w:jc w:val="both"/>
      </w:pPr>
      <w:r w:rsidRPr="00CF129B">
        <w:t>3. Please place the ethics statement (lines 296-297) before your numbered protocol steps, indicating that the protocol follows the animal care guidelines of your institution.</w:t>
      </w:r>
    </w:p>
    <w:p w14:paraId="114BDA14" w14:textId="77777777" w:rsidR="007B71E9" w:rsidRPr="00CF129B" w:rsidRDefault="007B71E9" w:rsidP="00657FD5">
      <w:pPr>
        <w:jc w:val="both"/>
      </w:pPr>
    </w:p>
    <w:p w14:paraId="117983C7" w14:textId="2411BDE3" w:rsidR="00657FD5" w:rsidRPr="00C5318F" w:rsidRDefault="00657FD5" w:rsidP="007B71E9">
      <w:pPr>
        <w:spacing w:line="240" w:lineRule="auto"/>
        <w:rPr>
          <w:i/>
          <w:color w:val="4F81BD" w:themeColor="accent1"/>
        </w:rPr>
      </w:pPr>
      <w:r w:rsidRPr="00C5318F">
        <w:rPr>
          <w:i/>
          <w:color w:val="4F81BD" w:themeColor="accent1"/>
        </w:rPr>
        <w:t>We have modified the location of the ethics statement according to your suggestion.</w:t>
      </w:r>
    </w:p>
    <w:p w14:paraId="57AE76E5" w14:textId="77777777" w:rsidR="007B71E9" w:rsidRPr="00CF129B" w:rsidRDefault="007B71E9" w:rsidP="007B71E9">
      <w:pPr>
        <w:spacing w:line="240" w:lineRule="auto"/>
        <w:rPr>
          <w:rFonts w:cstheme="minorHAnsi"/>
          <w:i/>
          <w:color w:val="0070C0"/>
        </w:rPr>
      </w:pPr>
    </w:p>
    <w:p w14:paraId="7DC112E0" w14:textId="25F9EFFC" w:rsidR="00657FD5" w:rsidRDefault="00657FD5" w:rsidP="00657FD5">
      <w:pPr>
        <w:jc w:val="both"/>
      </w:pPr>
      <w:r w:rsidRPr="00CF129B">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Transwell, accutase, Falcon, LysoTracker, Carl Zeiss, ORCA-Flash, Axio Zoom.V16, Hamamatsu Photonics, etc.</w:t>
      </w:r>
    </w:p>
    <w:p w14:paraId="00784B4D" w14:textId="77777777" w:rsidR="007B71E9" w:rsidRPr="00CF129B" w:rsidRDefault="007B71E9" w:rsidP="00657FD5">
      <w:pPr>
        <w:jc w:val="both"/>
      </w:pPr>
    </w:p>
    <w:p w14:paraId="72FE144E" w14:textId="5B140954" w:rsidR="00657FD5" w:rsidRPr="00C5318F" w:rsidRDefault="00657FD5" w:rsidP="00657FD5">
      <w:pPr>
        <w:jc w:val="both"/>
        <w:rPr>
          <w:i/>
          <w:color w:val="4F81BD" w:themeColor="accent1"/>
        </w:rPr>
      </w:pPr>
      <w:r w:rsidRPr="00C5318F">
        <w:rPr>
          <w:i/>
          <w:color w:val="4F81BD" w:themeColor="accent1"/>
        </w:rPr>
        <w:t>We have removed all commercial language from our revised manuscript and replaced them by generic terms to accommodate the JoVE requirements.</w:t>
      </w:r>
    </w:p>
    <w:p w14:paraId="2AB6C910" w14:textId="77777777" w:rsidR="007B71E9" w:rsidRPr="00CF129B" w:rsidRDefault="007B71E9" w:rsidP="00657FD5">
      <w:pPr>
        <w:jc w:val="both"/>
        <w:rPr>
          <w:i/>
          <w:color w:val="365F91" w:themeColor="accent1" w:themeShade="BF"/>
        </w:rPr>
      </w:pPr>
    </w:p>
    <w:p w14:paraId="185DFB22" w14:textId="21ED77A8" w:rsidR="00657FD5" w:rsidRDefault="00657FD5" w:rsidP="00657FD5">
      <w:pPr>
        <w:jc w:val="both"/>
      </w:pPr>
      <w:r w:rsidRPr="00CF129B">
        <w:t>5. Please revise the protocol text to avoid the use of any personal pronouns (e.g., "we", "you", "our" etc.).</w:t>
      </w:r>
    </w:p>
    <w:p w14:paraId="2E1421BB" w14:textId="77777777" w:rsidR="007B71E9" w:rsidRPr="00CF129B" w:rsidRDefault="007B71E9" w:rsidP="00657FD5">
      <w:pPr>
        <w:jc w:val="both"/>
      </w:pPr>
    </w:p>
    <w:p w14:paraId="6878187F" w14:textId="414C33B8" w:rsidR="00657FD5" w:rsidRDefault="00657FD5" w:rsidP="00657FD5">
      <w:pPr>
        <w:jc w:val="both"/>
        <w:rPr>
          <w:i/>
          <w:color w:val="365F91" w:themeColor="accent1" w:themeShade="BF"/>
        </w:rPr>
      </w:pPr>
      <w:r w:rsidRPr="00C5318F">
        <w:rPr>
          <w:i/>
          <w:color w:val="4F81BD" w:themeColor="accent1"/>
        </w:rPr>
        <w:t>We have removed all personal pronouns from the revised manuscript.</w:t>
      </w:r>
    </w:p>
    <w:p w14:paraId="2368E992" w14:textId="77777777" w:rsidR="007B71E9" w:rsidRPr="00CF129B" w:rsidRDefault="007B71E9" w:rsidP="00657FD5">
      <w:pPr>
        <w:jc w:val="both"/>
        <w:rPr>
          <w:i/>
          <w:color w:val="365F91" w:themeColor="accent1" w:themeShade="BF"/>
        </w:rPr>
      </w:pPr>
    </w:p>
    <w:p w14:paraId="6250B579" w14:textId="555EBCAA" w:rsidR="00657FD5" w:rsidRDefault="00657FD5" w:rsidP="00657FD5">
      <w:pPr>
        <w:jc w:val="both"/>
      </w:pPr>
      <w:r w:rsidRPr="00CF129B">
        <w:t xml:space="preserve">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 </w:t>
      </w:r>
    </w:p>
    <w:p w14:paraId="2E78B105" w14:textId="77777777" w:rsidR="007B71E9" w:rsidRPr="00CF129B" w:rsidRDefault="007B71E9" w:rsidP="00657FD5">
      <w:pPr>
        <w:jc w:val="both"/>
      </w:pPr>
    </w:p>
    <w:p w14:paraId="4D4ECE07" w14:textId="0AD543B5" w:rsidR="00657FD5" w:rsidRPr="00C5318F" w:rsidRDefault="00657FD5" w:rsidP="00657FD5">
      <w:pPr>
        <w:jc w:val="both"/>
        <w:rPr>
          <w:i/>
          <w:color w:val="4F81BD" w:themeColor="accent1"/>
        </w:rPr>
      </w:pPr>
      <w:r w:rsidRPr="00C5318F">
        <w:rPr>
          <w:i/>
          <w:color w:val="4F81BD" w:themeColor="accent1"/>
        </w:rPr>
        <w:t>We have revised the grammar of the manuscript according to your recommendations.</w:t>
      </w:r>
    </w:p>
    <w:p w14:paraId="32933D0A" w14:textId="77777777" w:rsidR="007B71E9" w:rsidRPr="00CF129B" w:rsidRDefault="007B71E9" w:rsidP="00657FD5">
      <w:pPr>
        <w:jc w:val="both"/>
        <w:rPr>
          <w:i/>
          <w:color w:val="365F91" w:themeColor="accent1" w:themeShade="BF"/>
        </w:rPr>
      </w:pPr>
    </w:p>
    <w:p w14:paraId="6342D209" w14:textId="77777777" w:rsidR="00657FD5" w:rsidRPr="00CF129B" w:rsidRDefault="00657FD5" w:rsidP="00657FD5">
      <w:pPr>
        <w:jc w:val="both"/>
      </w:pPr>
      <w:r w:rsidRPr="00CF129B">
        <w:t>7. 1.3.6: What wavelengths are measured?</w:t>
      </w:r>
    </w:p>
    <w:p w14:paraId="158087E7" w14:textId="77777777" w:rsidR="00657FD5" w:rsidRPr="00CF129B" w:rsidRDefault="00657FD5" w:rsidP="00657FD5">
      <w:pPr>
        <w:jc w:val="both"/>
      </w:pPr>
      <w:r w:rsidRPr="00CF129B">
        <w:t>8. 1.4.5: What is the incubation temperature?</w:t>
      </w:r>
    </w:p>
    <w:p w14:paraId="7EEA5A38" w14:textId="77777777" w:rsidR="00657FD5" w:rsidRPr="00CF129B" w:rsidRDefault="00657FD5" w:rsidP="00657FD5">
      <w:pPr>
        <w:jc w:val="both"/>
      </w:pPr>
      <w:r w:rsidRPr="00CF129B">
        <w:t>9. 3.1.2: Please specify the age, gender and strain of mouse.</w:t>
      </w:r>
    </w:p>
    <w:p w14:paraId="7F94041C" w14:textId="77777777" w:rsidR="00657FD5" w:rsidRPr="00CF129B" w:rsidRDefault="00657FD5" w:rsidP="00657FD5">
      <w:pPr>
        <w:jc w:val="both"/>
      </w:pPr>
      <w:r w:rsidRPr="00CF129B">
        <w:t>10. 3.1.3: Please specify the surgical tools used.</w:t>
      </w:r>
    </w:p>
    <w:p w14:paraId="6C6EAA6B" w14:textId="672BD425" w:rsidR="00657FD5" w:rsidRDefault="00657FD5" w:rsidP="00657FD5">
      <w:pPr>
        <w:jc w:val="both"/>
      </w:pPr>
      <w:r w:rsidRPr="00CF129B">
        <w:t>11. Please include single-line spaces between all paragraphs, headings, steps, etc.</w:t>
      </w:r>
    </w:p>
    <w:p w14:paraId="17768CA6" w14:textId="77777777" w:rsidR="007B71E9" w:rsidRPr="00CF129B" w:rsidRDefault="007B71E9" w:rsidP="00657FD5">
      <w:pPr>
        <w:jc w:val="both"/>
      </w:pPr>
    </w:p>
    <w:p w14:paraId="6C8CBBA3" w14:textId="55996AA5" w:rsidR="00657FD5" w:rsidRPr="00C5318F" w:rsidRDefault="00657FD5" w:rsidP="00657FD5">
      <w:pPr>
        <w:jc w:val="both"/>
        <w:rPr>
          <w:i/>
          <w:color w:val="4F81BD" w:themeColor="accent1"/>
        </w:rPr>
      </w:pPr>
      <w:r w:rsidRPr="00C5318F">
        <w:rPr>
          <w:i/>
          <w:color w:val="4F81BD" w:themeColor="accent1"/>
        </w:rPr>
        <w:lastRenderedPageBreak/>
        <w:t>All this missing information have been added to the revised manuscript and single-line spaces added when needed.</w:t>
      </w:r>
    </w:p>
    <w:p w14:paraId="799D16C0" w14:textId="77777777" w:rsidR="007B71E9" w:rsidRPr="00CF129B" w:rsidRDefault="007B71E9" w:rsidP="00657FD5">
      <w:pPr>
        <w:jc w:val="both"/>
        <w:rPr>
          <w:i/>
          <w:color w:val="365F91" w:themeColor="accent1" w:themeShade="BF"/>
        </w:rPr>
      </w:pPr>
    </w:p>
    <w:p w14:paraId="6E07444A" w14:textId="00B2ED8C" w:rsidR="00657FD5" w:rsidRDefault="00657FD5" w:rsidP="00657FD5">
      <w:pPr>
        <w:jc w:val="both"/>
      </w:pPr>
      <w:r w:rsidRPr="00CF129B">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7D3B043" w14:textId="77777777" w:rsidR="00657FD5" w:rsidRPr="00CF129B" w:rsidRDefault="00657FD5" w:rsidP="00657FD5">
      <w:pPr>
        <w:jc w:val="both"/>
      </w:pPr>
      <w:r w:rsidRPr="00CF129B">
        <w:t>13.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7F1DCB09" w14:textId="77777777" w:rsidR="00657FD5" w:rsidRPr="00CF129B" w:rsidRDefault="00657FD5" w:rsidP="00657FD5">
      <w:pPr>
        <w:jc w:val="both"/>
      </w:pPr>
      <w:r w:rsidRPr="00CF129B">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5030A29" w14:textId="4DE5DFF1" w:rsidR="00657FD5" w:rsidRDefault="00657FD5" w:rsidP="00657FD5">
      <w:pPr>
        <w:jc w:val="both"/>
      </w:pPr>
      <w:r w:rsidRPr="00CF129B">
        <w:t>15. When reviewing the highlighting length for the protocol, please watch out for repeated steps. Please ensure that the repeated step has been highlighted previously.</w:t>
      </w:r>
    </w:p>
    <w:p w14:paraId="06CD0662" w14:textId="77777777" w:rsidR="006D4EB8" w:rsidRDefault="006D4EB8" w:rsidP="00657FD5">
      <w:pPr>
        <w:jc w:val="both"/>
      </w:pPr>
    </w:p>
    <w:p w14:paraId="3A7EFA75" w14:textId="7B8F9220" w:rsidR="006D4EB8" w:rsidRPr="000948F1" w:rsidRDefault="006D4EB8" w:rsidP="006D4EB8">
      <w:pPr>
        <w:jc w:val="both"/>
        <w:rPr>
          <w:i/>
          <w:color w:val="4F81BD" w:themeColor="accent1"/>
        </w:rPr>
      </w:pPr>
      <w:r>
        <w:rPr>
          <w:i/>
          <w:color w:val="4F81BD" w:themeColor="accent1"/>
        </w:rPr>
        <w:t>The protocol parts for the video have been highlighted in yellow in the text</w:t>
      </w:r>
      <w:r>
        <w:rPr>
          <w:i/>
          <w:color w:val="4F81BD" w:themeColor="accent1"/>
        </w:rPr>
        <w:t>, according to your recommendations</w:t>
      </w:r>
      <w:r>
        <w:rPr>
          <w:i/>
          <w:color w:val="4F81BD" w:themeColor="accent1"/>
        </w:rPr>
        <w:t>.</w:t>
      </w:r>
    </w:p>
    <w:p w14:paraId="484FDA85" w14:textId="77777777" w:rsidR="006D4EB8" w:rsidRPr="00CF129B" w:rsidRDefault="006D4EB8" w:rsidP="00657FD5">
      <w:pPr>
        <w:jc w:val="both"/>
      </w:pPr>
    </w:p>
    <w:p w14:paraId="50A9A454" w14:textId="77777777" w:rsidR="00657FD5" w:rsidRPr="00CF129B" w:rsidRDefault="00657FD5" w:rsidP="00657FD5">
      <w:pPr>
        <w:jc w:val="both"/>
      </w:pPr>
      <w:r w:rsidRPr="00CF129B">
        <w:t>16. Figure 1E: Please also explain the arrows.</w:t>
      </w:r>
    </w:p>
    <w:p w14:paraId="171217C4" w14:textId="77777777" w:rsidR="00657FD5" w:rsidRPr="00CF129B" w:rsidRDefault="00657FD5" w:rsidP="00657FD5">
      <w:pPr>
        <w:jc w:val="both"/>
      </w:pPr>
      <w:r w:rsidRPr="00CF129B">
        <w:t>17. Figure 2C: Please include a space between numerical values and their time units (191 s).</w:t>
      </w:r>
    </w:p>
    <w:p w14:paraId="2C26673D" w14:textId="7DEE833F" w:rsidR="00657FD5" w:rsidRDefault="00657FD5" w:rsidP="00657FD5">
      <w:pPr>
        <w:jc w:val="both"/>
      </w:pPr>
      <w:r w:rsidRPr="00CF129B">
        <w:t>18. Figure 3B: Please include a space between the numerical value and its unit ((x10-6 cm/s).</w:t>
      </w:r>
    </w:p>
    <w:p w14:paraId="422DFFD9" w14:textId="77777777" w:rsidR="006D4EB8" w:rsidRDefault="006D4EB8" w:rsidP="00657FD5">
      <w:pPr>
        <w:jc w:val="both"/>
      </w:pPr>
    </w:p>
    <w:p w14:paraId="3E55D58E" w14:textId="658A26D9" w:rsidR="006D4EB8" w:rsidRPr="000948F1" w:rsidRDefault="00341237" w:rsidP="006D4EB8">
      <w:pPr>
        <w:jc w:val="both"/>
        <w:rPr>
          <w:i/>
          <w:color w:val="4F81BD" w:themeColor="accent1"/>
        </w:rPr>
      </w:pPr>
      <w:r>
        <w:rPr>
          <w:i/>
          <w:color w:val="4F81BD" w:themeColor="accent1"/>
        </w:rPr>
        <w:t>Thank you for pointing out</w:t>
      </w:r>
      <w:r w:rsidR="00C73AFB">
        <w:rPr>
          <w:i/>
          <w:color w:val="4F81BD" w:themeColor="accent1"/>
        </w:rPr>
        <w:t xml:space="preserve"> these typos</w:t>
      </w:r>
      <w:r>
        <w:rPr>
          <w:i/>
          <w:color w:val="4F81BD" w:themeColor="accent1"/>
        </w:rPr>
        <w:t>, w</w:t>
      </w:r>
      <w:r w:rsidR="006D4EB8">
        <w:rPr>
          <w:i/>
          <w:color w:val="4F81BD" w:themeColor="accent1"/>
        </w:rPr>
        <w:t xml:space="preserve">e have edited the revised document </w:t>
      </w:r>
      <w:r>
        <w:rPr>
          <w:i/>
          <w:color w:val="4F81BD" w:themeColor="accent1"/>
        </w:rPr>
        <w:t>accordingly.</w:t>
      </w:r>
    </w:p>
    <w:p w14:paraId="52A5D128" w14:textId="77777777" w:rsidR="006D4EB8" w:rsidRPr="00CF129B" w:rsidRDefault="006D4EB8" w:rsidP="00657FD5">
      <w:pPr>
        <w:jc w:val="both"/>
      </w:pPr>
    </w:p>
    <w:p w14:paraId="58534901" w14:textId="6CEAC272" w:rsidR="00657FD5" w:rsidRDefault="00657FD5" w:rsidP="00657FD5">
      <w:pPr>
        <w:jc w:val="both"/>
      </w:pPr>
      <w:r w:rsidRPr="00CF129B">
        <w:t>19. Discussion: As we are a methods journal, please also discuss critical steps within the protocol, any modifications and troubleshooting of the technique, and any limitations of the technique.</w:t>
      </w:r>
    </w:p>
    <w:p w14:paraId="05327253" w14:textId="7B5884A2" w:rsidR="00341237" w:rsidRDefault="00341237" w:rsidP="00657FD5">
      <w:pPr>
        <w:jc w:val="both"/>
      </w:pPr>
    </w:p>
    <w:p w14:paraId="2980EF28" w14:textId="1607B7C4" w:rsidR="00341237" w:rsidRPr="000948F1" w:rsidRDefault="00C73AFB" w:rsidP="00341237">
      <w:pPr>
        <w:jc w:val="both"/>
        <w:rPr>
          <w:i/>
          <w:color w:val="4F81BD" w:themeColor="accent1"/>
        </w:rPr>
      </w:pPr>
      <w:r>
        <w:rPr>
          <w:i/>
          <w:color w:val="4F81BD" w:themeColor="accent1"/>
        </w:rPr>
        <w:t>We took that sugges</w:t>
      </w:r>
      <w:r w:rsidR="00414857">
        <w:rPr>
          <w:i/>
          <w:color w:val="4F81BD" w:themeColor="accent1"/>
        </w:rPr>
        <w:t xml:space="preserve">tion in consideration when revising the Discussion. However, as the reviewers </w:t>
      </w:r>
      <w:r w:rsidR="00D50274">
        <w:rPr>
          <w:i/>
          <w:color w:val="4F81BD" w:themeColor="accent1"/>
        </w:rPr>
        <w:t xml:space="preserve">suggestions for revision essentially concerned </w:t>
      </w:r>
      <w:r w:rsidR="00060C56">
        <w:rPr>
          <w:i/>
          <w:color w:val="4F81BD" w:themeColor="accent1"/>
        </w:rPr>
        <w:t>cellular biology aspects of the model</w:t>
      </w:r>
      <w:r w:rsidR="002328CB">
        <w:rPr>
          <w:i/>
          <w:color w:val="4F81BD" w:themeColor="accent1"/>
        </w:rPr>
        <w:t>.</w:t>
      </w:r>
      <w:r w:rsidR="00CD522D">
        <w:rPr>
          <w:i/>
          <w:color w:val="4F81BD" w:themeColor="accent1"/>
        </w:rPr>
        <w:t xml:space="preserve"> </w:t>
      </w:r>
      <w:r w:rsidR="000E713D">
        <w:rPr>
          <w:i/>
          <w:color w:val="4F81BD" w:themeColor="accent1"/>
        </w:rPr>
        <w:t>Bearing in mind</w:t>
      </w:r>
      <w:r w:rsidR="002328CB">
        <w:rPr>
          <w:i/>
          <w:color w:val="4F81BD" w:themeColor="accent1"/>
        </w:rPr>
        <w:t xml:space="preserve"> </w:t>
      </w:r>
      <w:r w:rsidR="000E713D">
        <w:rPr>
          <w:i/>
          <w:color w:val="4F81BD" w:themeColor="accent1"/>
        </w:rPr>
        <w:t xml:space="preserve">this fact and </w:t>
      </w:r>
      <w:r w:rsidR="009E1E12">
        <w:rPr>
          <w:i/>
          <w:color w:val="4F81BD" w:themeColor="accent1"/>
        </w:rPr>
        <w:t xml:space="preserve">the wish to keep </w:t>
      </w:r>
      <w:r w:rsidR="002328CB">
        <w:rPr>
          <w:i/>
          <w:color w:val="4F81BD" w:themeColor="accent1"/>
        </w:rPr>
        <w:t>the text</w:t>
      </w:r>
      <w:r w:rsidR="009E1E12">
        <w:rPr>
          <w:i/>
          <w:color w:val="4F81BD" w:themeColor="accent1"/>
        </w:rPr>
        <w:t>’s</w:t>
      </w:r>
      <w:r w:rsidR="002328CB">
        <w:rPr>
          <w:i/>
          <w:color w:val="4F81BD" w:themeColor="accent1"/>
        </w:rPr>
        <w:t xml:space="preserve"> lenght </w:t>
      </w:r>
      <w:r w:rsidR="009E1E12">
        <w:rPr>
          <w:i/>
          <w:color w:val="4F81BD" w:themeColor="accent1"/>
        </w:rPr>
        <w:t xml:space="preserve">within </w:t>
      </w:r>
      <w:r w:rsidR="002328CB">
        <w:rPr>
          <w:i/>
          <w:color w:val="4F81BD" w:themeColor="accent1"/>
        </w:rPr>
        <w:t>limits</w:t>
      </w:r>
      <w:r w:rsidR="00060C56">
        <w:rPr>
          <w:i/>
          <w:color w:val="4F81BD" w:themeColor="accent1"/>
        </w:rPr>
        <w:t xml:space="preserve"> it is possible that the Discussion in its current form is slightly out of the scope of a Methods Journal</w:t>
      </w:r>
      <w:r w:rsidR="00341237">
        <w:rPr>
          <w:i/>
          <w:color w:val="4F81BD" w:themeColor="accent1"/>
        </w:rPr>
        <w:t>.</w:t>
      </w:r>
      <w:r w:rsidR="00060C56">
        <w:rPr>
          <w:i/>
          <w:color w:val="4F81BD" w:themeColor="accent1"/>
        </w:rPr>
        <w:t xml:space="preserve"> </w:t>
      </w:r>
      <w:r w:rsidR="00CD522D">
        <w:rPr>
          <w:i/>
          <w:color w:val="4F81BD" w:themeColor="accent1"/>
        </w:rPr>
        <w:t>We would be happy to get the editor’s opinion on that issue</w:t>
      </w:r>
      <w:r w:rsidR="009E1E12">
        <w:rPr>
          <w:i/>
          <w:color w:val="4F81BD" w:themeColor="accent1"/>
        </w:rPr>
        <w:t>.</w:t>
      </w:r>
    </w:p>
    <w:p w14:paraId="0DE53AAF" w14:textId="77777777" w:rsidR="00341237" w:rsidRPr="00CF129B" w:rsidRDefault="00341237" w:rsidP="00657FD5">
      <w:pPr>
        <w:jc w:val="both"/>
      </w:pPr>
    </w:p>
    <w:p w14:paraId="0E248DE6" w14:textId="2ACC5DF6" w:rsidR="00657FD5" w:rsidRDefault="00657FD5" w:rsidP="00657FD5">
      <w:pPr>
        <w:jc w:val="both"/>
      </w:pPr>
      <w:r w:rsidRPr="00CF129B">
        <w:t>20. For in-text references, the corresponding reference numbers should appear as superscripts after the appropriate statement(s) in the text (before punctuation but after closed parenthesis). The references should be numbered in order of appearance.</w:t>
      </w:r>
    </w:p>
    <w:p w14:paraId="7D3D60E2" w14:textId="77777777" w:rsidR="009E1E12" w:rsidRDefault="009E1E12" w:rsidP="00657FD5">
      <w:pPr>
        <w:jc w:val="both"/>
      </w:pPr>
    </w:p>
    <w:p w14:paraId="4D743977" w14:textId="0054D39B" w:rsidR="009E1E12" w:rsidRDefault="009E1E12" w:rsidP="00657FD5">
      <w:pPr>
        <w:jc w:val="both"/>
        <w:rPr>
          <w:i/>
          <w:color w:val="4F81BD" w:themeColor="accent1"/>
        </w:rPr>
      </w:pPr>
      <w:r>
        <w:rPr>
          <w:i/>
          <w:color w:val="4F81BD" w:themeColor="accent1"/>
        </w:rPr>
        <w:t>Thank you, we have edited the document accordingly.</w:t>
      </w:r>
    </w:p>
    <w:p w14:paraId="5146A20C" w14:textId="77777777" w:rsidR="009E1E12" w:rsidRPr="00CF129B" w:rsidRDefault="009E1E12" w:rsidP="00657FD5">
      <w:pPr>
        <w:jc w:val="both"/>
      </w:pPr>
    </w:p>
    <w:p w14:paraId="2B645E90" w14:textId="59FE0242" w:rsidR="00657FD5" w:rsidRDefault="00657FD5" w:rsidP="00657FD5">
      <w:pPr>
        <w:jc w:val="both"/>
      </w:pPr>
      <w:r w:rsidRPr="00CF129B">
        <w:t>21. References: Please do not abbreviate journal titles.</w:t>
      </w:r>
    </w:p>
    <w:p w14:paraId="00A99544" w14:textId="77777777" w:rsidR="009E1E12" w:rsidRDefault="009E1E12" w:rsidP="00657FD5">
      <w:pPr>
        <w:jc w:val="both"/>
      </w:pPr>
    </w:p>
    <w:p w14:paraId="17F98207" w14:textId="40AC6C14" w:rsidR="009E1E12" w:rsidRDefault="009E1E12" w:rsidP="009E1E12">
      <w:pPr>
        <w:jc w:val="both"/>
        <w:rPr>
          <w:i/>
          <w:color w:val="4F81BD" w:themeColor="accent1"/>
        </w:rPr>
      </w:pPr>
      <w:r>
        <w:rPr>
          <w:i/>
          <w:color w:val="4F81BD" w:themeColor="accent1"/>
        </w:rPr>
        <w:t xml:space="preserve">We have modified the References accordingly. However, </w:t>
      </w:r>
      <w:r w:rsidR="00D539CB">
        <w:rPr>
          <w:i/>
          <w:color w:val="4F81BD" w:themeColor="accent1"/>
        </w:rPr>
        <w:t xml:space="preserve">in order to generate </w:t>
      </w:r>
      <w:r w:rsidR="00B86678">
        <w:rPr>
          <w:i/>
          <w:color w:val="4F81BD" w:themeColor="accent1"/>
        </w:rPr>
        <w:t>a</w:t>
      </w:r>
      <w:r w:rsidR="00D539CB">
        <w:rPr>
          <w:i/>
          <w:color w:val="4F81BD" w:themeColor="accent1"/>
        </w:rPr>
        <w:t xml:space="preserve"> references</w:t>
      </w:r>
      <w:r w:rsidR="008B380B">
        <w:rPr>
          <w:i/>
          <w:color w:val="4F81BD" w:themeColor="accent1"/>
        </w:rPr>
        <w:t xml:space="preserve"> list</w:t>
      </w:r>
      <w:r w:rsidR="00B86678">
        <w:rPr>
          <w:i/>
          <w:color w:val="4F81BD" w:themeColor="accent1"/>
        </w:rPr>
        <w:t xml:space="preserve"> that fully complies to the guidelines</w:t>
      </w:r>
      <w:r w:rsidR="008B380B">
        <w:rPr>
          <w:i/>
          <w:color w:val="4F81BD" w:themeColor="accent1"/>
        </w:rPr>
        <w:t xml:space="preserve">, </w:t>
      </w:r>
      <w:r w:rsidR="00364FA5">
        <w:rPr>
          <w:i/>
          <w:color w:val="4F81BD" w:themeColor="accent1"/>
        </w:rPr>
        <w:t xml:space="preserve">we </w:t>
      </w:r>
      <w:r w:rsidR="00E6524A">
        <w:rPr>
          <w:i/>
          <w:color w:val="4F81BD" w:themeColor="accent1"/>
        </w:rPr>
        <w:t>originally</w:t>
      </w:r>
      <w:r w:rsidR="00364FA5">
        <w:rPr>
          <w:i/>
          <w:color w:val="4F81BD" w:themeColor="accent1"/>
        </w:rPr>
        <w:t xml:space="preserve"> used </w:t>
      </w:r>
      <w:r w:rsidR="00D539CB">
        <w:rPr>
          <w:i/>
          <w:color w:val="4F81BD" w:themeColor="accent1"/>
        </w:rPr>
        <w:t xml:space="preserve">Endnote </w:t>
      </w:r>
      <w:r w:rsidR="008B380B">
        <w:rPr>
          <w:i/>
          <w:color w:val="4F81BD" w:themeColor="accent1"/>
        </w:rPr>
        <w:t xml:space="preserve">with </w:t>
      </w:r>
      <w:r w:rsidR="00364FA5">
        <w:rPr>
          <w:i/>
          <w:color w:val="4F81BD" w:themeColor="accent1"/>
        </w:rPr>
        <w:t xml:space="preserve">the JoVE </w:t>
      </w:r>
      <w:r w:rsidR="00D539CB">
        <w:rPr>
          <w:i/>
          <w:color w:val="4F81BD" w:themeColor="accent1"/>
        </w:rPr>
        <w:t>output style</w:t>
      </w:r>
      <w:r w:rsidR="00364FA5">
        <w:rPr>
          <w:i/>
          <w:color w:val="4F81BD" w:themeColor="accent1"/>
        </w:rPr>
        <w:t xml:space="preserve"> </w:t>
      </w:r>
      <w:r w:rsidR="00E6524A">
        <w:rPr>
          <w:i/>
          <w:color w:val="4F81BD" w:themeColor="accent1"/>
        </w:rPr>
        <w:t xml:space="preserve">(file </w:t>
      </w:r>
      <w:r w:rsidR="008B380B">
        <w:rPr>
          <w:i/>
          <w:color w:val="4F81BD" w:themeColor="accent1"/>
        </w:rPr>
        <w:t>downloaded from the JoVE website</w:t>
      </w:r>
      <w:r w:rsidR="00E6524A">
        <w:rPr>
          <w:i/>
          <w:color w:val="4F81BD" w:themeColor="accent1"/>
        </w:rPr>
        <w:t>,</w:t>
      </w:r>
      <w:r w:rsidR="008B380B">
        <w:rPr>
          <w:i/>
          <w:color w:val="4F81BD" w:themeColor="accent1"/>
        </w:rPr>
        <w:t xml:space="preserve"> as indicated in the Instructions)</w:t>
      </w:r>
      <w:r w:rsidR="00E6524A">
        <w:rPr>
          <w:i/>
          <w:color w:val="4F81BD" w:themeColor="accent1"/>
        </w:rPr>
        <w:t xml:space="preserve"> to export our bibliography.</w:t>
      </w:r>
    </w:p>
    <w:p w14:paraId="0074F932" w14:textId="77777777" w:rsidR="009E1E12" w:rsidRPr="00CF129B" w:rsidRDefault="009E1E12" w:rsidP="00657FD5">
      <w:pPr>
        <w:jc w:val="both"/>
      </w:pPr>
    </w:p>
    <w:p w14:paraId="448C8205" w14:textId="1F11FC9F" w:rsidR="00657FD5" w:rsidRDefault="00657FD5" w:rsidP="00657FD5">
      <w:pPr>
        <w:jc w:val="both"/>
      </w:pPr>
      <w:r w:rsidRPr="00CF129B">
        <w:t>22. Table of Equipment and Materials: Please provide lot numbers and RRIDs of antibodies, if available, and sort the items in alphabetical order according to the name of material/equipment.</w:t>
      </w:r>
    </w:p>
    <w:p w14:paraId="10152C1E" w14:textId="77777777" w:rsidR="00893B1F" w:rsidRPr="00CF129B" w:rsidRDefault="00893B1F" w:rsidP="00657FD5">
      <w:pPr>
        <w:jc w:val="both"/>
      </w:pPr>
    </w:p>
    <w:p w14:paraId="5D64CD23" w14:textId="14EF9500" w:rsidR="00657FD5" w:rsidRPr="00CF129B" w:rsidRDefault="00893B1F" w:rsidP="00657FD5">
      <w:pPr>
        <w:jc w:val="both"/>
      </w:pPr>
      <w:r>
        <w:rPr>
          <w:i/>
          <w:color w:val="4F81BD" w:themeColor="accent1"/>
        </w:rPr>
        <w:t>Thank you, we have revised the table accordingly.</w:t>
      </w:r>
    </w:p>
    <w:p w14:paraId="7F1E90F3" w14:textId="77777777" w:rsidR="00657FD5" w:rsidRPr="00CF129B" w:rsidRDefault="00657FD5" w:rsidP="00657FD5">
      <w:pPr>
        <w:jc w:val="both"/>
        <w:rPr>
          <w:b/>
        </w:rPr>
      </w:pPr>
      <w:r w:rsidRPr="00CF129B">
        <w:rPr>
          <w:b/>
        </w:rPr>
        <w:lastRenderedPageBreak/>
        <w:t>Reviewers' comments:</w:t>
      </w:r>
    </w:p>
    <w:p w14:paraId="52ABC74B" w14:textId="6DFDDB03" w:rsidR="00657FD5" w:rsidRPr="007B71E9" w:rsidRDefault="00657FD5" w:rsidP="00657FD5">
      <w:pPr>
        <w:jc w:val="both"/>
        <w:rPr>
          <w:b/>
        </w:rPr>
      </w:pPr>
      <w:r w:rsidRPr="007B71E9">
        <w:rPr>
          <w:b/>
        </w:rPr>
        <w:t>Reviewer #1:</w:t>
      </w:r>
    </w:p>
    <w:p w14:paraId="3EC7E8AB" w14:textId="77777777" w:rsidR="007B71E9" w:rsidRPr="00CF129B" w:rsidRDefault="007B71E9" w:rsidP="00657FD5">
      <w:pPr>
        <w:jc w:val="both"/>
      </w:pPr>
    </w:p>
    <w:p w14:paraId="23095C65" w14:textId="77777777" w:rsidR="00657FD5" w:rsidRPr="00CF129B" w:rsidRDefault="00657FD5" w:rsidP="00657FD5">
      <w:pPr>
        <w:jc w:val="both"/>
      </w:pPr>
      <w:r w:rsidRPr="00CF129B">
        <w:t>Manuscript Summary:</w:t>
      </w:r>
    </w:p>
    <w:p w14:paraId="392A417E" w14:textId="1A7EC9A6" w:rsidR="00657FD5" w:rsidRDefault="00657FD5" w:rsidP="00657FD5">
      <w:pPr>
        <w:jc w:val="both"/>
      </w:pPr>
      <w:r w:rsidRPr="00CF129B">
        <w:t>Le Joncour et al describe a methodology for establishing an in vitro model of the blood-brain barrier and the blood-tumor barrier in glioblastoma. The overall impression of the paper is okay, and in general, the author describe the methods in a very relevant way. I particularly like the use of patient spheres instead of adherent glioma cells. However, with respect to the validity of the methodology, I think that the authors lack substantial amounts of reflection in both with respect to the representative results, and in the discussion. For example, the use of immortalized cells is a major concern. I therefore recommend the paper for publication after major revision based on the following comments:</w:t>
      </w:r>
    </w:p>
    <w:p w14:paraId="0D0AAF90" w14:textId="77777777" w:rsidR="007B71E9" w:rsidRPr="00CF129B" w:rsidRDefault="007B71E9" w:rsidP="00657FD5">
      <w:pPr>
        <w:jc w:val="both"/>
      </w:pPr>
    </w:p>
    <w:p w14:paraId="251F5E75" w14:textId="74129ACC" w:rsidR="00657FD5" w:rsidRDefault="00657FD5" w:rsidP="00657FD5">
      <w:pPr>
        <w:jc w:val="both"/>
      </w:pPr>
      <w:r w:rsidRPr="00CF129B">
        <w:t>1. The bEnd.3 cell line is a notorious poor model of the BBB. It lacks several receptor systems, it has lost most of its capacity to polarize in a relevant way, and it is known to grow in layers. The leading groups of the in vitro BBB (including Maria Deli lab, Birger Brodin lab, and Eric Shusta lab) regard the bEnd.3 cells completely irrelevant for BBB studies. What was the reasoning behind this choice?</w:t>
      </w:r>
    </w:p>
    <w:p w14:paraId="08C969B7" w14:textId="77777777" w:rsidR="007B71E9" w:rsidRPr="00CF129B" w:rsidRDefault="007B71E9" w:rsidP="00657FD5">
      <w:pPr>
        <w:jc w:val="both"/>
      </w:pPr>
    </w:p>
    <w:p w14:paraId="3F77869F" w14:textId="77777777" w:rsidR="00657FD5" w:rsidRPr="00CF129B" w:rsidRDefault="00657FD5" w:rsidP="00657FD5">
      <w:pPr>
        <w:jc w:val="both"/>
        <w:rPr>
          <w:color w:val="365F91" w:themeColor="accent1" w:themeShade="BF"/>
        </w:rPr>
      </w:pPr>
      <w:r w:rsidRPr="00CF129B">
        <w:rPr>
          <w:color w:val="365F91" w:themeColor="accent1" w:themeShade="BF"/>
        </w:rPr>
        <w:t xml:space="preserve">We are very grateful for the reviewer’s very thorough and constructive review of our manuscript. </w:t>
      </w:r>
    </w:p>
    <w:p w14:paraId="67744C9D" w14:textId="77777777" w:rsidR="00657FD5" w:rsidRPr="00CF129B" w:rsidRDefault="00657FD5" w:rsidP="00657FD5">
      <w:pPr>
        <w:jc w:val="both"/>
        <w:rPr>
          <w:color w:val="365F91" w:themeColor="accent1" w:themeShade="BF"/>
        </w:rPr>
      </w:pPr>
      <w:r w:rsidRPr="00CF129B">
        <w:rPr>
          <w:color w:val="365F91" w:themeColor="accent1" w:themeShade="BF"/>
        </w:rPr>
        <w:t xml:space="preserve">We are aware of the criticism often generated by the use of immortalized cell lines and therefore, in the manuscript’s discussion, we enumerated the main pros and cons of considering these cells to generate an </w:t>
      </w:r>
      <w:r w:rsidRPr="00CF129B">
        <w:rPr>
          <w:i/>
          <w:color w:val="365F91" w:themeColor="accent1" w:themeShade="BF"/>
        </w:rPr>
        <w:t>in vitro</w:t>
      </w:r>
      <w:r w:rsidRPr="00CF129B">
        <w:rPr>
          <w:color w:val="365F91" w:themeColor="accent1" w:themeShade="BF"/>
        </w:rPr>
        <w:t xml:space="preserve"> blood-brain tumor-barrier (BBTB). It seems that the discussion in its current form fails to highlight the advantages and to provide a critical aspect on the chosen models for the readers. Therefore, we have now revised the discussion to take into account the comments and the literature that the reviewer suggested to improve the reading.</w:t>
      </w:r>
    </w:p>
    <w:p w14:paraId="73AC0E7B" w14:textId="77777777" w:rsidR="00657FD5" w:rsidRPr="00CF129B" w:rsidRDefault="00657FD5" w:rsidP="00657FD5">
      <w:pPr>
        <w:jc w:val="both"/>
        <w:rPr>
          <w:color w:val="365F91" w:themeColor="accent1" w:themeShade="BF"/>
        </w:rPr>
      </w:pPr>
      <w:r w:rsidRPr="00CF129B">
        <w:rPr>
          <w:color w:val="365F91" w:themeColor="accent1" w:themeShade="BF"/>
        </w:rPr>
        <w:t xml:space="preserve">In the revised manuscript, justification for using immortalized cells of mouse and human origins (questions raised in 1., 2., and 7.), are given in the lines 33 to 42 in the Abstract, in the lines 69 to 97 in the Introduction and in the lines 615 to 630 in the Discussion. </w:t>
      </w:r>
    </w:p>
    <w:p w14:paraId="2AB470A8" w14:textId="77777777" w:rsidR="00657FD5" w:rsidRPr="00CF129B" w:rsidRDefault="00657FD5" w:rsidP="00657FD5">
      <w:pPr>
        <w:jc w:val="both"/>
        <w:rPr>
          <w:color w:val="365F91" w:themeColor="accent1" w:themeShade="BF"/>
        </w:rPr>
      </w:pPr>
      <w:bookmarkStart w:id="0" w:name="_Hlk534357421"/>
      <w:r w:rsidRPr="00CF129B">
        <w:rPr>
          <w:color w:val="365F91" w:themeColor="accent1" w:themeShade="BF"/>
        </w:rPr>
        <w:t xml:space="preserve">The principal reason for avoiding primary cells is to prevent the use of laboratory animals, which are the main source for the isolation and establishment of primary murine cultures. In our manuscript, we suggest that studies requiring a preliminary validation step; </w:t>
      </w:r>
      <w:r w:rsidRPr="00CF129B">
        <w:rPr>
          <w:i/>
          <w:color w:val="365F91" w:themeColor="accent1" w:themeShade="BF"/>
        </w:rPr>
        <w:t>e.g.</w:t>
      </w:r>
      <w:r w:rsidRPr="00CF129B">
        <w:rPr>
          <w:color w:val="365F91" w:themeColor="accent1" w:themeShade="BF"/>
        </w:rPr>
        <w:t xml:space="preserve"> screening of a large library of molecules and/or drugs; could benefit from this </w:t>
      </w:r>
      <w:r w:rsidRPr="00CF129B">
        <w:rPr>
          <w:i/>
          <w:color w:val="365F91" w:themeColor="accent1" w:themeShade="BF"/>
        </w:rPr>
        <w:t xml:space="preserve">in vitro </w:t>
      </w:r>
      <w:r w:rsidRPr="00CF129B">
        <w:rPr>
          <w:color w:val="365F91" w:themeColor="accent1" w:themeShade="BF"/>
        </w:rPr>
        <w:t xml:space="preserve">methodology. Our model’s strength lies in its firm compliance with the 3Rs, especially the </w:t>
      </w:r>
      <w:r w:rsidRPr="00CF129B">
        <w:rPr>
          <w:i/>
          <w:color w:val="365F91" w:themeColor="accent1" w:themeShade="BF"/>
        </w:rPr>
        <w:t xml:space="preserve">reduce </w:t>
      </w:r>
      <w:r w:rsidRPr="00CF129B">
        <w:rPr>
          <w:color w:val="365F91" w:themeColor="accent1" w:themeShade="BF"/>
        </w:rPr>
        <w:t xml:space="preserve">and </w:t>
      </w:r>
      <w:r w:rsidRPr="00CF129B">
        <w:rPr>
          <w:i/>
          <w:color w:val="365F91" w:themeColor="accent1" w:themeShade="BF"/>
        </w:rPr>
        <w:t xml:space="preserve">replace </w:t>
      </w:r>
      <w:r w:rsidRPr="00CF129B">
        <w:rPr>
          <w:color w:val="365F91" w:themeColor="accent1" w:themeShade="BF"/>
        </w:rPr>
        <w:t xml:space="preserve">aspects, by ruling out compounds, which are unable to cross this artificial barrier and ultimately save a significant number of animals used for the preclinical investigations. </w:t>
      </w:r>
    </w:p>
    <w:p w14:paraId="6752AD21" w14:textId="77777777" w:rsidR="00657FD5" w:rsidRPr="00CF129B" w:rsidRDefault="00657FD5" w:rsidP="00657FD5">
      <w:pPr>
        <w:jc w:val="both"/>
        <w:rPr>
          <w:color w:val="365F91" w:themeColor="accent1" w:themeShade="BF"/>
        </w:rPr>
      </w:pPr>
      <w:r w:rsidRPr="00CF129B">
        <w:rPr>
          <w:color w:val="365F91" w:themeColor="accent1" w:themeShade="BF"/>
        </w:rPr>
        <w:t xml:space="preserve">This proposition is supported by our findings obtained in the cocultures and confirmed later on </w:t>
      </w:r>
      <w:r w:rsidRPr="00CF129B">
        <w:rPr>
          <w:i/>
          <w:color w:val="365F91" w:themeColor="accent1" w:themeShade="BF"/>
        </w:rPr>
        <w:t xml:space="preserve">in vivo </w:t>
      </w:r>
      <w:r w:rsidRPr="00CF129B">
        <w:rPr>
          <w:color w:val="365F91" w:themeColor="accent1" w:themeShade="BF"/>
        </w:rPr>
        <w:t xml:space="preserve">when measuring the passive diffusion of a 376 Da sodium fluorescein. It is also inspired from our own experience with the functionalized nanoparticles briefly introduced in the manuscript </w:t>
      </w:r>
      <w:bookmarkEnd w:id="0"/>
      <w:r w:rsidRPr="00CF129B">
        <w:rPr>
          <w:color w:val="365F91" w:themeColor="accent1" w:themeShade="BF"/>
        </w:rPr>
        <w:t xml:space="preserve">and will be further addressed in our answers to the questions 3., 4., 5. and 6 of the same reviewer. </w:t>
      </w:r>
    </w:p>
    <w:p w14:paraId="69C8AB7E" w14:textId="77777777" w:rsidR="00657FD5" w:rsidRPr="00CF129B" w:rsidRDefault="00657FD5" w:rsidP="00657FD5">
      <w:pPr>
        <w:jc w:val="both"/>
        <w:rPr>
          <w:color w:val="365F91" w:themeColor="accent1" w:themeShade="BF"/>
        </w:rPr>
      </w:pPr>
      <w:r w:rsidRPr="00CF129B">
        <w:rPr>
          <w:color w:val="365F91" w:themeColor="accent1" w:themeShade="BF"/>
        </w:rPr>
        <w:t xml:space="preserve">Other non-exhaustive and valid reasons for the use of commercially available immortalized cells are: </w:t>
      </w:r>
    </w:p>
    <w:p w14:paraId="5267FF2D" w14:textId="77777777" w:rsidR="00657FD5" w:rsidRPr="00CF129B" w:rsidRDefault="00657FD5" w:rsidP="00657FD5">
      <w:pPr>
        <w:pStyle w:val="Paragraphedeliste"/>
        <w:numPr>
          <w:ilvl w:val="0"/>
          <w:numId w:val="33"/>
        </w:numPr>
        <w:tabs>
          <w:tab w:val="clear" w:pos="1304"/>
          <w:tab w:val="clear" w:pos="2608"/>
          <w:tab w:val="clear" w:pos="3912"/>
        </w:tabs>
        <w:spacing w:after="160" w:line="259" w:lineRule="auto"/>
        <w:jc w:val="both"/>
        <w:rPr>
          <w:color w:val="365F91" w:themeColor="accent1" w:themeShade="BF"/>
        </w:rPr>
      </w:pPr>
      <w:r w:rsidRPr="00CF129B">
        <w:rPr>
          <w:color w:val="365F91" w:themeColor="accent1" w:themeShade="BF"/>
        </w:rPr>
        <w:t xml:space="preserve">Reproducibility: The </w:t>
      </w:r>
      <w:r w:rsidRPr="00CF129B">
        <w:rPr>
          <w:i/>
          <w:color w:val="365F91" w:themeColor="accent1" w:themeShade="BF"/>
        </w:rPr>
        <w:t>ease-of-access</w:t>
      </w:r>
      <w:r w:rsidRPr="00CF129B">
        <w:rPr>
          <w:color w:val="365F91" w:themeColor="accent1" w:themeShade="BF"/>
        </w:rPr>
        <w:t xml:space="preserve"> as exact clones of the immortalized endothelial cells and astrocytes used in the manuscript can be purchased, without restrictions, from international retailers. As opposed to the primary cell culture, they do not require a specific license to be obtained and used.</w:t>
      </w:r>
    </w:p>
    <w:p w14:paraId="7AB54B98" w14:textId="77777777" w:rsidR="00657FD5" w:rsidRPr="00CF129B" w:rsidRDefault="00657FD5" w:rsidP="00657FD5">
      <w:pPr>
        <w:pStyle w:val="Paragraphedeliste"/>
        <w:numPr>
          <w:ilvl w:val="0"/>
          <w:numId w:val="33"/>
        </w:numPr>
        <w:tabs>
          <w:tab w:val="clear" w:pos="1304"/>
          <w:tab w:val="clear" w:pos="2608"/>
          <w:tab w:val="clear" w:pos="3912"/>
        </w:tabs>
        <w:spacing w:after="160" w:line="259" w:lineRule="auto"/>
        <w:jc w:val="both"/>
        <w:rPr>
          <w:color w:val="365F91" w:themeColor="accent1" w:themeShade="BF"/>
        </w:rPr>
      </w:pPr>
      <w:r w:rsidRPr="00CF129B">
        <w:rPr>
          <w:color w:val="365F91" w:themeColor="accent1" w:themeShade="BF"/>
        </w:rPr>
        <w:t xml:space="preserve">The </w:t>
      </w:r>
      <w:r w:rsidRPr="00CF129B">
        <w:rPr>
          <w:i/>
          <w:color w:val="365F91" w:themeColor="accent1" w:themeShade="BF"/>
        </w:rPr>
        <w:t>ease-of-use</w:t>
      </w:r>
      <w:r w:rsidRPr="00CF129B">
        <w:rPr>
          <w:color w:val="365F91" w:themeColor="accent1" w:themeShade="BF"/>
        </w:rPr>
        <w:t xml:space="preserve"> for the general cell maintenance and production. Immortalized cells can proliferate robustly under rigorously controlled conditions, which ensures high scalability and reproducibility. These are important factors to consider when planning large studies (</w:t>
      </w:r>
      <w:r w:rsidRPr="00CF129B">
        <w:rPr>
          <w:i/>
          <w:color w:val="365F91" w:themeColor="accent1" w:themeShade="BF"/>
        </w:rPr>
        <w:t>e.g.</w:t>
      </w:r>
      <w:r w:rsidRPr="00CF129B">
        <w:rPr>
          <w:color w:val="365F91" w:themeColor="accent1" w:themeShade="BF"/>
        </w:rPr>
        <w:t xml:space="preserve"> drug library screening) with a satisfactory number of replicates. </w:t>
      </w:r>
      <w:r w:rsidRPr="00CF129B">
        <w:rPr>
          <w:color w:val="365F91" w:themeColor="accent1" w:themeShade="BF"/>
        </w:rPr>
        <w:lastRenderedPageBreak/>
        <w:t>Moreover, the normalized cell culture conditions have, in our opinion, an important role to play in the intra- and inter-laboratory reproducibility. Despite its undeniable quality as a model, primary cell culture production is submitted to variations related, for instance, to the animal genotype and maintenance (age, gender, strain, housing conditions) or the researcher’s skill for reproducible cell isolation from the cerebral tissue. According to our experience with the isolation of neonatal rat cortical astrocytes or patient glioma and glioma-associated cells, it is very likely that these parameters will influence the final number of isolated cells and their overall quality. While rat and mouse brains are easier to obtain, the generally low yield of endothelial cells from these species represents an obstacle for the routine use of murine endothelial cell models.</w:t>
      </w:r>
    </w:p>
    <w:p w14:paraId="1821F5CA" w14:textId="77777777" w:rsidR="00657FD5" w:rsidRPr="00CF129B" w:rsidRDefault="00657FD5" w:rsidP="00657FD5">
      <w:pPr>
        <w:pStyle w:val="Paragraphedeliste"/>
        <w:numPr>
          <w:ilvl w:val="0"/>
          <w:numId w:val="33"/>
        </w:numPr>
        <w:tabs>
          <w:tab w:val="clear" w:pos="1304"/>
          <w:tab w:val="clear" w:pos="2608"/>
          <w:tab w:val="clear" w:pos="3912"/>
        </w:tabs>
        <w:spacing w:after="160" w:line="259" w:lineRule="auto"/>
        <w:jc w:val="both"/>
        <w:rPr>
          <w:color w:val="365F91" w:themeColor="accent1" w:themeShade="BF"/>
        </w:rPr>
      </w:pPr>
      <w:r w:rsidRPr="00CF129B">
        <w:rPr>
          <w:color w:val="365F91" w:themeColor="accent1" w:themeShade="BF"/>
        </w:rPr>
        <w:t>The significant number of published studies, conducted in independent laboratories is a great source for the understanding of the cell lines.</w:t>
      </w:r>
      <w:r w:rsidRPr="00CF129B">
        <w:rPr>
          <w:i/>
          <w:color w:val="365F91" w:themeColor="accent1" w:themeShade="BF"/>
        </w:rPr>
        <w:t xml:space="preserve">  </w:t>
      </w:r>
      <w:r w:rsidRPr="00CF129B">
        <w:rPr>
          <w:color w:val="365F91" w:themeColor="accent1" w:themeShade="BF"/>
        </w:rPr>
        <w:t xml:space="preserve"> Considering the bEND3 cell line, data on the expression of key receptors and transporters (LRP-1, Glut-1, TFR, etc.), expression profile of tight junction proteins, and permeability values are reported in at least 21 published papers. This has a real value for internal troubleshooting and also for putting one’s results in perspective with the literature.</w:t>
      </w:r>
    </w:p>
    <w:p w14:paraId="69DF0BB0" w14:textId="77777777" w:rsidR="00657FD5" w:rsidRPr="00CF129B" w:rsidRDefault="00657FD5" w:rsidP="00657FD5">
      <w:pPr>
        <w:pStyle w:val="Paragraphedeliste"/>
        <w:ind w:left="1080"/>
        <w:jc w:val="both"/>
      </w:pPr>
    </w:p>
    <w:p w14:paraId="2CD05FD1" w14:textId="6E399236" w:rsidR="00657FD5" w:rsidRDefault="00657FD5" w:rsidP="00657FD5">
      <w:pPr>
        <w:jc w:val="both"/>
        <w:rPr>
          <w:i/>
        </w:rPr>
      </w:pPr>
      <w:r w:rsidRPr="00CF129B">
        <w:t>In order to discuss their finding more in detail, I would suggest to read Helms et al. (2016)(PMID: 26868179). This would give the reader the impression that the methods of this current paper were actually critically discussed</w:t>
      </w:r>
      <w:r w:rsidRPr="00CF129B">
        <w:rPr>
          <w:i/>
        </w:rPr>
        <w:t>.</w:t>
      </w:r>
    </w:p>
    <w:p w14:paraId="31AB05F3" w14:textId="77777777" w:rsidR="007B71E9" w:rsidRPr="00CF129B" w:rsidRDefault="007B71E9" w:rsidP="00657FD5">
      <w:pPr>
        <w:jc w:val="both"/>
        <w:rPr>
          <w:i/>
        </w:rPr>
      </w:pPr>
    </w:p>
    <w:p w14:paraId="50F89896" w14:textId="211A5151" w:rsidR="00657FD5" w:rsidRPr="00CF129B" w:rsidRDefault="00657FD5" w:rsidP="00657FD5">
      <w:pPr>
        <w:jc w:val="both"/>
        <w:rPr>
          <w:color w:val="365F91" w:themeColor="accent1" w:themeShade="BF"/>
        </w:rPr>
      </w:pPr>
      <w:r w:rsidRPr="00CF129B">
        <w:rPr>
          <w:color w:val="365F91" w:themeColor="accent1" w:themeShade="BF"/>
        </w:rPr>
        <w:t xml:space="preserve">Concerning the choice of the bEND3 cell line, we share the Deli, Brodin and Shusta labs’ opinion on the fact that used alone, as a monoculture, bEND3 represents a very limited model of cellular barrier, especially for studies focusing on the BBB. However, this is also true for any model based on monocultures of brain endothelial cells, primary or immortalized. In the review paper by Helms </w:t>
      </w:r>
      <w:r w:rsidRPr="00CF129B">
        <w:rPr>
          <w:i/>
          <w:color w:val="365F91" w:themeColor="accent1" w:themeShade="BF"/>
        </w:rPr>
        <w:t>et al.</w:t>
      </w:r>
      <w:r w:rsidRPr="00CF129B">
        <w:rPr>
          <w:color w:val="365F91" w:themeColor="accent1" w:themeShade="BF"/>
        </w:rPr>
        <w:t xml:space="preserve"> , comparison is made using the two other well-known murine brain endothelial cell lines, cEND and cereBEND. Despite their undeniable qualities such as higher TEER values compared to the bEND3 when mono-cultured in Transwells, they both are immortalized cell lines that, with inadequate care, can grow in layers similar to the bEND3 line (illustrated by the micrographs of highly confluent, early cell passages in Burek, Salvador and Förster, 2012, PMID 22951995). Moreover, it has been shown that cereBEND cells display increased barrier performance when co-cultured with rat gli</w:t>
      </w:r>
      <w:r w:rsidR="00883C3F">
        <w:rPr>
          <w:color w:val="365F91" w:themeColor="accent1" w:themeShade="BF"/>
        </w:rPr>
        <w:t>al</w:t>
      </w:r>
      <w:r w:rsidRPr="00CF129B">
        <w:rPr>
          <w:color w:val="365F91" w:themeColor="accent1" w:themeShade="BF"/>
        </w:rPr>
        <w:t xml:space="preserve"> cells</w:t>
      </w:r>
      <w:r w:rsidR="00F25E4E">
        <w:rPr>
          <w:color w:val="365F91" w:themeColor="accent1" w:themeShade="BF"/>
        </w:rPr>
        <w:t xml:space="preserve"> (the C6 glioma cell line)</w:t>
      </w:r>
      <w:r w:rsidRPr="00CF129B">
        <w:rPr>
          <w:color w:val="365F91" w:themeColor="accent1" w:themeShade="BF"/>
        </w:rPr>
        <w:t xml:space="preserve">, measured by higher TEER compared to the cereBEND monocultures (Neuhaus </w:t>
      </w:r>
      <w:r w:rsidRPr="00CF129B">
        <w:rPr>
          <w:i/>
          <w:color w:val="365F91" w:themeColor="accent1" w:themeShade="BF"/>
        </w:rPr>
        <w:t xml:space="preserve">et al. </w:t>
      </w:r>
      <w:r w:rsidRPr="00CF129B">
        <w:rPr>
          <w:color w:val="365F91" w:themeColor="accent1" w:themeShade="BF"/>
        </w:rPr>
        <w:t xml:space="preserve">2015 PMID 25389390). Our data show a very comparable trend with the bEND3 cells, and similar to results shown in Neuhaus et al., support the global consensus that the presence of astrocytes is quintessential to the endothelial cell polarization and barrier formation </w:t>
      </w:r>
      <w:r w:rsidRPr="00CF129B">
        <w:rPr>
          <w:i/>
          <w:color w:val="365F91" w:themeColor="accent1" w:themeShade="BF"/>
        </w:rPr>
        <w:t>in vitro</w:t>
      </w:r>
      <w:r w:rsidRPr="00CF129B">
        <w:rPr>
          <w:color w:val="365F91" w:themeColor="accent1" w:themeShade="BF"/>
        </w:rPr>
        <w:t>.</w:t>
      </w:r>
    </w:p>
    <w:p w14:paraId="6C028D27" w14:textId="1635B53A" w:rsidR="00657FD5" w:rsidRDefault="00657FD5" w:rsidP="00657FD5">
      <w:pPr>
        <w:jc w:val="both"/>
        <w:rPr>
          <w:color w:val="365F91" w:themeColor="accent1" w:themeShade="BF"/>
        </w:rPr>
      </w:pPr>
      <w:r w:rsidRPr="00CF129B">
        <w:rPr>
          <w:color w:val="365F91" w:themeColor="accent1" w:themeShade="BF"/>
        </w:rPr>
        <w:t xml:space="preserve">Obviously, use of bEND3 or any other cerebral endothelial cell line should be first guided by the scientific question. Expression of key receptors and proteins by cerebral endothelial cells (or any other cells) </w:t>
      </w:r>
      <w:r w:rsidRPr="00CF129B">
        <w:rPr>
          <w:i/>
          <w:color w:val="365F91" w:themeColor="accent1" w:themeShade="BF"/>
        </w:rPr>
        <w:t xml:space="preserve">in vivo </w:t>
      </w:r>
      <w:r w:rsidRPr="00CF129B">
        <w:rPr>
          <w:color w:val="365F91" w:themeColor="accent1" w:themeShade="BF"/>
        </w:rPr>
        <w:t xml:space="preserve">might not be maintained </w:t>
      </w:r>
      <w:r w:rsidRPr="00CF129B">
        <w:rPr>
          <w:i/>
          <w:color w:val="365F91" w:themeColor="accent1" w:themeShade="BF"/>
        </w:rPr>
        <w:t>in vitro</w:t>
      </w:r>
      <w:r w:rsidRPr="00CF129B">
        <w:rPr>
          <w:color w:val="365F91" w:themeColor="accent1" w:themeShade="BF"/>
        </w:rPr>
        <w:t>, regardless of the primary or immortalized status of the cells. It is at the researcher’s discretion to control these parameters beforehand. In fact, even recently, bEND3 barriers have been used in studies of membrane receptor-mediated endothelial permeability (Cao et al., 2019 PMID 30290210).</w:t>
      </w:r>
    </w:p>
    <w:p w14:paraId="25762207" w14:textId="77777777" w:rsidR="007B71E9" w:rsidRPr="00CF129B" w:rsidRDefault="007B71E9" w:rsidP="00657FD5">
      <w:pPr>
        <w:jc w:val="both"/>
        <w:rPr>
          <w:color w:val="365F91" w:themeColor="accent1" w:themeShade="BF"/>
        </w:rPr>
      </w:pPr>
    </w:p>
    <w:p w14:paraId="38EE0921" w14:textId="090FF726" w:rsidR="00657FD5" w:rsidRDefault="00657FD5" w:rsidP="00657FD5">
      <w:pPr>
        <w:jc w:val="both"/>
      </w:pPr>
      <w:r w:rsidRPr="00CF129B">
        <w:t xml:space="preserve">2. Figure 1: Both the ZO-1 and Claudin-5 stainings look really messy, and do not at all resemble a proper in vitro BBB, as we know it from models derived from primary cells. Furthermore, there are clearly big gaps in the monolayer. What are the authors' comments to these issues? Do they believe that they have a good model of the BBB? </w:t>
      </w:r>
    </w:p>
    <w:p w14:paraId="4489254D" w14:textId="77777777" w:rsidR="007B71E9" w:rsidRPr="00CF129B" w:rsidRDefault="007B71E9" w:rsidP="00657FD5">
      <w:pPr>
        <w:jc w:val="both"/>
      </w:pPr>
    </w:p>
    <w:p w14:paraId="1EE1097D" w14:textId="77777777" w:rsidR="00657FD5" w:rsidRPr="00CF129B" w:rsidRDefault="00657FD5" w:rsidP="00657FD5">
      <w:pPr>
        <w:jc w:val="both"/>
        <w:rPr>
          <w:color w:val="365F91" w:themeColor="accent1" w:themeShade="BF"/>
        </w:rPr>
      </w:pPr>
      <w:r w:rsidRPr="00CF129B">
        <w:rPr>
          <w:color w:val="365F91" w:themeColor="accent1" w:themeShade="BF"/>
        </w:rPr>
        <w:t xml:space="preserve">It is not clear to us what the reviewer refers to by “really messy”. If it concerns the micrographs in the left column, it shows the typical distribution of ZO-1 and Claudin-5 proteins in the bEND3 </w:t>
      </w:r>
      <w:r w:rsidRPr="00CF129B">
        <w:rPr>
          <w:color w:val="365F91" w:themeColor="accent1" w:themeShade="BF"/>
        </w:rPr>
        <w:lastRenderedPageBreak/>
        <w:t xml:space="preserve">monocultures. In the absence of astrocytes, these two proteins are poorly distributed and mostly absent from the cell membrane junctions, as illustrated in many previously published studies, we would kindly refer the reviewer to e.g. Brown </w:t>
      </w:r>
      <w:r w:rsidRPr="00CF129B">
        <w:rPr>
          <w:i/>
          <w:color w:val="365F91" w:themeColor="accent1" w:themeShade="BF"/>
        </w:rPr>
        <w:t>et al.</w:t>
      </w:r>
      <w:r w:rsidRPr="00CF129B">
        <w:rPr>
          <w:color w:val="365F91" w:themeColor="accent1" w:themeShade="BF"/>
        </w:rPr>
        <w:t xml:space="preserve">, 2007 (PMID 17169347) or Yang </w:t>
      </w:r>
      <w:r w:rsidRPr="00CF129B">
        <w:rPr>
          <w:i/>
          <w:color w:val="365F91" w:themeColor="accent1" w:themeShade="BF"/>
        </w:rPr>
        <w:t>et al.</w:t>
      </w:r>
      <w:r w:rsidRPr="00CF129B">
        <w:rPr>
          <w:color w:val="365F91" w:themeColor="accent1" w:themeShade="BF"/>
        </w:rPr>
        <w:t>, 2017 (PMID 29059256).</w:t>
      </w:r>
    </w:p>
    <w:p w14:paraId="3A35B35D" w14:textId="77777777" w:rsidR="00657FD5" w:rsidRPr="00CF129B" w:rsidRDefault="00657FD5" w:rsidP="00657FD5">
      <w:pPr>
        <w:jc w:val="both"/>
        <w:rPr>
          <w:color w:val="365F91" w:themeColor="accent1" w:themeShade="BF"/>
        </w:rPr>
      </w:pPr>
      <w:r w:rsidRPr="00CF129B">
        <w:rPr>
          <w:color w:val="365F91" w:themeColor="accent1" w:themeShade="BF"/>
        </w:rPr>
        <w:t xml:space="preserve">However, if “really messy” qualifies for the micrographs presented in the right column, our data is fully comparable with the staining pattern described for instance in the recent publications from the Shusta lab (PMIDs </w:t>
      </w:r>
      <w:bookmarkStart w:id="1" w:name="_Hlk534356500"/>
      <w:r w:rsidRPr="00CF129B">
        <w:rPr>
          <w:color w:val="365F91" w:themeColor="accent1" w:themeShade="BF"/>
        </w:rPr>
        <w:t xml:space="preserve">26518252,  27935037) </w:t>
      </w:r>
      <w:bookmarkEnd w:id="1"/>
      <w:r w:rsidRPr="00CF129B">
        <w:rPr>
          <w:color w:val="365F91" w:themeColor="accent1" w:themeShade="BF"/>
        </w:rPr>
        <w:t xml:space="preserve">obtained in one of the </w:t>
      </w:r>
      <w:r w:rsidRPr="00CF129B">
        <w:rPr>
          <w:i/>
          <w:color w:val="365F91" w:themeColor="accent1" w:themeShade="BF"/>
        </w:rPr>
        <w:t xml:space="preserve">in vitro </w:t>
      </w:r>
      <w:r w:rsidRPr="00CF129B">
        <w:rPr>
          <w:color w:val="365F91" w:themeColor="accent1" w:themeShade="BF"/>
        </w:rPr>
        <w:t>models that is referred to as a reference of a proper BBB.</w:t>
      </w:r>
    </w:p>
    <w:p w14:paraId="7E60725A" w14:textId="77777777" w:rsidR="002751D4" w:rsidRDefault="00657FD5" w:rsidP="00657FD5">
      <w:pPr>
        <w:jc w:val="both"/>
        <w:rPr>
          <w:color w:val="365F91" w:themeColor="accent1" w:themeShade="BF"/>
        </w:rPr>
      </w:pPr>
      <w:r w:rsidRPr="00CF129B">
        <w:rPr>
          <w:color w:val="365F91" w:themeColor="accent1" w:themeShade="BF"/>
        </w:rPr>
        <w:t xml:space="preserve">There are indeed big gaps in our immunofluorescence samples, essentially due to the fixation method and the membrane cutting step that inevitably exerts a physical stress on the barrier. Replacing 4% PFA with ice cold, 1:1 Acetone/Methanol solution greatly diminishes the number of gaps but is unfortunately incompatible with the ZO-1 and Claudin-5 immunofluorescence protocols. Moreover, eosin and hematoxylin stains of Acetone/methanol fixed </w:t>
      </w:r>
      <w:r w:rsidR="002751D4">
        <w:rPr>
          <w:color w:val="365F91" w:themeColor="accent1" w:themeShade="BF"/>
        </w:rPr>
        <w:t xml:space="preserve">cells </w:t>
      </w:r>
      <w:r w:rsidR="00107D1F">
        <w:rPr>
          <w:color w:val="365F91" w:themeColor="accent1" w:themeShade="BF"/>
        </w:rPr>
        <w:t>on</w:t>
      </w:r>
      <w:r w:rsidRPr="00CF129B">
        <w:rPr>
          <w:color w:val="365F91" w:themeColor="accent1" w:themeShade="BF"/>
        </w:rPr>
        <w:t xml:space="preserve"> uncut membranes reveals a continuous cell layer on the endothelial side of the Transwells. </w:t>
      </w:r>
    </w:p>
    <w:p w14:paraId="392EBE0B" w14:textId="606ADB00" w:rsidR="00657FD5" w:rsidRDefault="00657FD5" w:rsidP="00657FD5">
      <w:pPr>
        <w:jc w:val="both"/>
        <w:rPr>
          <w:color w:val="365F91" w:themeColor="accent1" w:themeShade="BF"/>
        </w:rPr>
      </w:pPr>
      <w:r w:rsidRPr="00CF129B">
        <w:rPr>
          <w:color w:val="365F91" w:themeColor="accent1" w:themeShade="BF"/>
        </w:rPr>
        <w:t>In summary, we think that our model represents a convincing barrier as the permeability values obtained with the passive diffusion of the Sodium Fluorescein are rather low and shows the actual raw performance of the model.</w:t>
      </w:r>
    </w:p>
    <w:p w14:paraId="79D6F2EE" w14:textId="77777777" w:rsidR="007B71E9" w:rsidRPr="00CF129B" w:rsidRDefault="007B71E9" w:rsidP="00657FD5">
      <w:pPr>
        <w:jc w:val="both"/>
      </w:pPr>
    </w:p>
    <w:p w14:paraId="513D7BDE" w14:textId="5C68D329" w:rsidR="00657FD5" w:rsidRDefault="00657FD5" w:rsidP="00657FD5">
      <w:pPr>
        <w:jc w:val="both"/>
      </w:pPr>
      <w:r w:rsidRPr="00CF129B">
        <w:t>And for the same figure: Why also use immortalized astrocytes? It is a good ten years since this setup was deemed a realistic representation of the BBB.</w:t>
      </w:r>
    </w:p>
    <w:p w14:paraId="3C79C414" w14:textId="77777777" w:rsidR="007B71E9" w:rsidRPr="00CF129B" w:rsidRDefault="007B71E9" w:rsidP="00657FD5">
      <w:pPr>
        <w:jc w:val="both"/>
      </w:pPr>
    </w:p>
    <w:p w14:paraId="3EC5E59D" w14:textId="46329DCE" w:rsidR="00657FD5" w:rsidRDefault="00657FD5" w:rsidP="00657FD5">
      <w:pPr>
        <w:jc w:val="both"/>
        <w:rPr>
          <w:color w:val="365F91" w:themeColor="accent1" w:themeShade="BF"/>
        </w:rPr>
      </w:pPr>
      <w:r w:rsidRPr="00CF129B">
        <w:rPr>
          <w:color w:val="365F91" w:themeColor="accent1" w:themeShade="BF"/>
        </w:rPr>
        <w:t>During the development and validation of the presented model, we tested several co-cultures of cells including mouse primary cortical astrocytes (isolated according to the protocol described in PMID 16942596) and Normal Human Astrocytes from Lonza (Catalog #: CC-2565). We eventually decided to benchmark the immortalized counterparts of these cells that actually showed equal to better performance in the case of the murine HIFko model generated according to the protocol described by Blouw et al., 2002 (ref. 17 in the manuscript). In addition, commercially available normal non-immortalized human astrocytes were used in the humanized model.</w:t>
      </w:r>
    </w:p>
    <w:p w14:paraId="1EDCBFBB" w14:textId="77777777" w:rsidR="007B71E9" w:rsidRPr="00CF129B" w:rsidRDefault="007B71E9" w:rsidP="00657FD5">
      <w:pPr>
        <w:jc w:val="both"/>
        <w:rPr>
          <w:color w:val="365F91" w:themeColor="accent1" w:themeShade="BF"/>
        </w:rPr>
      </w:pPr>
    </w:p>
    <w:p w14:paraId="49069C70" w14:textId="26641A98" w:rsidR="00657FD5" w:rsidRDefault="00657FD5" w:rsidP="00657FD5">
      <w:pPr>
        <w:jc w:val="both"/>
      </w:pPr>
      <w:r w:rsidRPr="00CF129B">
        <w:t xml:space="preserve">3. I have done a lot of intravenous injection of fluorescent nanoparticles, and tried to follow their transport into the brain parenchyma with microscopy. However, this was never succesful due to processing artifacts. I presume the brains of this study were PFA fixated, and if so, it is a common observation to find fluorescent dots dispersed in the brain parenchyma. This is an artifact, not transport of the nanoparticles. Furthermore, the best assessments we have on the pore size of the neuropil suggest the maximum to be approximately 60 nm (Thorne 2006, PNAS). How can the nanoparticles of this paper then easily move in the brain parenchyma? </w:t>
      </w:r>
    </w:p>
    <w:p w14:paraId="695CFF33" w14:textId="77777777" w:rsidR="007B71E9" w:rsidRPr="00CF129B" w:rsidRDefault="007B71E9" w:rsidP="00657FD5">
      <w:pPr>
        <w:jc w:val="both"/>
      </w:pPr>
    </w:p>
    <w:p w14:paraId="1DAC5DD0" w14:textId="77777777" w:rsidR="00657FD5" w:rsidRPr="00CF129B" w:rsidRDefault="00657FD5" w:rsidP="00657FD5">
      <w:pPr>
        <w:jc w:val="both"/>
        <w:rPr>
          <w:color w:val="365F91" w:themeColor="accent1" w:themeShade="BF"/>
        </w:rPr>
      </w:pPr>
      <w:r w:rsidRPr="00CF129B">
        <w:rPr>
          <w:color w:val="365F91" w:themeColor="accent1" w:themeShade="BF"/>
        </w:rPr>
        <w:t>We would like to thank the reviewer for pointing out the potential experimental artefacts that could be introduced due to fixation methods, we have now revised the Protocol part of the manuscript with additional information to clarify our tissue processing methodology. These informations can be found from the lines to 358 to 426,</w:t>
      </w:r>
      <w:r w:rsidRPr="00CF129B">
        <w:t xml:space="preserve"> </w:t>
      </w:r>
      <w:r w:rsidRPr="00CF129B">
        <w:rPr>
          <w:color w:val="365F91" w:themeColor="accent1" w:themeShade="BF"/>
        </w:rPr>
        <w:t>section 3.3 “Mouse brain tissue processing for the detection of fluorescent nanoparticles”.</w:t>
      </w:r>
    </w:p>
    <w:p w14:paraId="7897C854" w14:textId="77777777" w:rsidR="00657FD5" w:rsidRPr="00CF129B" w:rsidRDefault="00657FD5" w:rsidP="00657FD5">
      <w:pPr>
        <w:jc w:val="both"/>
        <w:rPr>
          <w:color w:val="365F91" w:themeColor="accent1" w:themeShade="BF"/>
        </w:rPr>
      </w:pPr>
      <w:r w:rsidRPr="00CF129B">
        <w:rPr>
          <w:color w:val="365F91" w:themeColor="accent1" w:themeShade="BF"/>
        </w:rPr>
        <w:t xml:space="preserve">To summarize, we do not perform PFA fixation of the animals or the collected tissue, instead we rapidly collect the brain and snap-freeze it in -50°C isopentane, known to also “bleach” fluorescent proteins such as the GFP or diminish the autofluorescence from the tissue in general. Frozen brain sections are then cut, and microscope slides are immersed in 4% PFA for 5 to 10 minutes according to the tissue section thickness, before proceeding with the immunofluorescence stainings. </w:t>
      </w:r>
    </w:p>
    <w:p w14:paraId="71ED4190" w14:textId="77777777" w:rsidR="00657FD5" w:rsidRPr="00CF129B" w:rsidRDefault="00657FD5" w:rsidP="00657FD5">
      <w:pPr>
        <w:jc w:val="both"/>
        <w:rPr>
          <w:color w:val="365F91" w:themeColor="accent1" w:themeShade="BF"/>
        </w:rPr>
      </w:pPr>
      <w:r w:rsidRPr="00CF129B">
        <w:rPr>
          <w:color w:val="365F91" w:themeColor="accent1" w:themeShade="BF"/>
        </w:rPr>
        <w:t>Processed the same way, control animals bearing tumors that did not receive intravenous infusions of the nanoparticles, exhibit absence of artefacts or background autofluorescence in the red-range wavelengths. We are therefore sure that the detected puncta are related to the nanoparticle-conjugated fluorophore.</w:t>
      </w:r>
    </w:p>
    <w:p w14:paraId="35F925AD" w14:textId="731E824E" w:rsidR="00657FD5" w:rsidRPr="00CF129B" w:rsidRDefault="00657FD5" w:rsidP="00657FD5">
      <w:pPr>
        <w:jc w:val="both"/>
        <w:rPr>
          <w:color w:val="365F91" w:themeColor="accent1" w:themeShade="BF"/>
        </w:rPr>
      </w:pPr>
      <w:r w:rsidRPr="00CF129B">
        <w:rPr>
          <w:color w:val="365F91" w:themeColor="accent1" w:themeShade="BF"/>
        </w:rPr>
        <w:lastRenderedPageBreak/>
        <w:t xml:space="preserve">The size of the cerebral intercellular space significantly varies among species and considered brain area, notably due to variations in the astrocyte density for instance. As discussed more recently by Harris et al. (2015, PMID 26347348) in the technical validation part of their manuscript, post-mortem measurements of the neuropil size suffer from the brain tissue fixation and processing. They induce for instance a significant swelling of the astrocytic processes in addition to a size diminution by dehydration of the intercellular space. Reported values in the literature are then complex to translate into the actual </w:t>
      </w:r>
      <w:r w:rsidRPr="00CF129B">
        <w:rPr>
          <w:i/>
          <w:color w:val="365F91" w:themeColor="accent1" w:themeShade="BF"/>
        </w:rPr>
        <w:t xml:space="preserve">in vivo </w:t>
      </w:r>
      <w:r w:rsidRPr="00CF129B">
        <w:rPr>
          <w:color w:val="365F91" w:themeColor="accent1" w:themeShade="BF"/>
        </w:rPr>
        <w:t xml:space="preserve">situation, but few studies are reporting pores possibly larger than 200 nm in </w:t>
      </w:r>
      <w:r w:rsidR="00E4767A">
        <w:rPr>
          <w:color w:val="365F91" w:themeColor="accent1" w:themeShade="BF"/>
        </w:rPr>
        <w:t xml:space="preserve">fresh samples </w:t>
      </w:r>
      <w:r w:rsidR="00261508" w:rsidRPr="00CF129B">
        <w:rPr>
          <w:color w:val="365F91" w:themeColor="accent1" w:themeShade="BF"/>
        </w:rPr>
        <w:t xml:space="preserve">both </w:t>
      </w:r>
      <w:r w:rsidR="00E4767A">
        <w:rPr>
          <w:color w:val="365F91" w:themeColor="accent1" w:themeShade="BF"/>
        </w:rPr>
        <w:t xml:space="preserve">from </w:t>
      </w:r>
      <w:r w:rsidRPr="00CF129B">
        <w:rPr>
          <w:color w:val="365F91" w:themeColor="accent1" w:themeShade="BF"/>
        </w:rPr>
        <w:t>the human and mouse brains (PMID 22932224).</w:t>
      </w:r>
    </w:p>
    <w:p w14:paraId="32273B22" w14:textId="77777777" w:rsidR="00657FD5" w:rsidRPr="00CF129B" w:rsidRDefault="00657FD5" w:rsidP="00657FD5">
      <w:pPr>
        <w:jc w:val="both"/>
        <w:rPr>
          <w:color w:val="365F91" w:themeColor="accent1" w:themeShade="BF"/>
        </w:rPr>
      </w:pPr>
      <w:r w:rsidRPr="00CF129B">
        <w:rPr>
          <w:color w:val="365F91" w:themeColor="accent1" w:themeShade="BF"/>
        </w:rPr>
        <w:t xml:space="preserve">Nanoparticles are not “moving” in the brain </w:t>
      </w:r>
      <w:r w:rsidRPr="00CF129B">
        <w:rPr>
          <w:i/>
          <w:color w:val="365F91" w:themeColor="accent1" w:themeShade="BF"/>
        </w:rPr>
        <w:t>per se</w:t>
      </w:r>
      <w:r w:rsidRPr="00CF129B">
        <w:rPr>
          <w:color w:val="365F91" w:themeColor="accent1" w:themeShade="BF"/>
        </w:rPr>
        <w:t>. PEG residues enhance the transcytosis through the neurovascular unit and possibly the CooP-targeting peptide may act like a cell penetrating peptide (a mechanism we further elaborate in the answer to Q6). Once the nanoparticles reach the brain parenchyma, they are transferred from cell to cell on a relatively limited distance that varies according to the brain structure. However, we show that the nanoparticles accumulate especially around the xenografted gliomas due to the high MDGI expression by the tumor cells at the leading edge. This is allowed both by the functional blood vessel capillaries located in the brain parenchyma surrounding the neoplastic region and the very high MDGI expression by the fleet of invading tumor cells leaving the tumor bulk. Please refer to our answer to Q6 for further information about this biological aspect. In addition, a brief description of how CooP allows the nanoparticle targeting have been added to the Discussion (from the Line 664 to 678).</w:t>
      </w:r>
    </w:p>
    <w:p w14:paraId="261466AA" w14:textId="15B41EE3" w:rsidR="00657FD5" w:rsidRDefault="00657FD5" w:rsidP="00657FD5">
      <w:pPr>
        <w:jc w:val="both"/>
        <w:rPr>
          <w:color w:val="365F91" w:themeColor="accent1" w:themeShade="BF"/>
        </w:rPr>
      </w:pPr>
      <w:r w:rsidRPr="00CF129B">
        <w:rPr>
          <w:i/>
          <w:color w:val="365F91" w:themeColor="accent1" w:themeShade="BF"/>
        </w:rPr>
        <w:t xml:space="preserve">In vitro </w:t>
      </w:r>
      <w:r w:rsidRPr="00CF129B">
        <w:rPr>
          <w:color w:val="365F91" w:themeColor="accent1" w:themeShade="BF"/>
        </w:rPr>
        <w:t xml:space="preserve">observations in the artificial BBB shows membrane pits and vesicle formation around the particles (Figure 3A, arrows) in both endothelial and astrocyte cells. The endocytosis is the transcellular transportation mechanism that most likely occurs </w:t>
      </w:r>
      <w:r w:rsidRPr="00CF129B">
        <w:rPr>
          <w:i/>
          <w:color w:val="365F91" w:themeColor="accent1" w:themeShade="BF"/>
        </w:rPr>
        <w:t>in vivo</w:t>
      </w:r>
      <w:r w:rsidRPr="00CF129B">
        <w:rPr>
          <w:color w:val="365F91" w:themeColor="accent1" w:themeShade="BF"/>
        </w:rPr>
        <w:t>.</w:t>
      </w:r>
    </w:p>
    <w:p w14:paraId="3A11958D" w14:textId="77777777" w:rsidR="007B71E9" w:rsidRPr="00CF129B" w:rsidRDefault="007B71E9" w:rsidP="00657FD5">
      <w:pPr>
        <w:jc w:val="both"/>
        <w:rPr>
          <w:color w:val="365F91" w:themeColor="accent1" w:themeShade="BF"/>
        </w:rPr>
      </w:pPr>
    </w:p>
    <w:p w14:paraId="77B33D07" w14:textId="2FB73A65" w:rsidR="00657FD5" w:rsidRDefault="00657FD5" w:rsidP="00657FD5">
      <w:pPr>
        <w:jc w:val="both"/>
      </w:pPr>
      <w:r w:rsidRPr="00CF129B">
        <w:t xml:space="preserve">4. There are no descriptions of how the nanoparticles were produced. The authors claim them to have targeting abilities towards the tumor cells, but what would have then been the driver of the transcytosis process? Non-targeted nanoparticles DO NOT associate with the BBB unless they have a high positive charge. Please clarify the characteristics of the nanoparticles. </w:t>
      </w:r>
    </w:p>
    <w:p w14:paraId="2347F9A1" w14:textId="77777777" w:rsidR="007B71E9" w:rsidRPr="00CF129B" w:rsidRDefault="007B71E9" w:rsidP="00657FD5">
      <w:pPr>
        <w:jc w:val="both"/>
      </w:pPr>
    </w:p>
    <w:p w14:paraId="32393B5E" w14:textId="0FF8F8B2" w:rsidR="00657FD5" w:rsidRPr="00CF129B" w:rsidRDefault="00657FD5" w:rsidP="00657FD5">
      <w:pPr>
        <w:jc w:val="both"/>
        <w:rPr>
          <w:color w:val="365F91" w:themeColor="accent1" w:themeShade="BF"/>
        </w:rPr>
      </w:pPr>
      <w:r w:rsidRPr="00CF129B">
        <w:rPr>
          <w:color w:val="365F91" w:themeColor="accent1" w:themeShade="BF"/>
        </w:rPr>
        <w:t xml:space="preserve">Description of the nanoparticle nature, production, and functionalization </w:t>
      </w:r>
      <w:r w:rsidR="001138DA">
        <w:rPr>
          <w:color w:val="365F91" w:themeColor="accent1" w:themeShade="BF"/>
        </w:rPr>
        <w:t>was</w:t>
      </w:r>
      <w:r w:rsidRPr="00CF129B">
        <w:rPr>
          <w:color w:val="365F91" w:themeColor="accent1" w:themeShade="BF"/>
        </w:rPr>
        <w:t xml:space="preserve"> presented in the ref. 25 (Paatero et al, 2017 PMID 28827674</w:t>
      </w:r>
      <w:r w:rsidR="001138DA">
        <w:rPr>
          <w:color w:val="365F91" w:themeColor="accent1" w:themeShade="BF"/>
        </w:rPr>
        <w:t>, now ref. 33</w:t>
      </w:r>
      <w:r w:rsidRPr="00CF129B">
        <w:rPr>
          <w:color w:val="365F91" w:themeColor="accent1" w:themeShade="BF"/>
        </w:rPr>
        <w:t xml:space="preserve">). We have now added information and references on the cell internalization (PMID </w:t>
      </w:r>
      <w:bookmarkStart w:id="2" w:name="_Hlk534358308"/>
      <w:r w:rsidRPr="00CF129B">
        <w:rPr>
          <w:color w:val="365F91" w:themeColor="accent1" w:themeShade="BF"/>
        </w:rPr>
        <w:t>27994460</w:t>
      </w:r>
      <w:bookmarkEnd w:id="2"/>
      <w:r w:rsidRPr="00CF129B">
        <w:rPr>
          <w:color w:val="365F91" w:themeColor="accent1" w:themeShade="BF"/>
        </w:rPr>
        <w:t xml:space="preserve">) and intravital imaging data of the BBB diffusion (PMID </w:t>
      </w:r>
      <w:bookmarkStart w:id="3" w:name="_Hlk534359155"/>
      <w:r w:rsidRPr="00CF129B">
        <w:rPr>
          <w:color w:val="365F91" w:themeColor="accent1" w:themeShade="BF"/>
        </w:rPr>
        <w:t>27547955</w:t>
      </w:r>
      <w:bookmarkEnd w:id="3"/>
      <w:r w:rsidRPr="00CF129B">
        <w:rPr>
          <w:color w:val="365F91" w:themeColor="accent1" w:themeShade="BF"/>
        </w:rPr>
        <w:t xml:space="preserve">) to the revised manuscript. You can find these modifications in the Discussion, from the Line 664 to 678 </w:t>
      </w:r>
    </w:p>
    <w:p w14:paraId="58A74882" w14:textId="7A546C8A" w:rsidR="00657FD5" w:rsidRDefault="00657FD5" w:rsidP="00657FD5">
      <w:pPr>
        <w:jc w:val="both"/>
        <w:rPr>
          <w:color w:val="365F91" w:themeColor="accent1" w:themeShade="BF"/>
        </w:rPr>
      </w:pPr>
      <w:r w:rsidRPr="00CF129B">
        <w:rPr>
          <w:color w:val="365F91" w:themeColor="accent1" w:themeShade="BF"/>
        </w:rPr>
        <w:t>Nanoparticles exhibit external polyethylene glycol residues to keep positive zeta potential value (at least around +4.2 mV), which increase</w:t>
      </w:r>
      <w:r w:rsidR="001B6CA9">
        <w:rPr>
          <w:color w:val="365F91" w:themeColor="accent1" w:themeShade="BF"/>
        </w:rPr>
        <w:t>s</w:t>
      </w:r>
      <w:r w:rsidRPr="00CF129B">
        <w:rPr>
          <w:color w:val="365F91" w:themeColor="accent1" w:themeShade="BF"/>
        </w:rPr>
        <w:t xml:space="preserve"> the nanoparticle interaction with the neurovascular unit, transcytosis and further brain diffusion (PMID </w:t>
      </w:r>
      <w:bookmarkStart w:id="4" w:name="_Hlk534359272"/>
      <w:r w:rsidRPr="00CF129B">
        <w:rPr>
          <w:color w:val="365F91" w:themeColor="accent1" w:themeShade="BF"/>
        </w:rPr>
        <w:t>22932224</w:t>
      </w:r>
      <w:bookmarkEnd w:id="4"/>
      <w:r w:rsidRPr="00CF129B">
        <w:rPr>
          <w:color w:val="365F91" w:themeColor="accent1" w:themeShade="BF"/>
        </w:rPr>
        <w:t>). This information has been added in the revised Discussion (Line 664 to 678).</w:t>
      </w:r>
    </w:p>
    <w:p w14:paraId="3C452858" w14:textId="77777777" w:rsidR="007B71E9" w:rsidRPr="00CF129B" w:rsidRDefault="007B71E9" w:rsidP="00657FD5">
      <w:pPr>
        <w:jc w:val="both"/>
        <w:rPr>
          <w:color w:val="365F91" w:themeColor="accent1" w:themeShade="BF"/>
        </w:rPr>
      </w:pPr>
    </w:p>
    <w:p w14:paraId="24958862" w14:textId="0CDCF62A" w:rsidR="00657FD5" w:rsidRDefault="00657FD5" w:rsidP="00657FD5">
      <w:pPr>
        <w:jc w:val="both"/>
      </w:pPr>
      <w:r w:rsidRPr="00CF129B">
        <w:t>5. Nanoparticles of 100 nm are not small, they are huge. And from an intracellular sorting point-of-view, they are enormous and would likely distort the normal transport mechanisms. Please remove the distinction between small and large, they are both large.</w:t>
      </w:r>
    </w:p>
    <w:p w14:paraId="13DC5BB0" w14:textId="77777777" w:rsidR="007B71E9" w:rsidRPr="00CF129B" w:rsidRDefault="007B71E9" w:rsidP="00657FD5">
      <w:pPr>
        <w:jc w:val="both"/>
      </w:pPr>
    </w:p>
    <w:p w14:paraId="179DD352" w14:textId="44298299" w:rsidR="00657FD5" w:rsidRDefault="00657FD5" w:rsidP="00657FD5">
      <w:pPr>
        <w:jc w:val="both"/>
        <w:rPr>
          <w:color w:val="365F91" w:themeColor="accent1" w:themeShade="BF"/>
        </w:rPr>
      </w:pPr>
      <w:r w:rsidRPr="00CF129B">
        <w:rPr>
          <w:color w:val="365F91" w:themeColor="accent1" w:themeShade="BF"/>
        </w:rPr>
        <w:t>We have now modified the name of the nanoparticles to NP110 and NP350 in reference to their actual size as per the reviewer’s suggestion.</w:t>
      </w:r>
    </w:p>
    <w:p w14:paraId="0783FE21" w14:textId="77777777" w:rsidR="007B71E9" w:rsidRPr="00CF129B" w:rsidRDefault="007B71E9" w:rsidP="00657FD5">
      <w:pPr>
        <w:jc w:val="both"/>
        <w:rPr>
          <w:color w:val="365F91" w:themeColor="accent1" w:themeShade="BF"/>
        </w:rPr>
      </w:pPr>
    </w:p>
    <w:p w14:paraId="1CC0C1B7" w14:textId="72BA5E03" w:rsidR="00657FD5" w:rsidRDefault="00657FD5" w:rsidP="00657FD5">
      <w:pPr>
        <w:jc w:val="both"/>
      </w:pPr>
      <w:r w:rsidRPr="00CF129B">
        <w:t>6. The authors describe how the patient spheres most often reduce the BBB integrity. And in their in vivo data with the nanoparticles, it may likely be that the transport is happening due to a compromised BBB - of course when corrected for potential artifacts (see above). However, we know from clinical data that the areas of leakage (if any) are small and heterogeneously dispersed across the GBM tumor. With this in mind, is the model presented in this paper a good representation of the clinical situation?</w:t>
      </w:r>
    </w:p>
    <w:p w14:paraId="72B5886E" w14:textId="77777777" w:rsidR="007B71E9" w:rsidRPr="00CF129B" w:rsidRDefault="007B71E9" w:rsidP="00657FD5">
      <w:pPr>
        <w:jc w:val="both"/>
      </w:pPr>
    </w:p>
    <w:p w14:paraId="29D4438D" w14:textId="711C2B5C" w:rsidR="00657FD5" w:rsidRPr="00CF129B" w:rsidRDefault="00657FD5" w:rsidP="00657FD5">
      <w:pPr>
        <w:jc w:val="both"/>
        <w:rPr>
          <w:color w:val="365F91" w:themeColor="accent1" w:themeShade="BF"/>
        </w:rPr>
      </w:pPr>
      <w:r w:rsidRPr="00CF129B">
        <w:rPr>
          <w:color w:val="365F91" w:themeColor="accent1" w:themeShade="BF"/>
        </w:rPr>
        <w:t xml:space="preserve">The compromised BBB observed in malignant gliomas certainly does not guarantee increased intratumoral delivery of a payload. The </w:t>
      </w:r>
      <w:r w:rsidR="003F6749">
        <w:rPr>
          <w:color w:val="365F91" w:themeColor="accent1" w:themeShade="BF"/>
        </w:rPr>
        <w:t>BBB fenestration</w:t>
      </w:r>
      <w:r w:rsidR="003F6749" w:rsidRPr="00CF129B">
        <w:rPr>
          <w:color w:val="365F91" w:themeColor="accent1" w:themeShade="BF"/>
        </w:rPr>
        <w:t xml:space="preserve"> </w:t>
      </w:r>
      <w:r w:rsidR="003002A3">
        <w:rPr>
          <w:color w:val="365F91" w:themeColor="accent1" w:themeShade="BF"/>
        </w:rPr>
        <w:t xml:space="preserve">associated with </w:t>
      </w:r>
      <w:r w:rsidR="003002A3">
        <w:rPr>
          <w:color w:val="365F91" w:themeColor="accent1" w:themeShade="BF"/>
        </w:rPr>
        <w:t xml:space="preserve">intratumoral </w:t>
      </w:r>
      <w:r w:rsidRPr="00CF129B">
        <w:rPr>
          <w:color w:val="365F91" w:themeColor="accent1" w:themeShade="BF"/>
        </w:rPr>
        <w:t>microhemorrhages observed in patient GBMs</w:t>
      </w:r>
      <w:r w:rsidR="00BC35AC">
        <w:rPr>
          <w:color w:val="365F91" w:themeColor="accent1" w:themeShade="BF"/>
        </w:rPr>
        <w:t xml:space="preserve"> </w:t>
      </w:r>
      <w:bookmarkStart w:id="5" w:name="_GoBack"/>
      <w:bookmarkEnd w:id="5"/>
      <w:r w:rsidRPr="00CF129B">
        <w:rPr>
          <w:color w:val="365F91" w:themeColor="accent1" w:themeShade="BF"/>
        </w:rPr>
        <w:t xml:space="preserve">are most of the time pockets of stagnating blood </w:t>
      </w:r>
      <w:r w:rsidR="00122569">
        <w:rPr>
          <w:color w:val="365F91" w:themeColor="accent1" w:themeShade="BF"/>
        </w:rPr>
        <w:t xml:space="preserve">caused by </w:t>
      </w:r>
      <w:r w:rsidR="00EB77E6">
        <w:rPr>
          <w:color w:val="365F91" w:themeColor="accent1" w:themeShade="BF"/>
        </w:rPr>
        <w:t xml:space="preserve">dilated new tumor </w:t>
      </w:r>
      <w:r w:rsidR="00122569">
        <w:rPr>
          <w:color w:val="365F91" w:themeColor="accent1" w:themeShade="BF"/>
        </w:rPr>
        <w:t>vessels</w:t>
      </w:r>
      <w:r w:rsidRPr="00CF129B">
        <w:rPr>
          <w:color w:val="365F91" w:themeColor="accent1" w:themeShade="BF"/>
        </w:rPr>
        <w:t xml:space="preserve"> lack</w:t>
      </w:r>
      <w:r w:rsidR="00122569">
        <w:rPr>
          <w:color w:val="365F91" w:themeColor="accent1" w:themeShade="BF"/>
        </w:rPr>
        <w:t>ing</w:t>
      </w:r>
      <w:r w:rsidRPr="00CF129B">
        <w:rPr>
          <w:color w:val="365F91" w:themeColor="accent1" w:themeShade="BF"/>
        </w:rPr>
        <w:t xml:space="preserve"> </w:t>
      </w:r>
      <w:r w:rsidR="00122569">
        <w:rPr>
          <w:color w:val="365F91" w:themeColor="accent1" w:themeShade="BF"/>
        </w:rPr>
        <w:t>a</w:t>
      </w:r>
      <w:r w:rsidRPr="00CF129B">
        <w:rPr>
          <w:color w:val="365F91" w:themeColor="accent1" w:themeShade="BF"/>
        </w:rPr>
        <w:t xml:space="preserve"> proper connection to the systemic network</w:t>
      </w:r>
      <w:r w:rsidR="00FA5AC9">
        <w:rPr>
          <w:color w:val="365F91" w:themeColor="accent1" w:themeShade="BF"/>
        </w:rPr>
        <w:t>.</w:t>
      </w:r>
      <w:r w:rsidRPr="00CF129B">
        <w:rPr>
          <w:color w:val="365F91" w:themeColor="accent1" w:themeShade="BF"/>
        </w:rPr>
        <w:t xml:space="preserve"> Please refer to Le Rhun and Perry 2016 (PMID 26948359) for the clinical description of this phenomenon and Mathivet et al. 2017 (PMID 29038312) on how the tumor stroma potentially participates to the glioma vessel dysmorphia.   </w:t>
      </w:r>
    </w:p>
    <w:p w14:paraId="4F30494B" w14:textId="6DB8E398" w:rsidR="00657FD5" w:rsidRDefault="00657FD5" w:rsidP="00657FD5">
      <w:pPr>
        <w:jc w:val="both"/>
        <w:rPr>
          <w:color w:val="365F91" w:themeColor="accent1" w:themeShade="BF"/>
        </w:rPr>
      </w:pPr>
      <w:r w:rsidRPr="00CF129B">
        <w:rPr>
          <w:color w:val="365F91" w:themeColor="accent1" w:themeShade="BF"/>
        </w:rPr>
        <w:t xml:space="preserve">In accordance with the clinical context, the data we obtained in the xenografted patient gliomas show that the particles accumulate only at the tumor vicinity for two reasons. First, as expected, no nanoparticles are found within the tumor because of the non-functional intratumoral vasculature. Only the normal blood vessels, in the surrounding brain parenchyma, are able to deliver the systemic payload. Then, by choosing CooP as a targeting moiety, the strategy was to target the tumor cells escaping from the neoplastic bulk, those responsible for the tumor relapse occurring after the surgical resection. Actually, our recent yet unpublished findings demonstrate that the protein target of CooP, MDGI/FABP3, is essential to maintain the lysosomal integrity in the invasive glioma cells. It ensures the proper renewal of phospholipids of the lysosomal membrane, and invalidation of MDGI kills invasive tumor cell via a mechanism called lysosomal membrane permeabilization. Therefore, through its binding to MDGI, CooP allows the increased accumulation of the nanoparticles on the invasive leading edge of the tumor. Very recent unpublished data obtained with time lapse microscopy also show that the fluorescent CooP binds to invasive tumor cell membranes and is progressively detected in endosomes/lysosomes, strongly suggesting an unreported cell penetrating property, possibly </w:t>
      </w:r>
      <w:r w:rsidRPr="00CF129B">
        <w:rPr>
          <w:i/>
          <w:color w:val="365F91" w:themeColor="accent1" w:themeShade="BF"/>
        </w:rPr>
        <w:t xml:space="preserve">via </w:t>
      </w:r>
      <w:r w:rsidRPr="00CF129B">
        <w:rPr>
          <w:color w:val="365F91" w:themeColor="accent1" w:themeShade="BF"/>
        </w:rPr>
        <w:t>the MDGI transporter.</w:t>
      </w:r>
    </w:p>
    <w:p w14:paraId="6900337B" w14:textId="77777777" w:rsidR="007B71E9" w:rsidRPr="00CF129B" w:rsidRDefault="007B71E9" w:rsidP="00657FD5">
      <w:pPr>
        <w:jc w:val="both"/>
        <w:rPr>
          <w:color w:val="365F91" w:themeColor="accent1" w:themeShade="BF"/>
        </w:rPr>
      </w:pPr>
    </w:p>
    <w:p w14:paraId="0A78B09E" w14:textId="393FE12B" w:rsidR="00657FD5" w:rsidRDefault="00657FD5" w:rsidP="00657FD5">
      <w:pPr>
        <w:jc w:val="both"/>
      </w:pPr>
      <w:r w:rsidRPr="00CF129B">
        <w:t xml:space="preserve">7. I would like the authors to consider the 2016 paper by Christoffer Åberg (PMID: </w:t>
      </w:r>
      <w:bookmarkStart w:id="6" w:name="_Hlk534359338"/>
      <w:r w:rsidRPr="00CF129B">
        <w:t>27141425</w:t>
      </w:r>
      <w:bookmarkEnd w:id="6"/>
      <w:r w:rsidRPr="00CF129B">
        <w:t>) on the use of in vitro models for nanoparticle transport across the BBB. He describes a number of issues, which are relevant for the authors to discuss in relation to their findings. Important to discuss is the fact that they clearly have holes in the endothelial layer, wherein nanoparticles or small compounds would likely pass through.</w:t>
      </w:r>
    </w:p>
    <w:p w14:paraId="62ADF62D" w14:textId="77777777" w:rsidR="007B71E9" w:rsidRPr="00CF129B" w:rsidRDefault="007B71E9" w:rsidP="00657FD5">
      <w:pPr>
        <w:jc w:val="both"/>
      </w:pPr>
    </w:p>
    <w:p w14:paraId="531C663A" w14:textId="47C3D9DD" w:rsidR="00657FD5" w:rsidRDefault="00657FD5" w:rsidP="00657FD5">
      <w:pPr>
        <w:jc w:val="both"/>
        <w:rPr>
          <w:color w:val="365F91" w:themeColor="accent1" w:themeShade="BF"/>
        </w:rPr>
      </w:pPr>
      <w:r w:rsidRPr="00CF129B">
        <w:rPr>
          <w:color w:val="365F91" w:themeColor="accent1" w:themeShade="BF"/>
        </w:rPr>
        <w:t>We now have taken this review from Berg into account in the revised discussion of the manuscript, at the Line 686.</w:t>
      </w:r>
    </w:p>
    <w:p w14:paraId="3F89C781" w14:textId="77777777" w:rsidR="007B71E9" w:rsidRPr="00CF129B" w:rsidRDefault="007B71E9" w:rsidP="00657FD5">
      <w:pPr>
        <w:jc w:val="both"/>
        <w:rPr>
          <w:color w:val="365F91" w:themeColor="accent1" w:themeShade="BF"/>
        </w:rPr>
      </w:pPr>
    </w:p>
    <w:p w14:paraId="038AAE31" w14:textId="0C75042A" w:rsidR="00657FD5" w:rsidRDefault="00657FD5" w:rsidP="00657FD5">
      <w:pPr>
        <w:jc w:val="both"/>
        <w:rPr>
          <w:b/>
        </w:rPr>
      </w:pPr>
      <w:r w:rsidRPr="00CF129B">
        <w:rPr>
          <w:b/>
        </w:rPr>
        <w:t>Reviewer #2:</w:t>
      </w:r>
    </w:p>
    <w:p w14:paraId="002D76A2" w14:textId="77777777" w:rsidR="007B71E9" w:rsidRPr="00CF129B" w:rsidRDefault="007B71E9" w:rsidP="00657FD5">
      <w:pPr>
        <w:jc w:val="both"/>
        <w:rPr>
          <w:b/>
        </w:rPr>
      </w:pPr>
    </w:p>
    <w:p w14:paraId="7A494F96" w14:textId="77777777" w:rsidR="00657FD5" w:rsidRPr="00CF129B" w:rsidRDefault="00657FD5" w:rsidP="00657FD5">
      <w:pPr>
        <w:jc w:val="both"/>
      </w:pPr>
      <w:r w:rsidRPr="00CF129B">
        <w:t>Manuscript Summary:</w:t>
      </w:r>
    </w:p>
    <w:p w14:paraId="697F19C3" w14:textId="46CA0818" w:rsidR="00657FD5" w:rsidRDefault="00657FD5" w:rsidP="00657FD5">
      <w:pPr>
        <w:jc w:val="both"/>
        <w:rPr>
          <w:i/>
        </w:rPr>
      </w:pPr>
      <w:r w:rsidRPr="00CF129B">
        <w:rPr>
          <w:i/>
        </w:rPr>
        <w:t>It is fine</w:t>
      </w:r>
    </w:p>
    <w:p w14:paraId="4FA56233" w14:textId="77777777" w:rsidR="007B71E9" w:rsidRPr="00CF129B" w:rsidRDefault="007B71E9" w:rsidP="00657FD5">
      <w:pPr>
        <w:jc w:val="both"/>
        <w:rPr>
          <w:i/>
        </w:rPr>
      </w:pPr>
    </w:p>
    <w:p w14:paraId="4C0C39D0" w14:textId="23B78000" w:rsidR="00657FD5" w:rsidRDefault="00657FD5" w:rsidP="00657FD5">
      <w:pPr>
        <w:jc w:val="both"/>
        <w:rPr>
          <w:color w:val="365F91" w:themeColor="accent1" w:themeShade="BF"/>
        </w:rPr>
      </w:pPr>
      <w:r w:rsidRPr="00CF129B">
        <w:rPr>
          <w:color w:val="365F91" w:themeColor="accent1" w:themeShade="BF"/>
        </w:rPr>
        <w:t>We thank the reviewer for the critical analysis of the manuscript.</w:t>
      </w:r>
    </w:p>
    <w:p w14:paraId="51B63533" w14:textId="77777777" w:rsidR="007B71E9" w:rsidRPr="00CF129B" w:rsidRDefault="007B71E9" w:rsidP="00657FD5">
      <w:pPr>
        <w:jc w:val="both"/>
        <w:rPr>
          <w:color w:val="365F91" w:themeColor="accent1" w:themeShade="BF"/>
        </w:rPr>
      </w:pPr>
    </w:p>
    <w:p w14:paraId="0C12B097" w14:textId="77777777" w:rsidR="00657FD5" w:rsidRPr="00CF129B" w:rsidRDefault="00657FD5" w:rsidP="00657FD5">
      <w:pPr>
        <w:jc w:val="both"/>
      </w:pPr>
      <w:r w:rsidRPr="00CF129B">
        <w:t>Major Concerns:</w:t>
      </w:r>
    </w:p>
    <w:p w14:paraId="440D4408" w14:textId="77777777" w:rsidR="00657FD5" w:rsidRPr="00CF129B" w:rsidRDefault="00657FD5" w:rsidP="00657FD5">
      <w:pPr>
        <w:jc w:val="both"/>
      </w:pPr>
      <w:r w:rsidRPr="00CF129B">
        <w:t>In the introduction, you should refer to relevant recent literature. Particularly your concern on microfluidic and organ on chips models (page 3 lines 78-79) should be mitigated considering the last findings, for example:</w:t>
      </w:r>
    </w:p>
    <w:p w14:paraId="4BF7C311" w14:textId="77777777" w:rsidR="00657FD5" w:rsidRPr="00CF129B" w:rsidRDefault="00657FD5" w:rsidP="00657FD5">
      <w:pPr>
        <w:jc w:val="both"/>
      </w:pPr>
      <w:r w:rsidRPr="00CF129B">
        <w:t>Biomaterials. 2018 Oct;180:117-129. doi: 10.1016/j.biomaterials.2018.07.014. Epub 2018 Jul 12.</w:t>
      </w:r>
    </w:p>
    <w:p w14:paraId="7B034D0C" w14:textId="77777777" w:rsidR="00657FD5" w:rsidRPr="00CF129B" w:rsidRDefault="00657FD5" w:rsidP="00657FD5">
      <w:pPr>
        <w:jc w:val="both"/>
      </w:pPr>
      <w:r w:rsidRPr="00CF129B">
        <w:t>3D self-organized microvascular model of the human blood-brain barrier with endothelial cells, pericytes and astrocytes.</w:t>
      </w:r>
    </w:p>
    <w:p w14:paraId="48AFB873" w14:textId="77777777" w:rsidR="00657FD5" w:rsidRPr="00CF129B" w:rsidRDefault="00657FD5" w:rsidP="00657FD5">
      <w:pPr>
        <w:jc w:val="both"/>
      </w:pPr>
      <w:r w:rsidRPr="00CF129B">
        <w:t>Campisi M, Shin Y, Osaki T, Hajal C, Chiono V, Kamm RD.</w:t>
      </w:r>
    </w:p>
    <w:p w14:paraId="1843ED9E" w14:textId="77777777" w:rsidR="00657FD5" w:rsidRPr="00CF129B" w:rsidRDefault="00657FD5" w:rsidP="00657FD5">
      <w:pPr>
        <w:jc w:val="both"/>
      </w:pPr>
    </w:p>
    <w:p w14:paraId="00FF9813" w14:textId="16B5246F" w:rsidR="00657FD5" w:rsidRDefault="00657FD5" w:rsidP="00657FD5">
      <w:pPr>
        <w:jc w:val="both"/>
      </w:pPr>
      <w:r w:rsidRPr="00CF129B">
        <w:t xml:space="preserve">In this article a human BBB microvascular model has been developed for in vitro testing including human ECs, PCs and ACs (tri-culture compared to the authors' bi-culture method). Indeed, such </w:t>
      </w:r>
      <w:r w:rsidRPr="00CF129B">
        <w:lastRenderedPageBreak/>
        <w:t>models can be used to test the drug passage across the BBB to reach tumor cells and investigation in this direction is in progress.</w:t>
      </w:r>
    </w:p>
    <w:p w14:paraId="3E436B00" w14:textId="77777777" w:rsidR="007B71E9" w:rsidRPr="00CF129B" w:rsidRDefault="007B71E9" w:rsidP="00657FD5">
      <w:pPr>
        <w:jc w:val="both"/>
      </w:pPr>
    </w:p>
    <w:p w14:paraId="6879C3ED" w14:textId="77777777" w:rsidR="00657FD5" w:rsidRPr="00CF129B" w:rsidRDefault="00657FD5" w:rsidP="00657FD5">
      <w:pPr>
        <w:jc w:val="both"/>
        <w:rPr>
          <w:color w:val="365F91" w:themeColor="accent1" w:themeShade="BF"/>
        </w:rPr>
      </w:pPr>
      <w:r w:rsidRPr="00CF129B">
        <w:rPr>
          <w:color w:val="365F91" w:themeColor="accent1" w:themeShade="BF"/>
        </w:rPr>
        <w:t xml:space="preserve">We thank the reviewer for pointing out these recent studies. The study of Campisi et al. shows a beautifully engineered </w:t>
      </w:r>
      <w:r w:rsidRPr="00CF129B">
        <w:rPr>
          <w:i/>
          <w:color w:val="365F91" w:themeColor="accent1" w:themeShade="BF"/>
        </w:rPr>
        <w:t xml:space="preserve">in vitro </w:t>
      </w:r>
      <w:r w:rsidRPr="00CF129B">
        <w:rPr>
          <w:color w:val="365F91" w:themeColor="accent1" w:themeShade="BF"/>
        </w:rPr>
        <w:t>neurovascular unit that undoubtfully adds very exciting possibilities to study the BBB on a chip. It also supports our statement that presence of astrocytes determines the endothelial barrier property. This article is now referred to in the Introduction (Line 79) and in the Discussion (Line 701-705)</w:t>
      </w:r>
    </w:p>
    <w:p w14:paraId="225E4FB0" w14:textId="5623BE04" w:rsidR="00657FD5" w:rsidRDefault="00657FD5" w:rsidP="00657FD5">
      <w:pPr>
        <w:jc w:val="both"/>
        <w:rPr>
          <w:color w:val="365F91" w:themeColor="accent1" w:themeShade="BF"/>
        </w:rPr>
      </w:pPr>
      <w:r w:rsidRPr="00CF129B">
        <w:rPr>
          <w:color w:val="365F91" w:themeColor="accent1" w:themeShade="BF"/>
        </w:rPr>
        <w:t>Unfortunately, as suggested in our manuscript Introduction and also confirmed by the authors of this paper in their discussion, this microfluidic model is currently only adapted to the follow-up of fluorescent molecules only, and quantification is based on fluorescence measurements through a microscope. The Transwell model still has a practical advantage in the sense that actual medium/cell samples can be collected even repeatedly, and actual concentrations in the samples can be determined by mass spectrometry, gamma ray measurements, etc. This versatility is essential when considering molecules such as drugs or chemotherapies that might not be labelled with a fluorescent dye, or might lose their efficacy/permeability when conjugated to fluorophores. However, the progress made on the microfluidics systems mimicking the BBB since the past 5 years will most likely make that possible in a near future.</w:t>
      </w:r>
    </w:p>
    <w:p w14:paraId="343D8D26" w14:textId="77777777" w:rsidR="007B71E9" w:rsidRPr="00CF129B" w:rsidRDefault="007B71E9" w:rsidP="00657FD5">
      <w:pPr>
        <w:jc w:val="both"/>
        <w:rPr>
          <w:color w:val="365F91" w:themeColor="accent1" w:themeShade="BF"/>
        </w:rPr>
      </w:pPr>
    </w:p>
    <w:p w14:paraId="1723EA28" w14:textId="3B6CAD13" w:rsidR="00657FD5" w:rsidRDefault="00657FD5" w:rsidP="00657FD5">
      <w:pPr>
        <w:jc w:val="both"/>
      </w:pPr>
      <w:r w:rsidRPr="00CF129B">
        <w:t>The authors should underline which are the advantages of preparing their model (particularly your murine models are better as they have smaller permeability) compared to recent microfluidic platforms, as the motivations they raised are not proper.</w:t>
      </w:r>
    </w:p>
    <w:p w14:paraId="53389615" w14:textId="77777777" w:rsidR="007B71E9" w:rsidRPr="00CF129B" w:rsidRDefault="007B71E9" w:rsidP="00657FD5">
      <w:pPr>
        <w:jc w:val="both"/>
      </w:pPr>
    </w:p>
    <w:p w14:paraId="57DAC47D" w14:textId="385CC1A6" w:rsidR="00657FD5" w:rsidRDefault="00657FD5" w:rsidP="00657FD5">
      <w:pPr>
        <w:jc w:val="both"/>
        <w:rPr>
          <w:color w:val="365F91" w:themeColor="accent1" w:themeShade="BF"/>
        </w:rPr>
      </w:pPr>
      <w:r w:rsidRPr="00CF129B">
        <w:rPr>
          <w:color w:val="365F91" w:themeColor="accent1" w:themeShade="BF"/>
        </w:rPr>
        <w:t>The presentation and discussion of each model have been edited in the revised manuscript to make it clearer. We have edited the Abtract (Lines 37 to 42), Introduction (Lines 71 to 97) and Discussion (Lines 689 to 694) Briefly, the flexibility of the model regarding the studied molecules/drugs (see above) and scalability of the Transwell model (up to 96 assays in one dish) are the main advantages when considering a high-throughput screening of molecules at a reasonable cost.</w:t>
      </w:r>
    </w:p>
    <w:p w14:paraId="597DC4C9" w14:textId="77777777" w:rsidR="007B71E9" w:rsidRPr="00CF129B" w:rsidRDefault="007B71E9" w:rsidP="00657FD5">
      <w:pPr>
        <w:jc w:val="both"/>
        <w:rPr>
          <w:color w:val="365F91" w:themeColor="accent1" w:themeShade="BF"/>
        </w:rPr>
      </w:pPr>
    </w:p>
    <w:p w14:paraId="7EB0E5F1" w14:textId="77777777" w:rsidR="00657FD5" w:rsidRPr="00CF129B" w:rsidRDefault="00657FD5" w:rsidP="00657FD5">
      <w:pPr>
        <w:jc w:val="both"/>
      </w:pPr>
      <w:r w:rsidRPr="00CF129B">
        <w:t>See also: In vitro models of molecular and nano-particle transport across the blood-brain barrier</w:t>
      </w:r>
    </w:p>
    <w:p w14:paraId="63725C63" w14:textId="77777777" w:rsidR="00657FD5" w:rsidRPr="00CF129B" w:rsidRDefault="00657FD5" w:rsidP="00657FD5">
      <w:pPr>
        <w:jc w:val="both"/>
      </w:pPr>
      <w:r w:rsidRPr="00CF129B">
        <w:t>July 2018Biomicrofluidics 12(4):042213</w:t>
      </w:r>
    </w:p>
    <w:p w14:paraId="354F3C53" w14:textId="77777777" w:rsidR="00657FD5" w:rsidRPr="00CF129B" w:rsidRDefault="00657FD5" w:rsidP="00657FD5">
      <w:pPr>
        <w:jc w:val="both"/>
      </w:pPr>
      <w:r w:rsidRPr="00CF129B">
        <w:t>DOI: 10.1063/1.5027118</w:t>
      </w:r>
    </w:p>
    <w:p w14:paraId="3BCA0762" w14:textId="3CE277D9" w:rsidR="00657FD5" w:rsidRDefault="00657FD5" w:rsidP="00657FD5">
      <w:pPr>
        <w:jc w:val="both"/>
      </w:pPr>
      <w:r w:rsidRPr="00CF129B">
        <w:t>In conclusions: which is the advantage of mimicking MURINE BBB ? Any ideas/perspectives to implement similar HUMAN BBB models getting physiological permeability results?</w:t>
      </w:r>
    </w:p>
    <w:p w14:paraId="571C9FF7" w14:textId="77777777" w:rsidR="007B71E9" w:rsidRPr="00CF129B" w:rsidRDefault="007B71E9" w:rsidP="00657FD5">
      <w:pPr>
        <w:jc w:val="both"/>
      </w:pPr>
    </w:p>
    <w:p w14:paraId="5089FC2A" w14:textId="48F337CC" w:rsidR="00657FD5" w:rsidRDefault="00657FD5" w:rsidP="00657FD5">
      <w:pPr>
        <w:jc w:val="both"/>
        <w:rPr>
          <w:color w:val="365F91" w:themeColor="accent1" w:themeShade="BF"/>
        </w:rPr>
      </w:pPr>
      <w:r w:rsidRPr="00CF129B">
        <w:rPr>
          <w:color w:val="365F91" w:themeColor="accent1" w:themeShade="BF"/>
        </w:rPr>
        <w:t xml:space="preserve">The advantage of recreating a murine BBB is the easy and accurate translation of the </w:t>
      </w:r>
      <w:r w:rsidRPr="00CF129B">
        <w:rPr>
          <w:i/>
          <w:color w:val="365F91" w:themeColor="accent1" w:themeShade="BF"/>
        </w:rPr>
        <w:t xml:space="preserve">in vitro </w:t>
      </w:r>
      <w:r w:rsidRPr="00CF129B">
        <w:rPr>
          <w:color w:val="365F91" w:themeColor="accent1" w:themeShade="BF"/>
        </w:rPr>
        <w:t>data into preclinical studies, often conducted in mice. However, we also show that humanized models can be obtained, using conventional endothelial cell lines such as HUVECs and human astrocytes. This last model still has room for improvement, for instance by replacing HUVECs with iPSC-EC.</w:t>
      </w:r>
    </w:p>
    <w:p w14:paraId="35B072B7" w14:textId="77777777" w:rsidR="007B71E9" w:rsidRPr="00CF129B" w:rsidRDefault="007B71E9" w:rsidP="00657FD5">
      <w:pPr>
        <w:jc w:val="both"/>
        <w:rPr>
          <w:color w:val="365F91" w:themeColor="accent1" w:themeShade="BF"/>
        </w:rPr>
      </w:pPr>
    </w:p>
    <w:p w14:paraId="589BAE9F" w14:textId="0031A24C" w:rsidR="00657FD5" w:rsidRDefault="00657FD5" w:rsidP="00657FD5">
      <w:pPr>
        <w:jc w:val="both"/>
      </w:pPr>
      <w:r w:rsidRPr="00CF129B">
        <w:t>Please clarify better the description at par. 2.1.2 page 9 (I cannot follow well the cutting protocol, how the membrane was cut; please clarify as to be reproducible)</w:t>
      </w:r>
    </w:p>
    <w:p w14:paraId="0B2BEFBD" w14:textId="77777777" w:rsidR="007B71E9" w:rsidRPr="00CF129B" w:rsidRDefault="007B71E9" w:rsidP="00657FD5">
      <w:pPr>
        <w:jc w:val="both"/>
      </w:pPr>
    </w:p>
    <w:p w14:paraId="67870205" w14:textId="68D2B980" w:rsidR="00657FD5" w:rsidRDefault="00657FD5" w:rsidP="00657FD5">
      <w:pPr>
        <w:jc w:val="both"/>
        <w:rPr>
          <w:color w:val="365F91" w:themeColor="accent1" w:themeShade="BF"/>
        </w:rPr>
      </w:pPr>
      <w:r w:rsidRPr="00CF129B">
        <w:rPr>
          <w:color w:val="365F91" w:themeColor="accent1" w:themeShade="BF"/>
        </w:rPr>
        <w:t>The protocol part of the manuscript has been now revised with additional description of the membrane processing (Lines 276 to 280 in the Protocol section)</w:t>
      </w:r>
      <w:r w:rsidR="007B71E9">
        <w:rPr>
          <w:color w:val="365F91" w:themeColor="accent1" w:themeShade="BF"/>
        </w:rPr>
        <w:t>.</w:t>
      </w:r>
    </w:p>
    <w:p w14:paraId="7723462D" w14:textId="77777777" w:rsidR="007B71E9" w:rsidRPr="00CF129B" w:rsidRDefault="007B71E9" w:rsidP="00657FD5">
      <w:pPr>
        <w:jc w:val="both"/>
        <w:rPr>
          <w:color w:val="365F91" w:themeColor="accent1" w:themeShade="BF"/>
        </w:rPr>
      </w:pPr>
    </w:p>
    <w:p w14:paraId="4165681C" w14:textId="2F98ECFF" w:rsidR="00657FD5" w:rsidRDefault="00657FD5" w:rsidP="00657FD5">
      <w:pPr>
        <w:jc w:val="both"/>
      </w:pPr>
      <w:r w:rsidRPr="00CF129B">
        <w:t>Figure 3 A - Transwell plates image on the left is not well specified. Could you please better describe what it represents?</w:t>
      </w:r>
    </w:p>
    <w:p w14:paraId="18C8B17F" w14:textId="77777777" w:rsidR="007B71E9" w:rsidRPr="00CF129B" w:rsidRDefault="007B71E9" w:rsidP="00657FD5">
      <w:pPr>
        <w:jc w:val="both"/>
      </w:pPr>
    </w:p>
    <w:p w14:paraId="6A57E265" w14:textId="1F483505" w:rsidR="00657FD5" w:rsidRDefault="00657FD5" w:rsidP="00657FD5">
      <w:pPr>
        <w:jc w:val="both"/>
        <w:rPr>
          <w:color w:val="365F91" w:themeColor="accent1" w:themeShade="BF"/>
        </w:rPr>
      </w:pPr>
      <w:r w:rsidRPr="00CF129B">
        <w:rPr>
          <w:color w:val="365F91" w:themeColor="accent1" w:themeShade="BF"/>
        </w:rPr>
        <w:t>The legend of Figure 3A has been revised with more precise descriptions of the panels. The micrographs illustrate the detection of the nanoparticles on the endothelial cells, astrocytes and in-</w:t>
      </w:r>
      <w:r w:rsidRPr="00CF129B">
        <w:rPr>
          <w:color w:val="365F91" w:themeColor="accent1" w:themeShade="BF"/>
        </w:rPr>
        <w:lastRenderedPageBreak/>
        <w:t>between the two cell layers. Arrows point at vesicles (most probably lysosomes) encapsulating the nanoparticles. Revisions are found from lines 597 to 599 in the Manuscript.</w:t>
      </w:r>
    </w:p>
    <w:p w14:paraId="3026C048" w14:textId="77777777" w:rsidR="007B71E9" w:rsidRPr="00CF129B" w:rsidRDefault="007B71E9" w:rsidP="00657FD5">
      <w:pPr>
        <w:jc w:val="both"/>
        <w:rPr>
          <w:color w:val="365F91" w:themeColor="accent1" w:themeShade="BF"/>
        </w:rPr>
      </w:pPr>
    </w:p>
    <w:p w14:paraId="48952FEE" w14:textId="664E0893" w:rsidR="00657FD5" w:rsidRDefault="00657FD5" w:rsidP="00657FD5">
      <w:pPr>
        <w:jc w:val="both"/>
      </w:pPr>
      <w:r w:rsidRPr="00CF129B">
        <w:t>Figure 3 D: bottom images---&gt; what are the arrows pointing at?</w:t>
      </w:r>
    </w:p>
    <w:p w14:paraId="5AABD0C5" w14:textId="77777777" w:rsidR="007B71E9" w:rsidRPr="00CF129B" w:rsidRDefault="007B71E9" w:rsidP="00657FD5">
      <w:pPr>
        <w:jc w:val="both"/>
      </w:pPr>
    </w:p>
    <w:p w14:paraId="1E5CA53D" w14:textId="77777777" w:rsidR="00657FD5" w:rsidRPr="00253103" w:rsidRDefault="00657FD5" w:rsidP="00657FD5">
      <w:pPr>
        <w:jc w:val="both"/>
        <w:rPr>
          <w:color w:val="365F91" w:themeColor="accent1" w:themeShade="BF"/>
        </w:rPr>
      </w:pPr>
      <w:r w:rsidRPr="00CF129B">
        <w:rPr>
          <w:color w:val="365F91" w:themeColor="accent1" w:themeShade="BF"/>
        </w:rPr>
        <w:t>The legend of the Figure 3D has been now revised by adding the missing information. The arrows point at nanoparticles successfully crossing a brain microcapillary.</w:t>
      </w:r>
    </w:p>
    <w:p w14:paraId="593E7245" w14:textId="77777777" w:rsidR="00657FD5" w:rsidRPr="00657FD5" w:rsidRDefault="00657FD5" w:rsidP="00ED3419">
      <w:pPr>
        <w:spacing w:line="276" w:lineRule="auto"/>
        <w:jc w:val="both"/>
        <w:rPr>
          <w:rFonts w:ascii="Calibri" w:hAnsi="Calibri" w:cs="Calibri"/>
          <w:color w:val="0000FF"/>
          <w:sz w:val="20"/>
          <w:u w:val="single"/>
        </w:rPr>
      </w:pPr>
    </w:p>
    <w:sectPr w:rsidR="00657FD5" w:rsidRPr="00657FD5" w:rsidSect="000A68F7">
      <w:headerReference w:type="default" r:id="rId8"/>
      <w:footerReference w:type="default" r:id="rId9"/>
      <w:headerReference w:type="first" r:id="rId10"/>
      <w:footerReference w:type="first" r:id="rId11"/>
      <w:pgSz w:w="11906" w:h="16838" w:code="9"/>
      <w:pgMar w:top="2336" w:right="851" w:bottom="340" w:left="1531" w:header="658"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EC68E" w14:textId="77777777" w:rsidR="005A5939" w:rsidRDefault="005A5939">
      <w:r>
        <w:separator/>
      </w:r>
    </w:p>
  </w:endnote>
  <w:endnote w:type="continuationSeparator" w:id="0">
    <w:p w14:paraId="27942C6F" w14:textId="77777777" w:rsidR="005A5939" w:rsidRDefault="005A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0CFD" w14:textId="7CF57FF3" w:rsidR="002F087C" w:rsidRDefault="002F087C" w:rsidP="000A68F7">
    <w:pPr>
      <w:pStyle w:val="Pieddepage"/>
      <w:spacing w:line="200" w:lineRule="atLeast"/>
      <w:jc w:val="right"/>
      <w:rPr>
        <w:b/>
      </w:rPr>
    </w:pPr>
  </w:p>
  <w:p w14:paraId="056E4F9B" w14:textId="17D73A93" w:rsidR="000A68F7" w:rsidRDefault="002F087C" w:rsidP="000A68F7">
    <w:pPr>
      <w:pStyle w:val="Pieddepage"/>
      <w:spacing w:line="200" w:lineRule="atLeast"/>
      <w:jc w:val="right"/>
      <w:rPr>
        <w:b/>
      </w:rPr>
    </w:pPr>
    <w:r>
      <w:rPr>
        <w:b/>
        <w:noProof/>
        <w:lang w:val="en-US" w:eastAsia="en-US"/>
      </w:rPr>
      <w:drawing>
        <wp:anchor distT="0" distB="0" distL="114300" distR="114300" simplePos="0" relativeHeight="251669504" behindDoc="0" locked="0" layoutInCell="0" allowOverlap="1" wp14:anchorId="260D891B" wp14:editId="4B4C3D84">
          <wp:simplePos x="0" y="0"/>
          <wp:positionH relativeFrom="page">
            <wp:posOffset>869950</wp:posOffset>
          </wp:positionH>
          <wp:positionV relativeFrom="page">
            <wp:posOffset>10038080</wp:posOffset>
          </wp:positionV>
          <wp:extent cx="1657350" cy="435610"/>
          <wp:effectExtent l="0" t="0" r="0" b="2540"/>
          <wp:wrapNone/>
          <wp:docPr id="5" name="Kuva 3" descr="tiedekunta wor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dekunta word footer 1.JPG"/>
                  <pic:cNvPicPr/>
                </pic:nvPicPr>
                <pic:blipFill>
                  <a:blip r:embed="rId1"/>
                  <a:stretch>
                    <a:fillRect/>
                  </a:stretch>
                </pic:blipFill>
                <pic:spPr>
                  <a:xfrm>
                    <a:off x="0" y="0"/>
                    <a:ext cx="1657350" cy="435610"/>
                  </a:xfrm>
                  <a:prstGeom prst="rect">
                    <a:avLst/>
                  </a:prstGeom>
                </pic:spPr>
              </pic:pic>
            </a:graphicData>
          </a:graphic>
        </wp:anchor>
      </w:drawing>
    </w:r>
  </w:p>
  <w:p w14:paraId="05DF40F3" w14:textId="5E5AA3F0" w:rsidR="000A68F7" w:rsidRDefault="000A68F7" w:rsidP="000A68F7">
    <w:pPr>
      <w:pStyle w:val="Pieddepage"/>
      <w:spacing w:line="200" w:lineRule="atLea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0526" w14:textId="1ED5C715" w:rsidR="00D33C64" w:rsidRDefault="00D33C64" w:rsidP="000509BD">
    <w:pPr>
      <w:pStyle w:val="Pieddepage"/>
      <w:spacing w:line="200" w:lineRule="atLeast"/>
      <w:rPr>
        <w:b/>
      </w:rPr>
    </w:pPr>
  </w:p>
  <w:p w14:paraId="3014D883" w14:textId="464BF9C5" w:rsidR="00677111" w:rsidRDefault="00DE25F0" w:rsidP="00677111">
    <w:pPr>
      <w:pStyle w:val="Pieddepage"/>
      <w:spacing w:line="200" w:lineRule="atLeast"/>
      <w:jc w:val="right"/>
      <w:rPr>
        <w:b/>
      </w:rPr>
    </w:pPr>
    <w:r>
      <w:rPr>
        <w:b/>
        <w:noProof/>
        <w:lang w:val="en-US" w:eastAsia="en-US"/>
      </w:rPr>
      <w:drawing>
        <wp:anchor distT="0" distB="0" distL="114300" distR="114300" simplePos="0" relativeHeight="251661312" behindDoc="0" locked="0" layoutInCell="0" allowOverlap="1" wp14:anchorId="5ECF1DB4" wp14:editId="757D1676">
          <wp:simplePos x="0" y="0"/>
          <wp:positionH relativeFrom="page">
            <wp:posOffset>946150</wp:posOffset>
          </wp:positionH>
          <wp:positionV relativeFrom="page">
            <wp:posOffset>9725660</wp:posOffset>
          </wp:positionV>
          <wp:extent cx="1657350" cy="435610"/>
          <wp:effectExtent l="0" t="0" r="0" b="2540"/>
          <wp:wrapNone/>
          <wp:docPr id="4" name="Kuva 3" descr="tiedekunta wor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dekunta word footer 1.JPG"/>
                  <pic:cNvPicPr/>
                </pic:nvPicPr>
                <pic:blipFill>
                  <a:blip r:embed="rId1"/>
                  <a:stretch>
                    <a:fillRect/>
                  </a:stretch>
                </pic:blipFill>
                <pic:spPr>
                  <a:xfrm>
                    <a:off x="0" y="0"/>
                    <a:ext cx="1657350" cy="435610"/>
                  </a:xfrm>
                  <a:prstGeom prst="rect">
                    <a:avLst/>
                  </a:prstGeom>
                </pic:spPr>
              </pic:pic>
            </a:graphicData>
          </a:graphic>
        </wp:anchor>
      </w:drawing>
    </w:r>
    <w:r w:rsidR="00D33C64">
      <w:rPr>
        <w:b/>
      </w:rPr>
      <w:t>Terveyden tutkimuksen tutkijakoulu</w:t>
    </w:r>
  </w:p>
  <w:p w14:paraId="69EA5081" w14:textId="77777777" w:rsidR="00677111" w:rsidRDefault="00D33C64" w:rsidP="00677111">
    <w:pPr>
      <w:pStyle w:val="Pieddepage"/>
      <w:spacing w:line="200" w:lineRule="atLeast"/>
      <w:jc w:val="right"/>
      <w:rPr>
        <w:b/>
      </w:rPr>
    </w:pPr>
    <w:r w:rsidRPr="000509BD">
      <w:rPr>
        <w:b/>
      </w:rPr>
      <w:t>PL 33 (Yliopistonkatu 4), 00014 Helsingin yliopisto</w:t>
    </w:r>
  </w:p>
  <w:p w14:paraId="18366A82" w14:textId="5D1F4632" w:rsidR="00D33C64" w:rsidRPr="000509BD" w:rsidRDefault="00D33C64" w:rsidP="00677111">
    <w:pPr>
      <w:pStyle w:val="Pieddepage"/>
      <w:spacing w:line="200" w:lineRule="atLeast"/>
      <w:jc w:val="right"/>
      <w:rPr>
        <w:b/>
      </w:rPr>
    </w:pPr>
    <w:r>
      <w:rPr>
        <w:b/>
      </w:rPr>
      <w:t>Puhelin (09) 1911,</w:t>
    </w:r>
    <w:r w:rsidRPr="000509BD">
      <w:rPr>
        <w:b/>
      </w:rPr>
      <w:t xml:space="preserve"> www.helsinki.fi/yliopisto</w:t>
    </w:r>
  </w:p>
  <w:p w14:paraId="6D5DB768" w14:textId="3E7887B7" w:rsidR="00D33C64" w:rsidRPr="005F49CF" w:rsidRDefault="000E4477" w:rsidP="000E4477">
    <w:pPr>
      <w:pStyle w:val="Pieddepage"/>
      <w:tabs>
        <w:tab w:val="left" w:pos="3980"/>
      </w:tabs>
      <w:spacing w:line="200" w:lineRule="atLeast"/>
      <w:rPr>
        <w:b/>
      </w:rPr>
    </w:pP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22039" w14:textId="77777777" w:rsidR="005A5939" w:rsidRDefault="005A5939">
      <w:r>
        <w:separator/>
      </w:r>
    </w:p>
  </w:footnote>
  <w:footnote w:type="continuationSeparator" w:id="0">
    <w:p w14:paraId="10707241" w14:textId="77777777" w:rsidR="005A5939" w:rsidRDefault="005A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0CF2" w14:textId="5F972F55" w:rsidR="009030EA" w:rsidRPr="005A2796" w:rsidRDefault="00916C01" w:rsidP="009030EA">
    <w:pPr>
      <w:spacing w:line="276" w:lineRule="auto"/>
      <w:rPr>
        <w:rFonts w:ascii="Calibri" w:hAnsi="Calibri" w:cs="Calibri"/>
        <w:sz w:val="20"/>
        <w:lang w:val="en-US"/>
      </w:rPr>
    </w:pPr>
    <w:r w:rsidRPr="00B61E8D">
      <w:rPr>
        <w:noProof/>
        <w:lang w:val="en-US" w:eastAsia="en-US"/>
      </w:rPr>
      <w:drawing>
        <wp:anchor distT="0" distB="0" distL="114300" distR="114300" simplePos="0" relativeHeight="251692032" behindDoc="0" locked="0" layoutInCell="0" allowOverlap="1" wp14:anchorId="6C8C2B4A" wp14:editId="31AC0D3F">
          <wp:simplePos x="0" y="0"/>
          <wp:positionH relativeFrom="margin">
            <wp:posOffset>-438150</wp:posOffset>
          </wp:positionH>
          <wp:positionV relativeFrom="page">
            <wp:posOffset>170180</wp:posOffset>
          </wp:positionV>
          <wp:extent cx="1492250" cy="1409700"/>
          <wp:effectExtent l="0" t="0" r="0" b="0"/>
          <wp:wrapNone/>
          <wp:docPr id="3" name="Kuva 0" descr="HY__LA01_Flame_____B6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__LA01_Flame_____B6___RGB.JPG"/>
                  <pic:cNvPicPr/>
                </pic:nvPicPr>
                <pic:blipFill>
                  <a:blip r:embed="rId1"/>
                  <a:stretch>
                    <a:fillRect/>
                  </a:stretch>
                </pic:blipFill>
                <pic:spPr>
                  <a:xfrm>
                    <a:off x="0" y="0"/>
                    <a:ext cx="1492250" cy="1409700"/>
                  </a:xfrm>
                  <a:prstGeom prst="rect">
                    <a:avLst/>
                  </a:prstGeom>
                </pic:spPr>
              </pic:pic>
            </a:graphicData>
          </a:graphic>
          <wp14:sizeRelH relativeFrom="margin">
            <wp14:pctWidth>0</wp14:pctWidth>
          </wp14:sizeRelH>
          <wp14:sizeRelV relativeFrom="margin">
            <wp14:pctHeight>0</wp14:pctHeight>
          </wp14:sizeRelV>
        </wp:anchor>
      </w:drawing>
    </w:r>
    <w:r w:rsidR="009030EA" w:rsidRPr="003B7243">
      <w:rPr>
        <w:lang w:val="en-US"/>
      </w:rPr>
      <w:tab/>
    </w:r>
    <w:r w:rsidR="009030EA" w:rsidRPr="003B7243">
      <w:rPr>
        <w:lang w:val="en-US"/>
      </w:rPr>
      <w:tab/>
    </w:r>
    <w:r w:rsidR="009030EA" w:rsidRPr="005A2796">
      <w:rPr>
        <w:rFonts w:ascii="Calibri" w:hAnsi="Calibri" w:cs="Calibri"/>
        <w:sz w:val="20"/>
        <w:lang w:val="en-US"/>
      </w:rPr>
      <w:t>Pirjo Laakkonen, PhD, prof.</w:t>
    </w:r>
  </w:p>
  <w:p w14:paraId="59774FB7" w14:textId="27AEED42" w:rsidR="009030EA" w:rsidRPr="005A2796" w:rsidRDefault="009030EA" w:rsidP="009030EA">
    <w:pPr>
      <w:widowControl w:val="0"/>
      <w:autoSpaceDE w:val="0"/>
      <w:autoSpaceDN w:val="0"/>
      <w:adjustRightInd w:val="0"/>
      <w:rPr>
        <w:rFonts w:ascii="Calibri" w:hAnsi="Calibri" w:cs="Calibri"/>
        <w:sz w:val="20"/>
        <w:lang w:val="en-US" w:eastAsia="en-US"/>
      </w:rPr>
    </w:pPr>
    <w:r w:rsidRPr="005A2796">
      <w:rPr>
        <w:rFonts w:ascii="Calibri" w:hAnsi="Calibri" w:cs="Calibri"/>
        <w:sz w:val="20"/>
        <w:lang w:val="en-US" w:eastAsia="en-US"/>
      </w:rPr>
      <w:tab/>
    </w:r>
    <w:r w:rsidRPr="005A2796">
      <w:rPr>
        <w:rFonts w:ascii="Calibri" w:hAnsi="Calibri" w:cs="Calibri"/>
        <w:sz w:val="20"/>
        <w:lang w:val="en-US" w:eastAsia="en-US"/>
      </w:rPr>
      <w:tab/>
      <w:t xml:space="preserve">Translational Cancer </w:t>
    </w:r>
    <w:r w:rsidR="003B7243" w:rsidRPr="005A2796">
      <w:rPr>
        <w:rFonts w:ascii="Calibri" w:hAnsi="Calibri" w:cs="Calibri"/>
        <w:sz w:val="20"/>
        <w:lang w:val="en-US" w:eastAsia="en-US"/>
      </w:rPr>
      <w:t>Medicine Research Program</w:t>
    </w:r>
  </w:p>
  <w:p w14:paraId="31292BDD" w14:textId="2FC02D63" w:rsidR="009030EA" w:rsidRPr="005A2796" w:rsidRDefault="009030EA" w:rsidP="003B7243">
    <w:pPr>
      <w:widowControl w:val="0"/>
      <w:autoSpaceDE w:val="0"/>
      <w:autoSpaceDN w:val="0"/>
      <w:adjustRightInd w:val="0"/>
      <w:rPr>
        <w:rFonts w:ascii="Calibri" w:hAnsi="Calibri" w:cs="Calibri"/>
        <w:sz w:val="20"/>
        <w:lang w:val="en-US" w:eastAsia="en-US"/>
      </w:rPr>
    </w:pPr>
    <w:r w:rsidRPr="005A2796">
      <w:rPr>
        <w:rFonts w:ascii="Calibri" w:hAnsi="Calibri" w:cs="Calibri"/>
        <w:sz w:val="20"/>
        <w:lang w:val="en-US" w:eastAsia="en-US"/>
      </w:rPr>
      <w:tab/>
    </w:r>
    <w:r w:rsidRPr="005A2796">
      <w:rPr>
        <w:rFonts w:ascii="Calibri" w:hAnsi="Calibri" w:cs="Calibri"/>
        <w:sz w:val="20"/>
        <w:lang w:val="en-US" w:eastAsia="en-US"/>
      </w:rPr>
      <w:tab/>
    </w:r>
    <w:r w:rsidR="003B7243" w:rsidRPr="005A2796">
      <w:rPr>
        <w:rFonts w:ascii="Calibri" w:hAnsi="Calibri" w:cs="Calibri"/>
        <w:sz w:val="20"/>
        <w:lang w:val="en-US" w:eastAsia="en-US"/>
      </w:rPr>
      <w:t>University of Helsinki</w:t>
    </w:r>
  </w:p>
  <w:p w14:paraId="13847FE6" w14:textId="7A9A07FA" w:rsidR="009030EA" w:rsidRPr="005A2796" w:rsidRDefault="009030EA" w:rsidP="009030EA">
    <w:pPr>
      <w:spacing w:line="276" w:lineRule="auto"/>
      <w:rPr>
        <w:rFonts w:ascii="Calibri" w:hAnsi="Calibri" w:cs="Calibri"/>
        <w:sz w:val="20"/>
        <w:lang w:val="en-US" w:eastAsia="en-US"/>
      </w:rPr>
    </w:pPr>
    <w:r w:rsidRPr="005A2796">
      <w:rPr>
        <w:rFonts w:ascii="Calibri" w:hAnsi="Calibri" w:cs="Calibri"/>
        <w:sz w:val="20"/>
        <w:lang w:val="en-US" w:eastAsia="en-US"/>
      </w:rPr>
      <w:tab/>
    </w:r>
    <w:r w:rsidRPr="005A2796">
      <w:rPr>
        <w:rFonts w:ascii="Calibri" w:hAnsi="Calibri" w:cs="Calibri"/>
        <w:sz w:val="20"/>
        <w:lang w:val="en-US" w:eastAsia="en-US"/>
      </w:rPr>
      <w:tab/>
      <w:t>00014 Helsinki</w:t>
    </w:r>
  </w:p>
  <w:p w14:paraId="5D2B6063" w14:textId="53D68F66" w:rsidR="009030EA" w:rsidRPr="005A2796" w:rsidRDefault="009030EA" w:rsidP="009030EA">
    <w:pPr>
      <w:spacing w:line="276" w:lineRule="auto"/>
      <w:rPr>
        <w:rFonts w:ascii="Calibri" w:hAnsi="Calibri" w:cs="Calibri"/>
        <w:sz w:val="20"/>
        <w:lang w:val="en-US"/>
      </w:rPr>
    </w:pPr>
    <w:r w:rsidRPr="005A2796">
      <w:rPr>
        <w:rFonts w:ascii="Calibri" w:hAnsi="Calibri" w:cs="Calibri"/>
        <w:sz w:val="20"/>
        <w:lang w:val="en-US" w:eastAsia="en-US"/>
      </w:rPr>
      <w:tab/>
    </w:r>
    <w:r w:rsidRPr="005A2796">
      <w:rPr>
        <w:rFonts w:ascii="Calibri" w:hAnsi="Calibri" w:cs="Calibri"/>
        <w:sz w:val="20"/>
        <w:lang w:val="en-US" w:eastAsia="en-US"/>
      </w:rPr>
      <w:tab/>
      <w:t>FINLAND</w:t>
    </w:r>
  </w:p>
  <w:p w14:paraId="48F3F9E6" w14:textId="045EC84C" w:rsidR="00D33C64" w:rsidRPr="003B7243" w:rsidRDefault="00D33C64">
    <w:pPr>
      <w:pStyle w:val="En-tte"/>
      <w:rPr>
        <w:lang w:val="en-US"/>
      </w:rPr>
    </w:pPr>
  </w:p>
  <w:p w14:paraId="442853F7" w14:textId="362A1BC8" w:rsidR="00E067B5" w:rsidRPr="003B7243" w:rsidRDefault="00E067B5" w:rsidP="00E067B5">
    <w:pPr>
      <w:pStyle w:val="En-tte"/>
      <w:tabs>
        <w:tab w:val="left" w:pos="2655"/>
      </w:tabs>
      <w:rPr>
        <w:lang w:val="en-US"/>
      </w:rPr>
    </w:pPr>
    <w:r w:rsidRPr="003B7243">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44" w:type="dxa"/>
      <w:tblInd w:w="4395" w:type="dxa"/>
      <w:tblLayout w:type="fixed"/>
      <w:tblCellMar>
        <w:left w:w="0" w:type="dxa"/>
        <w:right w:w="0" w:type="dxa"/>
      </w:tblCellMar>
      <w:tblLook w:val="0000" w:firstRow="0" w:lastRow="0" w:firstColumn="0" w:lastColumn="0" w:noHBand="0" w:noVBand="0"/>
    </w:tblPr>
    <w:tblGrid>
      <w:gridCol w:w="2551"/>
      <w:gridCol w:w="487"/>
      <w:gridCol w:w="1072"/>
      <w:gridCol w:w="1134"/>
    </w:tblGrid>
    <w:tr w:rsidR="00D33C64" w14:paraId="3F7D4F81" w14:textId="77777777" w:rsidTr="00730C9D">
      <w:trPr>
        <w:cantSplit/>
        <w:trHeight w:val="250"/>
      </w:trPr>
      <w:tc>
        <w:tcPr>
          <w:tcW w:w="2551" w:type="dxa"/>
        </w:tcPr>
        <w:p w14:paraId="63B8575D" w14:textId="2A03A55D" w:rsidR="00D33C64" w:rsidRDefault="001006CC" w:rsidP="00DE25F0">
          <w:r w:rsidRPr="00B61E8D">
            <w:rPr>
              <w:noProof/>
              <w:lang w:val="en-US" w:eastAsia="en-US"/>
            </w:rPr>
            <w:drawing>
              <wp:anchor distT="0" distB="0" distL="114300" distR="114300" simplePos="0" relativeHeight="251663360" behindDoc="0" locked="0" layoutInCell="0" allowOverlap="1" wp14:anchorId="57937B67" wp14:editId="47777FA0">
                <wp:simplePos x="0" y="0"/>
                <wp:positionH relativeFrom="page">
                  <wp:posOffset>291465</wp:posOffset>
                </wp:positionH>
                <wp:positionV relativeFrom="page">
                  <wp:posOffset>152400</wp:posOffset>
                </wp:positionV>
                <wp:extent cx="1492250" cy="1409700"/>
                <wp:effectExtent l="0" t="0" r="0" b="0"/>
                <wp:wrapNone/>
                <wp:docPr id="2" name="Kuva 0" descr="HY__LA01_Flame_____B6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__LA01_Flame_____B6___RGB.JPG"/>
                        <pic:cNvPicPr/>
                      </pic:nvPicPr>
                      <pic:blipFill>
                        <a:blip r:embed="rId1"/>
                        <a:stretch>
                          <a:fillRect/>
                        </a:stretch>
                      </pic:blipFill>
                      <pic:spPr>
                        <a:xfrm>
                          <a:off x="0" y="0"/>
                          <a:ext cx="1492250" cy="1409700"/>
                        </a:xfrm>
                        <a:prstGeom prst="rect">
                          <a:avLst/>
                        </a:prstGeom>
                      </pic:spPr>
                    </pic:pic>
                  </a:graphicData>
                </a:graphic>
                <wp14:sizeRelH relativeFrom="margin">
                  <wp14:pctWidth>0</wp14:pctWidth>
                </wp14:sizeRelH>
                <wp14:sizeRelV relativeFrom="margin">
                  <wp14:pctHeight>0</wp14:pctHeight>
                </wp14:sizeRelV>
              </wp:anchor>
            </w:drawing>
          </w:r>
          <w:r w:rsidR="00BF335F">
            <w:rPr>
              <w:b/>
              <w:snapToGrid w:val="0"/>
            </w:rPr>
            <w:t>Minutes</w:t>
          </w:r>
          <w:r w:rsidR="00F52200">
            <w:rPr>
              <w:b/>
              <w:snapToGrid w:val="0"/>
            </w:rPr>
            <w:t xml:space="preserve"> of the meeting</w:t>
          </w:r>
        </w:p>
      </w:tc>
      <w:tc>
        <w:tcPr>
          <w:tcW w:w="1559" w:type="dxa"/>
          <w:gridSpan w:val="2"/>
        </w:tcPr>
        <w:p w14:paraId="31FC6AFF" w14:textId="343BA994" w:rsidR="00D33C64" w:rsidRDefault="000C61F8" w:rsidP="00730C9D">
          <w:pPr>
            <w:pStyle w:val="En-tte"/>
            <w:ind w:left="424"/>
            <w:jc w:val="right"/>
            <w:rPr>
              <w:snapToGrid w:val="0"/>
            </w:rPr>
          </w:pPr>
          <w:r>
            <w:rPr>
              <w:snapToGrid w:val="0"/>
            </w:rPr>
            <w:t>3</w:t>
          </w:r>
          <w:r w:rsidR="00D33C64">
            <w:rPr>
              <w:snapToGrid w:val="0"/>
            </w:rPr>
            <w:t>/201</w:t>
          </w:r>
          <w:r w:rsidR="00730C9D">
            <w:rPr>
              <w:snapToGrid w:val="0"/>
            </w:rPr>
            <w:t>4</w:t>
          </w:r>
        </w:p>
      </w:tc>
      <w:tc>
        <w:tcPr>
          <w:tcW w:w="1134" w:type="dxa"/>
        </w:tcPr>
        <w:p w14:paraId="3BA18BCF" w14:textId="77777777" w:rsidR="00D33C64" w:rsidRDefault="00D33C64" w:rsidP="00730C9D">
          <w:pPr>
            <w:pStyle w:val="En-tte"/>
            <w:jc w:val="right"/>
          </w:pPr>
          <w:r>
            <w:rPr>
              <w:snapToGrid w:val="0"/>
            </w:rPr>
            <w:fldChar w:fldCharType="begin"/>
          </w:r>
          <w:r>
            <w:rPr>
              <w:snapToGrid w:val="0"/>
            </w:rPr>
            <w:instrText xml:space="preserve"> PAGE </w:instrText>
          </w:r>
          <w:r>
            <w:rPr>
              <w:snapToGrid w:val="0"/>
            </w:rPr>
            <w:fldChar w:fldCharType="separate"/>
          </w:r>
          <w:r w:rsidR="00E067B5">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3C04BD">
            <w:rPr>
              <w:noProof/>
              <w:snapToGrid w:val="0"/>
            </w:rPr>
            <w:t>3</w:t>
          </w:r>
          <w:r>
            <w:rPr>
              <w:snapToGrid w:val="0"/>
            </w:rPr>
            <w:fldChar w:fldCharType="end"/>
          </w:r>
          <w:r>
            <w:rPr>
              <w:snapToGrid w:val="0"/>
            </w:rPr>
            <w:t>)</w:t>
          </w:r>
        </w:p>
      </w:tc>
    </w:tr>
    <w:tr w:rsidR="00D33C64" w14:paraId="7F811A75" w14:textId="77777777" w:rsidTr="00730C9D">
      <w:trPr>
        <w:cantSplit/>
        <w:trHeight w:val="250"/>
      </w:trPr>
      <w:tc>
        <w:tcPr>
          <w:tcW w:w="3038" w:type="dxa"/>
          <w:gridSpan w:val="2"/>
        </w:tcPr>
        <w:p w14:paraId="455FD065" w14:textId="77777777" w:rsidR="00D33C64" w:rsidRDefault="00D33C64" w:rsidP="00730C9D"/>
      </w:tc>
      <w:tc>
        <w:tcPr>
          <w:tcW w:w="2206" w:type="dxa"/>
          <w:gridSpan w:val="2"/>
        </w:tcPr>
        <w:p w14:paraId="07CA85F1" w14:textId="77777777" w:rsidR="00D33C64" w:rsidRDefault="00D33C64">
          <w:pPr>
            <w:pStyle w:val="En-tte"/>
          </w:pPr>
        </w:p>
      </w:tc>
    </w:tr>
    <w:tr w:rsidR="00D33C64" w14:paraId="48F49921" w14:textId="77777777" w:rsidTr="00730C9D">
      <w:trPr>
        <w:cantSplit/>
        <w:trHeight w:val="250"/>
      </w:trPr>
      <w:tc>
        <w:tcPr>
          <w:tcW w:w="3038" w:type="dxa"/>
          <w:gridSpan w:val="2"/>
        </w:tcPr>
        <w:p w14:paraId="16E0E548" w14:textId="69ECB8B8" w:rsidR="00D33C64" w:rsidRDefault="000C61F8" w:rsidP="000C61F8">
          <w:pPr>
            <w:pStyle w:val="En-tte"/>
          </w:pPr>
          <w:r>
            <w:rPr>
              <w:rFonts w:eastAsia="Arial"/>
              <w:color w:val="000000"/>
            </w:rPr>
            <w:t>16</w:t>
          </w:r>
          <w:r w:rsidR="00730C9D" w:rsidRPr="00545787">
            <w:rPr>
              <w:rFonts w:eastAsia="Arial"/>
              <w:color w:val="000000"/>
            </w:rPr>
            <w:t>.</w:t>
          </w:r>
          <w:r>
            <w:rPr>
              <w:rFonts w:eastAsia="Arial"/>
              <w:color w:val="000000"/>
            </w:rPr>
            <w:t>4</w:t>
          </w:r>
          <w:r w:rsidR="00730C9D" w:rsidRPr="00545787">
            <w:rPr>
              <w:rFonts w:eastAsia="Arial"/>
              <w:color w:val="000000"/>
            </w:rPr>
            <w:t>.201</w:t>
          </w:r>
          <w:r w:rsidR="00730C9D">
            <w:rPr>
              <w:rFonts w:eastAsia="Arial"/>
              <w:color w:val="000000"/>
            </w:rPr>
            <w:t>4</w:t>
          </w:r>
        </w:p>
      </w:tc>
      <w:tc>
        <w:tcPr>
          <w:tcW w:w="2206" w:type="dxa"/>
          <w:gridSpan w:val="2"/>
        </w:tcPr>
        <w:p w14:paraId="4CC8A87D" w14:textId="77777777" w:rsidR="00D33C64" w:rsidRDefault="00D33C64">
          <w:pPr>
            <w:pStyle w:val="En-tte"/>
          </w:pPr>
        </w:p>
      </w:tc>
    </w:tr>
    <w:tr w:rsidR="00D33C64" w14:paraId="442912B3" w14:textId="77777777" w:rsidTr="00730C9D">
      <w:trPr>
        <w:cantSplit/>
        <w:trHeight w:val="250"/>
      </w:trPr>
      <w:tc>
        <w:tcPr>
          <w:tcW w:w="3038" w:type="dxa"/>
          <w:gridSpan w:val="2"/>
        </w:tcPr>
        <w:p w14:paraId="6AA35908" w14:textId="58F122EC" w:rsidR="00D33C64" w:rsidRDefault="00D33C64" w:rsidP="00730C9D">
          <w:pPr>
            <w:pStyle w:val="En-tte"/>
          </w:pPr>
        </w:p>
      </w:tc>
      <w:tc>
        <w:tcPr>
          <w:tcW w:w="2206" w:type="dxa"/>
          <w:gridSpan w:val="2"/>
        </w:tcPr>
        <w:p w14:paraId="179B8424" w14:textId="77777777" w:rsidR="00D33C64" w:rsidRDefault="00D33C64">
          <w:pPr>
            <w:pStyle w:val="En-tte"/>
          </w:pPr>
        </w:p>
      </w:tc>
    </w:tr>
  </w:tbl>
  <w:p w14:paraId="76BF2AA6" w14:textId="77777777" w:rsidR="00D33C64" w:rsidRDefault="00D33C64">
    <w:pPr>
      <w:pStyle w:val="En-tte"/>
    </w:pPr>
  </w:p>
  <w:p w14:paraId="1ED42967" w14:textId="77777777" w:rsidR="00D33C64" w:rsidRDefault="00D33C64">
    <w:pPr>
      <w:pStyle w:val="En-tte"/>
    </w:pPr>
  </w:p>
  <w:p w14:paraId="4C451B13" w14:textId="77777777" w:rsidR="00D33C64" w:rsidRDefault="00D33C64">
    <w:pPr>
      <w:pStyle w:val="En-tte"/>
    </w:pPr>
  </w:p>
  <w:p w14:paraId="122C8CC2" w14:textId="77777777" w:rsidR="00D33C64" w:rsidRDefault="00D33C64" w:rsidP="00F823C6">
    <w:pPr>
      <w:pStyle w:val="En-tte"/>
      <w:tabs>
        <w:tab w:val="left" w:pos="7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5240BE"/>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9384CAEE"/>
    <w:lvl w:ilvl="0">
      <w:start w:val="1"/>
      <w:numFmt w:val="decimal"/>
      <w:pStyle w:val="Listenumros3"/>
      <w:lvlText w:val="%1."/>
      <w:lvlJc w:val="left"/>
      <w:pPr>
        <w:tabs>
          <w:tab w:val="num" w:pos="926"/>
        </w:tabs>
        <w:ind w:left="926" w:hanging="360"/>
      </w:pPr>
    </w:lvl>
  </w:abstractNum>
  <w:abstractNum w:abstractNumId="2" w15:restartNumberingAfterBreak="0">
    <w:nsid w:val="FFFFFF7F"/>
    <w:multiLevelType w:val="singleLevel"/>
    <w:tmpl w:val="9CF843B8"/>
    <w:lvl w:ilvl="0">
      <w:start w:val="1"/>
      <w:numFmt w:val="decimal"/>
      <w:pStyle w:val="Listenumros2"/>
      <w:lvlText w:val="%1."/>
      <w:lvlJc w:val="left"/>
      <w:pPr>
        <w:tabs>
          <w:tab w:val="num" w:pos="643"/>
        </w:tabs>
        <w:ind w:left="643" w:hanging="360"/>
      </w:pPr>
    </w:lvl>
  </w:abstractNum>
  <w:abstractNum w:abstractNumId="3" w15:restartNumberingAfterBreak="0">
    <w:nsid w:val="FFFFFF82"/>
    <w:multiLevelType w:val="singleLevel"/>
    <w:tmpl w:val="BB24F14C"/>
    <w:lvl w:ilvl="0">
      <w:start w:val="1"/>
      <w:numFmt w:val="bullet"/>
      <w:pStyle w:val="Listepuce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BC0BD4A"/>
    <w:lvl w:ilvl="0">
      <w:start w:val="1"/>
      <w:numFmt w:val="bullet"/>
      <w:pStyle w:val="Listepuces2"/>
      <w:lvlText w:val="−"/>
      <w:lvlJc w:val="left"/>
      <w:pPr>
        <w:tabs>
          <w:tab w:val="num" w:pos="643"/>
        </w:tabs>
        <w:ind w:left="643" w:hanging="360"/>
      </w:pPr>
      <w:rPr>
        <w:rFonts w:ascii="Arial" w:hAnsi="Arial" w:hint="default"/>
      </w:rPr>
    </w:lvl>
  </w:abstractNum>
  <w:abstractNum w:abstractNumId="5" w15:restartNumberingAfterBreak="0">
    <w:nsid w:val="FFFFFF88"/>
    <w:multiLevelType w:val="multilevel"/>
    <w:tmpl w:val="563009E0"/>
    <w:lvl w:ilvl="0">
      <w:start w:val="1"/>
      <w:numFmt w:val="decimal"/>
      <w:lvlText w:val="%1."/>
      <w:lvlJc w:val="left"/>
      <w:pPr>
        <w:tabs>
          <w:tab w:val="num" w:pos="1920"/>
        </w:tabs>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6" w15:restartNumberingAfterBreak="0">
    <w:nsid w:val="FFFFFF89"/>
    <w:multiLevelType w:val="singleLevel"/>
    <w:tmpl w:val="CCAA09D0"/>
    <w:lvl w:ilvl="0">
      <w:start w:val="1"/>
      <w:numFmt w:val="bullet"/>
      <w:pStyle w:val="Listepuces"/>
      <w:lvlText w:val=""/>
      <w:lvlJc w:val="left"/>
      <w:pPr>
        <w:tabs>
          <w:tab w:val="num" w:pos="360"/>
        </w:tabs>
        <w:ind w:left="360" w:hanging="360"/>
      </w:pPr>
      <w:rPr>
        <w:rFonts w:ascii="Wingdings" w:hAnsi="Wingdings" w:hint="default"/>
        <w:sz w:val="16"/>
      </w:rPr>
    </w:lvl>
  </w:abstractNum>
  <w:abstractNum w:abstractNumId="7" w15:restartNumberingAfterBreak="0">
    <w:nsid w:val="00000002"/>
    <w:multiLevelType w:val="singleLevel"/>
    <w:tmpl w:val="00000002"/>
    <w:lvl w:ilvl="0">
      <w:start w:val="1"/>
      <w:numFmt w:val="decimal"/>
      <w:suff w:val="space"/>
      <w:lvlText w:val="%1."/>
      <w:lvlJc w:val="left"/>
    </w:lvl>
  </w:abstractNum>
  <w:abstractNum w:abstractNumId="8" w15:restartNumberingAfterBreak="0">
    <w:nsid w:val="00000006"/>
    <w:multiLevelType w:val="singleLevel"/>
    <w:tmpl w:val="00000006"/>
    <w:lvl w:ilvl="0">
      <w:start w:val="5"/>
      <w:numFmt w:val="decimal"/>
      <w:suff w:val="space"/>
      <w:lvlText w:val="%1."/>
      <w:lvlJc w:val="left"/>
    </w:lvl>
  </w:abstractNum>
  <w:abstractNum w:abstractNumId="9" w15:restartNumberingAfterBreak="0">
    <w:nsid w:val="0C4B446F"/>
    <w:multiLevelType w:val="hybridMultilevel"/>
    <w:tmpl w:val="55A62C74"/>
    <w:lvl w:ilvl="0" w:tplc="040B0003">
      <w:start w:val="1"/>
      <w:numFmt w:val="bullet"/>
      <w:lvlText w:val="o"/>
      <w:lvlJc w:val="left"/>
      <w:pPr>
        <w:ind w:left="927" w:hanging="360"/>
      </w:pPr>
      <w:rPr>
        <w:rFonts w:ascii="Courier New" w:hAnsi="Courier New" w:cs="Courier New"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10D60E8D"/>
    <w:multiLevelType w:val="multilevel"/>
    <w:tmpl w:val="040B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15:restartNumberingAfterBreak="0">
    <w:nsid w:val="23F47EDC"/>
    <w:multiLevelType w:val="hybridMultilevel"/>
    <w:tmpl w:val="350ED42C"/>
    <w:lvl w:ilvl="0" w:tplc="AB8A5918">
      <w:start w:val="1"/>
      <w:numFmt w:val="bullet"/>
      <w:lvlText w:val=""/>
      <w:lvlJc w:val="left"/>
      <w:pPr>
        <w:tabs>
          <w:tab w:val="num" w:pos="2912"/>
        </w:tabs>
        <w:ind w:left="2912" w:hanging="360"/>
      </w:pPr>
      <w:rPr>
        <w:rFonts w:ascii="Symbol" w:hAnsi="Symbol" w:hint="default"/>
      </w:rPr>
    </w:lvl>
    <w:lvl w:ilvl="1" w:tplc="040B0003">
      <w:start w:val="1"/>
      <w:numFmt w:val="bullet"/>
      <w:lvlText w:val="o"/>
      <w:lvlJc w:val="left"/>
      <w:pPr>
        <w:tabs>
          <w:tab w:val="num" w:pos="3992"/>
        </w:tabs>
        <w:ind w:left="3992" w:hanging="360"/>
      </w:pPr>
      <w:rPr>
        <w:rFonts w:ascii="Courier New" w:hAnsi="Courier New" w:cs="Arial" w:hint="default"/>
      </w:rPr>
    </w:lvl>
    <w:lvl w:ilvl="2" w:tplc="040B0005" w:tentative="1">
      <w:start w:val="1"/>
      <w:numFmt w:val="bullet"/>
      <w:lvlText w:val=""/>
      <w:lvlJc w:val="left"/>
      <w:pPr>
        <w:tabs>
          <w:tab w:val="num" w:pos="4712"/>
        </w:tabs>
        <w:ind w:left="4712" w:hanging="360"/>
      </w:pPr>
      <w:rPr>
        <w:rFonts w:ascii="Wingdings" w:hAnsi="Wingdings" w:hint="default"/>
      </w:rPr>
    </w:lvl>
    <w:lvl w:ilvl="3" w:tplc="040B0001" w:tentative="1">
      <w:start w:val="1"/>
      <w:numFmt w:val="bullet"/>
      <w:lvlText w:val=""/>
      <w:lvlJc w:val="left"/>
      <w:pPr>
        <w:tabs>
          <w:tab w:val="num" w:pos="5432"/>
        </w:tabs>
        <w:ind w:left="5432" w:hanging="360"/>
      </w:pPr>
      <w:rPr>
        <w:rFonts w:ascii="Symbol" w:hAnsi="Symbol" w:hint="default"/>
      </w:rPr>
    </w:lvl>
    <w:lvl w:ilvl="4" w:tplc="040B0003" w:tentative="1">
      <w:start w:val="1"/>
      <w:numFmt w:val="bullet"/>
      <w:lvlText w:val="o"/>
      <w:lvlJc w:val="left"/>
      <w:pPr>
        <w:tabs>
          <w:tab w:val="num" w:pos="6152"/>
        </w:tabs>
        <w:ind w:left="6152" w:hanging="360"/>
      </w:pPr>
      <w:rPr>
        <w:rFonts w:ascii="Courier New" w:hAnsi="Courier New" w:cs="Arial" w:hint="default"/>
      </w:rPr>
    </w:lvl>
    <w:lvl w:ilvl="5" w:tplc="040B0005" w:tentative="1">
      <w:start w:val="1"/>
      <w:numFmt w:val="bullet"/>
      <w:lvlText w:val=""/>
      <w:lvlJc w:val="left"/>
      <w:pPr>
        <w:tabs>
          <w:tab w:val="num" w:pos="6872"/>
        </w:tabs>
        <w:ind w:left="6872" w:hanging="360"/>
      </w:pPr>
      <w:rPr>
        <w:rFonts w:ascii="Wingdings" w:hAnsi="Wingdings" w:hint="default"/>
      </w:rPr>
    </w:lvl>
    <w:lvl w:ilvl="6" w:tplc="040B0001" w:tentative="1">
      <w:start w:val="1"/>
      <w:numFmt w:val="bullet"/>
      <w:lvlText w:val=""/>
      <w:lvlJc w:val="left"/>
      <w:pPr>
        <w:tabs>
          <w:tab w:val="num" w:pos="7592"/>
        </w:tabs>
        <w:ind w:left="7592" w:hanging="360"/>
      </w:pPr>
      <w:rPr>
        <w:rFonts w:ascii="Symbol" w:hAnsi="Symbol" w:hint="default"/>
      </w:rPr>
    </w:lvl>
    <w:lvl w:ilvl="7" w:tplc="040B0003" w:tentative="1">
      <w:start w:val="1"/>
      <w:numFmt w:val="bullet"/>
      <w:lvlText w:val="o"/>
      <w:lvlJc w:val="left"/>
      <w:pPr>
        <w:tabs>
          <w:tab w:val="num" w:pos="8312"/>
        </w:tabs>
        <w:ind w:left="8312" w:hanging="360"/>
      </w:pPr>
      <w:rPr>
        <w:rFonts w:ascii="Courier New" w:hAnsi="Courier New" w:cs="Arial" w:hint="default"/>
      </w:rPr>
    </w:lvl>
    <w:lvl w:ilvl="8" w:tplc="040B0005" w:tentative="1">
      <w:start w:val="1"/>
      <w:numFmt w:val="bullet"/>
      <w:lvlText w:val=""/>
      <w:lvlJc w:val="left"/>
      <w:pPr>
        <w:tabs>
          <w:tab w:val="num" w:pos="9032"/>
        </w:tabs>
        <w:ind w:left="9032" w:hanging="360"/>
      </w:pPr>
      <w:rPr>
        <w:rFonts w:ascii="Wingdings" w:hAnsi="Wingdings" w:hint="default"/>
      </w:rPr>
    </w:lvl>
  </w:abstractNum>
  <w:abstractNum w:abstractNumId="12" w15:restartNumberingAfterBreak="0">
    <w:nsid w:val="2BE82A9E"/>
    <w:multiLevelType w:val="hybridMultilevel"/>
    <w:tmpl w:val="258E033A"/>
    <w:lvl w:ilvl="0" w:tplc="9104B902">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E2188"/>
    <w:multiLevelType w:val="multilevel"/>
    <w:tmpl w:val="13AE458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15:restartNumberingAfterBreak="0">
    <w:nsid w:val="32C56E50"/>
    <w:multiLevelType w:val="hybridMultilevel"/>
    <w:tmpl w:val="AA120C96"/>
    <w:lvl w:ilvl="0" w:tplc="1238318A">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0F2451A"/>
    <w:multiLevelType w:val="hybridMultilevel"/>
    <w:tmpl w:val="30DE22F6"/>
    <w:lvl w:ilvl="0" w:tplc="FE324722">
      <w:start w:val="5"/>
      <w:numFmt w:val="bullet"/>
      <w:lvlText w:val="-"/>
      <w:lvlJc w:val="left"/>
      <w:pPr>
        <w:ind w:left="927" w:hanging="360"/>
      </w:pPr>
      <w:rPr>
        <w:rFonts w:ascii="Arial" w:eastAsia="Times New Roma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6" w15:restartNumberingAfterBreak="0">
    <w:nsid w:val="49BC059B"/>
    <w:multiLevelType w:val="multilevel"/>
    <w:tmpl w:val="8A60060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4F257F66"/>
    <w:multiLevelType w:val="multilevel"/>
    <w:tmpl w:val="351A780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4FCE4807"/>
    <w:multiLevelType w:val="multilevel"/>
    <w:tmpl w:val="351A780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52A555C5"/>
    <w:multiLevelType w:val="hybridMultilevel"/>
    <w:tmpl w:val="4F00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F3247FA"/>
    <w:multiLevelType w:val="hybridMultilevel"/>
    <w:tmpl w:val="2A4AD286"/>
    <w:lvl w:ilvl="0" w:tplc="1238318A">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18B6F52"/>
    <w:multiLevelType w:val="hybridMultilevel"/>
    <w:tmpl w:val="0AD862FA"/>
    <w:lvl w:ilvl="0" w:tplc="1238318A">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E147E4"/>
    <w:multiLevelType w:val="hybridMultilevel"/>
    <w:tmpl w:val="90D0EE3C"/>
    <w:lvl w:ilvl="0" w:tplc="040B0001">
      <w:start w:val="1"/>
      <w:numFmt w:val="bullet"/>
      <w:lvlText w:val=""/>
      <w:lvlJc w:val="left"/>
      <w:pPr>
        <w:ind w:left="3338" w:hanging="360"/>
      </w:pPr>
      <w:rPr>
        <w:rFonts w:ascii="Symbol" w:hAnsi="Symbol" w:hint="default"/>
      </w:rPr>
    </w:lvl>
    <w:lvl w:ilvl="1" w:tplc="040B0003">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3" w15:restartNumberingAfterBreak="0">
    <w:nsid w:val="62F51F8E"/>
    <w:multiLevelType w:val="hybridMultilevel"/>
    <w:tmpl w:val="7A42D822"/>
    <w:lvl w:ilvl="0" w:tplc="1238318A">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910F2C"/>
    <w:multiLevelType w:val="multilevel"/>
    <w:tmpl w:val="040B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B6F4EC7"/>
    <w:multiLevelType w:val="hybridMultilevel"/>
    <w:tmpl w:val="BDAA9ABE"/>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6" w15:restartNumberingAfterBreak="0">
    <w:nsid w:val="7AEC08D4"/>
    <w:multiLevelType w:val="hybridMultilevel"/>
    <w:tmpl w:val="DD9C2D5C"/>
    <w:lvl w:ilvl="0" w:tplc="41C8E59A">
      <w:start w:val="4"/>
      <w:numFmt w:val="bullet"/>
      <w:lvlText w:val="-"/>
      <w:lvlJc w:val="left"/>
      <w:pPr>
        <w:ind w:left="1004" w:hanging="360"/>
      </w:pPr>
      <w:rPr>
        <w:rFonts w:ascii="Arial" w:eastAsia="Times New Roman" w:hAnsi="Arial" w:cs="Arial" w:hint="default"/>
      </w:rPr>
    </w:lvl>
    <w:lvl w:ilvl="1" w:tplc="040B0003">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3"/>
  </w:num>
  <w:num w:numId="6">
    <w:abstractNumId w:val="10"/>
  </w:num>
  <w:num w:numId="7">
    <w:abstractNumId w:val="16"/>
  </w:num>
  <w:num w:numId="8">
    <w:abstractNumId w:val="0"/>
  </w:num>
  <w:num w:numId="9">
    <w:abstractNumId w:val="2"/>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num>
  <w:num w:numId="14">
    <w:abstractNumId w:val="10"/>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19"/>
  </w:num>
  <w:num w:numId="23">
    <w:abstractNumId w:val="21"/>
  </w:num>
  <w:num w:numId="24">
    <w:abstractNumId w:val="20"/>
  </w:num>
  <w:num w:numId="25">
    <w:abstractNumId w:val="23"/>
  </w:num>
  <w:num w:numId="26">
    <w:abstractNumId w:val="14"/>
  </w:num>
  <w:num w:numId="27">
    <w:abstractNumId w:val="11"/>
  </w:num>
  <w:num w:numId="28">
    <w:abstractNumId w:val="22"/>
  </w:num>
  <w:num w:numId="29">
    <w:abstractNumId w:val="25"/>
  </w:num>
  <w:num w:numId="30">
    <w:abstractNumId w:val="26"/>
  </w:num>
  <w:num w:numId="31">
    <w:abstractNumId w:val="15"/>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08"/>
    <w:rsid w:val="00007EC7"/>
    <w:rsid w:val="00012E02"/>
    <w:rsid w:val="00022B87"/>
    <w:rsid w:val="00035C66"/>
    <w:rsid w:val="00040DFB"/>
    <w:rsid w:val="00042936"/>
    <w:rsid w:val="000509BD"/>
    <w:rsid w:val="00053CE4"/>
    <w:rsid w:val="00060C56"/>
    <w:rsid w:val="000771D5"/>
    <w:rsid w:val="00086FFE"/>
    <w:rsid w:val="00090CFA"/>
    <w:rsid w:val="000922DA"/>
    <w:rsid w:val="000948F1"/>
    <w:rsid w:val="00095D4A"/>
    <w:rsid w:val="000A2D59"/>
    <w:rsid w:val="000A68F7"/>
    <w:rsid w:val="000B55E9"/>
    <w:rsid w:val="000C61F8"/>
    <w:rsid w:val="000C781D"/>
    <w:rsid w:val="000E05CE"/>
    <w:rsid w:val="000E4477"/>
    <w:rsid w:val="000E5127"/>
    <w:rsid w:val="000E713D"/>
    <w:rsid w:val="000F675D"/>
    <w:rsid w:val="001006CC"/>
    <w:rsid w:val="00107D1F"/>
    <w:rsid w:val="001138DA"/>
    <w:rsid w:val="00117514"/>
    <w:rsid w:val="00122569"/>
    <w:rsid w:val="00122C99"/>
    <w:rsid w:val="00130938"/>
    <w:rsid w:val="00142A64"/>
    <w:rsid w:val="00170056"/>
    <w:rsid w:val="001767C3"/>
    <w:rsid w:val="00182E87"/>
    <w:rsid w:val="00184D4C"/>
    <w:rsid w:val="00192621"/>
    <w:rsid w:val="001A6C78"/>
    <w:rsid w:val="001B09CE"/>
    <w:rsid w:val="001B243C"/>
    <w:rsid w:val="001B29B1"/>
    <w:rsid w:val="001B6CA9"/>
    <w:rsid w:val="001C4115"/>
    <w:rsid w:val="001D0794"/>
    <w:rsid w:val="001D2A18"/>
    <w:rsid w:val="001D4713"/>
    <w:rsid w:val="001E00F3"/>
    <w:rsid w:val="001F4CDD"/>
    <w:rsid w:val="0020529A"/>
    <w:rsid w:val="00222D3D"/>
    <w:rsid w:val="002272A2"/>
    <w:rsid w:val="002328CB"/>
    <w:rsid w:val="00233C41"/>
    <w:rsid w:val="0023481A"/>
    <w:rsid w:val="002413EC"/>
    <w:rsid w:val="00250C5B"/>
    <w:rsid w:val="002517E9"/>
    <w:rsid w:val="00261508"/>
    <w:rsid w:val="00261AE4"/>
    <w:rsid w:val="002751D4"/>
    <w:rsid w:val="00295157"/>
    <w:rsid w:val="002C1EA7"/>
    <w:rsid w:val="002D3608"/>
    <w:rsid w:val="002E02AD"/>
    <w:rsid w:val="002E663F"/>
    <w:rsid w:val="002F031B"/>
    <w:rsid w:val="002F087C"/>
    <w:rsid w:val="002F4688"/>
    <w:rsid w:val="003002A3"/>
    <w:rsid w:val="003049C2"/>
    <w:rsid w:val="00307436"/>
    <w:rsid w:val="003156E0"/>
    <w:rsid w:val="00335C3D"/>
    <w:rsid w:val="00341237"/>
    <w:rsid w:val="00342A15"/>
    <w:rsid w:val="00346EBB"/>
    <w:rsid w:val="00347398"/>
    <w:rsid w:val="00364FA5"/>
    <w:rsid w:val="003946CB"/>
    <w:rsid w:val="00394D56"/>
    <w:rsid w:val="00396DB5"/>
    <w:rsid w:val="003B7243"/>
    <w:rsid w:val="003C04BD"/>
    <w:rsid w:val="003C335D"/>
    <w:rsid w:val="003C7F1C"/>
    <w:rsid w:val="003F24DF"/>
    <w:rsid w:val="003F6749"/>
    <w:rsid w:val="00400DAF"/>
    <w:rsid w:val="00414857"/>
    <w:rsid w:val="00433125"/>
    <w:rsid w:val="00445FB1"/>
    <w:rsid w:val="004639DD"/>
    <w:rsid w:val="00477D05"/>
    <w:rsid w:val="00480335"/>
    <w:rsid w:val="00486F36"/>
    <w:rsid w:val="004A3911"/>
    <w:rsid w:val="004A4DFE"/>
    <w:rsid w:val="004A5AD5"/>
    <w:rsid w:val="004A627D"/>
    <w:rsid w:val="004B79DA"/>
    <w:rsid w:val="004C2B1E"/>
    <w:rsid w:val="004D0F46"/>
    <w:rsid w:val="004F0E42"/>
    <w:rsid w:val="004F1606"/>
    <w:rsid w:val="004F1F62"/>
    <w:rsid w:val="004F783C"/>
    <w:rsid w:val="00500347"/>
    <w:rsid w:val="00505A92"/>
    <w:rsid w:val="00520465"/>
    <w:rsid w:val="00522A02"/>
    <w:rsid w:val="00522B76"/>
    <w:rsid w:val="00537573"/>
    <w:rsid w:val="00551A3A"/>
    <w:rsid w:val="00563C7E"/>
    <w:rsid w:val="00574190"/>
    <w:rsid w:val="00577FFE"/>
    <w:rsid w:val="00594132"/>
    <w:rsid w:val="00597FA3"/>
    <w:rsid w:val="005A2796"/>
    <w:rsid w:val="005A4652"/>
    <w:rsid w:val="005A5939"/>
    <w:rsid w:val="005C17A8"/>
    <w:rsid w:val="005D49AF"/>
    <w:rsid w:val="005E19C3"/>
    <w:rsid w:val="005E522E"/>
    <w:rsid w:val="005F2124"/>
    <w:rsid w:val="005F3331"/>
    <w:rsid w:val="005F49CF"/>
    <w:rsid w:val="00614BC4"/>
    <w:rsid w:val="00616B80"/>
    <w:rsid w:val="0064617B"/>
    <w:rsid w:val="00657FD5"/>
    <w:rsid w:val="0067518D"/>
    <w:rsid w:val="00677111"/>
    <w:rsid w:val="00694517"/>
    <w:rsid w:val="006B4B0D"/>
    <w:rsid w:val="006B6946"/>
    <w:rsid w:val="006D22ED"/>
    <w:rsid w:val="006D4EB8"/>
    <w:rsid w:val="006F49DE"/>
    <w:rsid w:val="007002F5"/>
    <w:rsid w:val="00730C9D"/>
    <w:rsid w:val="0074687C"/>
    <w:rsid w:val="00751838"/>
    <w:rsid w:val="00752E46"/>
    <w:rsid w:val="00757DEF"/>
    <w:rsid w:val="007628C2"/>
    <w:rsid w:val="00772FB4"/>
    <w:rsid w:val="00797259"/>
    <w:rsid w:val="007A7FA7"/>
    <w:rsid w:val="007B71E9"/>
    <w:rsid w:val="007C3DB5"/>
    <w:rsid w:val="007D1A1B"/>
    <w:rsid w:val="007D585D"/>
    <w:rsid w:val="007E55A0"/>
    <w:rsid w:val="007F67E7"/>
    <w:rsid w:val="00811F59"/>
    <w:rsid w:val="00814226"/>
    <w:rsid w:val="008256E9"/>
    <w:rsid w:val="008436A4"/>
    <w:rsid w:val="0084540A"/>
    <w:rsid w:val="00851DCF"/>
    <w:rsid w:val="00857E0C"/>
    <w:rsid w:val="00883C3F"/>
    <w:rsid w:val="00883D78"/>
    <w:rsid w:val="00893B1F"/>
    <w:rsid w:val="008B380B"/>
    <w:rsid w:val="008B3E52"/>
    <w:rsid w:val="008B7184"/>
    <w:rsid w:val="008E79B0"/>
    <w:rsid w:val="00901E39"/>
    <w:rsid w:val="00902007"/>
    <w:rsid w:val="009030EA"/>
    <w:rsid w:val="009043D1"/>
    <w:rsid w:val="00906A99"/>
    <w:rsid w:val="00910C7A"/>
    <w:rsid w:val="00916601"/>
    <w:rsid w:val="00916C01"/>
    <w:rsid w:val="00917349"/>
    <w:rsid w:val="00931E19"/>
    <w:rsid w:val="00945A37"/>
    <w:rsid w:val="009524C3"/>
    <w:rsid w:val="0097067C"/>
    <w:rsid w:val="0098725F"/>
    <w:rsid w:val="00994BAC"/>
    <w:rsid w:val="009A6F32"/>
    <w:rsid w:val="009D1815"/>
    <w:rsid w:val="009E1E12"/>
    <w:rsid w:val="00A00B7F"/>
    <w:rsid w:val="00A049FD"/>
    <w:rsid w:val="00A07D9E"/>
    <w:rsid w:val="00A11485"/>
    <w:rsid w:val="00A13544"/>
    <w:rsid w:val="00A26635"/>
    <w:rsid w:val="00A27CE9"/>
    <w:rsid w:val="00A35A9C"/>
    <w:rsid w:val="00A4026E"/>
    <w:rsid w:val="00A436B6"/>
    <w:rsid w:val="00A82A0F"/>
    <w:rsid w:val="00A96068"/>
    <w:rsid w:val="00AB2E7F"/>
    <w:rsid w:val="00AC6846"/>
    <w:rsid w:val="00AC7556"/>
    <w:rsid w:val="00AD011A"/>
    <w:rsid w:val="00AE119E"/>
    <w:rsid w:val="00AF23AF"/>
    <w:rsid w:val="00AF3F1E"/>
    <w:rsid w:val="00AF5DCE"/>
    <w:rsid w:val="00AF7918"/>
    <w:rsid w:val="00B0774F"/>
    <w:rsid w:val="00B07EED"/>
    <w:rsid w:val="00B216D6"/>
    <w:rsid w:val="00B22B35"/>
    <w:rsid w:val="00B33B4D"/>
    <w:rsid w:val="00B4362D"/>
    <w:rsid w:val="00B7226D"/>
    <w:rsid w:val="00B748BB"/>
    <w:rsid w:val="00B75867"/>
    <w:rsid w:val="00B7700C"/>
    <w:rsid w:val="00B8611B"/>
    <w:rsid w:val="00B86678"/>
    <w:rsid w:val="00B93A41"/>
    <w:rsid w:val="00B96F1A"/>
    <w:rsid w:val="00BA27F4"/>
    <w:rsid w:val="00BA3753"/>
    <w:rsid w:val="00BA4B2F"/>
    <w:rsid w:val="00BC02C6"/>
    <w:rsid w:val="00BC35AC"/>
    <w:rsid w:val="00BC6010"/>
    <w:rsid w:val="00BD1B02"/>
    <w:rsid w:val="00BE0C64"/>
    <w:rsid w:val="00BF335F"/>
    <w:rsid w:val="00C01B54"/>
    <w:rsid w:val="00C0761E"/>
    <w:rsid w:val="00C10B80"/>
    <w:rsid w:val="00C26A2D"/>
    <w:rsid w:val="00C41ED0"/>
    <w:rsid w:val="00C5318F"/>
    <w:rsid w:val="00C6334D"/>
    <w:rsid w:val="00C66B2D"/>
    <w:rsid w:val="00C73AFB"/>
    <w:rsid w:val="00C87ED6"/>
    <w:rsid w:val="00C90696"/>
    <w:rsid w:val="00CB24E5"/>
    <w:rsid w:val="00CC3C76"/>
    <w:rsid w:val="00CD522D"/>
    <w:rsid w:val="00CE3247"/>
    <w:rsid w:val="00CE6850"/>
    <w:rsid w:val="00CF4968"/>
    <w:rsid w:val="00CF71C5"/>
    <w:rsid w:val="00D020AF"/>
    <w:rsid w:val="00D022F0"/>
    <w:rsid w:val="00D142BE"/>
    <w:rsid w:val="00D152FF"/>
    <w:rsid w:val="00D33C64"/>
    <w:rsid w:val="00D34481"/>
    <w:rsid w:val="00D37FE2"/>
    <w:rsid w:val="00D50274"/>
    <w:rsid w:val="00D539CB"/>
    <w:rsid w:val="00D76280"/>
    <w:rsid w:val="00D92575"/>
    <w:rsid w:val="00D96216"/>
    <w:rsid w:val="00DA49D6"/>
    <w:rsid w:val="00DA59DB"/>
    <w:rsid w:val="00DB15B2"/>
    <w:rsid w:val="00DB497E"/>
    <w:rsid w:val="00DC0143"/>
    <w:rsid w:val="00DC0395"/>
    <w:rsid w:val="00DC24CF"/>
    <w:rsid w:val="00DC570D"/>
    <w:rsid w:val="00DD1932"/>
    <w:rsid w:val="00DD6A0B"/>
    <w:rsid w:val="00DE25F0"/>
    <w:rsid w:val="00DF3A9F"/>
    <w:rsid w:val="00E067B5"/>
    <w:rsid w:val="00E12E7E"/>
    <w:rsid w:val="00E3264E"/>
    <w:rsid w:val="00E456AA"/>
    <w:rsid w:val="00E4767A"/>
    <w:rsid w:val="00E523CD"/>
    <w:rsid w:val="00E55E21"/>
    <w:rsid w:val="00E57D38"/>
    <w:rsid w:val="00E6162E"/>
    <w:rsid w:val="00E6524A"/>
    <w:rsid w:val="00E66B14"/>
    <w:rsid w:val="00E9587A"/>
    <w:rsid w:val="00E972C4"/>
    <w:rsid w:val="00EA2487"/>
    <w:rsid w:val="00EB77E6"/>
    <w:rsid w:val="00EC3C12"/>
    <w:rsid w:val="00EC6900"/>
    <w:rsid w:val="00ED3419"/>
    <w:rsid w:val="00ED7EAE"/>
    <w:rsid w:val="00F1588A"/>
    <w:rsid w:val="00F21B2D"/>
    <w:rsid w:val="00F25E4E"/>
    <w:rsid w:val="00F279E2"/>
    <w:rsid w:val="00F32626"/>
    <w:rsid w:val="00F44C75"/>
    <w:rsid w:val="00F52200"/>
    <w:rsid w:val="00F6186C"/>
    <w:rsid w:val="00F64EC5"/>
    <w:rsid w:val="00F72F9E"/>
    <w:rsid w:val="00F75ED2"/>
    <w:rsid w:val="00F7606D"/>
    <w:rsid w:val="00F80822"/>
    <w:rsid w:val="00F823C6"/>
    <w:rsid w:val="00F9022A"/>
    <w:rsid w:val="00FA454B"/>
    <w:rsid w:val="00FA5AC9"/>
    <w:rsid w:val="00FB256B"/>
    <w:rsid w:val="00FD714A"/>
    <w:rsid w:val="00FE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D459EC"/>
  <w15:docId w15:val="{7B77DFFB-E5FF-F84D-AF3F-BD9EFD90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31B"/>
    <w:pPr>
      <w:tabs>
        <w:tab w:val="left" w:pos="1304"/>
        <w:tab w:val="left" w:pos="2608"/>
        <w:tab w:val="left" w:pos="3912"/>
      </w:tabs>
      <w:spacing w:line="240" w:lineRule="atLeast"/>
    </w:pPr>
    <w:rPr>
      <w:rFonts w:ascii="Arial" w:hAnsi="Arial"/>
      <w:sz w:val="22"/>
      <w:lang w:val="fi-FI" w:eastAsia="fi-FI"/>
    </w:rPr>
  </w:style>
  <w:style w:type="paragraph" w:styleId="Titre1">
    <w:name w:val="heading 1"/>
    <w:next w:val="Corpsdetexte"/>
    <w:qFormat/>
    <w:rsid w:val="002F031B"/>
    <w:pPr>
      <w:keepNext/>
      <w:numPr>
        <w:numId w:val="14"/>
      </w:numPr>
      <w:tabs>
        <w:tab w:val="clear" w:pos="432"/>
        <w:tab w:val="left" w:pos="284"/>
        <w:tab w:val="left" w:pos="567"/>
        <w:tab w:val="left" w:pos="851"/>
        <w:tab w:val="left" w:pos="1134"/>
        <w:tab w:val="left" w:pos="1418"/>
      </w:tabs>
      <w:spacing w:before="240" w:after="240" w:line="280" w:lineRule="atLeast"/>
      <w:ind w:left="431" w:hanging="431"/>
      <w:outlineLvl w:val="0"/>
    </w:pPr>
    <w:rPr>
      <w:rFonts w:ascii="Arial" w:hAnsi="Arial"/>
      <w:b/>
      <w:noProof/>
      <w:kern w:val="28"/>
      <w:sz w:val="28"/>
      <w:lang w:val="fi-FI" w:eastAsia="fi-FI"/>
    </w:rPr>
  </w:style>
  <w:style w:type="paragraph" w:styleId="Titre2">
    <w:name w:val="heading 2"/>
    <w:basedOn w:val="Corpsdetexte"/>
    <w:next w:val="Corpsdetexte"/>
    <w:qFormat/>
    <w:rsid w:val="002F031B"/>
    <w:pPr>
      <w:numPr>
        <w:ilvl w:val="1"/>
        <w:numId w:val="14"/>
      </w:numPr>
      <w:tabs>
        <w:tab w:val="clear" w:pos="576"/>
        <w:tab w:val="clear" w:pos="1247"/>
        <w:tab w:val="clear" w:pos="2495"/>
        <w:tab w:val="clear" w:pos="3742"/>
        <w:tab w:val="clear" w:pos="4990"/>
        <w:tab w:val="left" w:pos="284"/>
        <w:tab w:val="left" w:pos="567"/>
        <w:tab w:val="left" w:pos="851"/>
        <w:tab w:val="left" w:pos="1134"/>
        <w:tab w:val="left" w:pos="1418"/>
      </w:tabs>
      <w:spacing w:line="280" w:lineRule="atLeast"/>
      <w:ind w:left="0" w:firstLine="0"/>
      <w:outlineLvl w:val="1"/>
    </w:pPr>
    <w:rPr>
      <w:b/>
      <w:sz w:val="24"/>
    </w:rPr>
  </w:style>
  <w:style w:type="paragraph" w:styleId="Titre3">
    <w:name w:val="heading 3"/>
    <w:basedOn w:val="Corpsdetexte"/>
    <w:next w:val="Corpsdetexte"/>
    <w:qFormat/>
    <w:rsid w:val="002F031B"/>
    <w:pPr>
      <w:numPr>
        <w:ilvl w:val="2"/>
        <w:numId w:val="14"/>
      </w:numPr>
      <w:tabs>
        <w:tab w:val="clear" w:pos="720"/>
        <w:tab w:val="clear" w:pos="1247"/>
        <w:tab w:val="clear" w:pos="2495"/>
        <w:tab w:val="clear" w:pos="3742"/>
        <w:tab w:val="clear" w:pos="4990"/>
        <w:tab w:val="left" w:pos="284"/>
        <w:tab w:val="left" w:pos="567"/>
        <w:tab w:val="left" w:pos="851"/>
        <w:tab w:val="left" w:pos="1134"/>
        <w:tab w:val="left" w:pos="1418"/>
        <w:tab w:val="left" w:pos="1701"/>
      </w:tabs>
      <w:spacing w:line="280" w:lineRule="atLeast"/>
      <w:ind w:left="0" w:firstLine="0"/>
      <w:outlineLvl w:val="2"/>
    </w:pPr>
    <w:rPr>
      <w:b/>
    </w:rPr>
  </w:style>
  <w:style w:type="paragraph" w:styleId="Titre4">
    <w:name w:val="heading 4"/>
    <w:basedOn w:val="Titre"/>
    <w:next w:val="Corpsdetexte"/>
    <w:qFormat/>
    <w:rsid w:val="002F031B"/>
    <w:pPr>
      <w:keepNext/>
      <w:numPr>
        <w:ilvl w:val="3"/>
        <w:numId w:val="14"/>
      </w:numPr>
      <w:spacing w:after="60"/>
      <w:ind w:left="862" w:hanging="862"/>
      <w:outlineLvl w:val="3"/>
    </w:pPr>
    <w:rPr>
      <w:b w:val="0"/>
      <w:sz w:val="24"/>
    </w:rPr>
  </w:style>
  <w:style w:type="paragraph" w:styleId="Titre5">
    <w:name w:val="heading 5"/>
    <w:basedOn w:val="Corpsdetexte"/>
    <w:next w:val="Corpsdetexte"/>
    <w:qFormat/>
    <w:rsid w:val="002F031B"/>
    <w:pPr>
      <w:numPr>
        <w:ilvl w:val="4"/>
        <w:numId w:val="14"/>
      </w:numPr>
      <w:spacing w:before="240" w:after="60" w:line="280" w:lineRule="atLeast"/>
      <w:ind w:left="1009" w:hanging="1009"/>
      <w:outlineLvl w:val="4"/>
    </w:pPr>
    <w:rPr>
      <w:b/>
      <w:i/>
      <w:sz w:val="24"/>
    </w:rPr>
  </w:style>
  <w:style w:type="paragraph" w:styleId="Titre6">
    <w:name w:val="heading 6"/>
    <w:basedOn w:val="Corpsdetexte"/>
    <w:next w:val="Corpsdetexte"/>
    <w:qFormat/>
    <w:rsid w:val="002F031B"/>
    <w:pPr>
      <w:numPr>
        <w:ilvl w:val="5"/>
        <w:numId w:val="14"/>
      </w:numPr>
      <w:spacing w:before="240" w:after="60" w:line="280" w:lineRule="atLeast"/>
      <w:ind w:left="1151" w:hanging="1151"/>
      <w:outlineLvl w:val="5"/>
    </w:pPr>
    <w:rPr>
      <w:b/>
      <w:sz w:val="24"/>
    </w:rPr>
  </w:style>
  <w:style w:type="paragraph" w:styleId="Titre7">
    <w:name w:val="heading 7"/>
    <w:basedOn w:val="Normal"/>
    <w:next w:val="Normal"/>
    <w:qFormat/>
    <w:rsid w:val="002F031B"/>
    <w:pPr>
      <w:numPr>
        <w:ilvl w:val="6"/>
        <w:numId w:val="14"/>
      </w:numPr>
      <w:spacing w:before="240" w:after="60"/>
      <w:outlineLvl w:val="6"/>
    </w:pPr>
    <w:rPr>
      <w:sz w:val="24"/>
    </w:rPr>
  </w:style>
  <w:style w:type="paragraph" w:styleId="Titre8">
    <w:name w:val="heading 8"/>
    <w:basedOn w:val="Normal"/>
    <w:next w:val="Normal"/>
    <w:qFormat/>
    <w:rsid w:val="002F031B"/>
    <w:pPr>
      <w:numPr>
        <w:ilvl w:val="7"/>
        <w:numId w:val="14"/>
      </w:numPr>
      <w:spacing w:before="240" w:after="60"/>
      <w:outlineLvl w:val="7"/>
    </w:pPr>
    <w:rPr>
      <w:i/>
      <w:sz w:val="24"/>
    </w:rPr>
  </w:style>
  <w:style w:type="paragraph" w:styleId="Titre9">
    <w:name w:val="heading 9"/>
    <w:basedOn w:val="Normal"/>
    <w:next w:val="Normal"/>
    <w:qFormat/>
    <w:rsid w:val="002F031B"/>
    <w:pPr>
      <w:numPr>
        <w:ilvl w:val="8"/>
        <w:numId w:val="14"/>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F031B"/>
    <w:pPr>
      <w:tabs>
        <w:tab w:val="clear" w:pos="1304"/>
        <w:tab w:val="clear" w:pos="2608"/>
        <w:tab w:val="clear" w:pos="3912"/>
      </w:tabs>
    </w:pPr>
  </w:style>
  <w:style w:type="paragraph" w:styleId="Pieddepage">
    <w:name w:val="footer"/>
    <w:link w:val="PieddepageCar"/>
    <w:uiPriority w:val="99"/>
    <w:rsid w:val="00E55E21"/>
    <w:pPr>
      <w:spacing w:before="20" w:line="200" w:lineRule="exact"/>
      <w:ind w:left="3062"/>
    </w:pPr>
    <w:rPr>
      <w:rFonts w:ascii="Arial" w:hAnsi="Arial"/>
      <w:color w:val="8C8C8C"/>
      <w:sz w:val="15"/>
      <w:lang w:val="fi-FI" w:eastAsia="fi-FI"/>
    </w:rPr>
  </w:style>
  <w:style w:type="paragraph" w:styleId="TM1">
    <w:name w:val="toc 1"/>
    <w:autoRedefine/>
    <w:semiHidden/>
    <w:rsid w:val="002F031B"/>
    <w:pPr>
      <w:tabs>
        <w:tab w:val="left" w:pos="340"/>
        <w:tab w:val="left" w:pos="680"/>
        <w:tab w:val="left" w:pos="1021"/>
        <w:tab w:val="right" w:leader="dot" w:pos="9072"/>
      </w:tabs>
      <w:spacing w:line="360" w:lineRule="auto"/>
    </w:pPr>
    <w:rPr>
      <w:rFonts w:ascii="Arial" w:hAnsi="Arial"/>
      <w:noProof/>
      <w:sz w:val="22"/>
      <w:lang w:val="fi-FI" w:eastAsia="fi-FI"/>
    </w:rPr>
  </w:style>
  <w:style w:type="paragraph" w:styleId="Listenumros">
    <w:name w:val="List Number"/>
    <w:basedOn w:val="Corpsdetexte"/>
    <w:rsid w:val="002F031B"/>
    <w:pPr>
      <w:tabs>
        <w:tab w:val="clear" w:pos="1247"/>
        <w:tab w:val="clear" w:pos="2495"/>
        <w:tab w:val="clear" w:pos="3742"/>
        <w:tab w:val="clear" w:pos="4990"/>
        <w:tab w:val="left" w:pos="680"/>
        <w:tab w:val="left" w:pos="1021"/>
        <w:tab w:val="left" w:pos="1361"/>
        <w:tab w:val="left" w:pos="1701"/>
        <w:tab w:val="left" w:pos="2325"/>
        <w:tab w:val="left" w:pos="2665"/>
        <w:tab w:val="left" w:pos="3005"/>
        <w:tab w:val="left" w:pos="3345"/>
        <w:tab w:val="left" w:pos="3686"/>
      </w:tabs>
    </w:pPr>
  </w:style>
  <w:style w:type="paragraph" w:styleId="Listepuces">
    <w:name w:val="List Bullet"/>
    <w:basedOn w:val="Corpsdetexte"/>
    <w:autoRedefine/>
    <w:rsid w:val="002F031B"/>
    <w:pPr>
      <w:numPr>
        <w:numId w:val="2"/>
      </w:numPr>
      <w:tabs>
        <w:tab w:val="clear" w:pos="360"/>
        <w:tab w:val="clear" w:pos="1247"/>
        <w:tab w:val="clear" w:pos="2495"/>
        <w:tab w:val="clear" w:pos="3742"/>
        <w:tab w:val="clear" w:pos="4990"/>
        <w:tab w:val="left" w:pos="340"/>
        <w:tab w:val="left" w:pos="680"/>
        <w:tab w:val="left" w:pos="1021"/>
        <w:tab w:val="left" w:pos="1361"/>
        <w:tab w:val="left" w:pos="1701"/>
        <w:tab w:val="left" w:pos="1985"/>
        <w:tab w:val="left" w:pos="2325"/>
        <w:tab w:val="left" w:pos="2665"/>
        <w:tab w:val="left" w:pos="3005"/>
        <w:tab w:val="left" w:pos="3345"/>
        <w:tab w:val="left" w:pos="3686"/>
      </w:tabs>
      <w:ind w:left="340" w:hanging="340"/>
    </w:pPr>
  </w:style>
  <w:style w:type="paragraph" w:styleId="Corpsdetexte">
    <w:name w:val="Body Text"/>
    <w:rsid w:val="002F031B"/>
    <w:pPr>
      <w:tabs>
        <w:tab w:val="left" w:pos="1247"/>
        <w:tab w:val="left" w:pos="2495"/>
        <w:tab w:val="left" w:pos="3742"/>
        <w:tab w:val="left" w:pos="4990"/>
      </w:tabs>
      <w:spacing w:after="120" w:line="260" w:lineRule="atLeast"/>
    </w:pPr>
    <w:rPr>
      <w:rFonts w:ascii="Arial" w:hAnsi="Arial"/>
      <w:noProof/>
      <w:sz w:val="22"/>
      <w:lang w:val="fi-FI" w:eastAsia="fi-FI"/>
    </w:rPr>
  </w:style>
  <w:style w:type="paragraph" w:styleId="Titre">
    <w:name w:val="Title"/>
    <w:next w:val="Corpsdetexte"/>
    <w:qFormat/>
    <w:rsid w:val="002F031B"/>
    <w:pPr>
      <w:tabs>
        <w:tab w:val="left" w:pos="1304"/>
      </w:tabs>
      <w:spacing w:before="240" w:after="240" w:line="280" w:lineRule="atLeast"/>
      <w:outlineLvl w:val="0"/>
    </w:pPr>
    <w:rPr>
      <w:rFonts w:ascii="Arial" w:hAnsi="Arial"/>
      <w:b/>
      <w:noProof/>
      <w:kern w:val="28"/>
      <w:sz w:val="28"/>
      <w:lang w:val="fi-FI" w:eastAsia="fi-FI"/>
    </w:rPr>
  </w:style>
  <w:style w:type="paragraph" w:styleId="Listenumros2">
    <w:name w:val="List Number 2"/>
    <w:basedOn w:val="Listepuces"/>
    <w:rsid w:val="002F031B"/>
    <w:pPr>
      <w:numPr>
        <w:numId w:val="9"/>
      </w:numPr>
      <w:tabs>
        <w:tab w:val="clear" w:pos="643"/>
        <w:tab w:val="clear" w:pos="1985"/>
        <w:tab w:val="clear" w:pos="2325"/>
        <w:tab w:val="left" w:pos="340"/>
      </w:tabs>
      <w:ind w:left="680" w:hanging="340"/>
    </w:pPr>
  </w:style>
  <w:style w:type="paragraph" w:styleId="Listenumros3">
    <w:name w:val="List Number 3"/>
    <w:basedOn w:val="Listepuces"/>
    <w:rsid w:val="002F031B"/>
    <w:pPr>
      <w:numPr>
        <w:numId w:val="10"/>
      </w:numPr>
      <w:tabs>
        <w:tab w:val="clear" w:pos="926"/>
        <w:tab w:val="clear" w:pos="1985"/>
        <w:tab w:val="clear" w:pos="2325"/>
        <w:tab w:val="clear" w:pos="2665"/>
        <w:tab w:val="left" w:pos="340"/>
      </w:tabs>
      <w:ind w:left="1020" w:hanging="340"/>
    </w:pPr>
  </w:style>
  <w:style w:type="paragraph" w:styleId="Listepuces3">
    <w:name w:val="List Bullet 3"/>
    <w:basedOn w:val="Listepuces"/>
    <w:autoRedefine/>
    <w:rsid w:val="002F031B"/>
    <w:pPr>
      <w:numPr>
        <w:numId w:val="4"/>
      </w:numPr>
      <w:tabs>
        <w:tab w:val="clear" w:pos="926"/>
        <w:tab w:val="clear" w:pos="1985"/>
        <w:tab w:val="clear" w:pos="2325"/>
        <w:tab w:val="left" w:pos="340"/>
      </w:tabs>
      <w:ind w:left="1020" w:hanging="340"/>
    </w:pPr>
  </w:style>
  <w:style w:type="paragraph" w:styleId="Listepuces2">
    <w:name w:val="List Bullet 2"/>
    <w:basedOn w:val="Listepuces"/>
    <w:autoRedefine/>
    <w:rsid w:val="002F031B"/>
    <w:pPr>
      <w:numPr>
        <w:numId w:val="3"/>
      </w:numPr>
      <w:tabs>
        <w:tab w:val="clear" w:pos="643"/>
        <w:tab w:val="clear" w:pos="1985"/>
        <w:tab w:val="left" w:pos="340"/>
      </w:tabs>
      <w:ind w:left="680" w:hanging="340"/>
    </w:pPr>
  </w:style>
  <w:style w:type="paragraph" w:styleId="TM2">
    <w:name w:val="toc 2"/>
    <w:basedOn w:val="TM1"/>
    <w:next w:val="Retraitcorpsdetexte2"/>
    <w:autoRedefine/>
    <w:semiHidden/>
    <w:rsid w:val="002F031B"/>
    <w:pPr>
      <w:tabs>
        <w:tab w:val="left" w:pos="1361"/>
      </w:tabs>
      <w:ind w:left="340"/>
    </w:pPr>
  </w:style>
  <w:style w:type="paragraph" w:styleId="TM3">
    <w:name w:val="toc 3"/>
    <w:basedOn w:val="TM1"/>
    <w:next w:val="Retraitcorpsdetexte3"/>
    <w:autoRedefine/>
    <w:semiHidden/>
    <w:rsid w:val="002F031B"/>
    <w:pPr>
      <w:tabs>
        <w:tab w:val="left" w:pos="1361"/>
      </w:tabs>
      <w:ind w:left="680"/>
    </w:pPr>
  </w:style>
  <w:style w:type="paragraph" w:styleId="TM4">
    <w:name w:val="toc 4"/>
    <w:basedOn w:val="Normal"/>
    <w:next w:val="Normal"/>
    <w:autoRedefine/>
    <w:semiHidden/>
    <w:rsid w:val="002F031B"/>
    <w:pPr>
      <w:tabs>
        <w:tab w:val="clear" w:pos="1304"/>
        <w:tab w:val="clear" w:pos="2608"/>
        <w:tab w:val="clear" w:pos="3912"/>
      </w:tabs>
      <w:ind w:left="660"/>
    </w:pPr>
  </w:style>
  <w:style w:type="paragraph" w:styleId="TM5">
    <w:name w:val="toc 5"/>
    <w:basedOn w:val="Normal"/>
    <w:next w:val="Normal"/>
    <w:autoRedefine/>
    <w:semiHidden/>
    <w:rsid w:val="002F031B"/>
    <w:pPr>
      <w:tabs>
        <w:tab w:val="clear" w:pos="1304"/>
        <w:tab w:val="clear" w:pos="2608"/>
        <w:tab w:val="clear" w:pos="3912"/>
      </w:tabs>
      <w:ind w:left="880"/>
    </w:pPr>
  </w:style>
  <w:style w:type="paragraph" w:styleId="TM6">
    <w:name w:val="toc 6"/>
    <w:basedOn w:val="Normal"/>
    <w:next w:val="Normal"/>
    <w:autoRedefine/>
    <w:semiHidden/>
    <w:rsid w:val="002F031B"/>
    <w:pPr>
      <w:tabs>
        <w:tab w:val="clear" w:pos="1304"/>
        <w:tab w:val="clear" w:pos="2608"/>
        <w:tab w:val="clear" w:pos="3912"/>
      </w:tabs>
      <w:ind w:left="1100"/>
    </w:pPr>
  </w:style>
  <w:style w:type="paragraph" w:styleId="TM7">
    <w:name w:val="toc 7"/>
    <w:basedOn w:val="Normal"/>
    <w:next w:val="Normal"/>
    <w:autoRedefine/>
    <w:semiHidden/>
    <w:rsid w:val="002F031B"/>
    <w:pPr>
      <w:tabs>
        <w:tab w:val="clear" w:pos="1304"/>
        <w:tab w:val="clear" w:pos="2608"/>
        <w:tab w:val="clear" w:pos="3912"/>
      </w:tabs>
      <w:ind w:left="1320"/>
    </w:pPr>
  </w:style>
  <w:style w:type="paragraph" w:styleId="TM8">
    <w:name w:val="toc 8"/>
    <w:basedOn w:val="Normal"/>
    <w:next w:val="Normal"/>
    <w:autoRedefine/>
    <w:semiHidden/>
    <w:rsid w:val="002F031B"/>
    <w:pPr>
      <w:tabs>
        <w:tab w:val="clear" w:pos="1304"/>
        <w:tab w:val="clear" w:pos="2608"/>
        <w:tab w:val="clear" w:pos="3912"/>
      </w:tabs>
      <w:ind w:left="1540"/>
    </w:pPr>
  </w:style>
  <w:style w:type="paragraph" w:styleId="TM9">
    <w:name w:val="toc 9"/>
    <w:basedOn w:val="Normal"/>
    <w:next w:val="Normal"/>
    <w:autoRedefine/>
    <w:semiHidden/>
    <w:rsid w:val="002F031B"/>
    <w:pPr>
      <w:tabs>
        <w:tab w:val="clear" w:pos="1304"/>
        <w:tab w:val="clear" w:pos="2608"/>
        <w:tab w:val="clear" w:pos="3912"/>
      </w:tabs>
      <w:ind w:left="1760"/>
    </w:pPr>
  </w:style>
  <w:style w:type="paragraph" w:styleId="Retraitcorpsdetexte2">
    <w:name w:val="Body Text Indent 2"/>
    <w:basedOn w:val="Normal"/>
    <w:rsid w:val="002F031B"/>
    <w:pPr>
      <w:spacing w:after="120" w:line="480" w:lineRule="auto"/>
      <w:ind w:left="283"/>
    </w:pPr>
  </w:style>
  <w:style w:type="paragraph" w:styleId="Retraitcorpsdetexte3">
    <w:name w:val="Body Text Indent 3"/>
    <w:basedOn w:val="Normal"/>
    <w:rsid w:val="002F031B"/>
    <w:pPr>
      <w:spacing w:after="120"/>
      <w:ind w:left="283"/>
    </w:pPr>
    <w:rPr>
      <w:sz w:val="16"/>
    </w:rPr>
  </w:style>
  <w:style w:type="paragraph" w:styleId="Textedebulles">
    <w:name w:val="Balloon Text"/>
    <w:basedOn w:val="Normal"/>
    <w:link w:val="TextedebullesCar"/>
    <w:rsid w:val="000509BD"/>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0509BD"/>
    <w:rPr>
      <w:rFonts w:ascii="Tahoma" w:hAnsi="Tahoma" w:cs="Tahoma"/>
      <w:sz w:val="16"/>
      <w:szCs w:val="16"/>
      <w:lang w:val="fi-FI" w:eastAsia="fi-FI"/>
    </w:rPr>
  </w:style>
  <w:style w:type="paragraph" w:styleId="Paragraphedeliste">
    <w:name w:val="List Paragraph"/>
    <w:basedOn w:val="Normal"/>
    <w:uiPriority w:val="34"/>
    <w:qFormat/>
    <w:rsid w:val="00500347"/>
    <w:pPr>
      <w:ind w:left="720"/>
      <w:contextualSpacing/>
    </w:pPr>
  </w:style>
  <w:style w:type="character" w:styleId="lev">
    <w:name w:val="Strong"/>
    <w:basedOn w:val="Policepardfaut"/>
    <w:uiPriority w:val="22"/>
    <w:qFormat/>
    <w:rsid w:val="00857E0C"/>
    <w:rPr>
      <w:b/>
      <w:bCs/>
    </w:rPr>
  </w:style>
  <w:style w:type="character" w:customStyle="1" w:styleId="PieddepageCar">
    <w:name w:val="Pied de page Car"/>
    <w:basedOn w:val="Policepardfaut"/>
    <w:link w:val="Pieddepage"/>
    <w:uiPriority w:val="99"/>
    <w:rsid w:val="00222D3D"/>
    <w:rPr>
      <w:rFonts w:ascii="Arial" w:hAnsi="Arial"/>
      <w:color w:val="8C8C8C"/>
      <w:sz w:val="15"/>
      <w:lang w:val="fi-FI" w:eastAsia="fi-FI"/>
    </w:rPr>
  </w:style>
  <w:style w:type="character" w:customStyle="1" w:styleId="En-tteCar">
    <w:name w:val="En-tête Car"/>
    <w:basedOn w:val="Policepardfaut"/>
    <w:link w:val="En-tte"/>
    <w:uiPriority w:val="99"/>
    <w:rsid w:val="00222D3D"/>
    <w:rPr>
      <w:rFonts w:ascii="Arial" w:hAnsi="Arial"/>
      <w:sz w:val="22"/>
      <w:lang w:val="fi-FI" w:eastAsia="fi-FI"/>
    </w:rPr>
  </w:style>
  <w:style w:type="character" w:styleId="Lienhypertexte">
    <w:name w:val="Hyperlink"/>
    <w:basedOn w:val="Policepardfaut"/>
    <w:uiPriority w:val="99"/>
    <w:unhideWhenUsed/>
    <w:rsid w:val="00122C99"/>
    <w:rPr>
      <w:color w:val="0000FF"/>
      <w:u w:val="single"/>
    </w:rPr>
  </w:style>
  <w:style w:type="paragraph" w:styleId="NormalWeb">
    <w:name w:val="Normal (Web)"/>
    <w:basedOn w:val="Normal"/>
    <w:uiPriority w:val="99"/>
    <w:unhideWhenUsed/>
    <w:rsid w:val="00DB15B2"/>
    <w:pPr>
      <w:tabs>
        <w:tab w:val="clear" w:pos="1304"/>
        <w:tab w:val="clear" w:pos="2608"/>
        <w:tab w:val="clear" w:pos="3912"/>
      </w:tabs>
      <w:spacing w:before="100" w:beforeAutospacing="1" w:after="100" w:afterAutospacing="1" w:line="240" w:lineRule="auto"/>
    </w:pPr>
    <w:rPr>
      <w:rFonts w:ascii="Times New Roman" w:hAnsi="Times New Roman"/>
      <w:sz w:val="24"/>
      <w:szCs w:val="24"/>
    </w:rPr>
  </w:style>
  <w:style w:type="character" w:styleId="Marquedecommentaire">
    <w:name w:val="annotation reference"/>
    <w:basedOn w:val="Policepardfaut"/>
    <w:uiPriority w:val="99"/>
    <w:rsid w:val="005A2796"/>
    <w:rPr>
      <w:sz w:val="18"/>
      <w:szCs w:val="18"/>
    </w:rPr>
  </w:style>
  <w:style w:type="paragraph" w:styleId="Commentaire">
    <w:name w:val="annotation text"/>
    <w:basedOn w:val="Normal"/>
    <w:link w:val="CommentaireCar"/>
    <w:uiPriority w:val="99"/>
    <w:rsid w:val="005A2796"/>
    <w:pPr>
      <w:tabs>
        <w:tab w:val="clear" w:pos="1304"/>
        <w:tab w:val="clear" w:pos="2608"/>
        <w:tab w:val="clear" w:pos="3912"/>
      </w:tabs>
      <w:spacing w:line="240" w:lineRule="auto"/>
    </w:pPr>
    <w:rPr>
      <w:rFonts w:ascii="Times" w:eastAsia="Times" w:hAnsi="Times"/>
      <w:sz w:val="24"/>
      <w:szCs w:val="24"/>
      <w:lang w:val="en-US" w:eastAsia="en-US"/>
    </w:rPr>
  </w:style>
  <w:style w:type="character" w:customStyle="1" w:styleId="CommentaireCar">
    <w:name w:val="Commentaire Car"/>
    <w:basedOn w:val="Policepardfaut"/>
    <w:link w:val="Commentaire"/>
    <w:uiPriority w:val="99"/>
    <w:rsid w:val="005A2796"/>
    <w:rPr>
      <w:rFonts w:ascii="Times" w:eastAsia="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rjo.laakkonen@uef.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rgelin\LOCALS~1\Temp\Temporary%20Directory%201%20for%20HY2_aineisto_20131202082939%5b1%5d.zip\HY__DA01_kirje______A4___RGB.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HY__DA01_kirje______A4___RGB</Template>
  <TotalTime>30</TotalTime>
  <Pages>10</Pages>
  <Words>5004</Words>
  <Characters>27528</Characters>
  <Application>Microsoft Office Word</Application>
  <DocSecurity>0</DocSecurity>
  <Lines>229</Lines>
  <Paragraphs>64</Paragraphs>
  <ScaleCrop>false</ScaleCrop>
  <HeadingPairs>
    <vt:vector size="6" baseType="variant">
      <vt:variant>
        <vt:lpstr>Titre</vt:lpstr>
      </vt:variant>
      <vt:variant>
        <vt:i4>1</vt:i4>
      </vt:variant>
      <vt:variant>
        <vt:lpstr>Title</vt:lpstr>
      </vt:variant>
      <vt:variant>
        <vt:i4>1</vt:i4>
      </vt:variant>
      <vt:variant>
        <vt:lpstr>Otsikko</vt:lpstr>
      </vt:variant>
      <vt:variant>
        <vt:i4>1</vt:i4>
      </vt:variant>
    </vt:vector>
  </HeadingPairs>
  <TitlesOfParts>
    <vt:vector size="3" baseType="lpstr">
      <vt:lpstr>HY asiakirjapohja</vt:lpstr>
      <vt:lpstr>HY asiakirjapohja</vt:lpstr>
      <vt:lpstr>HY asiakirjapohja</vt:lpstr>
    </vt:vector>
  </TitlesOfParts>
  <Company>Hewlett-Packard Company</Company>
  <LinksUpToDate>false</LinksUpToDate>
  <CharactersWithSpaces>32468</CharactersWithSpaces>
  <SharedDoc>false</SharedDoc>
  <HLinks>
    <vt:vector size="6" baseType="variant">
      <vt:variant>
        <vt:i4>6357093</vt:i4>
      </vt:variant>
      <vt:variant>
        <vt:i4>-1</vt:i4>
      </vt:variant>
      <vt:variant>
        <vt:i4>3072</vt:i4>
      </vt:variant>
      <vt:variant>
        <vt:i4>1</vt:i4>
      </vt:variant>
      <vt:variant>
        <vt:lpwstr>http://intra.hus.fi/binary.aspx?path=1,2655,5298,5316,5319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 asiakirjapohja</dc:title>
  <dc:creator>Blom, Nina C</dc:creator>
  <cp:lastModifiedBy>Vadim LE JONCOUR</cp:lastModifiedBy>
  <cp:revision>40</cp:revision>
  <cp:lastPrinted>2019-01-08T07:41:00Z</cp:lastPrinted>
  <dcterms:created xsi:type="dcterms:W3CDTF">2019-01-08T06:45:00Z</dcterms:created>
  <dcterms:modified xsi:type="dcterms:W3CDTF">2019-01-08T07:41:00Z</dcterms:modified>
</cp:coreProperties>
</file>