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8C6B2" w14:textId="6437D5AE" w:rsidR="00936BEF" w:rsidRDefault="004D2455" w:rsidP="004D2455">
      <w:pPr>
        <w:jc w:val="center"/>
        <w:rPr>
          <w:lang w:val="en-GB"/>
        </w:rPr>
      </w:pPr>
      <w:r w:rsidRPr="004D2455">
        <w:rPr>
          <w:lang w:val="en-GB"/>
        </w:rPr>
        <w:t>Response to Reviewer</w:t>
      </w:r>
      <w:r w:rsidR="002E2A38">
        <w:rPr>
          <w:lang w:val="en-GB"/>
        </w:rPr>
        <w:t>s</w:t>
      </w:r>
    </w:p>
    <w:p w14:paraId="398B5CAD" w14:textId="77777777" w:rsidR="004D2455" w:rsidRDefault="004D2455" w:rsidP="004D2455">
      <w:pPr>
        <w:jc w:val="center"/>
        <w:rPr>
          <w:lang w:val="en-GB"/>
        </w:rPr>
      </w:pPr>
    </w:p>
    <w:p w14:paraId="326F33A9" w14:textId="77777777" w:rsidR="004D2455" w:rsidRPr="004D2455" w:rsidRDefault="004D2455" w:rsidP="004D2455">
      <w:pPr>
        <w:jc w:val="both"/>
        <w:rPr>
          <w:color w:val="0070C0"/>
          <w:lang w:val="en-GB"/>
        </w:rPr>
      </w:pPr>
      <w:r w:rsidRPr="004D2455">
        <w:rPr>
          <w:color w:val="0070C0"/>
          <w:lang w:val="en-GB"/>
        </w:rPr>
        <w:t>&gt; Own responses are highlighted in blue. All line number refer to the document in track-change mode.</w:t>
      </w:r>
    </w:p>
    <w:p w14:paraId="6F1DB9ED" w14:textId="77777777" w:rsidR="004D2455" w:rsidRDefault="004D2455" w:rsidP="004D2455">
      <w:pPr>
        <w:autoSpaceDE w:val="0"/>
        <w:autoSpaceDN w:val="0"/>
        <w:adjustRightInd w:val="0"/>
        <w:spacing w:after="0" w:line="240" w:lineRule="auto"/>
        <w:jc w:val="both"/>
        <w:rPr>
          <w:rFonts w:cs="TimesNewRomanPSMT"/>
          <w:lang w:val="en-GB"/>
        </w:rPr>
      </w:pPr>
      <w:r w:rsidRPr="004D2455">
        <w:rPr>
          <w:rFonts w:cs="TimesNewRomanPSMT"/>
          <w:lang w:val="en-GB"/>
        </w:rPr>
        <w:t>This is a description of a protocol for amplifying a gene from RNA and performing multiplex sequencing on MinION. The motivation for the protocol is quite obvious and the method appears to be robust will care taken to optimise the amplification including the application of touch-down thermocycling conditions. The protocol focuses on the laboratory methods yet some analysis results are presented in the representative results section.</w:t>
      </w:r>
    </w:p>
    <w:p w14:paraId="6272A9A3" w14:textId="77777777" w:rsidR="004D2455" w:rsidRDefault="004D2455" w:rsidP="004D2455">
      <w:pPr>
        <w:autoSpaceDE w:val="0"/>
        <w:autoSpaceDN w:val="0"/>
        <w:adjustRightInd w:val="0"/>
        <w:spacing w:after="0" w:line="240" w:lineRule="auto"/>
        <w:jc w:val="both"/>
        <w:rPr>
          <w:rFonts w:cs="TimesNewRomanPSMT"/>
          <w:lang w:val="en-GB"/>
        </w:rPr>
      </w:pPr>
    </w:p>
    <w:p w14:paraId="63E2CBD2" w14:textId="77777777" w:rsidR="004D2455" w:rsidRDefault="004D2455" w:rsidP="004D2455">
      <w:pPr>
        <w:autoSpaceDE w:val="0"/>
        <w:autoSpaceDN w:val="0"/>
        <w:adjustRightInd w:val="0"/>
        <w:spacing w:after="0" w:line="240" w:lineRule="auto"/>
        <w:jc w:val="both"/>
        <w:rPr>
          <w:color w:val="0070C0"/>
          <w:lang w:val="en-US"/>
        </w:rPr>
      </w:pPr>
      <w:r w:rsidRPr="004D2455">
        <w:rPr>
          <w:color w:val="0070C0"/>
          <w:lang w:val="en-GB"/>
        </w:rPr>
        <w:t>&gt;</w:t>
      </w:r>
      <w:r>
        <w:rPr>
          <w:color w:val="0070C0"/>
          <w:lang w:val="en-GB"/>
        </w:rPr>
        <w:t xml:space="preserve"> </w:t>
      </w:r>
      <w:r w:rsidRPr="004D2455">
        <w:rPr>
          <w:color w:val="0070C0"/>
          <w:lang w:val="en-GB"/>
        </w:rPr>
        <w:t xml:space="preserve">We </w:t>
      </w:r>
      <w:r>
        <w:rPr>
          <w:color w:val="0070C0"/>
          <w:lang w:val="en-GB"/>
        </w:rPr>
        <w:t xml:space="preserve">thank the </w:t>
      </w:r>
      <w:r w:rsidR="00F37915">
        <w:rPr>
          <w:color w:val="0070C0"/>
          <w:lang w:val="en-GB"/>
        </w:rPr>
        <w:t>r</w:t>
      </w:r>
      <w:r>
        <w:rPr>
          <w:color w:val="0070C0"/>
          <w:lang w:val="en-GB"/>
        </w:rPr>
        <w:t xml:space="preserve">eviewer for their positive feedback </w:t>
      </w:r>
      <w:r w:rsidR="00F37915">
        <w:rPr>
          <w:color w:val="0070C0"/>
          <w:lang w:val="en-GB"/>
        </w:rPr>
        <w:t xml:space="preserve">to </w:t>
      </w:r>
      <w:r>
        <w:rPr>
          <w:color w:val="0070C0"/>
          <w:lang w:val="en-GB"/>
        </w:rPr>
        <w:t>our work</w:t>
      </w:r>
      <w:r w:rsidRPr="004D2455">
        <w:rPr>
          <w:color w:val="0070C0"/>
          <w:lang w:val="en-US"/>
        </w:rPr>
        <w:t>.</w:t>
      </w:r>
    </w:p>
    <w:p w14:paraId="0EB22FED" w14:textId="77777777" w:rsidR="004D2455" w:rsidRDefault="004D2455" w:rsidP="004D2455">
      <w:pPr>
        <w:autoSpaceDE w:val="0"/>
        <w:autoSpaceDN w:val="0"/>
        <w:adjustRightInd w:val="0"/>
        <w:spacing w:after="0" w:line="240" w:lineRule="auto"/>
        <w:jc w:val="both"/>
        <w:rPr>
          <w:color w:val="0070C0"/>
          <w:lang w:val="en-US"/>
        </w:rPr>
      </w:pPr>
    </w:p>
    <w:p w14:paraId="64E55B81" w14:textId="77777777" w:rsidR="004D2455" w:rsidRDefault="004D2455" w:rsidP="004D2455">
      <w:pPr>
        <w:autoSpaceDE w:val="0"/>
        <w:autoSpaceDN w:val="0"/>
        <w:adjustRightInd w:val="0"/>
        <w:spacing w:after="0" w:line="240" w:lineRule="auto"/>
        <w:jc w:val="both"/>
        <w:rPr>
          <w:lang w:val="en-GB"/>
        </w:rPr>
      </w:pPr>
      <w:r>
        <w:rPr>
          <w:lang w:val="en-GB"/>
        </w:rPr>
        <w:t>Major comments:</w:t>
      </w:r>
    </w:p>
    <w:p w14:paraId="4DF45DD9" w14:textId="77777777" w:rsidR="004D2455" w:rsidRDefault="004D2455" w:rsidP="004D2455">
      <w:pPr>
        <w:autoSpaceDE w:val="0"/>
        <w:autoSpaceDN w:val="0"/>
        <w:adjustRightInd w:val="0"/>
        <w:spacing w:after="0" w:line="240" w:lineRule="auto"/>
        <w:jc w:val="both"/>
        <w:rPr>
          <w:lang w:val="en-GB"/>
        </w:rPr>
      </w:pPr>
    </w:p>
    <w:p w14:paraId="32C11C95" w14:textId="77777777" w:rsidR="004D2455" w:rsidRPr="004D2455" w:rsidRDefault="004D2455" w:rsidP="004D2455">
      <w:pPr>
        <w:autoSpaceDE w:val="0"/>
        <w:autoSpaceDN w:val="0"/>
        <w:adjustRightInd w:val="0"/>
        <w:spacing w:after="0" w:line="240" w:lineRule="auto"/>
        <w:jc w:val="both"/>
        <w:rPr>
          <w:lang w:val="en-GB"/>
        </w:rPr>
      </w:pPr>
      <w:r w:rsidRPr="004D2455">
        <w:rPr>
          <w:lang w:val="en-GB"/>
        </w:rPr>
        <w:t>There is significant detail lacking on the bioinformatics processing and results including demultiplexing</w:t>
      </w:r>
    </w:p>
    <w:p w14:paraId="3572564C" w14:textId="77777777" w:rsidR="004D2455" w:rsidRDefault="004D2455" w:rsidP="004D2455">
      <w:pPr>
        <w:autoSpaceDE w:val="0"/>
        <w:autoSpaceDN w:val="0"/>
        <w:adjustRightInd w:val="0"/>
        <w:spacing w:after="0" w:line="240" w:lineRule="auto"/>
        <w:jc w:val="both"/>
        <w:rPr>
          <w:lang w:val="en-GB"/>
        </w:rPr>
      </w:pPr>
      <w:r w:rsidRPr="004D2455">
        <w:rPr>
          <w:lang w:val="en-GB"/>
        </w:rPr>
        <w:t>results are presenting without methods. This protocol would be significantly strengthened by adding a</w:t>
      </w:r>
      <w:r>
        <w:rPr>
          <w:lang w:val="en-GB"/>
        </w:rPr>
        <w:t xml:space="preserve"> </w:t>
      </w:r>
      <w:r w:rsidRPr="004D2455">
        <w:rPr>
          <w:lang w:val="en-GB"/>
        </w:rPr>
        <w:t>section on analysis of amplicon sequencing using MinION as this will likely be a very popular method in</w:t>
      </w:r>
      <w:r>
        <w:rPr>
          <w:lang w:val="en-GB"/>
        </w:rPr>
        <w:t xml:space="preserve"> </w:t>
      </w:r>
      <w:r w:rsidRPr="004D2455">
        <w:rPr>
          <w:lang w:val="en-GB"/>
        </w:rPr>
        <w:t>future especially with the imminent introduction of the Flongle and potential to displace Sanger sequencing</w:t>
      </w:r>
      <w:r>
        <w:rPr>
          <w:lang w:val="en-GB"/>
        </w:rPr>
        <w:t xml:space="preserve"> </w:t>
      </w:r>
      <w:r w:rsidRPr="004D2455">
        <w:rPr>
          <w:lang w:val="en-GB"/>
        </w:rPr>
        <w:t>for this kind of work. In the current state usable results could not be reproduced by anyone not familiar with</w:t>
      </w:r>
      <w:r>
        <w:rPr>
          <w:lang w:val="en-GB"/>
        </w:rPr>
        <w:t xml:space="preserve"> </w:t>
      </w:r>
      <w:r w:rsidRPr="004D2455">
        <w:rPr>
          <w:lang w:val="en-GB"/>
        </w:rPr>
        <w:t>analysis of nanopore data. For example, calling the dominant base from a pileup will not be sufficient with</w:t>
      </w:r>
      <w:r>
        <w:rPr>
          <w:lang w:val="en-GB"/>
        </w:rPr>
        <w:t xml:space="preserve"> </w:t>
      </w:r>
      <w:r w:rsidRPr="004D2455">
        <w:rPr>
          <w:lang w:val="en-GB"/>
        </w:rPr>
        <w:t>nanopore data for best SNP calling accuracy. Citing a previous paper is not sufficient due to the fast pace of</w:t>
      </w:r>
      <w:r>
        <w:rPr>
          <w:lang w:val="en-GB"/>
        </w:rPr>
        <w:t xml:space="preserve"> </w:t>
      </w:r>
      <w:r w:rsidRPr="004D2455">
        <w:rPr>
          <w:lang w:val="en-GB"/>
        </w:rPr>
        <w:t>change in the analysis of nanopore sequencing, e.g. Poretools is cited but is not usable on current basecalls.</w:t>
      </w:r>
      <w:r>
        <w:rPr>
          <w:lang w:val="en-GB"/>
        </w:rPr>
        <w:t xml:space="preserve"> </w:t>
      </w:r>
      <w:r w:rsidRPr="004D2455">
        <w:rPr>
          <w:lang w:val="en-GB"/>
        </w:rPr>
        <w:t>There are other considerations such as adapter trimming, demultiplexing settings and primer binding site</w:t>
      </w:r>
      <w:r>
        <w:rPr>
          <w:lang w:val="en-GB"/>
        </w:rPr>
        <w:t xml:space="preserve"> </w:t>
      </w:r>
      <w:r w:rsidRPr="004D2455">
        <w:rPr>
          <w:lang w:val="en-GB"/>
        </w:rPr>
        <w:t>masking that must be included.</w:t>
      </w:r>
    </w:p>
    <w:p w14:paraId="7E657719" w14:textId="77777777" w:rsidR="004D2455" w:rsidRDefault="004D2455" w:rsidP="004D2455">
      <w:pPr>
        <w:autoSpaceDE w:val="0"/>
        <w:autoSpaceDN w:val="0"/>
        <w:adjustRightInd w:val="0"/>
        <w:spacing w:after="0" w:line="240" w:lineRule="auto"/>
        <w:jc w:val="both"/>
        <w:rPr>
          <w:lang w:val="en-GB"/>
        </w:rPr>
      </w:pPr>
    </w:p>
    <w:p w14:paraId="159703F4" w14:textId="28D61168" w:rsidR="004D2455" w:rsidRDefault="004D2455" w:rsidP="002E2A38">
      <w:pPr>
        <w:autoSpaceDE w:val="0"/>
        <w:autoSpaceDN w:val="0"/>
        <w:adjustRightInd w:val="0"/>
        <w:spacing w:after="0" w:line="240" w:lineRule="auto"/>
        <w:jc w:val="both"/>
        <w:rPr>
          <w:color w:val="0070C0"/>
          <w:lang w:val="en-GB"/>
        </w:rPr>
      </w:pPr>
      <w:r w:rsidRPr="004D2455">
        <w:rPr>
          <w:color w:val="0070C0"/>
          <w:lang w:val="en-GB"/>
        </w:rPr>
        <w:t>&gt;</w:t>
      </w:r>
      <w:r>
        <w:rPr>
          <w:color w:val="0070C0"/>
          <w:lang w:val="en-GB"/>
        </w:rPr>
        <w:t xml:space="preserve"> </w:t>
      </w:r>
      <w:r w:rsidR="002E1DEE">
        <w:rPr>
          <w:color w:val="0070C0"/>
          <w:lang w:val="en-GB"/>
        </w:rPr>
        <w:t xml:space="preserve">We absolutely agree with the reviewer that the bioinformatics </w:t>
      </w:r>
      <w:r w:rsidR="00F37915">
        <w:rPr>
          <w:color w:val="0070C0"/>
          <w:lang w:val="en-GB"/>
        </w:rPr>
        <w:t xml:space="preserve">processing of MinION data </w:t>
      </w:r>
      <w:r w:rsidR="002E1DEE">
        <w:rPr>
          <w:color w:val="0070C0"/>
          <w:lang w:val="en-GB"/>
        </w:rPr>
        <w:t xml:space="preserve">is an important part </w:t>
      </w:r>
      <w:r w:rsidR="002E2A38">
        <w:rPr>
          <w:color w:val="0070C0"/>
          <w:lang w:val="en-GB"/>
        </w:rPr>
        <w:t>of</w:t>
      </w:r>
      <w:r w:rsidR="002E1DEE">
        <w:rPr>
          <w:color w:val="0070C0"/>
          <w:lang w:val="en-GB"/>
        </w:rPr>
        <w:t xml:space="preserve"> the workflow. </w:t>
      </w:r>
      <w:r w:rsidR="00F37915">
        <w:rPr>
          <w:color w:val="0070C0"/>
          <w:lang w:val="en-GB"/>
        </w:rPr>
        <w:t xml:space="preserve">At the same time, this aspect of MinION sequencing is moving at an extremely fast pace, and thus any detailed protocol of this aspect of the work </w:t>
      </w:r>
      <w:r w:rsidR="002E2A38">
        <w:rPr>
          <w:color w:val="0070C0"/>
          <w:lang w:val="en-GB"/>
        </w:rPr>
        <w:t>will</w:t>
      </w:r>
      <w:r w:rsidR="00F37915">
        <w:rPr>
          <w:color w:val="0070C0"/>
          <w:lang w:val="en-GB"/>
        </w:rPr>
        <w:t xml:space="preserve"> most likely </w:t>
      </w:r>
      <w:r w:rsidR="002E2A38">
        <w:rPr>
          <w:color w:val="0070C0"/>
          <w:lang w:val="en-GB"/>
        </w:rPr>
        <w:t xml:space="preserve">be </w:t>
      </w:r>
      <w:r w:rsidR="00F37915">
        <w:rPr>
          <w:color w:val="0070C0"/>
          <w:lang w:val="en-GB"/>
        </w:rPr>
        <w:t xml:space="preserve">outdated by the time the paper is published. Also, for us this is not the focus of this manuscript, which rather serves to show the practical use of the </w:t>
      </w:r>
      <w:r w:rsidR="002E2A38">
        <w:rPr>
          <w:color w:val="0070C0"/>
          <w:lang w:val="en-GB"/>
        </w:rPr>
        <w:t xml:space="preserve">MinION </w:t>
      </w:r>
      <w:r w:rsidR="00F37915">
        <w:rPr>
          <w:color w:val="0070C0"/>
          <w:lang w:val="en-GB"/>
        </w:rPr>
        <w:t xml:space="preserve">sequencing device, and not the downstream analysis, which certainly would warrant a detailed publication on its own. Nevertheless, we have tried to add some general comments </w:t>
      </w:r>
      <w:r w:rsidR="00E601F7">
        <w:rPr>
          <w:color w:val="0070C0"/>
          <w:lang w:val="en-GB"/>
        </w:rPr>
        <w:t xml:space="preserve">in the representative results section </w:t>
      </w:r>
      <w:r w:rsidR="00F37915">
        <w:rPr>
          <w:color w:val="0070C0"/>
          <w:lang w:val="en-GB"/>
        </w:rPr>
        <w:t>towards the downstream bioinformatics analysis</w:t>
      </w:r>
      <w:r w:rsidR="002E1DEE">
        <w:rPr>
          <w:color w:val="0070C0"/>
          <w:lang w:val="en-GB"/>
        </w:rPr>
        <w:t xml:space="preserve">. </w:t>
      </w:r>
      <w:r w:rsidR="00F37915">
        <w:rPr>
          <w:color w:val="0070C0"/>
          <w:lang w:val="en-GB"/>
        </w:rPr>
        <w:t xml:space="preserve">Further, we have removed the citation of Poretools as suggested by the reviewer. </w:t>
      </w:r>
    </w:p>
    <w:p w14:paraId="5D7F6382" w14:textId="77777777" w:rsidR="002E1DEE" w:rsidRDefault="002E1DEE" w:rsidP="002E2A38">
      <w:pPr>
        <w:autoSpaceDE w:val="0"/>
        <w:autoSpaceDN w:val="0"/>
        <w:adjustRightInd w:val="0"/>
        <w:spacing w:after="0" w:line="240" w:lineRule="auto"/>
        <w:jc w:val="both"/>
        <w:rPr>
          <w:color w:val="0070C0"/>
          <w:lang w:val="en-GB"/>
        </w:rPr>
      </w:pPr>
    </w:p>
    <w:p w14:paraId="7B195115" w14:textId="710B5D09" w:rsidR="002E1DEE" w:rsidRPr="004E1D9C" w:rsidRDefault="002E1DEE" w:rsidP="002E2A38">
      <w:pPr>
        <w:jc w:val="both"/>
        <w:rPr>
          <w:rFonts w:cstheme="minorHAnsi"/>
          <w:color w:val="0070C0"/>
          <w:lang w:val="en-US"/>
        </w:rPr>
      </w:pPr>
      <w:r w:rsidRPr="00212892">
        <w:rPr>
          <w:color w:val="0070C0"/>
          <w:lang w:val="en-GB"/>
        </w:rPr>
        <w:t xml:space="preserve">&gt; </w:t>
      </w:r>
      <w:r w:rsidRPr="004E1D9C">
        <w:rPr>
          <w:color w:val="0070C0"/>
          <w:lang w:val="en-GB"/>
        </w:rPr>
        <w:t xml:space="preserve">line </w:t>
      </w:r>
      <w:r w:rsidR="00212892" w:rsidRPr="004E1D9C">
        <w:rPr>
          <w:color w:val="0070C0"/>
          <w:lang w:val="en-GB"/>
        </w:rPr>
        <w:t>93</w:t>
      </w:r>
      <w:r w:rsidRPr="004E1D9C">
        <w:rPr>
          <w:color w:val="0070C0"/>
          <w:lang w:val="en-GB"/>
        </w:rPr>
        <w:t>:</w:t>
      </w:r>
      <w:r w:rsidR="00212892" w:rsidRPr="004E1D9C">
        <w:rPr>
          <w:color w:val="0070C0"/>
          <w:lang w:val="en-GB"/>
        </w:rPr>
        <w:t xml:space="preserve"> “</w:t>
      </w:r>
      <w:r w:rsidR="004E1D9C" w:rsidRPr="004E1D9C">
        <w:rPr>
          <w:rFonts w:cstheme="minorHAnsi"/>
          <w:color w:val="0070C0"/>
          <w:lang w:val="en-US"/>
        </w:rPr>
        <w:t xml:space="preserve">Data analysis cannot be discussed due to space limitations, although some basic directions are provided in the representative results section; however, the interested reader is referred to a previous publication </w:t>
      </w:r>
      <w:r w:rsidR="004E1D9C" w:rsidRPr="004E1D9C">
        <w:rPr>
          <w:rFonts w:cstheme="minorHAnsi"/>
          <w:noProof/>
          <w:color w:val="0070C0"/>
          <w:vertAlign w:val="superscript"/>
          <w:lang w:val="en-US"/>
        </w:rPr>
        <w:t>11</w:t>
      </w:r>
      <w:r w:rsidR="004E1D9C" w:rsidRPr="004E1D9C">
        <w:rPr>
          <w:rFonts w:cstheme="minorHAnsi"/>
          <w:color w:val="0070C0"/>
          <w:lang w:val="en-US"/>
        </w:rPr>
        <w:t xml:space="preserve"> for a more detailed description of the workflow we used, as well as to publications by others </w:t>
      </w:r>
      <w:r w:rsidR="004E1D9C" w:rsidRPr="004E1D9C">
        <w:rPr>
          <w:rFonts w:cstheme="minorHAnsi"/>
          <w:noProof/>
          <w:color w:val="0070C0"/>
          <w:vertAlign w:val="superscript"/>
          <w:lang w:val="en-US"/>
        </w:rPr>
        <w:t>12-14</w:t>
      </w:r>
      <w:r w:rsidR="004E1D9C" w:rsidRPr="004E1D9C">
        <w:rPr>
          <w:rFonts w:cstheme="minorHAnsi"/>
          <w:color w:val="0070C0"/>
          <w:lang w:val="en-US"/>
        </w:rPr>
        <w:t xml:space="preserve"> for detailed information regarding the analysis tools used in this workflow.</w:t>
      </w:r>
      <w:r w:rsidR="00212892" w:rsidRPr="004E1D9C">
        <w:rPr>
          <w:rFonts w:cstheme="minorHAnsi"/>
          <w:color w:val="0070C0"/>
          <w:lang w:val="en-US"/>
        </w:rPr>
        <w:t xml:space="preserve">” </w:t>
      </w:r>
    </w:p>
    <w:p w14:paraId="15489130" w14:textId="493BD52C" w:rsidR="00212892" w:rsidRPr="00212892" w:rsidRDefault="00212892" w:rsidP="002E2A38">
      <w:pPr>
        <w:jc w:val="both"/>
        <w:rPr>
          <w:color w:val="0070C0"/>
          <w:lang w:val="en-US"/>
        </w:rPr>
      </w:pPr>
      <w:r w:rsidRPr="004E1D9C">
        <w:rPr>
          <w:rFonts w:cstheme="minorHAnsi"/>
          <w:color w:val="0070C0"/>
          <w:lang w:val="en-US"/>
        </w:rPr>
        <w:t>&gt; line 36</w:t>
      </w:r>
      <w:r w:rsidR="004E1D9C" w:rsidRPr="004E1D9C">
        <w:rPr>
          <w:rFonts w:cstheme="minorHAnsi"/>
          <w:color w:val="0070C0"/>
          <w:lang w:val="en-US"/>
        </w:rPr>
        <w:t>1</w:t>
      </w:r>
      <w:r w:rsidRPr="004E1D9C">
        <w:rPr>
          <w:rFonts w:cstheme="minorHAnsi"/>
          <w:color w:val="0070C0"/>
          <w:lang w:val="en-US"/>
        </w:rPr>
        <w:t>: “</w:t>
      </w:r>
      <w:r w:rsidR="004E1D9C" w:rsidRPr="004E1D9C">
        <w:rPr>
          <w:rFonts w:cs="Times"/>
          <w:color w:val="0070C0"/>
          <w:lang w:val="en-US"/>
        </w:rPr>
        <w:t xml:space="preserve">In the case of our representative experiment, a subset of 10,000 reads was selected for further analysis. To this end, the fastq files generated during the sequencing run were further processed in an Ubuntu 18.04 LTS environment, and demultiplexed using flexbar v3.0.3 </w:t>
      </w:r>
      <w:r w:rsidR="004E1D9C" w:rsidRPr="004E1D9C">
        <w:rPr>
          <w:color w:val="0070C0"/>
          <w:lang w:val="en-US"/>
        </w:rPr>
        <w:t xml:space="preserve">with parameters optimized for demultiplexing of nanopore sequencing data (barcode-tail-length 300, barcode-error-rate 0.2, barcode-gap-penalty -1) </w:t>
      </w:r>
      <w:r w:rsidR="004E1D9C" w:rsidRPr="004E1D9C">
        <w:rPr>
          <w:noProof/>
          <w:color w:val="0070C0"/>
          <w:vertAlign w:val="superscript"/>
          <w:lang w:val="en-US"/>
        </w:rPr>
        <w:t>12</w:t>
      </w:r>
      <w:r w:rsidR="004E1D9C" w:rsidRPr="004E1D9C">
        <w:rPr>
          <w:rFonts w:cs="Times"/>
          <w:color w:val="0070C0"/>
          <w:lang w:val="en-US"/>
        </w:rPr>
        <w:t xml:space="preserve">. After demultiplexing, read mapping and consensus generation can then be done using a number of different tools, but a detailed discussion of the bioinformatics aspect of nanopore sequencing goes beyond the scope of this manuscript. However, in the case of our representative results, read mapping to a reference sequence was performed using Geneious 10.2.3. </w:t>
      </w:r>
      <w:r w:rsidRPr="004E1D9C">
        <w:rPr>
          <w:rFonts w:cs="Times"/>
          <w:color w:val="0070C0"/>
          <w:lang w:val="en-US"/>
        </w:rPr>
        <w:t>Of the</w:t>
      </w:r>
      <w:r w:rsidR="002E2A38" w:rsidRPr="004E1D9C">
        <w:rPr>
          <w:rFonts w:cs="Times"/>
          <w:color w:val="0070C0"/>
          <w:lang w:val="en-US"/>
        </w:rPr>
        <w:t xml:space="preserve"> </w:t>
      </w:r>
      <w:r w:rsidRPr="004E1D9C">
        <w:rPr>
          <w:rFonts w:cs="Times"/>
          <w:color w:val="0070C0"/>
          <w:lang w:val="en-US"/>
        </w:rPr>
        <w:t xml:space="preserve">10,000 reads </w:t>
      </w:r>
      <w:r w:rsidRPr="00212892">
        <w:rPr>
          <w:rFonts w:cs="Times"/>
          <w:color w:val="0070C0"/>
          <w:lang w:val="en-US"/>
        </w:rPr>
        <w:t>analyzed, […]</w:t>
      </w:r>
      <w:r w:rsidRPr="00212892">
        <w:rPr>
          <w:rFonts w:cstheme="minorHAnsi"/>
          <w:color w:val="0070C0"/>
          <w:lang w:val="en-US"/>
        </w:rPr>
        <w:t>”</w:t>
      </w:r>
    </w:p>
    <w:p w14:paraId="1BF689F9" w14:textId="77777777" w:rsidR="002E1DEE" w:rsidRPr="002E1DEE" w:rsidRDefault="00212892" w:rsidP="002E2A38">
      <w:pPr>
        <w:jc w:val="both"/>
        <w:rPr>
          <w:rFonts w:cstheme="minorHAnsi"/>
          <w:color w:val="0070C0"/>
          <w:lang w:val="en-GB"/>
        </w:rPr>
      </w:pPr>
      <w:r>
        <w:rPr>
          <w:color w:val="0070C0"/>
          <w:lang w:val="en-GB"/>
        </w:rPr>
        <w:t xml:space="preserve"> </w:t>
      </w:r>
    </w:p>
    <w:p w14:paraId="5C17DD63" w14:textId="77777777" w:rsidR="004D2455" w:rsidRDefault="004D2455" w:rsidP="002E2A38">
      <w:pPr>
        <w:autoSpaceDE w:val="0"/>
        <w:autoSpaceDN w:val="0"/>
        <w:adjustRightInd w:val="0"/>
        <w:spacing w:after="0" w:line="240" w:lineRule="auto"/>
        <w:jc w:val="both"/>
        <w:rPr>
          <w:lang w:val="en-GB"/>
        </w:rPr>
      </w:pPr>
      <w:r w:rsidRPr="004D2455">
        <w:rPr>
          <w:lang w:val="en-GB"/>
        </w:rPr>
        <w:t>I would like to see some discussion about attempts to streamline the protocol as three-rounds of PCR is</w:t>
      </w:r>
      <w:r>
        <w:rPr>
          <w:lang w:val="en-GB"/>
        </w:rPr>
        <w:t xml:space="preserve"> </w:t>
      </w:r>
      <w:r w:rsidRPr="004D2455">
        <w:rPr>
          <w:lang w:val="en-GB"/>
        </w:rPr>
        <w:t>quite significant for a field method. Was a single PCR attempted using barcoded primers and if so why was</w:t>
      </w:r>
      <w:r>
        <w:rPr>
          <w:lang w:val="en-GB"/>
        </w:rPr>
        <w:t xml:space="preserve"> </w:t>
      </w:r>
      <w:r w:rsidRPr="004D2455">
        <w:rPr>
          <w:lang w:val="en-GB"/>
        </w:rPr>
        <w:t>this not the favourable method?</w:t>
      </w:r>
    </w:p>
    <w:p w14:paraId="1A950731" w14:textId="77777777" w:rsidR="004D2455" w:rsidRDefault="004D2455" w:rsidP="002E2A38">
      <w:pPr>
        <w:autoSpaceDE w:val="0"/>
        <w:autoSpaceDN w:val="0"/>
        <w:adjustRightInd w:val="0"/>
        <w:spacing w:after="0" w:line="240" w:lineRule="auto"/>
        <w:jc w:val="both"/>
        <w:rPr>
          <w:lang w:val="en-GB"/>
        </w:rPr>
      </w:pPr>
    </w:p>
    <w:p w14:paraId="6241AFAD" w14:textId="5BD8D086" w:rsidR="004D2455" w:rsidRPr="004E1D9C" w:rsidRDefault="004D2455" w:rsidP="002E2A38">
      <w:pPr>
        <w:autoSpaceDE w:val="0"/>
        <w:autoSpaceDN w:val="0"/>
        <w:adjustRightInd w:val="0"/>
        <w:spacing w:after="0" w:line="240" w:lineRule="auto"/>
        <w:jc w:val="both"/>
        <w:rPr>
          <w:color w:val="0070C0"/>
          <w:lang w:val="en-GB"/>
        </w:rPr>
      </w:pPr>
      <w:r>
        <w:rPr>
          <w:color w:val="0070C0"/>
          <w:lang w:val="en-GB"/>
        </w:rPr>
        <w:t>&gt;</w:t>
      </w:r>
      <w:r w:rsidR="00E66314">
        <w:rPr>
          <w:color w:val="0070C0"/>
          <w:lang w:val="en-GB"/>
        </w:rPr>
        <w:t xml:space="preserve"> </w:t>
      </w:r>
      <w:r w:rsidR="002F6471">
        <w:rPr>
          <w:color w:val="0070C0"/>
          <w:lang w:val="en-GB"/>
        </w:rPr>
        <w:t xml:space="preserve">The reviewer is correct in that three rounds of PCR represent a quite significant work load for a field method. However, in our experience it was necessary to run nested PCRs in the field, even for primer sets </w:t>
      </w:r>
      <w:r w:rsidR="002E2A38">
        <w:rPr>
          <w:color w:val="0070C0"/>
          <w:lang w:val="en-GB"/>
        </w:rPr>
        <w:t>that</w:t>
      </w:r>
      <w:r w:rsidR="002F6471">
        <w:rPr>
          <w:color w:val="0070C0"/>
          <w:lang w:val="en-GB"/>
        </w:rPr>
        <w:t xml:space="preserve"> worked well in a single PCR round under laboratory conditions. </w:t>
      </w:r>
      <w:r w:rsidR="002E2A38">
        <w:rPr>
          <w:color w:val="0070C0"/>
          <w:lang w:val="en-GB"/>
        </w:rPr>
        <w:t>Similarly</w:t>
      </w:r>
      <w:r w:rsidR="002F6471">
        <w:rPr>
          <w:color w:val="0070C0"/>
          <w:lang w:val="en-GB"/>
        </w:rPr>
        <w:t xml:space="preserve">, we have made the observation that adding the barcode adapter to the first primer set leads to amplification </w:t>
      </w:r>
      <w:r w:rsidR="002F6471" w:rsidRPr="004E1D9C">
        <w:rPr>
          <w:color w:val="0070C0"/>
          <w:lang w:val="en-GB"/>
        </w:rPr>
        <w:t>problems under field conditions, at least in our hands. We now comment on this in the manuscript:</w:t>
      </w:r>
    </w:p>
    <w:p w14:paraId="0CFD67A0" w14:textId="77777777" w:rsidR="002F6471" w:rsidRPr="004E1D9C" w:rsidRDefault="002F6471" w:rsidP="002E2A38">
      <w:pPr>
        <w:autoSpaceDE w:val="0"/>
        <w:autoSpaceDN w:val="0"/>
        <w:adjustRightInd w:val="0"/>
        <w:spacing w:after="0" w:line="240" w:lineRule="auto"/>
        <w:jc w:val="both"/>
        <w:rPr>
          <w:color w:val="0070C0"/>
          <w:lang w:val="en-GB"/>
        </w:rPr>
      </w:pPr>
    </w:p>
    <w:p w14:paraId="707D2E8D" w14:textId="58597C9E" w:rsidR="002F6471" w:rsidRPr="002F6471" w:rsidRDefault="002F6471" w:rsidP="002E2A38">
      <w:pPr>
        <w:autoSpaceDE w:val="0"/>
        <w:autoSpaceDN w:val="0"/>
        <w:adjustRightInd w:val="0"/>
        <w:spacing w:after="0" w:line="240" w:lineRule="auto"/>
        <w:jc w:val="both"/>
        <w:rPr>
          <w:rFonts w:cstheme="minorHAnsi"/>
          <w:color w:val="0070C0"/>
          <w:lang w:val="en-US"/>
        </w:rPr>
      </w:pPr>
      <w:r w:rsidRPr="004E1D9C">
        <w:rPr>
          <w:color w:val="0070C0"/>
          <w:lang w:val="en-GB"/>
        </w:rPr>
        <w:t>&gt; line 47</w:t>
      </w:r>
      <w:r w:rsidR="004E1D9C" w:rsidRPr="004E1D9C">
        <w:rPr>
          <w:color w:val="0070C0"/>
          <w:lang w:val="en-GB"/>
        </w:rPr>
        <w:t>5</w:t>
      </w:r>
      <w:r w:rsidRPr="004E1D9C">
        <w:rPr>
          <w:color w:val="0070C0"/>
          <w:lang w:val="en-GB"/>
        </w:rPr>
        <w:t>: “</w:t>
      </w:r>
      <w:r w:rsidR="004E1D9C" w:rsidRPr="004E1D9C">
        <w:rPr>
          <w:rFonts w:cstheme="minorHAnsi"/>
          <w:lang w:val="en-US"/>
        </w:rPr>
        <w:t>Indeed, in our experience in Liberia and Guinea with this technology nested protocols were required under field conditions with field samples even for primer sets which allowed amplification of targets from laboratory samples and under laboratory conditions with a single round of PCR (</w:t>
      </w:r>
      <w:r w:rsidR="004E1D9C" w:rsidRPr="004E1D9C">
        <w:rPr>
          <w:rFonts w:cstheme="minorHAnsi"/>
          <w:noProof/>
          <w:vertAlign w:val="superscript"/>
          <w:lang w:val="en-US"/>
        </w:rPr>
        <w:t>7</w:t>
      </w:r>
      <w:r w:rsidR="004E1D9C" w:rsidRPr="004E1D9C">
        <w:rPr>
          <w:rFonts w:cstheme="minorHAnsi"/>
          <w:lang w:val="en-US"/>
        </w:rPr>
        <w:t xml:space="preserve"> and unpublished results).</w:t>
      </w:r>
      <w:r w:rsidRPr="002F6471">
        <w:rPr>
          <w:rFonts w:cstheme="minorHAnsi"/>
          <w:color w:val="0070C0"/>
          <w:lang w:val="en-US"/>
        </w:rPr>
        <w:t>”</w:t>
      </w:r>
    </w:p>
    <w:p w14:paraId="0D6FD7BA" w14:textId="77777777" w:rsidR="0009533B" w:rsidRDefault="0009533B" w:rsidP="002E2A38">
      <w:pPr>
        <w:ind w:left="708"/>
        <w:jc w:val="both"/>
        <w:rPr>
          <w:color w:val="0070C0"/>
          <w:lang w:val="en-GB"/>
        </w:rPr>
      </w:pPr>
    </w:p>
    <w:p w14:paraId="16B3C1D4" w14:textId="77777777" w:rsidR="004D2455" w:rsidRDefault="004D2455" w:rsidP="002E2A38">
      <w:pPr>
        <w:autoSpaceDE w:val="0"/>
        <w:autoSpaceDN w:val="0"/>
        <w:adjustRightInd w:val="0"/>
        <w:spacing w:after="0" w:line="240" w:lineRule="auto"/>
        <w:jc w:val="both"/>
        <w:rPr>
          <w:lang w:val="en-GB"/>
        </w:rPr>
      </w:pPr>
      <w:r>
        <w:rPr>
          <w:lang w:val="en-GB"/>
        </w:rPr>
        <w:t>Minor comments:</w:t>
      </w:r>
    </w:p>
    <w:p w14:paraId="091FB1E5" w14:textId="77777777" w:rsidR="004D2455" w:rsidRDefault="004D2455" w:rsidP="002E2A38">
      <w:pPr>
        <w:autoSpaceDE w:val="0"/>
        <w:autoSpaceDN w:val="0"/>
        <w:adjustRightInd w:val="0"/>
        <w:spacing w:after="0" w:line="240" w:lineRule="auto"/>
        <w:jc w:val="both"/>
        <w:rPr>
          <w:lang w:val="en-GB"/>
        </w:rPr>
      </w:pPr>
    </w:p>
    <w:p w14:paraId="1FF8436F" w14:textId="77777777" w:rsidR="004D2455" w:rsidRDefault="002043D1" w:rsidP="002E2A38">
      <w:pPr>
        <w:autoSpaceDE w:val="0"/>
        <w:autoSpaceDN w:val="0"/>
        <w:adjustRightInd w:val="0"/>
        <w:spacing w:after="0" w:line="240" w:lineRule="auto"/>
        <w:jc w:val="both"/>
        <w:rPr>
          <w:lang w:val="en-GB"/>
        </w:rPr>
      </w:pPr>
      <w:r w:rsidRPr="002043D1">
        <w:rPr>
          <w:lang w:val="en-GB"/>
        </w:rPr>
        <w:t>41 Raw read accuracy or maybe accuracy is lower than short-read sequencing platforms</w:t>
      </w:r>
    </w:p>
    <w:p w14:paraId="123FB75E" w14:textId="77777777" w:rsidR="002043D1" w:rsidRDefault="002043D1" w:rsidP="002E2A38">
      <w:pPr>
        <w:autoSpaceDE w:val="0"/>
        <w:autoSpaceDN w:val="0"/>
        <w:adjustRightInd w:val="0"/>
        <w:spacing w:after="0" w:line="240" w:lineRule="auto"/>
        <w:jc w:val="both"/>
        <w:rPr>
          <w:lang w:val="en-GB"/>
        </w:rPr>
      </w:pPr>
    </w:p>
    <w:p w14:paraId="316A53E9" w14:textId="77777777" w:rsidR="002043D1" w:rsidRDefault="002043D1" w:rsidP="002E2A38">
      <w:pPr>
        <w:autoSpaceDE w:val="0"/>
        <w:autoSpaceDN w:val="0"/>
        <w:adjustRightInd w:val="0"/>
        <w:spacing w:after="0" w:line="240" w:lineRule="auto"/>
        <w:jc w:val="both"/>
        <w:rPr>
          <w:color w:val="0070C0"/>
          <w:lang w:val="en-GB"/>
        </w:rPr>
      </w:pPr>
      <w:r>
        <w:rPr>
          <w:color w:val="0070C0"/>
          <w:lang w:val="en-GB"/>
        </w:rPr>
        <w:t>&gt;</w:t>
      </w:r>
      <w:r w:rsidR="00D619EE">
        <w:rPr>
          <w:color w:val="0070C0"/>
          <w:lang w:val="en-GB"/>
        </w:rPr>
        <w:t xml:space="preserve"> </w:t>
      </w:r>
      <w:r w:rsidR="00777FB6">
        <w:rPr>
          <w:color w:val="0070C0"/>
          <w:lang w:val="en-GB"/>
        </w:rPr>
        <w:t xml:space="preserve">We </w:t>
      </w:r>
      <w:r w:rsidR="002F6471">
        <w:rPr>
          <w:color w:val="0070C0"/>
          <w:lang w:val="en-GB"/>
        </w:rPr>
        <w:t xml:space="preserve">have </w:t>
      </w:r>
      <w:r w:rsidR="00777FB6">
        <w:rPr>
          <w:color w:val="0070C0"/>
          <w:lang w:val="en-GB"/>
        </w:rPr>
        <w:t>rephrased the sentence as suggested by the reviewer.</w:t>
      </w:r>
    </w:p>
    <w:p w14:paraId="5721E56A" w14:textId="77777777" w:rsidR="00777FB6" w:rsidRDefault="00777FB6" w:rsidP="002E2A38">
      <w:pPr>
        <w:autoSpaceDE w:val="0"/>
        <w:autoSpaceDN w:val="0"/>
        <w:adjustRightInd w:val="0"/>
        <w:spacing w:after="0" w:line="240" w:lineRule="auto"/>
        <w:jc w:val="both"/>
        <w:rPr>
          <w:color w:val="0070C0"/>
          <w:lang w:val="en-GB"/>
        </w:rPr>
      </w:pPr>
    </w:p>
    <w:p w14:paraId="4A6AF032" w14:textId="75877794" w:rsidR="00777FB6" w:rsidRPr="00777FB6" w:rsidRDefault="00777FB6" w:rsidP="002E2A38">
      <w:pPr>
        <w:autoSpaceDE w:val="0"/>
        <w:autoSpaceDN w:val="0"/>
        <w:adjustRightInd w:val="0"/>
        <w:spacing w:after="0" w:line="240" w:lineRule="auto"/>
        <w:jc w:val="both"/>
        <w:rPr>
          <w:color w:val="0070C0"/>
          <w:lang w:val="en-GB"/>
        </w:rPr>
      </w:pPr>
      <w:r w:rsidRPr="004E1D9C">
        <w:rPr>
          <w:color w:val="0070C0"/>
          <w:lang w:val="en-GB"/>
        </w:rPr>
        <w:t xml:space="preserve">&gt; line </w:t>
      </w:r>
      <w:r w:rsidR="004E1D9C" w:rsidRPr="004E1D9C">
        <w:rPr>
          <w:color w:val="0070C0"/>
          <w:lang w:val="en-GB"/>
        </w:rPr>
        <w:t>44</w:t>
      </w:r>
      <w:r w:rsidRPr="004E1D9C">
        <w:rPr>
          <w:color w:val="0070C0"/>
          <w:lang w:val="en-GB"/>
        </w:rPr>
        <w:t>: “</w:t>
      </w:r>
      <w:r w:rsidRPr="004E1D9C">
        <w:rPr>
          <w:rFonts w:cstheme="minorHAnsi"/>
          <w:color w:val="0070C0"/>
          <w:lang w:val="en-GB"/>
        </w:rPr>
        <w:t>Raw read accuracy</w:t>
      </w:r>
      <w:r w:rsidRPr="00777FB6">
        <w:rPr>
          <w:rFonts w:cstheme="minorHAnsi"/>
          <w:color w:val="0070C0"/>
          <w:lang w:val="en-GB"/>
        </w:rPr>
        <w:t xml:space="preserve"> is lower than with other sequencing platforms</w:t>
      </w:r>
      <w:r>
        <w:rPr>
          <w:rFonts w:cstheme="minorHAnsi"/>
          <w:color w:val="0070C0"/>
          <w:lang w:val="en-GB"/>
        </w:rPr>
        <w:t>”</w:t>
      </w:r>
    </w:p>
    <w:p w14:paraId="038D7C18" w14:textId="77777777" w:rsidR="002043D1" w:rsidRDefault="002043D1" w:rsidP="002E2A38">
      <w:pPr>
        <w:autoSpaceDE w:val="0"/>
        <w:autoSpaceDN w:val="0"/>
        <w:adjustRightInd w:val="0"/>
        <w:spacing w:after="0" w:line="240" w:lineRule="auto"/>
        <w:jc w:val="both"/>
        <w:rPr>
          <w:color w:val="0070C0"/>
          <w:lang w:val="en-GB"/>
        </w:rPr>
      </w:pPr>
    </w:p>
    <w:p w14:paraId="65DE5499" w14:textId="77777777" w:rsidR="002043D1" w:rsidRDefault="002043D1" w:rsidP="002E2A38">
      <w:pPr>
        <w:autoSpaceDE w:val="0"/>
        <w:autoSpaceDN w:val="0"/>
        <w:adjustRightInd w:val="0"/>
        <w:spacing w:after="0" w:line="240" w:lineRule="auto"/>
        <w:jc w:val="both"/>
        <w:rPr>
          <w:lang w:val="en-GB"/>
        </w:rPr>
      </w:pPr>
      <w:r w:rsidRPr="002043D1">
        <w:rPr>
          <w:lang w:val="en-GB"/>
        </w:rPr>
        <w:t>78 increasing sample throughput</w:t>
      </w:r>
    </w:p>
    <w:p w14:paraId="1D604E0C" w14:textId="77777777" w:rsidR="002043D1" w:rsidRDefault="002043D1" w:rsidP="002E2A38">
      <w:pPr>
        <w:autoSpaceDE w:val="0"/>
        <w:autoSpaceDN w:val="0"/>
        <w:adjustRightInd w:val="0"/>
        <w:spacing w:after="0" w:line="240" w:lineRule="auto"/>
        <w:jc w:val="both"/>
        <w:rPr>
          <w:lang w:val="en-GB"/>
        </w:rPr>
      </w:pPr>
    </w:p>
    <w:p w14:paraId="129EDB62" w14:textId="77777777" w:rsidR="002043D1" w:rsidRDefault="004A7986" w:rsidP="002E2A38">
      <w:pPr>
        <w:autoSpaceDE w:val="0"/>
        <w:autoSpaceDN w:val="0"/>
        <w:adjustRightInd w:val="0"/>
        <w:spacing w:after="0" w:line="240" w:lineRule="auto"/>
        <w:jc w:val="both"/>
        <w:rPr>
          <w:color w:val="0070C0"/>
          <w:lang w:val="en-GB"/>
        </w:rPr>
      </w:pPr>
      <w:r w:rsidRPr="004A7986">
        <w:rPr>
          <w:color w:val="0070C0"/>
          <w:lang w:val="en-GB"/>
        </w:rPr>
        <w:t>&gt;</w:t>
      </w:r>
      <w:r>
        <w:rPr>
          <w:color w:val="0070C0"/>
          <w:lang w:val="en-GB"/>
        </w:rPr>
        <w:t xml:space="preserve"> “sample” has been added</w:t>
      </w:r>
      <w:r w:rsidR="002F6471">
        <w:rPr>
          <w:color w:val="0070C0"/>
          <w:lang w:val="en-GB"/>
        </w:rPr>
        <w:t xml:space="preserve"> as requested.</w:t>
      </w:r>
    </w:p>
    <w:p w14:paraId="7352FAD7" w14:textId="77777777" w:rsidR="004A7986" w:rsidRDefault="004A7986" w:rsidP="002E2A38">
      <w:pPr>
        <w:autoSpaceDE w:val="0"/>
        <w:autoSpaceDN w:val="0"/>
        <w:adjustRightInd w:val="0"/>
        <w:spacing w:after="0" w:line="240" w:lineRule="auto"/>
        <w:jc w:val="both"/>
        <w:rPr>
          <w:color w:val="0070C0"/>
          <w:lang w:val="en-GB"/>
        </w:rPr>
      </w:pPr>
    </w:p>
    <w:p w14:paraId="516E0BCE" w14:textId="498180C6" w:rsidR="004A7986" w:rsidRPr="004A7986" w:rsidRDefault="004A7986" w:rsidP="002E2A38">
      <w:pPr>
        <w:autoSpaceDE w:val="0"/>
        <w:autoSpaceDN w:val="0"/>
        <w:adjustRightInd w:val="0"/>
        <w:spacing w:after="0" w:line="240" w:lineRule="auto"/>
        <w:jc w:val="both"/>
        <w:rPr>
          <w:color w:val="0070C0"/>
          <w:lang w:val="en-GB"/>
        </w:rPr>
      </w:pPr>
      <w:r>
        <w:rPr>
          <w:color w:val="0070C0"/>
          <w:lang w:val="en-GB"/>
        </w:rPr>
        <w:t xml:space="preserve">&gt; line </w:t>
      </w:r>
      <w:r w:rsidR="004E1D9C">
        <w:rPr>
          <w:color w:val="0070C0"/>
          <w:lang w:val="en-GB"/>
        </w:rPr>
        <w:t>83</w:t>
      </w:r>
      <w:r>
        <w:rPr>
          <w:color w:val="0070C0"/>
          <w:lang w:val="en-GB"/>
        </w:rPr>
        <w:t xml:space="preserve">: </w:t>
      </w:r>
      <w:r w:rsidR="00901148">
        <w:rPr>
          <w:color w:val="0070C0"/>
          <w:lang w:val="en-GB"/>
        </w:rPr>
        <w:t>“</w:t>
      </w:r>
      <w:r w:rsidRPr="004A7986">
        <w:rPr>
          <w:rFonts w:cstheme="minorHAnsi"/>
          <w:color w:val="0070C0"/>
          <w:lang w:val="en-GB"/>
        </w:rPr>
        <w:t>thus increasing sample throughput</w:t>
      </w:r>
      <w:r w:rsidR="00901148">
        <w:rPr>
          <w:rFonts w:cstheme="minorHAnsi"/>
          <w:color w:val="0070C0"/>
          <w:lang w:val="en-GB"/>
        </w:rPr>
        <w:t>”</w:t>
      </w:r>
    </w:p>
    <w:p w14:paraId="05C7C7DD" w14:textId="77777777" w:rsidR="002043D1" w:rsidRDefault="002043D1" w:rsidP="002E2A38">
      <w:pPr>
        <w:autoSpaceDE w:val="0"/>
        <w:autoSpaceDN w:val="0"/>
        <w:adjustRightInd w:val="0"/>
        <w:spacing w:after="0" w:line="240" w:lineRule="auto"/>
        <w:jc w:val="both"/>
        <w:rPr>
          <w:color w:val="0070C0"/>
          <w:lang w:val="en-GB"/>
        </w:rPr>
      </w:pPr>
    </w:p>
    <w:p w14:paraId="5C4B1D95" w14:textId="77777777" w:rsidR="002043D1" w:rsidRDefault="002043D1" w:rsidP="002E2A38">
      <w:pPr>
        <w:autoSpaceDE w:val="0"/>
        <w:autoSpaceDN w:val="0"/>
        <w:adjustRightInd w:val="0"/>
        <w:spacing w:after="0" w:line="240" w:lineRule="auto"/>
        <w:jc w:val="both"/>
        <w:rPr>
          <w:lang w:val="en-GB"/>
        </w:rPr>
      </w:pPr>
      <w:r w:rsidRPr="002043D1">
        <w:rPr>
          <w:lang w:val="en-GB"/>
        </w:rPr>
        <w:t>143 Why is there two DNase treatment steps are they both required?</w:t>
      </w:r>
    </w:p>
    <w:p w14:paraId="48BAD517" w14:textId="77777777" w:rsidR="002043D1" w:rsidRDefault="002043D1" w:rsidP="002E2A38">
      <w:pPr>
        <w:autoSpaceDE w:val="0"/>
        <w:autoSpaceDN w:val="0"/>
        <w:adjustRightInd w:val="0"/>
        <w:spacing w:after="0" w:line="240" w:lineRule="auto"/>
        <w:jc w:val="both"/>
        <w:rPr>
          <w:lang w:val="en-GB"/>
        </w:rPr>
      </w:pPr>
    </w:p>
    <w:p w14:paraId="428DA5C7" w14:textId="0D9BAE1A" w:rsidR="002043D1"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3C6ECE">
        <w:rPr>
          <w:color w:val="0070C0"/>
          <w:lang w:val="en-GB"/>
        </w:rPr>
        <w:t xml:space="preserve"> </w:t>
      </w:r>
      <w:r w:rsidR="006A781A">
        <w:rPr>
          <w:color w:val="0070C0"/>
          <w:lang w:val="en-GB"/>
        </w:rPr>
        <w:t xml:space="preserve">The </w:t>
      </w:r>
      <w:r w:rsidR="00B054DB">
        <w:rPr>
          <w:color w:val="0070C0"/>
          <w:lang w:val="en-GB"/>
        </w:rPr>
        <w:t xml:space="preserve">DNase treatments are part of </w:t>
      </w:r>
      <w:r w:rsidR="002F6471">
        <w:rPr>
          <w:color w:val="0070C0"/>
          <w:lang w:val="en-GB"/>
        </w:rPr>
        <w:t xml:space="preserve">the respective </w:t>
      </w:r>
      <w:r w:rsidR="00B054DB">
        <w:rPr>
          <w:color w:val="0070C0"/>
          <w:lang w:val="en-GB"/>
        </w:rPr>
        <w:t>kit</w:t>
      </w:r>
      <w:r w:rsidR="002F6471">
        <w:rPr>
          <w:color w:val="0070C0"/>
          <w:lang w:val="en-GB"/>
        </w:rPr>
        <w:t>s for RNA extraction and reverse transcription</w:t>
      </w:r>
      <w:r w:rsidR="00B054DB">
        <w:rPr>
          <w:color w:val="0070C0"/>
          <w:lang w:val="en-GB"/>
        </w:rPr>
        <w:t xml:space="preserve">. </w:t>
      </w:r>
      <w:r w:rsidR="002F6471">
        <w:rPr>
          <w:color w:val="0070C0"/>
          <w:lang w:val="en-GB"/>
        </w:rPr>
        <w:t xml:space="preserve">Whether or not both steps are absolutely required for the protocol to work is something that </w:t>
      </w:r>
      <w:r w:rsidR="001760C7">
        <w:rPr>
          <w:color w:val="0070C0"/>
          <w:lang w:val="en-GB"/>
        </w:rPr>
        <w:t>we have not specifically</w:t>
      </w:r>
      <w:r w:rsidR="002F6471">
        <w:rPr>
          <w:color w:val="0070C0"/>
          <w:lang w:val="en-GB"/>
        </w:rPr>
        <w:t xml:space="preserve"> investigated, but since these steps add a very limited amount of work, </w:t>
      </w:r>
      <w:r w:rsidR="002E2A38">
        <w:rPr>
          <w:color w:val="0070C0"/>
          <w:lang w:val="en-GB"/>
        </w:rPr>
        <w:t xml:space="preserve">we believe that </w:t>
      </w:r>
      <w:r w:rsidR="002F6471">
        <w:rPr>
          <w:color w:val="0070C0"/>
          <w:lang w:val="en-GB"/>
        </w:rPr>
        <w:t>this is of little consequence.</w:t>
      </w:r>
    </w:p>
    <w:p w14:paraId="4F1D95A3" w14:textId="77777777" w:rsidR="002043D1" w:rsidRDefault="002043D1" w:rsidP="002E2A38">
      <w:pPr>
        <w:autoSpaceDE w:val="0"/>
        <w:autoSpaceDN w:val="0"/>
        <w:adjustRightInd w:val="0"/>
        <w:spacing w:after="0" w:line="240" w:lineRule="auto"/>
        <w:jc w:val="both"/>
        <w:rPr>
          <w:color w:val="0070C0"/>
          <w:lang w:val="en-GB"/>
        </w:rPr>
      </w:pPr>
    </w:p>
    <w:p w14:paraId="3D027FF5" w14:textId="77777777" w:rsidR="002043D1" w:rsidRDefault="002043D1" w:rsidP="002E2A38">
      <w:pPr>
        <w:autoSpaceDE w:val="0"/>
        <w:autoSpaceDN w:val="0"/>
        <w:adjustRightInd w:val="0"/>
        <w:spacing w:after="0" w:line="240" w:lineRule="auto"/>
        <w:jc w:val="both"/>
        <w:rPr>
          <w:lang w:val="en-GB"/>
        </w:rPr>
      </w:pPr>
      <w:r w:rsidRPr="002043D1">
        <w:rPr>
          <w:lang w:val="en-GB"/>
        </w:rPr>
        <w:t>180 Pipette or pipet?</w:t>
      </w:r>
    </w:p>
    <w:p w14:paraId="23F3A981" w14:textId="77777777" w:rsidR="002043D1" w:rsidRDefault="002043D1" w:rsidP="002E2A38">
      <w:pPr>
        <w:autoSpaceDE w:val="0"/>
        <w:autoSpaceDN w:val="0"/>
        <w:adjustRightInd w:val="0"/>
        <w:spacing w:after="0" w:line="240" w:lineRule="auto"/>
        <w:jc w:val="both"/>
        <w:rPr>
          <w:lang w:val="en-GB"/>
        </w:rPr>
      </w:pPr>
    </w:p>
    <w:p w14:paraId="55BA88FD" w14:textId="2872C93A" w:rsidR="002043D1" w:rsidRDefault="00B76EE6" w:rsidP="002E2A38">
      <w:pPr>
        <w:autoSpaceDE w:val="0"/>
        <w:autoSpaceDN w:val="0"/>
        <w:adjustRightInd w:val="0"/>
        <w:spacing w:after="0" w:line="240" w:lineRule="auto"/>
        <w:jc w:val="both"/>
        <w:rPr>
          <w:color w:val="0070C0"/>
          <w:lang w:val="en-GB"/>
        </w:rPr>
      </w:pPr>
      <w:r w:rsidRPr="00B76EE6">
        <w:rPr>
          <w:color w:val="0070C0"/>
          <w:lang w:val="en-GB"/>
        </w:rPr>
        <w:t>&gt;</w:t>
      </w:r>
      <w:r>
        <w:rPr>
          <w:color w:val="0070C0"/>
          <w:lang w:val="en-GB"/>
        </w:rPr>
        <w:t xml:space="preserve"> </w:t>
      </w:r>
      <w:r w:rsidR="002F6471">
        <w:rPr>
          <w:color w:val="0070C0"/>
          <w:lang w:val="en-GB"/>
        </w:rPr>
        <w:t>We have made the spelling of “</w:t>
      </w:r>
      <w:r>
        <w:rPr>
          <w:color w:val="0070C0"/>
          <w:lang w:val="en-GB"/>
        </w:rPr>
        <w:t>pipette”</w:t>
      </w:r>
      <w:r w:rsidR="002F6471">
        <w:rPr>
          <w:color w:val="0070C0"/>
          <w:lang w:val="en-GB"/>
        </w:rPr>
        <w:t xml:space="preserve"> consistent throughout the manuscript. </w:t>
      </w:r>
    </w:p>
    <w:p w14:paraId="7026248E" w14:textId="77777777" w:rsidR="004A7986" w:rsidRDefault="004A7986" w:rsidP="002E2A38">
      <w:pPr>
        <w:autoSpaceDE w:val="0"/>
        <w:autoSpaceDN w:val="0"/>
        <w:adjustRightInd w:val="0"/>
        <w:spacing w:after="0" w:line="240" w:lineRule="auto"/>
        <w:jc w:val="both"/>
        <w:rPr>
          <w:color w:val="0070C0"/>
          <w:lang w:val="en-GB"/>
        </w:rPr>
      </w:pPr>
    </w:p>
    <w:p w14:paraId="025542D7" w14:textId="77777777" w:rsidR="002043D1" w:rsidRDefault="002043D1" w:rsidP="002E2A38">
      <w:pPr>
        <w:autoSpaceDE w:val="0"/>
        <w:autoSpaceDN w:val="0"/>
        <w:adjustRightInd w:val="0"/>
        <w:spacing w:after="0" w:line="240" w:lineRule="auto"/>
        <w:jc w:val="both"/>
        <w:rPr>
          <w:lang w:val="en-GB"/>
        </w:rPr>
      </w:pPr>
      <w:r w:rsidRPr="002043D1">
        <w:rPr>
          <w:lang w:val="en-GB"/>
        </w:rPr>
        <w:t>180 Consistency between units s and min in line 185</w:t>
      </w:r>
    </w:p>
    <w:p w14:paraId="1BF1F146" w14:textId="77777777" w:rsidR="002043D1" w:rsidRDefault="002043D1" w:rsidP="002E2A38">
      <w:pPr>
        <w:autoSpaceDE w:val="0"/>
        <w:autoSpaceDN w:val="0"/>
        <w:adjustRightInd w:val="0"/>
        <w:spacing w:after="0" w:line="240" w:lineRule="auto"/>
        <w:jc w:val="both"/>
        <w:rPr>
          <w:lang w:val="en-GB"/>
        </w:rPr>
      </w:pPr>
    </w:p>
    <w:p w14:paraId="2BC1C2A1" w14:textId="77777777" w:rsidR="002043D1" w:rsidRPr="002043D1"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D42B98">
        <w:rPr>
          <w:color w:val="0070C0"/>
          <w:lang w:val="en-GB"/>
        </w:rPr>
        <w:t xml:space="preserve"> We </w:t>
      </w:r>
      <w:r w:rsidR="005B16A3">
        <w:rPr>
          <w:color w:val="0070C0"/>
          <w:lang w:val="en-GB"/>
        </w:rPr>
        <w:t xml:space="preserve">have made sure that we follow the JoVE style guide, which requires the use of “h”, “min”, and “s” as abbreviations for hours, minutes, and seconds, respectively, throughout the manuscript. </w:t>
      </w:r>
    </w:p>
    <w:p w14:paraId="43546DCF" w14:textId="77777777" w:rsidR="002043D1" w:rsidRDefault="002043D1" w:rsidP="002E2A38">
      <w:pPr>
        <w:autoSpaceDE w:val="0"/>
        <w:autoSpaceDN w:val="0"/>
        <w:adjustRightInd w:val="0"/>
        <w:spacing w:after="0" w:line="240" w:lineRule="auto"/>
        <w:jc w:val="both"/>
        <w:rPr>
          <w:lang w:val="en-GB"/>
        </w:rPr>
      </w:pPr>
    </w:p>
    <w:p w14:paraId="19057771" w14:textId="77777777" w:rsidR="002043D1" w:rsidRDefault="002043D1" w:rsidP="002E2A38">
      <w:pPr>
        <w:autoSpaceDE w:val="0"/>
        <w:autoSpaceDN w:val="0"/>
        <w:adjustRightInd w:val="0"/>
        <w:spacing w:after="0" w:line="240" w:lineRule="auto"/>
        <w:jc w:val="both"/>
        <w:rPr>
          <w:lang w:val="en-GB"/>
        </w:rPr>
      </w:pPr>
      <w:r w:rsidRPr="002043D1">
        <w:rPr>
          <w:lang w:val="en-GB"/>
        </w:rPr>
        <w:t>204 Annealing temperate of 71°C?</w:t>
      </w:r>
    </w:p>
    <w:p w14:paraId="01C3EA58" w14:textId="77777777" w:rsidR="002043D1" w:rsidRDefault="002043D1" w:rsidP="002E2A38">
      <w:pPr>
        <w:autoSpaceDE w:val="0"/>
        <w:autoSpaceDN w:val="0"/>
        <w:adjustRightInd w:val="0"/>
        <w:spacing w:after="0" w:line="240" w:lineRule="auto"/>
        <w:jc w:val="both"/>
        <w:rPr>
          <w:lang w:val="en-GB"/>
        </w:rPr>
      </w:pPr>
    </w:p>
    <w:p w14:paraId="5401DF99" w14:textId="77777777" w:rsidR="002043D1" w:rsidRPr="002043D1"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83681D">
        <w:rPr>
          <w:color w:val="0070C0"/>
          <w:lang w:val="en-GB"/>
        </w:rPr>
        <w:t xml:space="preserve"> </w:t>
      </w:r>
      <w:r w:rsidR="005B16A3">
        <w:rPr>
          <w:color w:val="0070C0"/>
          <w:lang w:val="en-GB"/>
        </w:rPr>
        <w:t>This is correct.</w:t>
      </w:r>
      <w:r w:rsidR="0083681D">
        <w:rPr>
          <w:color w:val="0070C0"/>
          <w:lang w:val="en-GB"/>
        </w:rPr>
        <w:t xml:space="preserve"> </w:t>
      </w:r>
    </w:p>
    <w:p w14:paraId="66EBE22C" w14:textId="77777777" w:rsidR="00BE7A4F" w:rsidRDefault="00BE7A4F" w:rsidP="002E2A38">
      <w:pPr>
        <w:autoSpaceDE w:val="0"/>
        <w:autoSpaceDN w:val="0"/>
        <w:adjustRightInd w:val="0"/>
        <w:spacing w:after="0" w:line="240" w:lineRule="auto"/>
        <w:jc w:val="both"/>
        <w:rPr>
          <w:lang w:val="en-GB"/>
        </w:rPr>
      </w:pPr>
    </w:p>
    <w:p w14:paraId="0250B0EB" w14:textId="77777777" w:rsidR="002043D1" w:rsidRDefault="002043D1" w:rsidP="002E2A38">
      <w:pPr>
        <w:autoSpaceDE w:val="0"/>
        <w:autoSpaceDN w:val="0"/>
        <w:adjustRightInd w:val="0"/>
        <w:spacing w:after="0" w:line="240" w:lineRule="auto"/>
        <w:jc w:val="both"/>
        <w:rPr>
          <w:lang w:val="en-GB"/>
        </w:rPr>
      </w:pPr>
      <w:r w:rsidRPr="002043D1">
        <w:rPr>
          <w:lang w:val="en-GB"/>
        </w:rPr>
        <w:t>324 Assume you mean 1.4 M reads?</w:t>
      </w:r>
    </w:p>
    <w:p w14:paraId="6C9FCF4E" w14:textId="77777777" w:rsidR="002043D1" w:rsidRDefault="002043D1" w:rsidP="002E2A38">
      <w:pPr>
        <w:autoSpaceDE w:val="0"/>
        <w:autoSpaceDN w:val="0"/>
        <w:adjustRightInd w:val="0"/>
        <w:spacing w:after="0" w:line="240" w:lineRule="auto"/>
        <w:jc w:val="both"/>
        <w:rPr>
          <w:lang w:val="en-GB"/>
        </w:rPr>
      </w:pPr>
    </w:p>
    <w:p w14:paraId="49E0DC6C" w14:textId="61094753" w:rsidR="002043D1"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231942">
        <w:rPr>
          <w:color w:val="0070C0"/>
          <w:lang w:val="en-GB"/>
        </w:rPr>
        <w:t xml:space="preserve"> The reviewer is right, this was a typing error and </w:t>
      </w:r>
      <w:r w:rsidR="002E2A38">
        <w:rPr>
          <w:color w:val="0070C0"/>
          <w:lang w:val="en-GB"/>
        </w:rPr>
        <w:t>has been</w:t>
      </w:r>
      <w:r w:rsidR="00231942">
        <w:rPr>
          <w:color w:val="0070C0"/>
          <w:lang w:val="en-GB"/>
        </w:rPr>
        <w:t xml:space="preserve"> changed </w:t>
      </w:r>
      <w:r w:rsidR="005B16A3">
        <w:rPr>
          <w:color w:val="0070C0"/>
          <w:lang w:val="en-GB"/>
        </w:rPr>
        <w:t>accordingly.</w:t>
      </w:r>
    </w:p>
    <w:p w14:paraId="5274FA2B" w14:textId="77777777" w:rsidR="00231942" w:rsidRDefault="00231942" w:rsidP="002E2A38">
      <w:pPr>
        <w:autoSpaceDE w:val="0"/>
        <w:autoSpaceDN w:val="0"/>
        <w:adjustRightInd w:val="0"/>
        <w:spacing w:after="0" w:line="240" w:lineRule="auto"/>
        <w:jc w:val="both"/>
        <w:rPr>
          <w:color w:val="0070C0"/>
          <w:lang w:val="en-GB"/>
        </w:rPr>
      </w:pPr>
    </w:p>
    <w:p w14:paraId="6CAE22C7" w14:textId="27753B4A" w:rsidR="00231942" w:rsidRPr="00A463AA" w:rsidRDefault="00231942" w:rsidP="002E2A38">
      <w:pPr>
        <w:autoSpaceDE w:val="0"/>
        <w:autoSpaceDN w:val="0"/>
        <w:adjustRightInd w:val="0"/>
        <w:spacing w:after="0" w:line="240" w:lineRule="auto"/>
        <w:jc w:val="both"/>
        <w:rPr>
          <w:color w:val="0070C0"/>
          <w:lang w:val="en-GB"/>
        </w:rPr>
      </w:pPr>
      <w:r w:rsidRPr="00A463AA">
        <w:rPr>
          <w:color w:val="0070C0"/>
          <w:lang w:val="en-GB"/>
        </w:rPr>
        <w:t xml:space="preserve">&gt; line </w:t>
      </w:r>
      <w:r w:rsidR="007860FB" w:rsidRPr="00A463AA">
        <w:rPr>
          <w:color w:val="0070C0"/>
          <w:lang w:val="en-GB"/>
        </w:rPr>
        <w:t>3</w:t>
      </w:r>
      <w:r w:rsidR="005B16A3" w:rsidRPr="00A463AA">
        <w:rPr>
          <w:color w:val="0070C0"/>
          <w:lang w:val="en-GB"/>
        </w:rPr>
        <w:t>5</w:t>
      </w:r>
      <w:r w:rsidR="00A463AA" w:rsidRPr="00A463AA">
        <w:rPr>
          <w:color w:val="0070C0"/>
          <w:lang w:val="en-GB"/>
        </w:rPr>
        <w:t>7</w:t>
      </w:r>
      <w:r w:rsidR="005B16A3" w:rsidRPr="00A463AA">
        <w:rPr>
          <w:color w:val="0070C0"/>
          <w:lang w:val="en-GB"/>
        </w:rPr>
        <w:t>: “</w:t>
      </w:r>
      <w:r w:rsidRPr="00A463AA">
        <w:rPr>
          <w:color w:val="0070C0"/>
          <w:lang w:val="en-GB"/>
        </w:rPr>
        <w:t>we obtained approximately 1.4 million reads during such a 14 h run.</w:t>
      </w:r>
      <w:r w:rsidR="003C6ECE" w:rsidRPr="00A463AA">
        <w:rPr>
          <w:color w:val="0070C0"/>
          <w:lang w:val="en-GB"/>
        </w:rPr>
        <w:t>”</w:t>
      </w:r>
    </w:p>
    <w:p w14:paraId="6F79205B" w14:textId="77777777" w:rsidR="00231942" w:rsidRPr="00A463AA" w:rsidRDefault="00231942" w:rsidP="002E2A38">
      <w:pPr>
        <w:autoSpaceDE w:val="0"/>
        <w:autoSpaceDN w:val="0"/>
        <w:adjustRightInd w:val="0"/>
        <w:spacing w:after="0" w:line="240" w:lineRule="auto"/>
        <w:jc w:val="both"/>
        <w:rPr>
          <w:color w:val="0070C0"/>
          <w:lang w:val="en-GB"/>
        </w:rPr>
      </w:pPr>
    </w:p>
    <w:p w14:paraId="14DB2AD6" w14:textId="77777777" w:rsidR="002043D1" w:rsidRDefault="002043D1" w:rsidP="002E2A38">
      <w:pPr>
        <w:autoSpaceDE w:val="0"/>
        <w:autoSpaceDN w:val="0"/>
        <w:adjustRightInd w:val="0"/>
        <w:spacing w:after="0" w:line="240" w:lineRule="auto"/>
        <w:jc w:val="both"/>
        <w:rPr>
          <w:lang w:val="en-GB"/>
        </w:rPr>
      </w:pPr>
      <w:r w:rsidRPr="00A463AA">
        <w:rPr>
          <w:lang w:val="en-GB"/>
        </w:rPr>
        <w:t>332 Include the demultiplexing</w:t>
      </w:r>
      <w:r w:rsidRPr="002043D1">
        <w:rPr>
          <w:lang w:val="en-GB"/>
        </w:rPr>
        <w:t xml:space="preserve"> stringency here is that 87% requiring a single barcode to be detected?</w:t>
      </w:r>
    </w:p>
    <w:p w14:paraId="37071D3F" w14:textId="77777777" w:rsidR="002043D1" w:rsidRDefault="002043D1" w:rsidP="002E2A38">
      <w:pPr>
        <w:autoSpaceDE w:val="0"/>
        <w:autoSpaceDN w:val="0"/>
        <w:adjustRightInd w:val="0"/>
        <w:spacing w:after="0" w:line="240" w:lineRule="auto"/>
        <w:jc w:val="both"/>
        <w:rPr>
          <w:lang w:val="en-GB"/>
        </w:rPr>
      </w:pPr>
    </w:p>
    <w:p w14:paraId="26F9DAFF" w14:textId="2DE612BB" w:rsidR="002043D1" w:rsidRPr="005230A0"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833AA9">
        <w:rPr>
          <w:color w:val="0070C0"/>
          <w:lang w:val="en-GB"/>
        </w:rPr>
        <w:t xml:space="preserve"> </w:t>
      </w:r>
      <w:r w:rsidR="00635F9E">
        <w:rPr>
          <w:color w:val="0070C0"/>
          <w:lang w:val="en-GB"/>
        </w:rPr>
        <w:t xml:space="preserve">Unfortunately, we are not entirely sure we </w:t>
      </w:r>
      <w:r w:rsidR="002E2A38">
        <w:rPr>
          <w:color w:val="0070C0"/>
          <w:lang w:val="en-GB"/>
        </w:rPr>
        <w:t>understand</w:t>
      </w:r>
      <w:r w:rsidR="00635F9E">
        <w:rPr>
          <w:color w:val="0070C0"/>
          <w:lang w:val="en-GB"/>
        </w:rPr>
        <w:t xml:space="preserve"> the reviewer’s comment in this </w:t>
      </w:r>
      <w:r w:rsidR="00635F9E" w:rsidRPr="005230A0">
        <w:rPr>
          <w:color w:val="0070C0"/>
          <w:lang w:val="en-GB"/>
        </w:rPr>
        <w:t xml:space="preserve">instance. </w:t>
      </w:r>
      <w:r w:rsidR="005230A0" w:rsidRPr="005230A0">
        <w:rPr>
          <w:color w:val="0070C0"/>
          <w:lang w:val="en-GB"/>
        </w:rPr>
        <w:t xml:space="preserve">Demultiplexing was done using Flexbar with a </w:t>
      </w:r>
      <w:r w:rsidR="005230A0" w:rsidRPr="005230A0">
        <w:rPr>
          <w:color w:val="0070C0"/>
          <w:lang w:val="en-US"/>
        </w:rPr>
        <w:t>barcode-error-rate of 0.2 and a barcode-gap-penalty of -1. This allowed us to assign 87.6% of the reads to a sample. We have made sure that t</w:t>
      </w:r>
      <w:r w:rsidR="005230A0" w:rsidRPr="005230A0">
        <w:rPr>
          <w:color w:val="0070C0"/>
          <w:lang w:val="en-GB"/>
        </w:rPr>
        <w:t>his is specified in the manuscript.</w:t>
      </w:r>
    </w:p>
    <w:p w14:paraId="5A532BB2" w14:textId="77777777" w:rsidR="00833AA9" w:rsidRPr="005230A0" w:rsidRDefault="00833AA9" w:rsidP="002E2A38">
      <w:pPr>
        <w:autoSpaceDE w:val="0"/>
        <w:autoSpaceDN w:val="0"/>
        <w:adjustRightInd w:val="0"/>
        <w:spacing w:after="0" w:line="240" w:lineRule="auto"/>
        <w:jc w:val="both"/>
        <w:rPr>
          <w:color w:val="0070C0"/>
          <w:lang w:val="en-GB"/>
        </w:rPr>
      </w:pPr>
    </w:p>
    <w:p w14:paraId="43C03B4F" w14:textId="3B617D49" w:rsidR="005230A0" w:rsidRPr="005230A0" w:rsidRDefault="005230A0" w:rsidP="002E2A38">
      <w:pPr>
        <w:autoSpaceDE w:val="0"/>
        <w:autoSpaceDN w:val="0"/>
        <w:adjustRightInd w:val="0"/>
        <w:spacing w:after="0" w:line="240" w:lineRule="auto"/>
        <w:jc w:val="both"/>
        <w:rPr>
          <w:color w:val="0070C0"/>
          <w:lang w:val="en-US"/>
        </w:rPr>
      </w:pPr>
      <w:r w:rsidRPr="00A463AA">
        <w:rPr>
          <w:color w:val="0070C0"/>
          <w:lang w:val="en-GB"/>
        </w:rPr>
        <w:t>&gt; line 36</w:t>
      </w:r>
      <w:r w:rsidR="00A463AA" w:rsidRPr="00A463AA">
        <w:rPr>
          <w:color w:val="0070C0"/>
          <w:lang w:val="en-GB"/>
        </w:rPr>
        <w:t>3</w:t>
      </w:r>
      <w:r w:rsidRPr="00A463AA">
        <w:rPr>
          <w:color w:val="0070C0"/>
          <w:lang w:val="en-GB"/>
        </w:rPr>
        <w:t>: “</w:t>
      </w:r>
      <w:r w:rsidR="00A463AA" w:rsidRPr="00A463AA">
        <w:rPr>
          <w:rFonts w:cs="Times"/>
          <w:color w:val="0070C0"/>
          <w:lang w:val="en-US"/>
        </w:rPr>
        <w:t xml:space="preserve">and demultiplexed using flexbar v3.0.3 </w:t>
      </w:r>
      <w:r w:rsidR="00A463AA" w:rsidRPr="00A463AA">
        <w:rPr>
          <w:color w:val="0070C0"/>
          <w:lang w:val="en-US"/>
        </w:rPr>
        <w:t>with parameters optimized for demultiplexing of nanopore sequencing data (barcode-tail-length 300, barcode-error-rate 0.2, barcode-gap-penalty -1)</w:t>
      </w:r>
      <w:r w:rsidRPr="00A463AA">
        <w:rPr>
          <w:color w:val="0070C0"/>
          <w:lang w:val="en-US"/>
        </w:rPr>
        <w:t>”</w:t>
      </w:r>
    </w:p>
    <w:p w14:paraId="40B011E7" w14:textId="77777777" w:rsidR="005230A0" w:rsidRDefault="005230A0" w:rsidP="002E2A38">
      <w:pPr>
        <w:autoSpaceDE w:val="0"/>
        <w:autoSpaceDN w:val="0"/>
        <w:adjustRightInd w:val="0"/>
        <w:spacing w:after="0" w:line="240" w:lineRule="auto"/>
        <w:jc w:val="both"/>
        <w:rPr>
          <w:color w:val="0070C0"/>
          <w:lang w:val="en-GB"/>
        </w:rPr>
      </w:pPr>
    </w:p>
    <w:p w14:paraId="3DAB9A58" w14:textId="53BDBCB3" w:rsidR="00833AA9" w:rsidRPr="002043D1" w:rsidRDefault="00833AA9" w:rsidP="002E2A38">
      <w:pPr>
        <w:autoSpaceDE w:val="0"/>
        <w:autoSpaceDN w:val="0"/>
        <w:adjustRightInd w:val="0"/>
        <w:spacing w:after="0" w:line="240" w:lineRule="auto"/>
        <w:jc w:val="both"/>
        <w:rPr>
          <w:color w:val="0070C0"/>
          <w:lang w:val="en-GB"/>
        </w:rPr>
      </w:pPr>
      <w:r w:rsidRPr="00A463AA">
        <w:rPr>
          <w:color w:val="0070C0"/>
          <w:lang w:val="en-GB"/>
        </w:rPr>
        <w:t xml:space="preserve">&gt; line </w:t>
      </w:r>
      <w:r w:rsidR="007860FB" w:rsidRPr="00A463AA">
        <w:rPr>
          <w:color w:val="0070C0"/>
          <w:lang w:val="en-GB"/>
        </w:rPr>
        <w:t>3</w:t>
      </w:r>
      <w:r w:rsidR="005230A0" w:rsidRPr="00A463AA">
        <w:rPr>
          <w:color w:val="0070C0"/>
          <w:lang w:val="en-GB"/>
        </w:rPr>
        <w:t>7</w:t>
      </w:r>
      <w:r w:rsidR="00A463AA" w:rsidRPr="00A463AA">
        <w:rPr>
          <w:color w:val="0070C0"/>
          <w:lang w:val="en-GB"/>
        </w:rPr>
        <w:t>3</w:t>
      </w:r>
      <w:r w:rsidRPr="00A463AA">
        <w:rPr>
          <w:color w:val="0070C0"/>
          <w:lang w:val="en-GB"/>
        </w:rPr>
        <w:t>: “</w:t>
      </w:r>
      <w:r w:rsidR="005230A0" w:rsidRPr="00A463AA">
        <w:rPr>
          <w:rFonts w:cs="Times"/>
          <w:color w:val="0070C0"/>
          <w:lang w:val="en-GB"/>
        </w:rPr>
        <w:t>Demultiplexing</w:t>
      </w:r>
      <w:r w:rsidR="005230A0" w:rsidRPr="005230A0">
        <w:rPr>
          <w:rFonts w:cs="Times"/>
          <w:color w:val="0070C0"/>
          <w:lang w:val="en-GB"/>
        </w:rPr>
        <w:t xml:space="preserve"> of reads allowed the assignment of 87.6% of the reads to one of the 10 barcodes/samples </w:t>
      </w:r>
      <w:r w:rsidR="005230A0">
        <w:rPr>
          <w:rFonts w:cs="Times"/>
          <w:color w:val="0070C0"/>
          <w:lang w:val="en-GB"/>
        </w:rPr>
        <w:t>analysed.</w:t>
      </w:r>
      <w:r>
        <w:rPr>
          <w:rFonts w:cs="Times"/>
          <w:color w:val="0070C0"/>
          <w:lang w:val="en-GB"/>
        </w:rPr>
        <w:t>”</w:t>
      </w:r>
    </w:p>
    <w:p w14:paraId="7B4CEA1F" w14:textId="77777777" w:rsidR="002043D1" w:rsidRDefault="002043D1" w:rsidP="002E2A38">
      <w:pPr>
        <w:autoSpaceDE w:val="0"/>
        <w:autoSpaceDN w:val="0"/>
        <w:adjustRightInd w:val="0"/>
        <w:spacing w:after="0" w:line="240" w:lineRule="auto"/>
        <w:jc w:val="both"/>
        <w:rPr>
          <w:lang w:val="en-GB"/>
        </w:rPr>
      </w:pPr>
    </w:p>
    <w:p w14:paraId="50BEA464" w14:textId="77777777" w:rsidR="002043D1" w:rsidRDefault="002043D1" w:rsidP="002E2A38">
      <w:pPr>
        <w:autoSpaceDE w:val="0"/>
        <w:autoSpaceDN w:val="0"/>
        <w:adjustRightInd w:val="0"/>
        <w:spacing w:after="0" w:line="240" w:lineRule="auto"/>
        <w:jc w:val="both"/>
        <w:rPr>
          <w:lang w:val="en-GB"/>
        </w:rPr>
      </w:pPr>
      <w:r w:rsidRPr="002043D1">
        <w:rPr>
          <w:lang w:val="en-GB"/>
        </w:rPr>
        <w:t>347,390 ionic</w:t>
      </w:r>
    </w:p>
    <w:p w14:paraId="3CB5775B" w14:textId="77777777" w:rsidR="002043D1" w:rsidRDefault="002043D1" w:rsidP="002E2A38">
      <w:pPr>
        <w:autoSpaceDE w:val="0"/>
        <w:autoSpaceDN w:val="0"/>
        <w:adjustRightInd w:val="0"/>
        <w:spacing w:after="0" w:line="240" w:lineRule="auto"/>
        <w:jc w:val="both"/>
        <w:rPr>
          <w:lang w:val="en-GB"/>
        </w:rPr>
      </w:pPr>
    </w:p>
    <w:p w14:paraId="18B0AE89" w14:textId="77777777" w:rsidR="002043D1"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B263E8">
        <w:rPr>
          <w:color w:val="0070C0"/>
          <w:lang w:val="en-GB"/>
        </w:rPr>
        <w:t xml:space="preserve"> </w:t>
      </w:r>
      <w:r w:rsidR="005B16A3">
        <w:rPr>
          <w:color w:val="0070C0"/>
          <w:lang w:val="en-GB"/>
        </w:rPr>
        <w:t>This has been changed as requested.</w:t>
      </w:r>
    </w:p>
    <w:p w14:paraId="4D247464" w14:textId="77777777" w:rsidR="00B263E8" w:rsidRDefault="00B263E8" w:rsidP="002E2A38">
      <w:pPr>
        <w:autoSpaceDE w:val="0"/>
        <w:autoSpaceDN w:val="0"/>
        <w:adjustRightInd w:val="0"/>
        <w:spacing w:after="0" w:line="240" w:lineRule="auto"/>
        <w:jc w:val="both"/>
        <w:rPr>
          <w:color w:val="0070C0"/>
          <w:lang w:val="en-GB"/>
        </w:rPr>
      </w:pPr>
    </w:p>
    <w:p w14:paraId="0A920A21" w14:textId="6F420CCB" w:rsidR="00B263E8" w:rsidRPr="00A463AA" w:rsidRDefault="00B263E8" w:rsidP="002E2A38">
      <w:pPr>
        <w:autoSpaceDE w:val="0"/>
        <w:autoSpaceDN w:val="0"/>
        <w:adjustRightInd w:val="0"/>
        <w:spacing w:after="0" w:line="240" w:lineRule="auto"/>
        <w:jc w:val="both"/>
        <w:rPr>
          <w:color w:val="0070C0"/>
          <w:lang w:val="en-GB"/>
        </w:rPr>
      </w:pPr>
      <w:r w:rsidRPr="00A463AA">
        <w:rPr>
          <w:color w:val="0070C0"/>
          <w:lang w:val="en-GB"/>
        </w:rPr>
        <w:t xml:space="preserve">&gt; line </w:t>
      </w:r>
      <w:r w:rsidR="007860FB" w:rsidRPr="00A463AA">
        <w:rPr>
          <w:color w:val="0070C0"/>
          <w:lang w:val="en-GB"/>
        </w:rPr>
        <w:t>38</w:t>
      </w:r>
      <w:r w:rsidR="00A463AA" w:rsidRPr="00A463AA">
        <w:rPr>
          <w:color w:val="0070C0"/>
          <w:lang w:val="en-GB"/>
        </w:rPr>
        <w:t>8</w:t>
      </w:r>
      <w:r w:rsidRPr="00A463AA">
        <w:rPr>
          <w:color w:val="0070C0"/>
          <w:lang w:val="en-GB"/>
        </w:rPr>
        <w:t xml:space="preserve">: </w:t>
      </w:r>
      <w:r w:rsidR="003C6ECE" w:rsidRPr="00A463AA">
        <w:rPr>
          <w:color w:val="0070C0"/>
          <w:lang w:val="en-GB"/>
        </w:rPr>
        <w:t>“</w:t>
      </w:r>
      <w:r w:rsidRPr="00A463AA">
        <w:rPr>
          <w:color w:val="0070C0"/>
          <w:lang w:val="en-GB"/>
        </w:rPr>
        <w:t>An ionic current simultaneously passes through the pore [...]</w:t>
      </w:r>
      <w:r w:rsidR="003C6ECE" w:rsidRPr="00A463AA">
        <w:rPr>
          <w:color w:val="0070C0"/>
          <w:lang w:val="en-GB"/>
        </w:rPr>
        <w:t>”</w:t>
      </w:r>
    </w:p>
    <w:p w14:paraId="1F9B59C0" w14:textId="77777777" w:rsidR="005B16A3" w:rsidRPr="00A463AA" w:rsidRDefault="005B16A3" w:rsidP="002E2A38">
      <w:pPr>
        <w:autoSpaceDE w:val="0"/>
        <w:autoSpaceDN w:val="0"/>
        <w:adjustRightInd w:val="0"/>
        <w:spacing w:after="0" w:line="240" w:lineRule="auto"/>
        <w:jc w:val="both"/>
        <w:rPr>
          <w:color w:val="0070C0"/>
          <w:lang w:val="en-GB"/>
        </w:rPr>
      </w:pPr>
    </w:p>
    <w:p w14:paraId="25CED259" w14:textId="77777777" w:rsidR="00B263E8" w:rsidRDefault="00B263E8" w:rsidP="002E2A38">
      <w:pPr>
        <w:autoSpaceDE w:val="0"/>
        <w:autoSpaceDN w:val="0"/>
        <w:adjustRightInd w:val="0"/>
        <w:spacing w:after="0" w:line="240" w:lineRule="auto"/>
        <w:jc w:val="both"/>
        <w:rPr>
          <w:color w:val="0070C0"/>
          <w:lang w:val="en-GB"/>
        </w:rPr>
      </w:pPr>
      <w:r w:rsidRPr="00A463AA">
        <w:rPr>
          <w:color w:val="0070C0"/>
          <w:lang w:val="en-GB"/>
        </w:rPr>
        <w:t xml:space="preserve">&gt; line </w:t>
      </w:r>
      <w:r w:rsidR="006E4D5C" w:rsidRPr="00A463AA">
        <w:rPr>
          <w:color w:val="0070C0"/>
          <w:lang w:val="en-GB"/>
        </w:rPr>
        <w:t>431</w:t>
      </w:r>
      <w:r w:rsidRPr="00A463AA">
        <w:rPr>
          <w:color w:val="0070C0"/>
          <w:lang w:val="en-GB"/>
        </w:rPr>
        <w:t xml:space="preserve">: </w:t>
      </w:r>
      <w:r w:rsidR="003C6ECE" w:rsidRPr="00A463AA">
        <w:rPr>
          <w:color w:val="0070C0"/>
          <w:lang w:val="en-GB"/>
        </w:rPr>
        <w:t>“</w:t>
      </w:r>
      <w:r w:rsidRPr="00A463AA">
        <w:rPr>
          <w:color w:val="0070C0"/>
          <w:lang w:val="en-GB"/>
        </w:rPr>
        <w:t>[...] resulting in modulation of an ionic current [...]</w:t>
      </w:r>
      <w:r w:rsidR="003C6ECE" w:rsidRPr="00A463AA">
        <w:rPr>
          <w:color w:val="0070C0"/>
          <w:lang w:val="en-GB"/>
        </w:rPr>
        <w:t>”</w:t>
      </w:r>
    </w:p>
    <w:p w14:paraId="0A6871A2" w14:textId="77777777" w:rsidR="007447AC" w:rsidRDefault="007447AC" w:rsidP="002E2A38">
      <w:pPr>
        <w:autoSpaceDE w:val="0"/>
        <w:autoSpaceDN w:val="0"/>
        <w:adjustRightInd w:val="0"/>
        <w:spacing w:after="0" w:line="240" w:lineRule="auto"/>
        <w:jc w:val="both"/>
        <w:rPr>
          <w:color w:val="0070C0"/>
          <w:lang w:val="en-GB"/>
        </w:rPr>
      </w:pPr>
    </w:p>
    <w:p w14:paraId="63DC0A66" w14:textId="77777777" w:rsidR="007447AC" w:rsidRDefault="007447AC" w:rsidP="002E2A38">
      <w:pPr>
        <w:autoSpaceDE w:val="0"/>
        <w:autoSpaceDN w:val="0"/>
        <w:adjustRightInd w:val="0"/>
        <w:spacing w:after="0" w:line="240" w:lineRule="auto"/>
        <w:jc w:val="both"/>
        <w:rPr>
          <w:lang w:val="en-GB"/>
        </w:rPr>
      </w:pPr>
      <w:r w:rsidRPr="007447AC">
        <w:rPr>
          <w:lang w:val="en-GB"/>
        </w:rPr>
        <w:t>409 Cite Rang 2018</w:t>
      </w:r>
    </w:p>
    <w:p w14:paraId="0B87CDE3" w14:textId="77777777" w:rsidR="007447AC" w:rsidRDefault="007447AC" w:rsidP="002E2A38">
      <w:pPr>
        <w:autoSpaceDE w:val="0"/>
        <w:autoSpaceDN w:val="0"/>
        <w:adjustRightInd w:val="0"/>
        <w:spacing w:after="0" w:line="240" w:lineRule="auto"/>
        <w:jc w:val="both"/>
        <w:rPr>
          <w:lang w:val="en-GB"/>
        </w:rPr>
      </w:pPr>
    </w:p>
    <w:p w14:paraId="73F24757" w14:textId="77777777" w:rsidR="007447AC" w:rsidRPr="00C5157C" w:rsidRDefault="007447AC" w:rsidP="002E2A38">
      <w:pPr>
        <w:autoSpaceDE w:val="0"/>
        <w:autoSpaceDN w:val="0"/>
        <w:adjustRightInd w:val="0"/>
        <w:spacing w:after="0" w:line="240" w:lineRule="auto"/>
        <w:jc w:val="both"/>
        <w:rPr>
          <w:color w:val="0070C0"/>
          <w:lang w:val="en-GB"/>
        </w:rPr>
      </w:pPr>
      <w:r w:rsidRPr="00C5157C">
        <w:rPr>
          <w:color w:val="0070C0"/>
          <w:lang w:val="en-GB"/>
        </w:rPr>
        <w:t xml:space="preserve">&gt; </w:t>
      </w:r>
      <w:r w:rsidR="00E13391" w:rsidRPr="00C5157C">
        <w:rPr>
          <w:color w:val="0070C0"/>
          <w:lang w:val="en-GB"/>
        </w:rPr>
        <w:t>We have added a citation to Rang 2018 as suggested by the reviewer.</w:t>
      </w:r>
    </w:p>
    <w:p w14:paraId="322B947B" w14:textId="77777777" w:rsidR="002043D1" w:rsidRDefault="002043D1" w:rsidP="002E2A38">
      <w:pPr>
        <w:autoSpaceDE w:val="0"/>
        <w:autoSpaceDN w:val="0"/>
        <w:adjustRightInd w:val="0"/>
        <w:spacing w:after="0" w:line="240" w:lineRule="auto"/>
        <w:jc w:val="both"/>
        <w:rPr>
          <w:lang w:val="en-GB"/>
        </w:rPr>
      </w:pPr>
    </w:p>
    <w:p w14:paraId="4CEC04CE" w14:textId="77777777" w:rsidR="002043D1" w:rsidRDefault="002043D1" w:rsidP="002E2A38">
      <w:pPr>
        <w:autoSpaceDE w:val="0"/>
        <w:autoSpaceDN w:val="0"/>
        <w:adjustRightInd w:val="0"/>
        <w:spacing w:after="0" w:line="240" w:lineRule="auto"/>
        <w:jc w:val="both"/>
        <w:rPr>
          <w:lang w:val="en-GB"/>
        </w:rPr>
      </w:pPr>
      <w:r w:rsidRPr="002043D1">
        <w:rPr>
          <w:lang w:val="en-GB"/>
        </w:rPr>
        <w:t>411 Cite</w:t>
      </w:r>
    </w:p>
    <w:p w14:paraId="15812FAD" w14:textId="77777777" w:rsidR="002043D1" w:rsidRDefault="002043D1" w:rsidP="002E2A38">
      <w:pPr>
        <w:autoSpaceDE w:val="0"/>
        <w:autoSpaceDN w:val="0"/>
        <w:adjustRightInd w:val="0"/>
        <w:spacing w:after="0" w:line="240" w:lineRule="auto"/>
        <w:jc w:val="both"/>
        <w:rPr>
          <w:lang w:val="en-GB"/>
        </w:rPr>
      </w:pPr>
    </w:p>
    <w:p w14:paraId="180EB559" w14:textId="4DF93205" w:rsidR="002043D1" w:rsidRDefault="002043D1" w:rsidP="002E2A38">
      <w:pPr>
        <w:autoSpaceDE w:val="0"/>
        <w:autoSpaceDN w:val="0"/>
        <w:adjustRightInd w:val="0"/>
        <w:spacing w:after="0" w:line="240" w:lineRule="auto"/>
        <w:jc w:val="both"/>
        <w:rPr>
          <w:color w:val="0070C0"/>
          <w:lang w:val="en-GB"/>
        </w:rPr>
      </w:pPr>
      <w:r w:rsidRPr="005B16A3">
        <w:rPr>
          <w:color w:val="0070C0"/>
          <w:lang w:val="en-GB"/>
        </w:rPr>
        <w:t>&gt;</w:t>
      </w:r>
      <w:r w:rsidR="004C2469" w:rsidRPr="005B16A3">
        <w:rPr>
          <w:color w:val="0070C0"/>
          <w:lang w:val="en-GB"/>
        </w:rPr>
        <w:t xml:space="preserve"> </w:t>
      </w:r>
      <w:r w:rsidR="005B16A3" w:rsidRPr="005B16A3">
        <w:rPr>
          <w:color w:val="0070C0"/>
          <w:lang w:val="en-GB"/>
        </w:rPr>
        <w:t xml:space="preserve">We </w:t>
      </w:r>
      <w:r w:rsidR="00C5157C">
        <w:rPr>
          <w:color w:val="0070C0"/>
          <w:lang w:val="en-GB"/>
        </w:rPr>
        <w:t xml:space="preserve">have added a citation to the text </w:t>
      </w:r>
      <w:r w:rsidR="006A781A">
        <w:rPr>
          <w:color w:val="0070C0"/>
          <w:lang w:val="en-GB"/>
        </w:rPr>
        <w:t xml:space="preserve">at this point </w:t>
      </w:r>
      <w:r w:rsidR="00C5157C">
        <w:rPr>
          <w:color w:val="0070C0"/>
          <w:lang w:val="en-GB"/>
        </w:rPr>
        <w:t>as requested. However, since the paper cited substantiates the statement made only with theoretical considerations, we have at the same time weakened it somewhat</w:t>
      </w:r>
      <w:r w:rsidR="005B16A3" w:rsidRPr="005B16A3">
        <w:rPr>
          <w:color w:val="0070C0"/>
          <w:lang w:val="en-GB"/>
        </w:rPr>
        <w:t>.</w:t>
      </w:r>
    </w:p>
    <w:p w14:paraId="074FE556" w14:textId="77777777" w:rsidR="00C5157C" w:rsidRPr="00A463AA" w:rsidRDefault="00C5157C" w:rsidP="002E2A38">
      <w:pPr>
        <w:autoSpaceDE w:val="0"/>
        <w:autoSpaceDN w:val="0"/>
        <w:adjustRightInd w:val="0"/>
        <w:spacing w:after="0" w:line="240" w:lineRule="auto"/>
        <w:jc w:val="both"/>
        <w:rPr>
          <w:color w:val="0070C0"/>
          <w:lang w:val="en-GB"/>
        </w:rPr>
      </w:pPr>
    </w:p>
    <w:p w14:paraId="1F1DCB18" w14:textId="5CF6135D" w:rsidR="00C5157C" w:rsidRPr="00A463AA" w:rsidRDefault="00C5157C" w:rsidP="002E2A38">
      <w:pPr>
        <w:autoSpaceDE w:val="0"/>
        <w:autoSpaceDN w:val="0"/>
        <w:adjustRightInd w:val="0"/>
        <w:spacing w:after="0" w:line="240" w:lineRule="auto"/>
        <w:jc w:val="both"/>
        <w:rPr>
          <w:color w:val="0070C0"/>
          <w:lang w:val="en-GB"/>
        </w:rPr>
      </w:pPr>
      <w:r w:rsidRPr="00A463AA">
        <w:rPr>
          <w:color w:val="0070C0"/>
          <w:lang w:val="en-GB"/>
        </w:rPr>
        <w:t>line 4</w:t>
      </w:r>
      <w:r w:rsidR="00A463AA" w:rsidRPr="00A463AA">
        <w:rPr>
          <w:color w:val="0070C0"/>
          <w:lang w:val="en-GB"/>
        </w:rPr>
        <w:t>52</w:t>
      </w:r>
      <w:r w:rsidRPr="00A463AA">
        <w:rPr>
          <w:color w:val="0070C0"/>
          <w:lang w:val="en-GB"/>
        </w:rPr>
        <w:t>: “</w:t>
      </w:r>
      <w:r w:rsidR="00A463AA" w:rsidRPr="00A463AA">
        <w:rPr>
          <w:rFonts w:cstheme="minorHAnsi"/>
          <w:color w:val="0070C0"/>
          <w:lang w:val="en-US"/>
        </w:rPr>
        <w:t xml:space="preserve">However, high read depth can compensate for these inaccuracies, and a recent study suggested based on theoretical considerations that a read depth of &gt;10 might increase overall accuracy to &gt;99.8% </w:t>
      </w:r>
      <w:r w:rsidR="00A463AA" w:rsidRPr="00A463AA">
        <w:rPr>
          <w:rFonts w:cstheme="minorHAnsi"/>
          <w:noProof/>
          <w:color w:val="0070C0"/>
          <w:vertAlign w:val="superscript"/>
          <w:lang w:val="en-US"/>
        </w:rPr>
        <w:t>21</w:t>
      </w:r>
      <w:r w:rsidR="00A463AA" w:rsidRPr="00A463AA">
        <w:rPr>
          <w:rFonts w:cstheme="minorHAnsi"/>
          <w:color w:val="0070C0"/>
          <w:lang w:val="en-US"/>
        </w:rPr>
        <w:t>.</w:t>
      </w:r>
      <w:r w:rsidRPr="00A463AA">
        <w:rPr>
          <w:color w:val="0070C0"/>
          <w:lang w:val="en-GB"/>
        </w:rPr>
        <w:t>”</w:t>
      </w:r>
    </w:p>
    <w:p w14:paraId="550509B2" w14:textId="77777777" w:rsidR="002043D1" w:rsidRDefault="002043D1" w:rsidP="002E2A38">
      <w:pPr>
        <w:autoSpaceDE w:val="0"/>
        <w:autoSpaceDN w:val="0"/>
        <w:adjustRightInd w:val="0"/>
        <w:spacing w:after="0" w:line="240" w:lineRule="auto"/>
        <w:jc w:val="both"/>
        <w:rPr>
          <w:lang w:val="en-GB"/>
        </w:rPr>
      </w:pPr>
    </w:p>
    <w:p w14:paraId="3D51D16C" w14:textId="77777777" w:rsidR="002043D1" w:rsidRDefault="002043D1" w:rsidP="002E2A38">
      <w:pPr>
        <w:autoSpaceDE w:val="0"/>
        <w:autoSpaceDN w:val="0"/>
        <w:adjustRightInd w:val="0"/>
        <w:spacing w:after="0" w:line="240" w:lineRule="auto"/>
        <w:jc w:val="both"/>
        <w:rPr>
          <w:lang w:val="en-GB"/>
        </w:rPr>
      </w:pPr>
      <w:r w:rsidRPr="002043D1">
        <w:rPr>
          <w:lang w:val="en-GB"/>
        </w:rPr>
        <w:t>Figure 1 is missing the helicase which is an essential element of the sequencing system</w:t>
      </w:r>
    </w:p>
    <w:p w14:paraId="06DBFB52" w14:textId="77777777" w:rsidR="002043D1" w:rsidRDefault="002043D1" w:rsidP="002E2A38">
      <w:pPr>
        <w:autoSpaceDE w:val="0"/>
        <w:autoSpaceDN w:val="0"/>
        <w:adjustRightInd w:val="0"/>
        <w:spacing w:after="0" w:line="240" w:lineRule="auto"/>
        <w:jc w:val="both"/>
        <w:rPr>
          <w:lang w:val="en-GB"/>
        </w:rPr>
      </w:pPr>
    </w:p>
    <w:p w14:paraId="40453F86" w14:textId="77777777" w:rsidR="002043D1" w:rsidRDefault="002043D1" w:rsidP="002E2A38">
      <w:pPr>
        <w:autoSpaceDE w:val="0"/>
        <w:autoSpaceDN w:val="0"/>
        <w:adjustRightInd w:val="0"/>
        <w:spacing w:after="0" w:line="240" w:lineRule="auto"/>
        <w:jc w:val="both"/>
        <w:rPr>
          <w:color w:val="0070C0"/>
          <w:lang w:val="en-GB"/>
        </w:rPr>
      </w:pPr>
      <w:r w:rsidRPr="002043D1">
        <w:rPr>
          <w:color w:val="0070C0"/>
          <w:lang w:val="en-GB"/>
        </w:rPr>
        <w:t>&gt;</w:t>
      </w:r>
      <w:r w:rsidR="00D619EE">
        <w:rPr>
          <w:color w:val="0070C0"/>
          <w:lang w:val="en-GB"/>
        </w:rPr>
        <w:t xml:space="preserve"> We agree with the reviewer that the helicase is an essential element for the nanopore sequencing system</w:t>
      </w:r>
      <w:r w:rsidR="005B16A3">
        <w:rPr>
          <w:color w:val="0070C0"/>
          <w:lang w:val="en-GB"/>
        </w:rPr>
        <w:t>, and have, t</w:t>
      </w:r>
      <w:r w:rsidR="00D619EE">
        <w:rPr>
          <w:color w:val="0070C0"/>
          <w:lang w:val="en-GB"/>
        </w:rPr>
        <w:t xml:space="preserve">herefore, we </w:t>
      </w:r>
      <w:r w:rsidR="003C6ECE">
        <w:rPr>
          <w:color w:val="0070C0"/>
          <w:lang w:val="en-GB"/>
        </w:rPr>
        <w:t xml:space="preserve">adjusted </w:t>
      </w:r>
      <w:r w:rsidR="00D619EE">
        <w:rPr>
          <w:color w:val="0070C0"/>
          <w:lang w:val="en-GB"/>
        </w:rPr>
        <w:t xml:space="preserve">figure 1 </w:t>
      </w:r>
      <w:r w:rsidR="005B16A3">
        <w:rPr>
          <w:color w:val="0070C0"/>
          <w:lang w:val="en-GB"/>
        </w:rPr>
        <w:t>accordingly</w:t>
      </w:r>
      <w:r w:rsidR="00D619EE">
        <w:rPr>
          <w:color w:val="0070C0"/>
          <w:lang w:val="en-GB"/>
        </w:rPr>
        <w:t>.</w:t>
      </w:r>
    </w:p>
    <w:p w14:paraId="3BA2BD24" w14:textId="77777777" w:rsidR="003C6ECE" w:rsidRDefault="003C6ECE" w:rsidP="002E2A38">
      <w:pPr>
        <w:autoSpaceDE w:val="0"/>
        <w:autoSpaceDN w:val="0"/>
        <w:adjustRightInd w:val="0"/>
        <w:spacing w:after="0" w:line="240" w:lineRule="auto"/>
        <w:jc w:val="both"/>
        <w:rPr>
          <w:color w:val="0070C0"/>
          <w:lang w:val="en-GB"/>
        </w:rPr>
      </w:pPr>
    </w:p>
    <w:p w14:paraId="1F95041F" w14:textId="77777777" w:rsidR="00B63B1C" w:rsidRDefault="00B63B1C" w:rsidP="002E2A38">
      <w:pPr>
        <w:autoSpaceDE w:val="0"/>
        <w:autoSpaceDN w:val="0"/>
        <w:adjustRightInd w:val="0"/>
        <w:spacing w:after="0" w:line="240" w:lineRule="auto"/>
        <w:jc w:val="both"/>
        <w:rPr>
          <w:rFonts w:cstheme="minorHAnsi"/>
          <w:color w:val="0070C0"/>
          <w:lang w:val="en-GB"/>
        </w:rPr>
      </w:pPr>
    </w:p>
    <w:p w14:paraId="32CBEAC9" w14:textId="77777777" w:rsidR="00B63B1C" w:rsidRDefault="007447AC" w:rsidP="002E2A38">
      <w:pPr>
        <w:autoSpaceDE w:val="0"/>
        <w:autoSpaceDN w:val="0"/>
        <w:adjustRightInd w:val="0"/>
        <w:spacing w:after="0" w:line="240" w:lineRule="auto"/>
        <w:jc w:val="both"/>
        <w:rPr>
          <w:lang w:val="en-GB"/>
        </w:rPr>
      </w:pPr>
      <w:r>
        <w:rPr>
          <w:lang w:val="en-GB"/>
        </w:rPr>
        <w:t xml:space="preserve">Reviewer </w:t>
      </w:r>
      <w:r w:rsidR="00805CE3">
        <w:rPr>
          <w:lang w:val="en-GB"/>
        </w:rPr>
        <w:t>#</w:t>
      </w:r>
      <w:r>
        <w:rPr>
          <w:lang w:val="en-GB"/>
        </w:rPr>
        <w:t>2:</w:t>
      </w:r>
    </w:p>
    <w:p w14:paraId="53FAEC79" w14:textId="77777777" w:rsidR="007447AC" w:rsidRDefault="007447AC" w:rsidP="002E2A38">
      <w:pPr>
        <w:autoSpaceDE w:val="0"/>
        <w:autoSpaceDN w:val="0"/>
        <w:adjustRightInd w:val="0"/>
        <w:spacing w:after="0" w:line="240" w:lineRule="auto"/>
        <w:jc w:val="both"/>
        <w:rPr>
          <w:lang w:val="en-GB"/>
        </w:rPr>
      </w:pPr>
    </w:p>
    <w:p w14:paraId="5C4EB46C" w14:textId="77777777" w:rsidR="00805CE3" w:rsidRPr="00805CE3" w:rsidRDefault="00805CE3" w:rsidP="002E2A38">
      <w:pPr>
        <w:autoSpaceDE w:val="0"/>
        <w:autoSpaceDN w:val="0"/>
        <w:adjustRightInd w:val="0"/>
        <w:spacing w:after="0" w:line="240" w:lineRule="auto"/>
        <w:jc w:val="both"/>
        <w:rPr>
          <w:lang w:val="en-GB"/>
        </w:rPr>
      </w:pPr>
      <w:r w:rsidRPr="00805CE3">
        <w:rPr>
          <w:lang w:val="en-GB"/>
        </w:rPr>
        <w:t>In this manuscript entitled "Sequencing of mRNA from whole blood using nanopore sequencing", the</w:t>
      </w:r>
    </w:p>
    <w:p w14:paraId="526C849A" w14:textId="77777777" w:rsidR="007447AC" w:rsidRDefault="00805CE3" w:rsidP="002E2A38">
      <w:pPr>
        <w:autoSpaceDE w:val="0"/>
        <w:autoSpaceDN w:val="0"/>
        <w:adjustRightInd w:val="0"/>
        <w:spacing w:after="0" w:line="240" w:lineRule="auto"/>
        <w:jc w:val="both"/>
        <w:rPr>
          <w:lang w:val="en-GB"/>
        </w:rPr>
      </w:pPr>
      <w:r w:rsidRPr="00805CE3">
        <w:rPr>
          <w:lang w:val="en-GB"/>
        </w:rPr>
        <w:t>authors described detailed protocols of the entire procedures ranging from sample preparation to sequencing</w:t>
      </w:r>
      <w:r>
        <w:rPr>
          <w:lang w:val="en-GB"/>
        </w:rPr>
        <w:t xml:space="preserve"> </w:t>
      </w:r>
      <w:r w:rsidRPr="00805CE3">
        <w:rPr>
          <w:lang w:val="en-GB"/>
        </w:rPr>
        <w:t>run. This is an interesting and well written protocol with some supporting data for sequencing quality.</w:t>
      </w:r>
      <w:r>
        <w:rPr>
          <w:lang w:val="en-GB"/>
        </w:rPr>
        <w:t xml:space="preserve"> </w:t>
      </w:r>
      <w:r w:rsidRPr="00805CE3">
        <w:rPr>
          <w:lang w:val="en-GB"/>
        </w:rPr>
        <w:t>However, to increase the clarity of the protocol, the author need to explain the strategies for designing of</w:t>
      </w:r>
      <w:r>
        <w:rPr>
          <w:lang w:val="en-GB"/>
        </w:rPr>
        <w:t xml:space="preserve"> </w:t>
      </w:r>
      <w:r w:rsidRPr="00805CE3">
        <w:rPr>
          <w:lang w:val="en-GB"/>
        </w:rPr>
        <w:t>primer set 2 used in section 3.3 and why to add 1D2 adapter and barcode adapter in section 5, or include</w:t>
      </w:r>
      <w:r>
        <w:rPr>
          <w:lang w:val="en-GB"/>
        </w:rPr>
        <w:t xml:space="preserve"> </w:t>
      </w:r>
      <w:r w:rsidRPr="00805CE3">
        <w:rPr>
          <w:lang w:val="en-GB"/>
        </w:rPr>
        <w:t>these in the discussion section.</w:t>
      </w:r>
    </w:p>
    <w:p w14:paraId="2827DAF8" w14:textId="77777777" w:rsidR="00805CE3" w:rsidRDefault="00805CE3" w:rsidP="002E2A38">
      <w:pPr>
        <w:autoSpaceDE w:val="0"/>
        <w:autoSpaceDN w:val="0"/>
        <w:adjustRightInd w:val="0"/>
        <w:spacing w:after="0" w:line="240" w:lineRule="auto"/>
        <w:jc w:val="both"/>
        <w:rPr>
          <w:lang w:val="en-GB"/>
        </w:rPr>
      </w:pPr>
    </w:p>
    <w:p w14:paraId="1C081976" w14:textId="6E696E91" w:rsidR="00855773" w:rsidRDefault="00855773" w:rsidP="002E2A38">
      <w:pPr>
        <w:autoSpaceDE w:val="0"/>
        <w:autoSpaceDN w:val="0"/>
        <w:adjustRightInd w:val="0"/>
        <w:spacing w:after="0" w:line="240" w:lineRule="auto"/>
        <w:jc w:val="both"/>
        <w:rPr>
          <w:color w:val="0070C0"/>
          <w:lang w:val="en-GB"/>
        </w:rPr>
      </w:pPr>
      <w:r w:rsidRPr="00855773">
        <w:rPr>
          <w:color w:val="0070C0"/>
          <w:lang w:val="en-GB"/>
        </w:rPr>
        <w:t xml:space="preserve">&gt; </w:t>
      </w:r>
      <w:r w:rsidR="00B83927">
        <w:rPr>
          <w:color w:val="0070C0"/>
          <w:lang w:val="en-GB"/>
        </w:rPr>
        <w:t>We appreciate the positive assessment of our manuscript</w:t>
      </w:r>
      <w:r w:rsidR="00CF5E1B">
        <w:rPr>
          <w:color w:val="0070C0"/>
          <w:lang w:val="en-GB"/>
        </w:rPr>
        <w:t>,</w:t>
      </w:r>
      <w:r w:rsidR="00B83927">
        <w:rPr>
          <w:color w:val="0070C0"/>
          <w:lang w:val="en-GB"/>
        </w:rPr>
        <w:t xml:space="preserve"> and </w:t>
      </w:r>
      <w:r w:rsidR="00CF5E1B">
        <w:rPr>
          <w:color w:val="0070C0"/>
          <w:lang w:val="en-GB"/>
        </w:rPr>
        <w:t>have addressed the constructive criticism</w:t>
      </w:r>
      <w:r w:rsidR="002E2A38">
        <w:rPr>
          <w:color w:val="0070C0"/>
          <w:lang w:val="en-GB"/>
        </w:rPr>
        <w:t>s</w:t>
      </w:r>
      <w:r w:rsidR="00CF5E1B">
        <w:rPr>
          <w:color w:val="0070C0"/>
          <w:lang w:val="en-GB"/>
        </w:rPr>
        <w:t xml:space="preserve"> of the reviewer as detailed below. </w:t>
      </w:r>
    </w:p>
    <w:p w14:paraId="7DC594A3" w14:textId="77777777" w:rsidR="00CF5E1B" w:rsidRDefault="00CF5E1B" w:rsidP="002E2A38">
      <w:pPr>
        <w:autoSpaceDE w:val="0"/>
        <w:autoSpaceDN w:val="0"/>
        <w:adjustRightInd w:val="0"/>
        <w:spacing w:after="0" w:line="240" w:lineRule="auto"/>
        <w:jc w:val="both"/>
        <w:rPr>
          <w:color w:val="0070C0"/>
          <w:lang w:val="en-GB"/>
        </w:rPr>
      </w:pPr>
    </w:p>
    <w:p w14:paraId="1FE42A14" w14:textId="77777777" w:rsidR="00DE589F" w:rsidRDefault="00DE589F" w:rsidP="002E2A38">
      <w:pPr>
        <w:autoSpaceDE w:val="0"/>
        <w:autoSpaceDN w:val="0"/>
        <w:adjustRightInd w:val="0"/>
        <w:spacing w:after="0" w:line="240" w:lineRule="auto"/>
        <w:jc w:val="both"/>
        <w:rPr>
          <w:color w:val="0070C0"/>
          <w:lang w:val="en-GB"/>
        </w:rPr>
      </w:pPr>
      <w:r>
        <w:rPr>
          <w:color w:val="0070C0"/>
          <w:lang w:val="en-GB"/>
        </w:rPr>
        <w:t xml:space="preserve">&gt; The design strategy for primer set 2 and the </w:t>
      </w:r>
      <w:r w:rsidR="001B7F61">
        <w:rPr>
          <w:color w:val="0070C0"/>
          <w:lang w:val="en-GB"/>
        </w:rPr>
        <w:t>barcode adapter is explained in section 3.3.</w:t>
      </w:r>
    </w:p>
    <w:p w14:paraId="0F2EF44C" w14:textId="77777777" w:rsidR="001B7F61" w:rsidRPr="001B7F61" w:rsidRDefault="001B7F61" w:rsidP="002E2A38">
      <w:pPr>
        <w:autoSpaceDE w:val="0"/>
        <w:autoSpaceDN w:val="0"/>
        <w:adjustRightInd w:val="0"/>
        <w:spacing w:after="0" w:line="240" w:lineRule="auto"/>
        <w:jc w:val="both"/>
        <w:rPr>
          <w:color w:val="0070C0"/>
          <w:lang w:val="en-GB"/>
        </w:rPr>
      </w:pPr>
    </w:p>
    <w:p w14:paraId="175EAF79" w14:textId="4EE8069E" w:rsidR="001B7F61" w:rsidRPr="00A7633E" w:rsidRDefault="001B7F61" w:rsidP="002E2A38">
      <w:pPr>
        <w:autoSpaceDE w:val="0"/>
        <w:autoSpaceDN w:val="0"/>
        <w:adjustRightInd w:val="0"/>
        <w:spacing w:after="0" w:line="240" w:lineRule="auto"/>
        <w:jc w:val="both"/>
        <w:rPr>
          <w:color w:val="0070C0"/>
          <w:lang w:val="en-GB"/>
        </w:rPr>
      </w:pPr>
      <w:bookmarkStart w:id="0" w:name="_GoBack"/>
      <w:bookmarkEnd w:id="0"/>
      <w:r w:rsidRPr="00A7633E">
        <w:rPr>
          <w:color w:val="0070C0"/>
          <w:lang w:val="en-GB"/>
        </w:rPr>
        <w:t>&gt; line 221: “</w:t>
      </w:r>
      <w:r w:rsidR="00A7633E" w:rsidRPr="00A7633E">
        <w:rPr>
          <w:rFonts w:cstheme="minorHAnsi"/>
          <w:color w:val="0070C0"/>
          <w:lang w:val="en-US"/>
        </w:rPr>
        <w:t>Primers in this set consist of a target sequence-specific region to allow binding of PCR products generated in step 3.2 (inside of the primer set 1 sequences), as well as an adapter sequence that is used as target in the subsequent barcoding PCR reaction (cf. section 4).</w:t>
      </w:r>
      <w:r w:rsidRPr="00A7633E">
        <w:rPr>
          <w:rFonts w:cstheme="minorHAnsi"/>
          <w:color w:val="0070C0"/>
          <w:lang w:val="en-US"/>
        </w:rPr>
        <w:t>”</w:t>
      </w:r>
    </w:p>
    <w:p w14:paraId="267E80B6" w14:textId="77777777" w:rsidR="00DE589F" w:rsidRDefault="00DE589F" w:rsidP="002E2A38">
      <w:pPr>
        <w:autoSpaceDE w:val="0"/>
        <w:autoSpaceDN w:val="0"/>
        <w:adjustRightInd w:val="0"/>
        <w:spacing w:after="0" w:line="240" w:lineRule="auto"/>
        <w:jc w:val="both"/>
        <w:rPr>
          <w:color w:val="0070C0"/>
          <w:lang w:val="en-GB"/>
        </w:rPr>
      </w:pPr>
    </w:p>
    <w:p w14:paraId="5E1C9218" w14:textId="77777777" w:rsidR="00CF5E1B" w:rsidRDefault="00CF5E1B" w:rsidP="002E2A38">
      <w:pPr>
        <w:autoSpaceDE w:val="0"/>
        <w:autoSpaceDN w:val="0"/>
        <w:adjustRightInd w:val="0"/>
        <w:spacing w:after="0" w:line="240" w:lineRule="auto"/>
        <w:jc w:val="both"/>
        <w:rPr>
          <w:color w:val="0070C0"/>
          <w:lang w:val="en-GB"/>
        </w:rPr>
      </w:pPr>
      <w:r>
        <w:rPr>
          <w:color w:val="0070C0"/>
          <w:lang w:val="en-GB"/>
        </w:rPr>
        <w:t>&gt; With respect to the adapter</w:t>
      </w:r>
      <w:r w:rsidR="00FB777B">
        <w:rPr>
          <w:color w:val="0070C0"/>
          <w:lang w:val="en-GB"/>
        </w:rPr>
        <w:t>s</w:t>
      </w:r>
      <w:r>
        <w:rPr>
          <w:color w:val="0070C0"/>
          <w:lang w:val="en-GB"/>
        </w:rPr>
        <w:t xml:space="preserve">, we now explain </w:t>
      </w:r>
      <w:r w:rsidR="00FB777B">
        <w:rPr>
          <w:color w:val="0070C0"/>
          <w:lang w:val="en-GB"/>
        </w:rPr>
        <w:t xml:space="preserve">their </w:t>
      </w:r>
      <w:r>
        <w:rPr>
          <w:color w:val="0070C0"/>
          <w:lang w:val="en-GB"/>
        </w:rPr>
        <w:t>purpose in the discussion</w:t>
      </w:r>
      <w:r w:rsidR="00FB777B">
        <w:rPr>
          <w:color w:val="0070C0"/>
          <w:lang w:val="en-GB"/>
        </w:rPr>
        <w:t xml:space="preserve"> (despite its name, the barcode adapter is not used for barcoding of different samples with different barcodes, which happens before the library preparation, but acts at a much later step of the 1D</w:t>
      </w:r>
      <w:r w:rsidR="00FB777B" w:rsidRPr="00FB777B">
        <w:rPr>
          <w:color w:val="0070C0"/>
          <w:vertAlign w:val="superscript"/>
          <w:lang w:val="en-GB"/>
        </w:rPr>
        <w:t>2</w:t>
      </w:r>
      <w:r w:rsidR="00FB777B">
        <w:rPr>
          <w:color w:val="0070C0"/>
          <w:lang w:val="en-GB"/>
        </w:rPr>
        <w:t xml:space="preserve"> library preparation)</w:t>
      </w:r>
      <w:r>
        <w:rPr>
          <w:color w:val="0070C0"/>
          <w:lang w:val="en-GB"/>
        </w:rPr>
        <w:t>:</w:t>
      </w:r>
    </w:p>
    <w:p w14:paraId="091D839B" w14:textId="77777777" w:rsidR="00CF5E1B" w:rsidRDefault="00CF5E1B" w:rsidP="002E2A38">
      <w:pPr>
        <w:autoSpaceDE w:val="0"/>
        <w:autoSpaceDN w:val="0"/>
        <w:adjustRightInd w:val="0"/>
        <w:spacing w:after="0" w:line="240" w:lineRule="auto"/>
        <w:jc w:val="both"/>
        <w:rPr>
          <w:color w:val="0070C0"/>
          <w:lang w:val="en-GB"/>
        </w:rPr>
      </w:pPr>
    </w:p>
    <w:p w14:paraId="4C4E7F77" w14:textId="11751F86" w:rsidR="00FB777B" w:rsidRPr="00FB777B" w:rsidRDefault="00CF5E1B" w:rsidP="002E2A38">
      <w:pPr>
        <w:autoSpaceDE w:val="0"/>
        <w:autoSpaceDN w:val="0"/>
        <w:adjustRightInd w:val="0"/>
        <w:spacing w:after="0" w:line="240" w:lineRule="auto"/>
        <w:jc w:val="both"/>
        <w:rPr>
          <w:rFonts w:cstheme="minorHAnsi"/>
          <w:color w:val="0070C0"/>
          <w:lang w:val="en-US"/>
        </w:rPr>
      </w:pPr>
      <w:r>
        <w:rPr>
          <w:color w:val="0070C0"/>
          <w:lang w:val="en-GB"/>
        </w:rPr>
        <w:t xml:space="preserve">&gt; </w:t>
      </w:r>
      <w:r w:rsidRPr="00A463AA">
        <w:rPr>
          <w:color w:val="0070C0"/>
          <w:lang w:val="en-GB"/>
        </w:rPr>
        <w:t>line 45</w:t>
      </w:r>
      <w:r w:rsidR="00A463AA">
        <w:rPr>
          <w:color w:val="0070C0"/>
          <w:lang w:val="en-GB"/>
        </w:rPr>
        <w:t>6</w:t>
      </w:r>
      <w:r w:rsidRPr="00A463AA">
        <w:rPr>
          <w:color w:val="0070C0"/>
          <w:lang w:val="en-GB"/>
        </w:rPr>
        <w:t xml:space="preserve">: </w:t>
      </w:r>
      <w:r w:rsidR="00DE589F" w:rsidRPr="00A463AA">
        <w:rPr>
          <w:color w:val="0070C0"/>
          <w:lang w:val="en-GB"/>
        </w:rPr>
        <w:t>“</w:t>
      </w:r>
      <w:r w:rsidR="00A463AA" w:rsidRPr="00A463AA">
        <w:rPr>
          <w:rFonts w:cstheme="minorHAnsi"/>
          <w:color w:val="0070C0"/>
          <w:lang w:val="en-US"/>
        </w:rPr>
        <w:t>The use of 1D</w:t>
      </w:r>
      <w:r w:rsidR="00A463AA" w:rsidRPr="00A463AA">
        <w:rPr>
          <w:rFonts w:cstheme="minorHAnsi"/>
          <w:color w:val="0070C0"/>
          <w:vertAlign w:val="superscript"/>
          <w:lang w:val="en-US"/>
        </w:rPr>
        <w:t>2</w:t>
      </w:r>
      <w:r w:rsidR="00A463AA" w:rsidRPr="00A463AA">
        <w:rPr>
          <w:rFonts w:cstheme="minorHAnsi"/>
          <w:color w:val="0070C0"/>
          <w:lang w:val="en-US"/>
        </w:rPr>
        <w:t xml:space="preserve"> technology as described in this protocol, which is based on the addition of the 1D</w:t>
      </w:r>
      <w:r w:rsidR="00A463AA" w:rsidRPr="00A463AA">
        <w:rPr>
          <w:rFonts w:cstheme="minorHAnsi"/>
          <w:color w:val="0070C0"/>
          <w:vertAlign w:val="superscript"/>
          <w:lang w:val="en-US"/>
        </w:rPr>
        <w:t>2</w:t>
      </w:r>
      <w:r w:rsidR="00A463AA" w:rsidRPr="00A463AA">
        <w:rPr>
          <w:rFonts w:cstheme="minorHAnsi"/>
          <w:color w:val="0070C0"/>
          <w:lang w:val="en-US"/>
        </w:rPr>
        <w:t xml:space="preserve"> and barcode adapters (cf. section 5.5) that result in both strands of a single DNA molecule being sequenced by the same nanopore, increases read accuracy since information from both DNA strands can be used for sequence determination.</w:t>
      </w:r>
      <w:r w:rsidR="00DE589F" w:rsidRPr="00A463AA">
        <w:rPr>
          <w:rFonts w:cstheme="minorHAnsi"/>
          <w:color w:val="0070C0"/>
          <w:lang w:val="en-US"/>
        </w:rPr>
        <w:t>“</w:t>
      </w:r>
    </w:p>
    <w:sectPr w:rsidR="00FB777B" w:rsidRPr="00FB77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775A9"/>
    <w:multiLevelType w:val="hybridMultilevel"/>
    <w:tmpl w:val="1164698C"/>
    <w:lvl w:ilvl="0" w:tplc="D7EE67F2">
      <w:start w:val="18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6A2C99"/>
    <w:multiLevelType w:val="hybridMultilevel"/>
    <w:tmpl w:val="681094B2"/>
    <w:lvl w:ilvl="0" w:tplc="5A3C21C2">
      <w:start w:val="7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D44080"/>
    <w:multiLevelType w:val="hybridMultilevel"/>
    <w:tmpl w:val="FC84F9E6"/>
    <w:lvl w:ilvl="0" w:tplc="79BEF600">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476F15"/>
    <w:multiLevelType w:val="hybridMultilevel"/>
    <w:tmpl w:val="34921B72"/>
    <w:lvl w:ilvl="0" w:tplc="5BB6C97C">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55"/>
    <w:rsid w:val="0009533B"/>
    <w:rsid w:val="001760C7"/>
    <w:rsid w:val="001B7F61"/>
    <w:rsid w:val="002043D1"/>
    <w:rsid w:val="00212892"/>
    <w:rsid w:val="00231942"/>
    <w:rsid w:val="002E1DEE"/>
    <w:rsid w:val="002E2A38"/>
    <w:rsid w:val="002F6471"/>
    <w:rsid w:val="003C6ECE"/>
    <w:rsid w:val="004A7986"/>
    <w:rsid w:val="004C2469"/>
    <w:rsid w:val="004D2455"/>
    <w:rsid w:val="004E1D9C"/>
    <w:rsid w:val="005230A0"/>
    <w:rsid w:val="00531F4B"/>
    <w:rsid w:val="0055577D"/>
    <w:rsid w:val="005A02B1"/>
    <w:rsid w:val="005B16A3"/>
    <w:rsid w:val="00630013"/>
    <w:rsid w:val="00635F9E"/>
    <w:rsid w:val="006A781A"/>
    <w:rsid w:val="006B2E28"/>
    <w:rsid w:val="006E4D5C"/>
    <w:rsid w:val="007447AC"/>
    <w:rsid w:val="00777FB6"/>
    <w:rsid w:val="007860FB"/>
    <w:rsid w:val="00805CE3"/>
    <w:rsid w:val="00807409"/>
    <w:rsid w:val="008321C8"/>
    <w:rsid w:val="00833AA9"/>
    <w:rsid w:val="0083681D"/>
    <w:rsid w:val="00855773"/>
    <w:rsid w:val="00901148"/>
    <w:rsid w:val="00936BEF"/>
    <w:rsid w:val="0093755E"/>
    <w:rsid w:val="0096733B"/>
    <w:rsid w:val="00A011E9"/>
    <w:rsid w:val="00A12A44"/>
    <w:rsid w:val="00A339CE"/>
    <w:rsid w:val="00A463AA"/>
    <w:rsid w:val="00A7633E"/>
    <w:rsid w:val="00AB4730"/>
    <w:rsid w:val="00B054DB"/>
    <w:rsid w:val="00B263E8"/>
    <w:rsid w:val="00B63B1C"/>
    <w:rsid w:val="00B76EE6"/>
    <w:rsid w:val="00B83927"/>
    <w:rsid w:val="00BE7A4F"/>
    <w:rsid w:val="00C5157C"/>
    <w:rsid w:val="00C75211"/>
    <w:rsid w:val="00CA6049"/>
    <w:rsid w:val="00CF5E1B"/>
    <w:rsid w:val="00D42B98"/>
    <w:rsid w:val="00D619EE"/>
    <w:rsid w:val="00DE589F"/>
    <w:rsid w:val="00E13391"/>
    <w:rsid w:val="00E352F9"/>
    <w:rsid w:val="00E601F7"/>
    <w:rsid w:val="00E66314"/>
    <w:rsid w:val="00E71AA6"/>
    <w:rsid w:val="00F37915"/>
    <w:rsid w:val="00F507A3"/>
    <w:rsid w:val="00FB7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0B9"/>
  <w15:docId w15:val="{E42B9C34-3B46-4E79-B4BE-1C6A201C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2455"/>
    <w:pPr>
      <w:ind w:left="720"/>
      <w:contextualSpacing/>
    </w:pPr>
  </w:style>
  <w:style w:type="character" w:styleId="Kommentarzeichen">
    <w:name w:val="annotation reference"/>
    <w:basedOn w:val="Absatz-Standardschriftart"/>
    <w:uiPriority w:val="99"/>
    <w:semiHidden/>
    <w:unhideWhenUsed/>
    <w:rsid w:val="005B16A3"/>
    <w:rPr>
      <w:sz w:val="16"/>
      <w:szCs w:val="16"/>
    </w:rPr>
  </w:style>
  <w:style w:type="paragraph" w:styleId="Kommentartext">
    <w:name w:val="annotation text"/>
    <w:basedOn w:val="Standard"/>
    <w:link w:val="KommentartextZchn"/>
    <w:uiPriority w:val="99"/>
    <w:semiHidden/>
    <w:unhideWhenUsed/>
    <w:rsid w:val="005B16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16A3"/>
    <w:rPr>
      <w:sz w:val="20"/>
      <w:szCs w:val="20"/>
    </w:rPr>
  </w:style>
  <w:style w:type="paragraph" w:styleId="Kommentarthema">
    <w:name w:val="annotation subject"/>
    <w:basedOn w:val="Kommentartext"/>
    <w:next w:val="Kommentartext"/>
    <w:link w:val="KommentarthemaZchn"/>
    <w:uiPriority w:val="99"/>
    <w:semiHidden/>
    <w:unhideWhenUsed/>
    <w:rsid w:val="005B16A3"/>
    <w:rPr>
      <w:b/>
      <w:bCs/>
    </w:rPr>
  </w:style>
  <w:style w:type="character" w:customStyle="1" w:styleId="KommentarthemaZchn">
    <w:name w:val="Kommentarthema Zchn"/>
    <w:basedOn w:val="KommentartextZchn"/>
    <w:link w:val="Kommentarthema"/>
    <w:uiPriority w:val="99"/>
    <w:semiHidden/>
    <w:rsid w:val="005B16A3"/>
    <w:rPr>
      <w:b/>
      <w:bCs/>
      <w:sz w:val="20"/>
      <w:szCs w:val="20"/>
    </w:rPr>
  </w:style>
  <w:style w:type="paragraph" w:styleId="Sprechblasentext">
    <w:name w:val="Balloon Text"/>
    <w:basedOn w:val="Standard"/>
    <w:link w:val="SprechblasentextZchn"/>
    <w:uiPriority w:val="99"/>
    <w:semiHidden/>
    <w:unhideWhenUsed/>
    <w:rsid w:val="005B16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1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8290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FLI</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andreas.mueller</dc:creator>
  <cp:lastModifiedBy>Thomas Hoenen</cp:lastModifiedBy>
  <cp:revision>3</cp:revision>
  <dcterms:created xsi:type="dcterms:W3CDTF">2019-02-11T15:48:00Z</dcterms:created>
  <dcterms:modified xsi:type="dcterms:W3CDTF">2019-02-11T15:49:00Z</dcterms:modified>
</cp:coreProperties>
</file>