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95B" w:rsidRPr="001B1519" w:rsidRDefault="0024495B"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rsidR="0024495B" w:rsidRDefault="0024495B" w:rsidP="007A4DD6">
      <w:pPr>
        <w:rPr>
          <w:rFonts w:asciiTheme="minorHAnsi" w:hAnsiTheme="minorHAnsi" w:cstheme="minorHAnsi"/>
          <w:b/>
          <w:color w:val="auto"/>
        </w:rPr>
      </w:pPr>
      <w:r>
        <w:rPr>
          <w:rFonts w:asciiTheme="minorHAnsi" w:hAnsiTheme="minorHAnsi" w:cstheme="minorHAnsi"/>
          <w:b/>
          <w:color w:val="auto"/>
        </w:rPr>
        <w:t xml:space="preserve">Sequencing of mRNA from </w:t>
      </w:r>
      <w:r w:rsidR="00336ECE">
        <w:rPr>
          <w:rFonts w:asciiTheme="minorHAnsi" w:hAnsiTheme="minorHAnsi" w:cstheme="minorHAnsi"/>
          <w:b/>
          <w:color w:val="auto"/>
        </w:rPr>
        <w:t>Whole Blood u</w:t>
      </w:r>
      <w:r w:rsidR="00336ECE">
        <w:rPr>
          <w:rFonts w:asciiTheme="minorHAnsi" w:hAnsiTheme="minorHAnsi" w:cstheme="minorHAnsi"/>
          <w:b/>
          <w:color w:val="auto"/>
        </w:rPr>
        <w:t xml:space="preserve">sing </w:t>
      </w:r>
      <w:r w:rsidR="00336ECE">
        <w:rPr>
          <w:rFonts w:asciiTheme="minorHAnsi" w:hAnsiTheme="minorHAnsi" w:cstheme="minorHAnsi"/>
          <w:b/>
          <w:color w:val="auto"/>
        </w:rPr>
        <w:t>Nanopore Sequencing</w:t>
      </w:r>
    </w:p>
    <w:p w:rsidR="0024495B" w:rsidRPr="0095412D" w:rsidRDefault="0024495B" w:rsidP="007A4DD6">
      <w:pPr>
        <w:rPr>
          <w:rFonts w:asciiTheme="minorHAnsi" w:hAnsiTheme="minorHAnsi" w:cstheme="minorHAnsi"/>
          <w:b/>
          <w:color w:val="auto"/>
        </w:rPr>
      </w:pPr>
    </w:p>
    <w:p w:rsidR="0024495B" w:rsidRPr="001B1519" w:rsidRDefault="0024495B" w:rsidP="001B1519">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 </w:t>
      </w:r>
    </w:p>
    <w:p w:rsidR="0024495B" w:rsidRPr="00E97B67" w:rsidRDefault="0024495B" w:rsidP="00513CFC">
      <w:pPr>
        <w:rPr>
          <w:rFonts w:asciiTheme="minorHAnsi" w:hAnsiTheme="minorHAnsi"/>
          <w:color w:val="auto"/>
          <w:vertAlign w:val="superscript"/>
        </w:rPr>
      </w:pPr>
      <w:r w:rsidRPr="00E97B67">
        <w:rPr>
          <w:rFonts w:asciiTheme="minorHAnsi" w:hAnsiTheme="minorHAnsi"/>
          <w:color w:val="auto"/>
        </w:rPr>
        <w:t>Andreas Mueller</w:t>
      </w:r>
      <w:r w:rsidRPr="00E97B67">
        <w:rPr>
          <w:rFonts w:asciiTheme="minorHAnsi" w:hAnsiTheme="minorHAnsi"/>
          <w:color w:val="auto"/>
          <w:vertAlign w:val="superscript"/>
        </w:rPr>
        <w:t>1</w:t>
      </w:r>
      <w:r w:rsidRPr="00E97B67">
        <w:rPr>
          <w:rFonts w:asciiTheme="minorHAnsi" w:hAnsiTheme="minorHAnsi"/>
          <w:color w:val="auto"/>
        </w:rPr>
        <w:t>, Kerstin Fischer</w:t>
      </w:r>
      <w:r w:rsidRPr="00E97B67">
        <w:rPr>
          <w:rFonts w:asciiTheme="minorHAnsi" w:hAnsiTheme="minorHAnsi"/>
          <w:color w:val="auto"/>
          <w:vertAlign w:val="superscript"/>
        </w:rPr>
        <w:t>2</w:t>
      </w:r>
      <w:r w:rsidRPr="007F1C1F">
        <w:rPr>
          <w:rFonts w:asciiTheme="minorHAnsi" w:hAnsiTheme="minorHAnsi" w:cstheme="minorHAnsi"/>
          <w:color w:val="auto"/>
        </w:rPr>
        <w:t>, Roland Suluku</w:t>
      </w:r>
      <w:r w:rsidRPr="007F1C1F">
        <w:rPr>
          <w:rFonts w:asciiTheme="minorHAnsi" w:hAnsiTheme="minorHAnsi" w:cstheme="minorHAnsi"/>
          <w:color w:val="auto"/>
          <w:vertAlign w:val="superscript"/>
        </w:rPr>
        <w:t>3</w:t>
      </w:r>
      <w:r w:rsidRPr="00E97B67">
        <w:rPr>
          <w:rFonts w:asciiTheme="minorHAnsi" w:hAnsiTheme="minorHAnsi"/>
          <w:color w:val="auto"/>
        </w:rPr>
        <w:t>, Thomas Hoenen</w:t>
      </w:r>
      <w:r w:rsidRPr="00E97B67">
        <w:rPr>
          <w:rFonts w:asciiTheme="minorHAnsi" w:hAnsiTheme="minorHAnsi"/>
          <w:color w:val="auto"/>
          <w:vertAlign w:val="superscript"/>
        </w:rPr>
        <w:t>1</w:t>
      </w:r>
    </w:p>
    <w:p w:rsidR="0024495B" w:rsidRPr="00E97B67" w:rsidRDefault="0024495B" w:rsidP="00513CFC">
      <w:pPr>
        <w:rPr>
          <w:vertAlign w:val="superscript"/>
        </w:rPr>
      </w:pPr>
    </w:p>
    <w:p w:rsidR="0024495B" w:rsidRDefault="0024495B" w:rsidP="00513CFC">
      <w:pPr>
        <w:rPr>
          <w:lang w:val="en-GB"/>
        </w:rPr>
      </w:pPr>
      <w:r>
        <w:rPr>
          <w:vertAlign w:val="superscript"/>
          <w:lang w:val="en-GB"/>
        </w:rPr>
        <w:t>1</w:t>
      </w:r>
      <w:r w:rsidRPr="00513CFC">
        <w:rPr>
          <w:lang w:val="en-GB"/>
        </w:rPr>
        <w:t>Institute of Molecular Virology and Cell Biology</w:t>
      </w:r>
      <w:r>
        <w:rPr>
          <w:lang w:val="en-GB"/>
        </w:rPr>
        <w:t>, Friedrich-Loeffler-</w:t>
      </w:r>
      <w:proofErr w:type="spellStart"/>
      <w:r>
        <w:rPr>
          <w:lang w:val="en-GB"/>
        </w:rPr>
        <w:t>Institut</w:t>
      </w:r>
      <w:proofErr w:type="spellEnd"/>
      <w:r>
        <w:rPr>
          <w:lang w:val="en-GB"/>
        </w:rPr>
        <w:t xml:space="preserve">, Greifswald - </w:t>
      </w:r>
      <w:proofErr w:type="spellStart"/>
      <w:r>
        <w:rPr>
          <w:lang w:val="en-GB"/>
        </w:rPr>
        <w:t>Insel</w:t>
      </w:r>
      <w:proofErr w:type="spellEnd"/>
    </w:p>
    <w:p w:rsidR="0024495B" w:rsidRDefault="0024495B" w:rsidP="00513CFC">
      <w:pPr>
        <w:rPr>
          <w:lang w:val="en-GB"/>
        </w:rPr>
      </w:pPr>
      <w:r>
        <w:rPr>
          <w:lang w:val="en-GB"/>
        </w:rPr>
        <w:t xml:space="preserve"> </w:t>
      </w:r>
      <w:proofErr w:type="spellStart"/>
      <w:r>
        <w:rPr>
          <w:lang w:val="en-GB"/>
        </w:rPr>
        <w:t>Riems</w:t>
      </w:r>
      <w:proofErr w:type="spellEnd"/>
      <w:r>
        <w:rPr>
          <w:lang w:val="en-GB"/>
        </w:rPr>
        <w:t>, Germany</w:t>
      </w:r>
    </w:p>
    <w:p w:rsidR="0024495B" w:rsidRDefault="0024495B" w:rsidP="00513CFC">
      <w:pPr>
        <w:rPr>
          <w:lang w:val="en-GB"/>
        </w:rPr>
      </w:pPr>
      <w:r>
        <w:rPr>
          <w:vertAlign w:val="superscript"/>
          <w:lang w:val="en-GB"/>
        </w:rPr>
        <w:t>2</w:t>
      </w:r>
      <w:r w:rsidRPr="00513CFC">
        <w:rPr>
          <w:lang w:val="en-GB"/>
        </w:rPr>
        <w:t>Institute of Novel and Emerging Infectious Diseas</w:t>
      </w:r>
      <w:r>
        <w:rPr>
          <w:lang w:val="en-GB"/>
        </w:rPr>
        <w:t>es, Friedrich-Loeffler-</w:t>
      </w:r>
      <w:proofErr w:type="spellStart"/>
      <w:r>
        <w:rPr>
          <w:lang w:val="en-GB"/>
        </w:rPr>
        <w:t>Institut</w:t>
      </w:r>
      <w:proofErr w:type="spellEnd"/>
      <w:r>
        <w:rPr>
          <w:lang w:val="en-GB"/>
        </w:rPr>
        <w:t xml:space="preserve">, Greifswald - </w:t>
      </w:r>
      <w:proofErr w:type="spellStart"/>
      <w:r>
        <w:rPr>
          <w:lang w:val="en-GB"/>
        </w:rPr>
        <w:t>Insel</w:t>
      </w:r>
      <w:proofErr w:type="spellEnd"/>
      <w:r>
        <w:rPr>
          <w:lang w:val="en-GB"/>
        </w:rPr>
        <w:t xml:space="preserve"> </w:t>
      </w:r>
      <w:proofErr w:type="spellStart"/>
      <w:r>
        <w:rPr>
          <w:lang w:val="en-GB"/>
        </w:rPr>
        <w:t>Riems</w:t>
      </w:r>
      <w:proofErr w:type="spellEnd"/>
      <w:r>
        <w:rPr>
          <w:lang w:val="en-GB"/>
        </w:rPr>
        <w:t>, Germany</w:t>
      </w:r>
    </w:p>
    <w:p w:rsidR="0024495B" w:rsidRDefault="0024495B" w:rsidP="008A1A8E">
      <w:pPr>
        <w:rPr>
          <w:lang w:val="en-GB"/>
        </w:rPr>
      </w:pPr>
      <w:r w:rsidRPr="009D062D">
        <w:rPr>
          <w:vertAlign w:val="superscript"/>
          <w:lang w:val="en-GB"/>
        </w:rPr>
        <w:t>3</w:t>
      </w:r>
      <w:r>
        <w:rPr>
          <w:lang w:val="en-GB"/>
        </w:rPr>
        <w:t xml:space="preserve">Department of </w:t>
      </w:r>
      <w:r w:rsidRPr="008A1A8E">
        <w:rPr>
          <w:lang w:val="en-GB"/>
        </w:rPr>
        <w:t xml:space="preserve">Animal Science, </w:t>
      </w:r>
      <w:proofErr w:type="spellStart"/>
      <w:r>
        <w:rPr>
          <w:lang w:val="en-GB"/>
        </w:rPr>
        <w:t>Njala</w:t>
      </w:r>
      <w:proofErr w:type="spellEnd"/>
      <w:r>
        <w:rPr>
          <w:lang w:val="en-GB"/>
        </w:rPr>
        <w:t xml:space="preserve"> University, </w:t>
      </w:r>
      <w:r w:rsidRPr="008A1A8E">
        <w:rPr>
          <w:lang w:val="en-GB"/>
        </w:rPr>
        <w:t>Sierra Leone</w:t>
      </w:r>
    </w:p>
    <w:p w:rsidR="0024495B" w:rsidRDefault="0024495B" w:rsidP="00513CFC">
      <w:pPr>
        <w:rPr>
          <w:lang w:val="en-GB"/>
        </w:rPr>
      </w:pPr>
    </w:p>
    <w:p w:rsidR="0024495B" w:rsidRDefault="0024495B" w:rsidP="00513CFC">
      <w:pPr>
        <w:rPr>
          <w:lang w:val="en-GB"/>
        </w:rPr>
      </w:pPr>
      <w:r>
        <w:rPr>
          <w:lang w:val="en-GB"/>
        </w:rPr>
        <w:t>Corresponding Author:</w:t>
      </w:r>
    </w:p>
    <w:p w:rsidR="0024495B" w:rsidRDefault="0024495B" w:rsidP="00513CFC">
      <w:pPr>
        <w:rPr>
          <w:lang w:val="en-GB"/>
        </w:rPr>
      </w:pPr>
      <w:r>
        <w:rPr>
          <w:lang w:val="en-GB"/>
        </w:rPr>
        <w:t xml:space="preserve">Thomas </w:t>
      </w:r>
      <w:proofErr w:type="spellStart"/>
      <w:r>
        <w:rPr>
          <w:lang w:val="en-GB"/>
        </w:rPr>
        <w:t>Hoenen</w:t>
      </w:r>
      <w:proofErr w:type="spellEnd"/>
    </w:p>
    <w:p w:rsidR="0024495B" w:rsidRDefault="0061073E" w:rsidP="00513CFC">
      <w:pPr>
        <w:rPr>
          <w:lang w:val="en-GB"/>
        </w:rPr>
      </w:pPr>
      <w:hyperlink r:id="rId7" w:history="1"/>
      <w:hyperlink r:id="rId8" w:history="1">
        <w:r w:rsidR="0024495B">
          <w:rPr>
            <w:rStyle w:val="Hyperlink"/>
            <w:lang w:val="en-GB"/>
          </w:rPr>
          <w:t>t</w:t>
        </w:r>
        <w:r w:rsidR="0024495B" w:rsidRPr="00B81AB1">
          <w:rPr>
            <w:rStyle w:val="Hyperlink"/>
            <w:lang w:val="en-GB"/>
          </w:rPr>
          <w:t>homas.hoenen@fli.de</w:t>
        </w:r>
      </w:hyperlink>
    </w:p>
    <w:p w:rsidR="0024495B" w:rsidRDefault="0024495B" w:rsidP="00513CFC">
      <w:pPr>
        <w:rPr>
          <w:lang w:val="en-GB"/>
        </w:rPr>
      </w:pPr>
    </w:p>
    <w:p w:rsidR="0024495B" w:rsidRDefault="0024495B" w:rsidP="00513CFC">
      <w:pPr>
        <w:rPr>
          <w:lang w:val="en-GB"/>
        </w:rPr>
      </w:pPr>
      <w:r>
        <w:rPr>
          <w:lang w:val="en-GB"/>
        </w:rPr>
        <w:t xml:space="preserve">Email addresses of </w:t>
      </w:r>
      <w:proofErr w:type="spellStart"/>
      <w:r>
        <w:rPr>
          <w:lang w:val="en-GB"/>
        </w:rPr>
        <w:t>coauthors</w:t>
      </w:r>
      <w:proofErr w:type="spellEnd"/>
      <w:r>
        <w:rPr>
          <w:lang w:val="en-GB"/>
        </w:rPr>
        <w:t>:</w:t>
      </w:r>
    </w:p>
    <w:p w:rsidR="0024495B" w:rsidRDefault="0024495B" w:rsidP="00513CFC">
      <w:pPr>
        <w:rPr>
          <w:lang w:val="en-GB"/>
        </w:rPr>
      </w:pPr>
      <w:r>
        <w:rPr>
          <w:lang w:val="en-GB"/>
        </w:rPr>
        <w:t>Andreas Mueller</w:t>
      </w:r>
      <w:r>
        <w:rPr>
          <w:lang w:val="en-GB"/>
        </w:rPr>
        <w:tab/>
        <w:t>(</w:t>
      </w:r>
      <w:hyperlink r:id="rId9" w:history="1">
        <w:r w:rsidRPr="00A01A48">
          <w:rPr>
            <w:rStyle w:val="Hyperlink"/>
            <w:lang w:val="en-GB"/>
          </w:rPr>
          <w:t>andreas.mueller@fli.de</w:t>
        </w:r>
      </w:hyperlink>
      <w:r>
        <w:rPr>
          <w:lang w:val="en-GB"/>
        </w:rPr>
        <w:t>)</w:t>
      </w:r>
    </w:p>
    <w:p w:rsidR="0024495B" w:rsidRDefault="0024495B" w:rsidP="00513CFC">
      <w:pPr>
        <w:rPr>
          <w:lang w:val="de-DE"/>
        </w:rPr>
      </w:pPr>
      <w:r w:rsidRPr="001640B7">
        <w:rPr>
          <w:lang w:val="de-DE"/>
        </w:rPr>
        <w:t xml:space="preserve">Kerstin Fischer </w:t>
      </w:r>
      <w:r w:rsidRPr="001640B7">
        <w:rPr>
          <w:lang w:val="de-DE"/>
        </w:rPr>
        <w:tab/>
        <w:t>(</w:t>
      </w:r>
      <w:r w:rsidR="0061073E">
        <w:rPr>
          <w:rStyle w:val="Hyperlink"/>
          <w:lang w:val="de-DE"/>
        </w:rPr>
        <w:fldChar w:fldCharType="begin"/>
      </w:r>
      <w:r w:rsidR="0061073E">
        <w:rPr>
          <w:rStyle w:val="Hyperlink"/>
          <w:lang w:val="de-DE"/>
        </w:rPr>
        <w:instrText xml:space="preserve"> HYPERLINK "mailto:kerstin.fischer@fli.de" </w:instrText>
      </w:r>
      <w:r w:rsidR="0061073E">
        <w:rPr>
          <w:rStyle w:val="Hyperlink"/>
          <w:lang w:val="de-DE"/>
        </w:rPr>
        <w:fldChar w:fldCharType="separate"/>
      </w:r>
      <w:r w:rsidRPr="00A01A48">
        <w:rPr>
          <w:rStyle w:val="Hyperlink"/>
          <w:lang w:val="de-DE"/>
        </w:rPr>
        <w:t>kerstin.fischer@fli.de</w:t>
      </w:r>
      <w:r w:rsidR="0061073E">
        <w:rPr>
          <w:rStyle w:val="Hyperlink"/>
          <w:lang w:val="de-DE"/>
        </w:rPr>
        <w:fldChar w:fldCharType="end"/>
      </w:r>
      <w:r>
        <w:rPr>
          <w:lang w:val="de-DE"/>
        </w:rPr>
        <w:t>)</w:t>
      </w:r>
    </w:p>
    <w:p w:rsidR="0024495B" w:rsidRPr="007F1C1F" w:rsidRDefault="0024495B" w:rsidP="00513CFC">
      <w:r w:rsidRPr="007F1C1F">
        <w:t xml:space="preserve">Roland </w:t>
      </w:r>
      <w:proofErr w:type="spellStart"/>
      <w:r w:rsidRPr="007F1C1F">
        <w:t>Suluku</w:t>
      </w:r>
      <w:proofErr w:type="spellEnd"/>
      <w:r w:rsidRPr="007F1C1F">
        <w:tab/>
      </w:r>
      <w:r w:rsidRPr="007F1C1F">
        <w:tab/>
        <w:t>(</w:t>
      </w:r>
      <w:hyperlink r:id="rId10" w:history="1">
        <w:r w:rsidRPr="007F1C1F">
          <w:rPr>
            <w:rStyle w:val="Hyperlink"/>
          </w:rPr>
          <w:t>nyasulukuroland2710@gmail.com</w:t>
        </w:r>
      </w:hyperlink>
      <w:r w:rsidRPr="007F1C1F">
        <w:t>)</w:t>
      </w:r>
    </w:p>
    <w:p w:rsidR="0024495B" w:rsidRPr="00E97B67" w:rsidRDefault="0024495B" w:rsidP="00513CFC"/>
    <w:p w:rsidR="0024495B" w:rsidRPr="001B1519" w:rsidRDefault="0024495B"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rsidR="0024495B" w:rsidRPr="00CA3548" w:rsidRDefault="0024495B" w:rsidP="007A4DD6">
      <w:pPr>
        <w:rPr>
          <w:rFonts w:asciiTheme="minorHAnsi" w:hAnsiTheme="minorHAnsi" w:cstheme="minorHAnsi"/>
          <w:color w:val="auto"/>
        </w:rPr>
      </w:pPr>
      <w:proofErr w:type="spellStart"/>
      <w:r w:rsidRPr="00CA3548">
        <w:rPr>
          <w:rFonts w:asciiTheme="minorHAnsi" w:hAnsiTheme="minorHAnsi" w:cstheme="minorHAnsi"/>
          <w:color w:val="auto"/>
        </w:rPr>
        <w:t>MinION</w:t>
      </w:r>
      <w:proofErr w:type="spellEnd"/>
      <w:r>
        <w:rPr>
          <w:rFonts w:asciiTheme="minorHAnsi" w:hAnsiTheme="minorHAnsi" w:cstheme="minorHAnsi"/>
          <w:color w:val="auto"/>
        </w:rPr>
        <w:t xml:space="preserve"> technology; nanopore sequencing; third-generation sequencing; Niemann-Pick C1; field use;</w:t>
      </w:r>
      <w:r w:rsidRPr="00CA3548">
        <w:rPr>
          <w:rFonts w:asciiTheme="minorHAnsi" w:hAnsiTheme="minorHAnsi" w:cstheme="minorHAnsi"/>
          <w:color w:val="auto"/>
        </w:rPr>
        <w:t xml:space="preserve"> </w:t>
      </w:r>
      <w:r>
        <w:rPr>
          <w:rFonts w:asciiTheme="minorHAnsi" w:hAnsiTheme="minorHAnsi" w:cstheme="minorHAnsi"/>
          <w:color w:val="auto"/>
        </w:rPr>
        <w:t>p</w:t>
      </w:r>
      <w:r w:rsidRPr="00CA3548">
        <w:rPr>
          <w:rFonts w:asciiTheme="minorHAnsi" w:hAnsiTheme="minorHAnsi" w:cstheme="minorHAnsi"/>
          <w:color w:val="auto"/>
        </w:rPr>
        <w:t>ortable sequencing device</w:t>
      </w:r>
    </w:p>
    <w:p w:rsidR="0024495B" w:rsidRPr="001B1519" w:rsidRDefault="0024495B" w:rsidP="001B1519">
      <w:pPr>
        <w:pStyle w:val="NormalWeb"/>
        <w:spacing w:before="0" w:beforeAutospacing="0" w:after="0" w:afterAutospacing="0"/>
        <w:rPr>
          <w:rFonts w:asciiTheme="minorHAnsi" w:hAnsiTheme="minorHAnsi" w:cstheme="minorHAnsi"/>
        </w:rPr>
      </w:pPr>
    </w:p>
    <w:p w:rsidR="0024495B" w:rsidRPr="001B1519" w:rsidRDefault="0024495B" w:rsidP="001B1519">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r w:rsidRPr="001B1519">
        <w:rPr>
          <w:rFonts w:asciiTheme="minorHAnsi" w:hAnsiTheme="minorHAnsi" w:cstheme="minorHAnsi"/>
        </w:rPr>
        <w:t xml:space="preserve"> </w:t>
      </w:r>
    </w:p>
    <w:p w:rsidR="0024495B" w:rsidRPr="005B5688" w:rsidRDefault="0024495B" w:rsidP="007A4DD6">
      <w:pPr>
        <w:rPr>
          <w:rFonts w:asciiTheme="minorHAnsi" w:hAnsiTheme="minorHAnsi" w:cstheme="minorHAnsi"/>
          <w:color w:val="auto"/>
        </w:rPr>
      </w:pPr>
      <w:r w:rsidRPr="005B5688">
        <w:rPr>
          <w:rFonts w:asciiTheme="minorHAnsi" w:hAnsiTheme="minorHAnsi" w:cstheme="minorHAnsi"/>
          <w:color w:val="auto"/>
        </w:rPr>
        <w:t>Nanopore sequencing is a novel technology that allows cost-effective sequencing in remote locations and resource-poor settings. Here</w:t>
      </w:r>
      <w:r w:rsidR="00155A8A">
        <w:rPr>
          <w:rFonts w:asciiTheme="minorHAnsi" w:hAnsiTheme="minorHAnsi" w:cstheme="minorHAnsi"/>
          <w:color w:val="auto"/>
        </w:rPr>
        <w:t>,</w:t>
      </w:r>
      <w:r w:rsidRPr="005B5688">
        <w:rPr>
          <w:rFonts w:asciiTheme="minorHAnsi" w:hAnsiTheme="minorHAnsi" w:cstheme="minorHAnsi"/>
          <w:color w:val="auto"/>
        </w:rPr>
        <w:t xml:space="preserve"> we present a protocol for sequencing of mRNAs from whole blood that is compatible with such conditions.</w:t>
      </w:r>
    </w:p>
    <w:p w:rsidR="0024495B" w:rsidRPr="001B1519" w:rsidRDefault="0024495B" w:rsidP="001B1519">
      <w:pPr>
        <w:rPr>
          <w:rFonts w:asciiTheme="minorHAnsi" w:hAnsiTheme="minorHAnsi" w:cstheme="minorHAnsi"/>
        </w:rPr>
      </w:pPr>
    </w:p>
    <w:p w:rsidR="0024495B" w:rsidRPr="001B1519" w:rsidRDefault="0024495B"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rsidR="0024495B" w:rsidRPr="008D78E3" w:rsidRDefault="0024495B" w:rsidP="007A4DD6">
      <w:pPr>
        <w:rPr>
          <w:rFonts w:asciiTheme="minorHAnsi" w:hAnsiTheme="minorHAnsi" w:cstheme="minorHAnsi"/>
          <w:color w:val="000000" w:themeColor="text1"/>
        </w:rPr>
      </w:pPr>
      <w:r w:rsidRPr="008D78E3">
        <w:rPr>
          <w:rFonts w:asciiTheme="minorHAnsi" w:hAnsiTheme="minorHAnsi" w:cstheme="minorHAnsi"/>
          <w:color w:val="000000" w:themeColor="text1"/>
        </w:rPr>
        <w:t>Sequencing in remote locations and resource</w:t>
      </w:r>
      <w:r>
        <w:rPr>
          <w:rFonts w:asciiTheme="minorHAnsi" w:hAnsiTheme="minorHAnsi" w:cstheme="minorHAnsi"/>
          <w:color w:val="000000" w:themeColor="text1"/>
        </w:rPr>
        <w:t>-</w:t>
      </w:r>
      <w:r w:rsidRPr="008D78E3">
        <w:rPr>
          <w:rFonts w:asciiTheme="minorHAnsi" w:hAnsiTheme="minorHAnsi" w:cstheme="minorHAnsi"/>
          <w:color w:val="000000" w:themeColor="text1"/>
        </w:rPr>
        <w:t xml:space="preserve">poor settings presents unique challenges. Nanopore sequencing can be successfully used under such </w:t>
      </w:r>
      <w:proofErr w:type="gramStart"/>
      <w:r w:rsidRPr="008D78E3">
        <w:rPr>
          <w:rFonts w:asciiTheme="minorHAnsi" w:hAnsiTheme="minorHAnsi" w:cstheme="minorHAnsi"/>
          <w:color w:val="000000" w:themeColor="text1"/>
        </w:rPr>
        <w:t>conditions, and</w:t>
      </w:r>
      <w:proofErr w:type="gramEnd"/>
      <w:r w:rsidRPr="008D78E3">
        <w:rPr>
          <w:rFonts w:asciiTheme="minorHAnsi" w:hAnsiTheme="minorHAnsi" w:cstheme="minorHAnsi"/>
          <w:color w:val="000000" w:themeColor="text1"/>
        </w:rPr>
        <w:t xml:space="preserve"> was deployed to West Africa during the recent Ebola virus epidemic, highlighting this possibility. </w:t>
      </w:r>
      <w:r>
        <w:rPr>
          <w:rFonts w:asciiTheme="minorHAnsi" w:hAnsiTheme="minorHAnsi" w:cstheme="minorHAnsi"/>
          <w:color w:val="000000" w:themeColor="text1"/>
        </w:rPr>
        <w:t>In addition to</w:t>
      </w:r>
      <w:r w:rsidRPr="008D78E3">
        <w:rPr>
          <w:rFonts w:asciiTheme="minorHAnsi" w:hAnsiTheme="minorHAnsi" w:cstheme="minorHAnsi"/>
          <w:color w:val="000000" w:themeColor="text1"/>
        </w:rPr>
        <w:t xml:space="preserve"> it</w:t>
      </w:r>
      <w:r>
        <w:rPr>
          <w:rFonts w:asciiTheme="minorHAnsi" w:hAnsiTheme="minorHAnsi" w:cstheme="minorHAnsi"/>
          <w:color w:val="000000" w:themeColor="text1"/>
        </w:rPr>
        <w:t>s</w:t>
      </w:r>
      <w:r w:rsidRPr="008D78E3">
        <w:rPr>
          <w:rFonts w:asciiTheme="minorHAnsi" w:hAnsiTheme="minorHAnsi" w:cstheme="minorHAnsi"/>
          <w:color w:val="000000" w:themeColor="text1"/>
        </w:rPr>
        <w:t xml:space="preserve"> practical advantages (low cost, ease of </w:t>
      </w:r>
      <w:r>
        <w:rPr>
          <w:rFonts w:asciiTheme="minorHAnsi" w:hAnsiTheme="minorHAnsi" w:cstheme="minorHAnsi"/>
          <w:color w:val="000000" w:themeColor="text1"/>
        </w:rPr>
        <w:t xml:space="preserve">equipment </w:t>
      </w:r>
      <w:r w:rsidRPr="008D78E3">
        <w:rPr>
          <w:rFonts w:asciiTheme="minorHAnsi" w:hAnsiTheme="minorHAnsi" w:cstheme="minorHAnsi"/>
          <w:color w:val="000000" w:themeColor="text1"/>
        </w:rPr>
        <w:t>transport and use)</w:t>
      </w:r>
      <w:r>
        <w:rPr>
          <w:rFonts w:asciiTheme="minorHAnsi" w:hAnsiTheme="minorHAnsi" w:cstheme="minorHAnsi"/>
          <w:color w:val="000000" w:themeColor="text1"/>
        </w:rPr>
        <w:t>,</w:t>
      </w:r>
      <w:r w:rsidRPr="008D78E3">
        <w:rPr>
          <w:rFonts w:asciiTheme="minorHAnsi" w:hAnsiTheme="minorHAnsi" w:cstheme="minorHAnsi"/>
          <w:color w:val="000000" w:themeColor="text1"/>
        </w:rPr>
        <w:t xml:space="preserve"> this technology also provides fundamental advantages over second-generation sequencing approaches, particularly the very long read</w:t>
      </w:r>
      <w:r>
        <w:rPr>
          <w:rFonts w:asciiTheme="minorHAnsi" w:hAnsiTheme="minorHAnsi" w:cstheme="minorHAnsi"/>
          <w:color w:val="000000" w:themeColor="text1"/>
        </w:rPr>
        <w:t xml:space="preserve"> </w:t>
      </w:r>
      <w:r w:rsidRPr="008D78E3">
        <w:rPr>
          <w:rFonts w:asciiTheme="minorHAnsi" w:hAnsiTheme="minorHAnsi" w:cstheme="minorHAnsi"/>
          <w:color w:val="000000" w:themeColor="text1"/>
        </w:rPr>
        <w:t xml:space="preserve">length, ability to directly sequence RNA, and real-time availability of data. </w:t>
      </w:r>
      <w:r>
        <w:rPr>
          <w:rFonts w:asciiTheme="minorHAnsi" w:hAnsiTheme="minorHAnsi" w:cstheme="minorHAnsi"/>
          <w:color w:val="000000" w:themeColor="text1"/>
        </w:rPr>
        <w:t>Raw read a</w:t>
      </w:r>
      <w:r w:rsidRPr="008D78E3">
        <w:rPr>
          <w:rFonts w:asciiTheme="minorHAnsi" w:hAnsiTheme="minorHAnsi" w:cstheme="minorHAnsi"/>
          <w:color w:val="000000" w:themeColor="text1"/>
        </w:rPr>
        <w:t xml:space="preserve">ccuracy is lower than with other sequencing platforms, which represents the main limitation of this technology; however, this can be partially mitigated by the </w:t>
      </w:r>
      <w:r>
        <w:rPr>
          <w:rFonts w:asciiTheme="minorHAnsi" w:hAnsiTheme="minorHAnsi" w:cstheme="minorHAnsi"/>
          <w:color w:val="000000" w:themeColor="text1"/>
        </w:rPr>
        <w:t>high</w:t>
      </w:r>
      <w:r w:rsidRPr="008D78E3">
        <w:rPr>
          <w:rFonts w:asciiTheme="minorHAnsi" w:hAnsiTheme="minorHAnsi" w:cstheme="minorHAnsi"/>
          <w:color w:val="000000" w:themeColor="text1"/>
        </w:rPr>
        <w:t xml:space="preserve"> read</w:t>
      </w:r>
      <w:r>
        <w:rPr>
          <w:rFonts w:asciiTheme="minorHAnsi" w:hAnsiTheme="minorHAnsi" w:cstheme="minorHAnsi"/>
          <w:color w:val="000000" w:themeColor="text1"/>
        </w:rPr>
        <w:t xml:space="preserve"> </w:t>
      </w:r>
      <w:r w:rsidRPr="008D78E3">
        <w:rPr>
          <w:rFonts w:asciiTheme="minorHAnsi" w:hAnsiTheme="minorHAnsi" w:cstheme="minorHAnsi"/>
          <w:color w:val="000000" w:themeColor="text1"/>
        </w:rPr>
        <w:t>depth</w:t>
      </w:r>
      <w:r>
        <w:rPr>
          <w:rFonts w:asciiTheme="minorHAnsi" w:hAnsiTheme="minorHAnsi" w:cstheme="minorHAnsi"/>
          <w:color w:val="000000" w:themeColor="text1"/>
        </w:rPr>
        <w:t xml:space="preserve"> generated</w:t>
      </w:r>
      <w:r w:rsidRPr="008D78E3">
        <w:rPr>
          <w:rFonts w:asciiTheme="minorHAnsi" w:hAnsiTheme="minorHAnsi" w:cstheme="minorHAnsi"/>
          <w:color w:val="000000" w:themeColor="text1"/>
        </w:rPr>
        <w:t xml:space="preserve">. </w:t>
      </w:r>
      <w:r>
        <w:rPr>
          <w:rFonts w:asciiTheme="minorHAnsi" w:hAnsiTheme="minorHAnsi" w:cstheme="minorHAnsi"/>
          <w:color w:val="000000" w:themeColor="text1"/>
        </w:rPr>
        <w:t>Here</w:t>
      </w:r>
      <w:r w:rsidR="00155A8A">
        <w:rPr>
          <w:rFonts w:asciiTheme="minorHAnsi" w:hAnsiTheme="minorHAnsi" w:cstheme="minorHAnsi"/>
          <w:color w:val="000000" w:themeColor="text1"/>
        </w:rPr>
        <w:t>,</w:t>
      </w:r>
      <w:r>
        <w:rPr>
          <w:rFonts w:asciiTheme="minorHAnsi" w:hAnsiTheme="minorHAnsi" w:cstheme="minorHAnsi"/>
          <w:color w:val="000000" w:themeColor="text1"/>
        </w:rPr>
        <w:t xml:space="preserve"> we present a field-compatible protocol for sequencing of the mRNAs encoding for Niemann-Pick C1, which is the cellular receptor for ebolaviruses. This protocol encompasses extraction of RNA from animal blood samples, followed by RT-PCR for target enrichment, barcoding, library preparation, and the sequencing run itself, and can be easily adapted for use with other DNA or RNA targets. </w:t>
      </w:r>
    </w:p>
    <w:p w:rsidR="0024495B" w:rsidRPr="001B1519" w:rsidRDefault="0024495B" w:rsidP="001B1519">
      <w:pPr>
        <w:rPr>
          <w:rFonts w:asciiTheme="minorHAnsi" w:hAnsiTheme="minorHAnsi" w:cstheme="minorHAnsi"/>
        </w:rPr>
      </w:pPr>
    </w:p>
    <w:p w:rsidR="0024495B" w:rsidRPr="001B1519" w:rsidRDefault="0024495B" w:rsidP="001B1519">
      <w:pPr>
        <w:rPr>
          <w:rFonts w:asciiTheme="minorHAnsi" w:hAnsiTheme="minorHAnsi" w:cstheme="minorHAnsi"/>
          <w:color w:val="808080"/>
        </w:rPr>
      </w:pPr>
      <w:r w:rsidRPr="001B1519">
        <w:rPr>
          <w:rFonts w:asciiTheme="minorHAnsi" w:hAnsiTheme="minorHAnsi" w:cstheme="minorHAnsi"/>
          <w:b/>
        </w:rPr>
        <w:lastRenderedPageBreak/>
        <w:t>INTRODUCTION</w:t>
      </w:r>
      <w:r w:rsidRPr="001B1519">
        <w:rPr>
          <w:rFonts w:asciiTheme="minorHAnsi" w:hAnsiTheme="minorHAnsi" w:cstheme="minorHAnsi"/>
          <w:b/>
          <w:bCs/>
        </w:rPr>
        <w:t>:</w:t>
      </w:r>
      <w:r w:rsidRPr="001B1519">
        <w:rPr>
          <w:rFonts w:asciiTheme="minorHAnsi" w:hAnsiTheme="minorHAnsi" w:cstheme="minorHAnsi"/>
        </w:rPr>
        <w:t xml:space="preserve"> </w:t>
      </w:r>
    </w:p>
    <w:p w:rsidR="0024495B" w:rsidRDefault="0024495B" w:rsidP="007A4DD6">
      <w:pPr>
        <w:rPr>
          <w:rFonts w:asciiTheme="minorHAnsi" w:hAnsiTheme="minorHAnsi" w:cstheme="minorHAnsi"/>
          <w:color w:val="auto"/>
        </w:rPr>
      </w:pPr>
      <w:r>
        <w:rPr>
          <w:rFonts w:asciiTheme="minorHAnsi" w:hAnsiTheme="minorHAnsi" w:cstheme="minorHAnsi"/>
          <w:color w:val="auto"/>
        </w:rPr>
        <w:t>Sequencing is a powerful and important tool in biological and biomedical research. It allows analysis of genomes, genetic variations, and RNA expression profiles, and thus plays an important role in the investigation of human and animal diseases alike</w:t>
      </w:r>
      <w:r w:rsidRPr="00B81A6C">
        <w:rPr>
          <w:rFonts w:asciiTheme="minorHAnsi" w:hAnsiTheme="minorHAnsi" w:cstheme="minorHAnsi"/>
          <w:noProof/>
          <w:color w:val="auto"/>
          <w:vertAlign w:val="superscript"/>
        </w:rPr>
        <w:t>1,2</w:t>
      </w:r>
      <w:r>
        <w:rPr>
          <w:rFonts w:asciiTheme="minorHAnsi" w:hAnsiTheme="minorHAnsi" w:cstheme="minorHAnsi"/>
          <w:color w:val="auto"/>
        </w:rPr>
        <w:t>.</w:t>
      </w:r>
      <w:r w:rsidRPr="001640B7">
        <w:rPr>
          <w:rFonts w:asciiTheme="minorHAnsi" w:hAnsiTheme="minorHAnsi" w:cstheme="minorHAnsi"/>
          <w:color w:val="auto"/>
        </w:rPr>
        <w:t xml:space="preserve"> </w:t>
      </w:r>
      <w:r>
        <w:rPr>
          <w:rFonts w:asciiTheme="minorHAnsi" w:hAnsiTheme="minorHAnsi" w:cstheme="minorHAnsi"/>
          <w:color w:val="auto"/>
        </w:rPr>
        <w:t>Sanger sequencing, one of the oldest methods available for DNA sequencing, is still routinely used to this day and has been a corner-stone of molecular biology. Over the past 50 years</w:t>
      </w:r>
      <w:r w:rsidR="00155A8A">
        <w:rPr>
          <w:rFonts w:asciiTheme="minorHAnsi" w:hAnsiTheme="minorHAnsi" w:cstheme="minorHAnsi"/>
          <w:color w:val="auto"/>
        </w:rPr>
        <w:t>,</w:t>
      </w:r>
      <w:r>
        <w:rPr>
          <w:rFonts w:asciiTheme="minorHAnsi" w:hAnsiTheme="minorHAnsi" w:cstheme="minorHAnsi"/>
          <w:color w:val="auto"/>
        </w:rPr>
        <w:t xml:space="preserve"> this technology has been improved to achieve read-lengths of more than 1</w:t>
      </w:r>
      <w:r w:rsidR="00155A8A">
        <w:rPr>
          <w:rFonts w:asciiTheme="minorHAnsi" w:hAnsiTheme="minorHAnsi" w:cstheme="minorHAnsi"/>
          <w:color w:val="auto"/>
        </w:rPr>
        <w:t>,</w:t>
      </w:r>
      <w:r>
        <w:rPr>
          <w:rFonts w:asciiTheme="minorHAnsi" w:hAnsiTheme="minorHAnsi" w:cstheme="minorHAnsi"/>
          <w:color w:val="auto"/>
        </w:rPr>
        <w:t>000 nt and an accuracy as high as 99.999%</w:t>
      </w:r>
      <w:r w:rsidRPr="00F435C4">
        <w:rPr>
          <w:rFonts w:asciiTheme="minorHAnsi" w:hAnsiTheme="minorHAnsi" w:cstheme="minorHAnsi"/>
          <w:noProof/>
          <w:color w:val="auto"/>
          <w:vertAlign w:val="superscript"/>
        </w:rPr>
        <w:t>1</w:t>
      </w:r>
      <w:r>
        <w:rPr>
          <w:rFonts w:asciiTheme="minorHAnsi" w:hAnsiTheme="minorHAnsi" w:cstheme="minorHAnsi"/>
          <w:color w:val="auto"/>
        </w:rPr>
        <w:t>. However, Sanger sequencing also has limitations. Sequencing a larger set of samples or the analysis of whole genomes with this method is time consuming and expensive</w:t>
      </w:r>
      <w:r w:rsidRPr="002821BC">
        <w:rPr>
          <w:rFonts w:asciiTheme="minorHAnsi" w:hAnsiTheme="minorHAnsi" w:cstheme="minorHAnsi"/>
          <w:noProof/>
          <w:color w:val="auto"/>
          <w:vertAlign w:val="superscript"/>
        </w:rPr>
        <w:t>1,3</w:t>
      </w:r>
      <w:r>
        <w:rPr>
          <w:rFonts w:asciiTheme="minorHAnsi" w:hAnsiTheme="minorHAnsi" w:cstheme="minorHAnsi"/>
          <w:color w:val="auto"/>
        </w:rPr>
        <w:t>. Second-generation (next-generation) DNA sequencing methods such as 454 pyrosequencing and Illumina technology have allowed us to significantly reduce the cost and workload required for sequencing</w:t>
      </w:r>
      <w:r w:rsidRPr="00221A0D">
        <w:rPr>
          <w:rFonts w:asciiTheme="minorHAnsi" w:hAnsiTheme="minorHAnsi" w:cstheme="minorHAnsi"/>
          <w:color w:val="auto"/>
        </w:rPr>
        <w:t xml:space="preserve"> </w:t>
      </w:r>
      <w:r>
        <w:rPr>
          <w:rFonts w:asciiTheme="minorHAnsi" w:hAnsiTheme="minorHAnsi" w:cstheme="minorHAnsi"/>
          <w:color w:val="auto"/>
        </w:rPr>
        <w:t>in the last decade, and have led to a tremendous increase in the amount of biological sequence information available</w:t>
      </w:r>
      <w:r w:rsidRPr="002821BC">
        <w:rPr>
          <w:rFonts w:asciiTheme="minorHAnsi" w:hAnsiTheme="minorHAnsi" w:cstheme="minorHAnsi"/>
          <w:noProof/>
          <w:color w:val="auto"/>
          <w:vertAlign w:val="superscript"/>
        </w:rPr>
        <w:t>4</w:t>
      </w:r>
      <w:r>
        <w:rPr>
          <w:rFonts w:asciiTheme="minorHAnsi" w:hAnsiTheme="minorHAnsi" w:cstheme="minorHAnsi"/>
          <w:color w:val="auto"/>
        </w:rPr>
        <w:t>. Nevertheless, individual sequencing runs using these second-generation technologies are expensive, and sequencing under field conditions is challenging, as the necessary equipment is bulky and fragile (</w:t>
      </w:r>
      <w:proofErr w:type="gramStart"/>
      <w:r>
        <w:rPr>
          <w:rFonts w:asciiTheme="minorHAnsi" w:hAnsiTheme="minorHAnsi" w:cstheme="minorHAnsi"/>
          <w:color w:val="auto"/>
        </w:rPr>
        <w:t>similar to</w:t>
      </w:r>
      <w:proofErr w:type="gramEnd"/>
      <w:r>
        <w:rPr>
          <w:rFonts w:asciiTheme="minorHAnsi" w:hAnsiTheme="minorHAnsi" w:cstheme="minorHAnsi"/>
          <w:color w:val="auto"/>
        </w:rPr>
        <w:t xml:space="preserve"> Sanger sequencing devices), and often has to be calibrated and serviced by specially trained personnel. Also, for many of the second-generation technologies read-lengths are rather limited, which often makes downstream bioinformatics analysis of these data challenging. </w:t>
      </w:r>
    </w:p>
    <w:p w:rsidR="0024495B" w:rsidRDefault="0024495B" w:rsidP="007A4DD6">
      <w:pPr>
        <w:rPr>
          <w:rFonts w:asciiTheme="minorHAnsi" w:hAnsiTheme="minorHAnsi" w:cstheme="minorHAnsi"/>
          <w:color w:val="auto"/>
        </w:rPr>
      </w:pPr>
    </w:p>
    <w:p w:rsidR="0024495B" w:rsidRDefault="0024495B" w:rsidP="007A4DD6">
      <w:pPr>
        <w:rPr>
          <w:rFonts w:asciiTheme="minorHAnsi" w:hAnsiTheme="minorHAnsi" w:cstheme="minorHAnsi"/>
          <w:color w:val="auto"/>
        </w:rPr>
      </w:pPr>
      <w:r>
        <w:rPr>
          <w:rFonts w:asciiTheme="minorHAnsi" w:hAnsiTheme="minorHAnsi" w:cstheme="minorHAnsi"/>
          <w:color w:val="auto"/>
        </w:rPr>
        <w:t xml:space="preserve">Third-generation sequencing using pocket-sized nanopore sequencing devices (see </w:t>
      </w:r>
      <w:r w:rsidRPr="00155A8A">
        <w:rPr>
          <w:rFonts w:asciiTheme="minorHAnsi" w:hAnsiTheme="minorHAnsi" w:cstheme="minorHAnsi"/>
          <w:b/>
          <w:color w:val="auto"/>
        </w:rPr>
        <w:t>Table of Materials</w:t>
      </w:r>
      <w:r>
        <w:rPr>
          <w:rFonts w:asciiTheme="minorHAnsi" w:hAnsiTheme="minorHAnsi" w:cstheme="minorHAnsi"/>
          <w:color w:val="auto"/>
        </w:rPr>
        <w:t>) can serve as an alternative to these established sequencing platforms. In these devices a single-stranded DNA or RNA molecule passes through a nanopore simultaneously with an ion</w:t>
      </w:r>
      <w:r w:rsidR="00450C58">
        <w:rPr>
          <w:rFonts w:asciiTheme="minorHAnsi" w:hAnsiTheme="minorHAnsi" w:cstheme="minorHAnsi"/>
          <w:color w:val="auto"/>
        </w:rPr>
        <w:t>ic</w:t>
      </w:r>
      <w:r>
        <w:rPr>
          <w:rFonts w:asciiTheme="minorHAnsi" w:hAnsiTheme="minorHAnsi" w:cstheme="minorHAnsi"/>
          <w:color w:val="auto"/>
        </w:rPr>
        <w:t xml:space="preserve"> current that is then measured by a sensor (</w:t>
      </w:r>
      <w:r w:rsidRPr="00155A8A">
        <w:rPr>
          <w:rFonts w:asciiTheme="minorHAnsi" w:hAnsiTheme="minorHAnsi" w:cstheme="minorHAnsi"/>
          <w:b/>
          <w:color w:val="auto"/>
        </w:rPr>
        <w:t>Figure 1</w:t>
      </w:r>
      <w:r>
        <w:rPr>
          <w:rFonts w:asciiTheme="minorHAnsi" w:hAnsiTheme="minorHAnsi" w:cstheme="minorHAnsi"/>
          <w:color w:val="auto"/>
        </w:rPr>
        <w:t>). As the strand traverses the nanopore, the modulation of the current by the nucleotides present in the pore at any given time is detected, and computationally back-translated into the nucleotide sequence</w:t>
      </w:r>
      <w:r w:rsidRPr="002821BC">
        <w:rPr>
          <w:rFonts w:asciiTheme="minorHAnsi" w:hAnsiTheme="minorHAnsi" w:cstheme="minorHAnsi"/>
          <w:noProof/>
          <w:color w:val="auto"/>
          <w:vertAlign w:val="superscript"/>
        </w:rPr>
        <w:t>5</w:t>
      </w:r>
      <w:r>
        <w:rPr>
          <w:rFonts w:asciiTheme="minorHAnsi" w:hAnsiTheme="minorHAnsi" w:cstheme="minorHAnsi"/>
          <w:color w:val="auto"/>
        </w:rPr>
        <w:t>. Because of this operational principle, nanopore sequencing allows both the generation of very long reads (close to 1 x 10</w:t>
      </w:r>
      <w:r>
        <w:rPr>
          <w:rFonts w:asciiTheme="minorHAnsi" w:hAnsiTheme="minorHAnsi" w:cstheme="minorHAnsi"/>
          <w:color w:val="auto"/>
          <w:vertAlign w:val="superscript"/>
        </w:rPr>
        <w:t>6</w:t>
      </w:r>
      <w:r>
        <w:rPr>
          <w:rFonts w:asciiTheme="minorHAnsi" w:hAnsiTheme="minorHAnsi" w:cstheme="minorHAnsi"/>
          <w:color w:val="auto"/>
        </w:rPr>
        <w:t xml:space="preserve"> nucleotides</w:t>
      </w:r>
      <w:r w:rsidRPr="007E4779">
        <w:rPr>
          <w:rFonts w:asciiTheme="minorHAnsi" w:hAnsiTheme="minorHAnsi" w:cstheme="minorHAnsi"/>
          <w:noProof/>
          <w:color w:val="auto"/>
          <w:vertAlign w:val="superscript"/>
        </w:rPr>
        <w:t>6</w:t>
      </w:r>
      <w:r>
        <w:rPr>
          <w:rFonts w:asciiTheme="minorHAnsi" w:hAnsiTheme="minorHAnsi" w:cstheme="minorHAnsi"/>
          <w:color w:val="auto"/>
        </w:rPr>
        <w:t>) and the analysis of sequencing data in real time. Barcoding is possible by attaching defined nucleotide sequences to the nucleic acids in a sample, which allows analysis of multiple samples in a single sequencing run, thus increasing sample throughput and lowering per sample costs. Due to their high portability and ease of use, nanopore sequencing devices have been used successfully in the field during the recent Ebola virus disease epidemic in West Africa, highlighting their suitability for rapid deployment into remote regions</w:t>
      </w:r>
      <w:r w:rsidRPr="007E4779">
        <w:rPr>
          <w:rFonts w:asciiTheme="minorHAnsi" w:hAnsiTheme="minorHAnsi" w:cstheme="minorHAnsi"/>
          <w:noProof/>
          <w:color w:val="auto"/>
          <w:vertAlign w:val="superscript"/>
        </w:rPr>
        <w:t>7,8</w:t>
      </w:r>
      <w:r>
        <w:rPr>
          <w:rFonts w:asciiTheme="minorHAnsi" w:hAnsiTheme="minorHAnsi" w:cstheme="minorHAnsi"/>
          <w:color w:val="auto"/>
        </w:rPr>
        <w:t xml:space="preserve">. </w:t>
      </w:r>
    </w:p>
    <w:p w:rsidR="0024495B" w:rsidRDefault="0024495B" w:rsidP="007A4DD6">
      <w:pPr>
        <w:rPr>
          <w:rFonts w:asciiTheme="minorHAnsi" w:hAnsiTheme="minorHAnsi" w:cstheme="minorHAnsi"/>
          <w:color w:val="auto"/>
        </w:rPr>
      </w:pPr>
    </w:p>
    <w:p w:rsidR="0024495B" w:rsidRDefault="0024495B" w:rsidP="001B1519">
      <w:pPr>
        <w:rPr>
          <w:rFonts w:asciiTheme="minorHAnsi" w:hAnsiTheme="minorHAnsi" w:cstheme="minorHAnsi"/>
          <w:color w:val="auto"/>
        </w:rPr>
      </w:pPr>
      <w:r>
        <w:rPr>
          <w:rFonts w:asciiTheme="minorHAnsi" w:hAnsiTheme="minorHAnsi" w:cstheme="minorHAnsi"/>
          <w:color w:val="auto"/>
        </w:rPr>
        <w:t>Here</w:t>
      </w:r>
      <w:r w:rsidR="009D2F02">
        <w:rPr>
          <w:rFonts w:asciiTheme="minorHAnsi" w:hAnsiTheme="minorHAnsi" w:cstheme="minorHAnsi"/>
          <w:color w:val="auto"/>
        </w:rPr>
        <w:t>,</w:t>
      </w:r>
      <w:r>
        <w:rPr>
          <w:rFonts w:asciiTheme="minorHAnsi" w:hAnsiTheme="minorHAnsi" w:cstheme="minorHAnsi"/>
          <w:color w:val="auto"/>
        </w:rPr>
        <w:t xml:space="preserve"> we describe a detailed field-compatible protocol for the sequencing of mRNA encoding for the Niemann-Pick C1 (NPC1) protein, which is the obligate entry receptor for filoviruses such as </w:t>
      </w:r>
      <w:r w:rsidRPr="00484A27">
        <w:rPr>
          <w:rFonts w:asciiTheme="minorHAnsi" w:hAnsiTheme="minorHAnsi" w:cstheme="minorHAnsi"/>
          <w:color w:val="auto"/>
        </w:rPr>
        <w:t>ebolaviruses</w:t>
      </w:r>
      <w:r>
        <w:rPr>
          <w:rFonts w:asciiTheme="minorHAnsi" w:hAnsiTheme="minorHAnsi" w:cstheme="minorHAnsi"/>
          <w:color w:val="auto"/>
        </w:rPr>
        <w:t>, and has been shown to limit species susceptibility to these viruses</w:t>
      </w:r>
      <w:r w:rsidRPr="00221A0D">
        <w:rPr>
          <w:rFonts w:asciiTheme="minorHAnsi" w:hAnsiTheme="minorHAnsi" w:cstheme="minorHAnsi"/>
          <w:noProof/>
          <w:color w:val="auto"/>
          <w:vertAlign w:val="superscript"/>
        </w:rPr>
        <w:t>9,10</w:t>
      </w:r>
      <w:r w:rsidRPr="00861FFD">
        <w:rPr>
          <w:rFonts w:asciiTheme="minorHAnsi" w:hAnsiTheme="minorHAnsi" w:cstheme="minorHAnsi"/>
          <w:color w:val="auto"/>
        </w:rPr>
        <w:t>.</w:t>
      </w:r>
      <w:r>
        <w:rPr>
          <w:rFonts w:asciiTheme="minorHAnsi" w:hAnsiTheme="minorHAnsi" w:cstheme="minorHAnsi"/>
          <w:color w:val="auto"/>
        </w:rPr>
        <w:t xml:space="preserve"> The protocol encompasses extraction of whole RNA from blood samples, specific amplification of NPC1 mRNA by RT-PCR, barcoding of samples, library preparation and sequencing with a nanopore sequencing device. Data analysis cannot be discussed due to space limitations, although some basic directions are provided in the representative results; however, the interested reader is referred to a previous publication</w:t>
      </w:r>
      <w:r w:rsidRPr="001E76B5">
        <w:rPr>
          <w:rFonts w:asciiTheme="minorHAnsi" w:hAnsiTheme="minorHAnsi" w:cstheme="minorHAnsi"/>
          <w:noProof/>
          <w:color w:val="auto"/>
          <w:vertAlign w:val="superscript"/>
        </w:rPr>
        <w:t>11</w:t>
      </w:r>
      <w:r>
        <w:rPr>
          <w:rFonts w:asciiTheme="minorHAnsi" w:hAnsiTheme="minorHAnsi" w:cstheme="minorHAnsi"/>
          <w:color w:val="auto"/>
        </w:rPr>
        <w:t xml:space="preserve"> for a more detailed description of the workflow </w:t>
      </w:r>
      <w:r w:rsidR="00450C58">
        <w:rPr>
          <w:rFonts w:asciiTheme="minorHAnsi" w:hAnsiTheme="minorHAnsi" w:cstheme="minorHAnsi"/>
          <w:color w:val="auto"/>
        </w:rPr>
        <w:t xml:space="preserve">we </w:t>
      </w:r>
      <w:r>
        <w:rPr>
          <w:rFonts w:asciiTheme="minorHAnsi" w:hAnsiTheme="minorHAnsi" w:cstheme="minorHAnsi"/>
          <w:color w:val="auto"/>
        </w:rPr>
        <w:t>used, as well as to publications by others</w:t>
      </w:r>
      <w:r w:rsidRPr="005A7ADF">
        <w:rPr>
          <w:rFonts w:asciiTheme="minorHAnsi" w:hAnsiTheme="minorHAnsi" w:cstheme="minorHAnsi"/>
          <w:noProof/>
          <w:color w:val="auto"/>
          <w:vertAlign w:val="superscript"/>
        </w:rPr>
        <w:t>12-14</w:t>
      </w:r>
      <w:r>
        <w:rPr>
          <w:rFonts w:asciiTheme="minorHAnsi" w:hAnsiTheme="minorHAnsi" w:cstheme="minorHAnsi"/>
          <w:color w:val="auto"/>
        </w:rPr>
        <w:t xml:space="preserve"> for detailed information regarding the analysis tools used in this workflow. </w:t>
      </w:r>
    </w:p>
    <w:p w:rsidR="0024495B" w:rsidRPr="001B1519" w:rsidRDefault="0024495B" w:rsidP="001B1519">
      <w:pPr>
        <w:rPr>
          <w:rFonts w:asciiTheme="minorHAnsi" w:hAnsiTheme="minorHAnsi" w:cstheme="minorHAnsi"/>
          <w:b/>
        </w:rPr>
      </w:pPr>
    </w:p>
    <w:p w:rsidR="0024495B" w:rsidRDefault="0024495B" w:rsidP="001B1519">
      <w:pPr>
        <w:rPr>
          <w:rStyle w:val="Hyperlink"/>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rsidR="009D2F02" w:rsidRDefault="009D2F02" w:rsidP="009D2F02">
      <w:pPr>
        <w:rPr>
          <w:rFonts w:asciiTheme="minorHAnsi" w:hAnsiTheme="minorHAnsi" w:cstheme="minorHAnsi"/>
          <w:color w:val="auto"/>
        </w:rPr>
      </w:pPr>
    </w:p>
    <w:p w:rsidR="009D2F02" w:rsidRPr="001B4C23" w:rsidRDefault="009D2F02" w:rsidP="009D2F02">
      <w:pPr>
        <w:rPr>
          <w:rFonts w:asciiTheme="minorHAnsi" w:hAnsiTheme="minorHAnsi" w:cstheme="minorHAnsi"/>
          <w:color w:val="000000" w:themeColor="text1"/>
          <w:szCs w:val="22"/>
        </w:rPr>
      </w:pPr>
      <w:r w:rsidRPr="001B4C23">
        <w:rPr>
          <w:rFonts w:asciiTheme="minorHAnsi" w:hAnsiTheme="minorHAnsi" w:cstheme="minorHAnsi"/>
          <w:color w:val="000000" w:themeColor="text1"/>
          <w:szCs w:val="22"/>
        </w:rPr>
        <w:t xml:space="preserve">Samples were collected following the </w:t>
      </w:r>
      <w:proofErr w:type="spellStart"/>
      <w:r w:rsidRPr="001B4C23">
        <w:rPr>
          <w:rFonts w:asciiTheme="minorHAnsi" w:hAnsiTheme="minorHAnsi" w:cstheme="minorHAnsi"/>
          <w:color w:val="000000" w:themeColor="text1"/>
          <w:szCs w:val="22"/>
        </w:rPr>
        <w:t>Njala</w:t>
      </w:r>
      <w:proofErr w:type="spellEnd"/>
      <w:r w:rsidRPr="001B4C23">
        <w:rPr>
          <w:rFonts w:asciiTheme="minorHAnsi" w:hAnsiTheme="minorHAnsi" w:cstheme="minorHAnsi"/>
          <w:color w:val="000000" w:themeColor="text1"/>
          <w:szCs w:val="22"/>
        </w:rPr>
        <w:t xml:space="preserve"> University Institutional Review Board (NUIRB) protocol no. IRB00008861/FWA00018924.</w:t>
      </w:r>
    </w:p>
    <w:p w:rsidR="0024495B" w:rsidRDefault="0024495B" w:rsidP="001B1519">
      <w:pPr>
        <w:rPr>
          <w:rStyle w:val="Hyperlink"/>
          <w:rFonts w:asciiTheme="minorHAnsi" w:hAnsiTheme="minorHAnsi" w:cstheme="minorHAnsi"/>
          <w:color w:val="808080" w:themeColor="background1" w:themeShade="80"/>
        </w:rPr>
      </w:pPr>
    </w:p>
    <w:p w:rsidR="0024495B" w:rsidRDefault="0024495B" w:rsidP="00C30BC2">
      <w:pPr>
        <w:rPr>
          <w:rFonts w:asciiTheme="minorHAnsi" w:hAnsiTheme="minorHAnsi" w:cstheme="minorHAnsi"/>
          <w:b/>
          <w:color w:val="000000" w:themeColor="text1"/>
        </w:rPr>
      </w:pPr>
      <w:r w:rsidRPr="009F7C6A">
        <w:rPr>
          <w:rFonts w:asciiTheme="minorHAnsi" w:hAnsiTheme="minorHAnsi" w:cstheme="minorHAnsi"/>
          <w:b/>
          <w:color w:val="000000" w:themeColor="text1"/>
        </w:rPr>
        <w:t>1.</w:t>
      </w:r>
      <w:r>
        <w:rPr>
          <w:rFonts w:asciiTheme="minorHAnsi" w:hAnsiTheme="minorHAnsi" w:cstheme="minorHAnsi"/>
          <w:b/>
          <w:color w:val="000000" w:themeColor="text1"/>
        </w:rPr>
        <w:t xml:space="preserve"> </w:t>
      </w:r>
      <w:r w:rsidRPr="009F7C6A">
        <w:rPr>
          <w:rFonts w:asciiTheme="minorHAnsi" w:hAnsiTheme="minorHAnsi" w:cstheme="minorHAnsi"/>
          <w:b/>
          <w:color w:val="000000" w:themeColor="text1"/>
        </w:rPr>
        <w:t>RNA extraction from blood samples</w:t>
      </w:r>
    </w:p>
    <w:p w:rsidR="0024495B" w:rsidRPr="00E97B67" w:rsidRDefault="0024495B" w:rsidP="00C30BC2">
      <w:pPr>
        <w:rPr>
          <w:rFonts w:asciiTheme="minorHAnsi" w:hAnsiTheme="minorHAnsi"/>
          <w:b/>
          <w:color w:val="000000" w:themeColor="text1"/>
        </w:rPr>
      </w:pPr>
    </w:p>
    <w:p w:rsidR="0024495B" w:rsidRPr="00F02843" w:rsidRDefault="0024495B" w:rsidP="00C30BC2">
      <w:pPr>
        <w:pStyle w:val="ListParagraph"/>
        <w:numPr>
          <w:ilvl w:val="1"/>
          <w:numId w:val="18"/>
        </w:numPr>
        <w:ind w:left="0" w:firstLine="0"/>
        <w:rPr>
          <w:rFonts w:asciiTheme="minorHAnsi" w:hAnsiTheme="minorHAnsi" w:cstheme="minorHAnsi"/>
          <w:color w:val="000000" w:themeColor="text1"/>
        </w:rPr>
      </w:pPr>
      <w:r w:rsidRPr="00F02843">
        <w:rPr>
          <w:rFonts w:asciiTheme="minorHAnsi" w:hAnsiTheme="minorHAnsi" w:cstheme="minorHAnsi"/>
          <w:color w:val="000000" w:themeColor="text1"/>
        </w:rPr>
        <w:t>Collect 3 m</w:t>
      </w:r>
      <w:r>
        <w:rPr>
          <w:rFonts w:asciiTheme="minorHAnsi" w:hAnsiTheme="minorHAnsi" w:cstheme="minorHAnsi"/>
          <w:color w:val="000000" w:themeColor="text1"/>
        </w:rPr>
        <w:t>L</w:t>
      </w:r>
      <w:r w:rsidRPr="00F02843">
        <w:rPr>
          <w:rFonts w:asciiTheme="minorHAnsi" w:hAnsiTheme="minorHAnsi" w:cstheme="minorHAnsi"/>
          <w:color w:val="000000" w:themeColor="text1"/>
        </w:rPr>
        <w:t xml:space="preserve"> of whole blood </w:t>
      </w:r>
      <w:r>
        <w:rPr>
          <w:rFonts w:asciiTheme="minorHAnsi" w:hAnsiTheme="minorHAnsi" w:cstheme="minorHAnsi"/>
          <w:color w:val="000000" w:themeColor="text1"/>
        </w:rPr>
        <w:t xml:space="preserve">from the species to be analyzed </w:t>
      </w:r>
      <w:r w:rsidRPr="00F02843">
        <w:rPr>
          <w:rFonts w:asciiTheme="minorHAnsi" w:hAnsiTheme="minorHAnsi" w:cstheme="minorHAnsi"/>
          <w:color w:val="000000" w:themeColor="text1"/>
        </w:rPr>
        <w:t xml:space="preserve">into </w:t>
      </w:r>
      <w:r>
        <w:rPr>
          <w:rFonts w:asciiTheme="minorHAnsi" w:hAnsiTheme="minorHAnsi" w:cstheme="minorHAnsi"/>
          <w:color w:val="000000" w:themeColor="text1"/>
        </w:rPr>
        <w:t>a</w:t>
      </w:r>
      <w:r w:rsidRPr="00F0284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blood collection tube </w:t>
      </w:r>
      <w:r w:rsidRPr="00F02843">
        <w:rPr>
          <w:rFonts w:asciiTheme="minorHAnsi" w:hAnsiTheme="minorHAnsi" w:cstheme="minorHAnsi"/>
          <w:color w:val="000000" w:themeColor="text1"/>
        </w:rPr>
        <w:t>prefilled with 6 mL</w:t>
      </w:r>
      <w:r w:rsidR="009D2F02">
        <w:rPr>
          <w:rFonts w:asciiTheme="minorHAnsi" w:hAnsiTheme="minorHAnsi" w:cstheme="minorHAnsi"/>
          <w:color w:val="000000" w:themeColor="text1"/>
        </w:rPr>
        <w:t xml:space="preserve"> </w:t>
      </w:r>
      <w:r w:rsidR="009D2F02" w:rsidRPr="00F02843">
        <w:rPr>
          <w:rFonts w:asciiTheme="minorHAnsi" w:hAnsiTheme="minorHAnsi" w:cstheme="minorHAnsi"/>
          <w:color w:val="000000" w:themeColor="text1"/>
        </w:rPr>
        <w:t>of</w:t>
      </w:r>
      <w:r w:rsidRPr="00F0284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DNA/RNA stabilizing reagent (see </w:t>
      </w:r>
      <w:r w:rsidRPr="009D2F02">
        <w:rPr>
          <w:rFonts w:asciiTheme="minorHAnsi" w:hAnsiTheme="minorHAnsi" w:cstheme="minorHAnsi"/>
          <w:b/>
          <w:color w:val="000000" w:themeColor="text1"/>
        </w:rPr>
        <w:t>Table of Materials</w:t>
      </w:r>
      <w:r>
        <w:rPr>
          <w:rFonts w:asciiTheme="minorHAnsi" w:hAnsiTheme="minorHAnsi" w:cstheme="minorHAnsi"/>
          <w:color w:val="000000" w:themeColor="text1"/>
        </w:rPr>
        <w:t xml:space="preserve">) </w:t>
      </w:r>
      <w:r w:rsidRPr="00F02843">
        <w:rPr>
          <w:rFonts w:asciiTheme="minorHAnsi" w:hAnsiTheme="minorHAnsi" w:cstheme="minorHAnsi"/>
          <w:color w:val="000000" w:themeColor="text1"/>
        </w:rPr>
        <w:t>and mix by inverting</w:t>
      </w:r>
      <w:r>
        <w:rPr>
          <w:rFonts w:asciiTheme="minorHAnsi" w:hAnsiTheme="minorHAnsi" w:cstheme="minorHAnsi"/>
          <w:color w:val="000000" w:themeColor="text1"/>
        </w:rPr>
        <w:t xml:space="preserve"> 5 times</w:t>
      </w:r>
      <w:r w:rsidRPr="00F02843">
        <w:rPr>
          <w:rFonts w:asciiTheme="minorHAnsi" w:hAnsiTheme="minorHAnsi" w:cstheme="minorHAnsi"/>
          <w:color w:val="000000" w:themeColor="text1"/>
        </w:rPr>
        <w:t xml:space="preserve">. Store the blood sample </w:t>
      </w:r>
      <w:r>
        <w:rPr>
          <w:rFonts w:asciiTheme="minorHAnsi" w:hAnsiTheme="minorHAnsi" w:cstheme="minorHAnsi"/>
          <w:color w:val="000000" w:themeColor="text1"/>
        </w:rPr>
        <w:t xml:space="preserve">for </w:t>
      </w:r>
      <w:r w:rsidRPr="00F02843">
        <w:rPr>
          <w:rFonts w:asciiTheme="minorHAnsi" w:hAnsiTheme="minorHAnsi" w:cstheme="minorHAnsi"/>
          <w:color w:val="000000" w:themeColor="text1"/>
        </w:rPr>
        <w:t>up to one month at 4</w:t>
      </w:r>
      <w:r>
        <w:rPr>
          <w:rFonts w:asciiTheme="minorHAnsi" w:hAnsiTheme="minorHAnsi" w:cstheme="minorHAnsi"/>
          <w:color w:val="000000" w:themeColor="text1"/>
        </w:rPr>
        <w:t> °C</w:t>
      </w:r>
      <w:r w:rsidRPr="00F02843">
        <w:rPr>
          <w:rFonts w:asciiTheme="minorHAnsi" w:hAnsiTheme="minorHAnsi" w:cstheme="minorHAnsi"/>
          <w:color w:val="000000" w:themeColor="text1"/>
        </w:rPr>
        <w:t xml:space="preserve">. </w:t>
      </w:r>
    </w:p>
    <w:p w:rsidR="0024495B" w:rsidRDefault="0024495B" w:rsidP="00C30BC2">
      <w:pPr>
        <w:pStyle w:val="ListParagraph"/>
        <w:ind w:left="0"/>
        <w:rPr>
          <w:rFonts w:asciiTheme="minorHAnsi" w:hAnsiTheme="minorHAnsi" w:cstheme="minorHAnsi"/>
          <w:color w:val="000000" w:themeColor="text1"/>
        </w:rPr>
      </w:pPr>
    </w:p>
    <w:p w:rsidR="0024495B" w:rsidRPr="00F02843" w:rsidRDefault="0024495B" w:rsidP="00C30BC2">
      <w:pPr>
        <w:pStyle w:val="ListParagraph"/>
        <w:numPr>
          <w:ilvl w:val="1"/>
          <w:numId w:val="18"/>
        </w:numPr>
        <w:ind w:left="0" w:firstLine="0"/>
        <w:rPr>
          <w:rFonts w:asciiTheme="minorHAnsi" w:hAnsiTheme="minorHAnsi" w:cstheme="minorHAnsi"/>
          <w:color w:val="000000" w:themeColor="text1"/>
        </w:rPr>
      </w:pPr>
      <w:r w:rsidRPr="00F02843">
        <w:rPr>
          <w:rFonts w:asciiTheme="minorHAnsi" w:hAnsiTheme="minorHAnsi" w:cstheme="minorHAnsi"/>
          <w:color w:val="000000" w:themeColor="text1"/>
        </w:rPr>
        <w:t>Transfer the content</w:t>
      </w:r>
      <w:r>
        <w:rPr>
          <w:rFonts w:asciiTheme="minorHAnsi" w:hAnsiTheme="minorHAnsi" w:cstheme="minorHAnsi"/>
          <w:color w:val="000000" w:themeColor="text1"/>
        </w:rPr>
        <w:t>s</w:t>
      </w:r>
      <w:r w:rsidRPr="00F02843">
        <w:rPr>
          <w:rFonts w:asciiTheme="minorHAnsi" w:hAnsiTheme="minorHAnsi" w:cstheme="minorHAnsi"/>
          <w:color w:val="000000" w:themeColor="text1"/>
        </w:rPr>
        <w:t xml:space="preserve"> of the </w:t>
      </w:r>
      <w:r>
        <w:rPr>
          <w:rFonts w:asciiTheme="minorHAnsi" w:hAnsiTheme="minorHAnsi" w:cstheme="minorHAnsi"/>
          <w:color w:val="000000" w:themeColor="text1"/>
        </w:rPr>
        <w:t xml:space="preserve">blood collection tube into a 50 mL collection tube, </w:t>
      </w:r>
      <w:r w:rsidRPr="00F02843">
        <w:rPr>
          <w:rFonts w:asciiTheme="minorHAnsi" w:hAnsiTheme="minorHAnsi" w:cstheme="minorHAnsi"/>
          <w:color w:val="000000" w:themeColor="text1"/>
        </w:rPr>
        <w:t>add 120 µ</w:t>
      </w:r>
      <w:r>
        <w:rPr>
          <w:rFonts w:asciiTheme="minorHAnsi" w:hAnsiTheme="minorHAnsi" w:cstheme="minorHAnsi"/>
          <w:color w:val="000000" w:themeColor="text1"/>
        </w:rPr>
        <w:t>L</w:t>
      </w:r>
      <w:r w:rsidRPr="00F02843">
        <w:rPr>
          <w:rFonts w:asciiTheme="minorHAnsi" w:hAnsiTheme="minorHAnsi" w:cstheme="minorHAnsi"/>
          <w:color w:val="000000" w:themeColor="text1"/>
        </w:rPr>
        <w:t xml:space="preserve"> </w:t>
      </w:r>
      <w:r w:rsidR="009D2F02" w:rsidRPr="00F02843">
        <w:rPr>
          <w:rFonts w:asciiTheme="minorHAnsi" w:hAnsiTheme="minorHAnsi" w:cstheme="minorHAnsi"/>
          <w:color w:val="000000" w:themeColor="text1"/>
        </w:rPr>
        <w:t xml:space="preserve">of </w:t>
      </w:r>
      <w:r>
        <w:rPr>
          <w:rFonts w:asciiTheme="minorHAnsi" w:hAnsiTheme="minorHAnsi" w:cstheme="minorHAnsi"/>
          <w:color w:val="000000" w:themeColor="text1"/>
        </w:rPr>
        <w:t>p</w:t>
      </w:r>
      <w:r w:rsidRPr="00F02843">
        <w:rPr>
          <w:rFonts w:asciiTheme="minorHAnsi" w:hAnsiTheme="minorHAnsi" w:cstheme="minorHAnsi"/>
          <w:color w:val="000000" w:themeColor="text1"/>
        </w:rPr>
        <w:t>roteinase K</w:t>
      </w:r>
      <w:r>
        <w:rPr>
          <w:rFonts w:asciiTheme="minorHAnsi" w:hAnsiTheme="minorHAnsi" w:cstheme="minorHAnsi"/>
          <w:color w:val="000000" w:themeColor="text1"/>
        </w:rPr>
        <w:t>,</w:t>
      </w:r>
      <w:r w:rsidRPr="00F02843">
        <w:rPr>
          <w:rFonts w:asciiTheme="minorHAnsi" w:hAnsiTheme="minorHAnsi" w:cstheme="minorHAnsi"/>
          <w:color w:val="000000" w:themeColor="text1"/>
        </w:rPr>
        <w:t xml:space="preserve"> and mix by </w:t>
      </w:r>
      <w:proofErr w:type="spellStart"/>
      <w:r w:rsidRPr="00F02843">
        <w:rPr>
          <w:rFonts w:asciiTheme="minorHAnsi" w:hAnsiTheme="minorHAnsi" w:cstheme="minorHAnsi"/>
          <w:color w:val="000000" w:themeColor="text1"/>
        </w:rPr>
        <w:t>vortexing</w:t>
      </w:r>
      <w:proofErr w:type="spellEnd"/>
      <w:r>
        <w:rPr>
          <w:rFonts w:asciiTheme="minorHAnsi" w:hAnsiTheme="minorHAnsi" w:cstheme="minorHAnsi"/>
          <w:color w:val="000000" w:themeColor="text1"/>
        </w:rPr>
        <w:t xml:space="preserve"> for 5 s</w:t>
      </w:r>
      <w:r w:rsidRPr="00F02843">
        <w:rPr>
          <w:rFonts w:asciiTheme="minorHAnsi" w:hAnsiTheme="minorHAnsi" w:cstheme="minorHAnsi"/>
          <w:color w:val="000000" w:themeColor="text1"/>
        </w:rPr>
        <w:t xml:space="preserve">. Incubate the sample for 30 min at room temperature. </w:t>
      </w:r>
    </w:p>
    <w:p w:rsidR="0024495B" w:rsidRPr="001201E4" w:rsidRDefault="0024495B" w:rsidP="00C30BC2">
      <w:pPr>
        <w:rPr>
          <w:rFonts w:asciiTheme="minorHAnsi" w:hAnsiTheme="minorHAnsi" w:cstheme="minorHAnsi"/>
          <w:color w:val="000000" w:themeColor="text1"/>
        </w:rPr>
      </w:pPr>
    </w:p>
    <w:p w:rsidR="0024495B" w:rsidRPr="00F02843" w:rsidRDefault="0024495B" w:rsidP="00C30BC2">
      <w:pPr>
        <w:pStyle w:val="ListParagraph"/>
        <w:numPr>
          <w:ilvl w:val="1"/>
          <w:numId w:val="18"/>
        </w:numPr>
        <w:ind w:left="0" w:firstLine="0"/>
        <w:rPr>
          <w:rFonts w:asciiTheme="minorHAnsi" w:hAnsiTheme="minorHAnsi" w:cstheme="minorHAnsi"/>
          <w:color w:val="000000" w:themeColor="text1"/>
        </w:rPr>
      </w:pPr>
      <w:r w:rsidRPr="00F02843">
        <w:rPr>
          <w:rFonts w:asciiTheme="minorHAnsi" w:hAnsiTheme="minorHAnsi" w:cstheme="minorHAnsi"/>
          <w:color w:val="000000" w:themeColor="text1"/>
        </w:rPr>
        <w:t xml:space="preserve">Add 9 mL of </w:t>
      </w:r>
      <w:r>
        <w:rPr>
          <w:rFonts w:asciiTheme="minorHAnsi" w:hAnsiTheme="minorHAnsi" w:cstheme="minorHAnsi"/>
          <w:color w:val="000000" w:themeColor="text1"/>
        </w:rPr>
        <w:t>i</w:t>
      </w:r>
      <w:r w:rsidRPr="00F02843">
        <w:rPr>
          <w:rFonts w:asciiTheme="minorHAnsi" w:hAnsiTheme="minorHAnsi" w:cstheme="minorHAnsi"/>
          <w:color w:val="000000" w:themeColor="text1"/>
        </w:rPr>
        <w:t>sopropanol to the mix</w:t>
      </w:r>
      <w:r>
        <w:rPr>
          <w:rFonts w:asciiTheme="minorHAnsi" w:hAnsiTheme="minorHAnsi" w:cstheme="minorHAnsi"/>
          <w:color w:val="000000" w:themeColor="text1"/>
        </w:rPr>
        <w:t>ture</w:t>
      </w:r>
      <w:r w:rsidRPr="00F0284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w:t>
      </w:r>
      <w:r w:rsidRPr="00F02843">
        <w:rPr>
          <w:rFonts w:asciiTheme="minorHAnsi" w:hAnsiTheme="minorHAnsi" w:cstheme="minorHAnsi"/>
          <w:color w:val="000000" w:themeColor="text1"/>
        </w:rPr>
        <w:t>vortex</w:t>
      </w:r>
      <w:r>
        <w:rPr>
          <w:rFonts w:asciiTheme="minorHAnsi" w:hAnsiTheme="minorHAnsi" w:cstheme="minorHAnsi"/>
          <w:color w:val="000000" w:themeColor="text1"/>
        </w:rPr>
        <w:t xml:space="preserve"> for 5 s</w:t>
      </w:r>
      <w:r w:rsidRPr="00F02843">
        <w:rPr>
          <w:rFonts w:asciiTheme="minorHAnsi" w:hAnsiTheme="minorHAnsi" w:cstheme="minorHAnsi"/>
          <w:color w:val="000000" w:themeColor="text1"/>
        </w:rPr>
        <w:t xml:space="preserve">. </w:t>
      </w:r>
    </w:p>
    <w:p w:rsidR="0024495B" w:rsidRPr="001201E4" w:rsidRDefault="0024495B" w:rsidP="00C30BC2">
      <w:pPr>
        <w:rPr>
          <w:rFonts w:asciiTheme="minorHAnsi" w:hAnsiTheme="minorHAnsi" w:cstheme="minorHAnsi"/>
          <w:color w:val="000000" w:themeColor="text1"/>
        </w:rPr>
      </w:pPr>
    </w:p>
    <w:p w:rsidR="0024495B" w:rsidRPr="0063227A" w:rsidRDefault="0024495B" w:rsidP="00822533">
      <w:pPr>
        <w:pStyle w:val="ListParagraph"/>
        <w:numPr>
          <w:ilvl w:val="1"/>
          <w:numId w:val="18"/>
        </w:numPr>
        <w:ind w:left="0" w:firstLine="0"/>
        <w:rPr>
          <w:rFonts w:asciiTheme="minorHAnsi" w:hAnsiTheme="minorHAnsi" w:cstheme="minorHAnsi"/>
          <w:color w:val="000000" w:themeColor="text1"/>
        </w:rPr>
      </w:pPr>
      <w:r w:rsidRPr="00822533">
        <w:rPr>
          <w:rFonts w:asciiTheme="minorHAnsi" w:hAnsiTheme="minorHAnsi" w:cstheme="minorHAnsi"/>
          <w:color w:val="000000" w:themeColor="text1"/>
        </w:rPr>
        <w:t>Place a reservoir onto a</w:t>
      </w:r>
      <w:r w:rsidR="009D2F02">
        <w:rPr>
          <w:rFonts w:asciiTheme="minorHAnsi" w:hAnsiTheme="minorHAnsi" w:cstheme="minorHAnsi"/>
          <w:color w:val="000000" w:themeColor="text1"/>
        </w:rPr>
        <w:t>n</w:t>
      </w:r>
      <w:r w:rsidRPr="004F0CD0">
        <w:rPr>
          <w:rFonts w:asciiTheme="minorHAnsi" w:hAnsiTheme="minorHAnsi" w:cstheme="minorHAnsi"/>
          <w:color w:val="000000" w:themeColor="text1"/>
        </w:rPr>
        <w:t xml:space="preserve"> RNA purification spin column </w:t>
      </w:r>
      <w:r w:rsidRPr="005A7ADF">
        <w:rPr>
          <w:rFonts w:asciiTheme="minorHAnsi" w:hAnsiTheme="minorHAnsi" w:cstheme="minorHAnsi"/>
          <w:color w:val="000000" w:themeColor="text1"/>
        </w:rPr>
        <w:t xml:space="preserve">(see </w:t>
      </w:r>
      <w:r w:rsidRPr="009D2F02">
        <w:rPr>
          <w:rFonts w:asciiTheme="minorHAnsi" w:hAnsiTheme="minorHAnsi" w:cstheme="minorHAnsi"/>
          <w:b/>
          <w:color w:val="000000" w:themeColor="text1"/>
        </w:rPr>
        <w:t>Table of Materials</w:t>
      </w:r>
      <w:r w:rsidRPr="005A7ADF">
        <w:rPr>
          <w:rFonts w:asciiTheme="minorHAnsi" w:hAnsiTheme="minorHAnsi" w:cstheme="minorHAnsi"/>
          <w:color w:val="000000" w:themeColor="text1"/>
        </w:rPr>
        <w:t xml:space="preserve">) and place the assembly onto a vacuum manifold (see </w:t>
      </w:r>
      <w:r w:rsidRPr="009D2F02">
        <w:rPr>
          <w:rFonts w:asciiTheme="minorHAnsi" w:hAnsiTheme="minorHAnsi" w:cstheme="minorHAnsi"/>
          <w:b/>
          <w:color w:val="000000" w:themeColor="text1"/>
        </w:rPr>
        <w:t>Table of Materials</w:t>
      </w:r>
      <w:r w:rsidRPr="005A7ADF">
        <w:rPr>
          <w:rFonts w:asciiTheme="minorHAnsi" w:hAnsiTheme="minorHAnsi" w:cstheme="minorHAnsi"/>
          <w:color w:val="000000" w:themeColor="text1"/>
        </w:rPr>
        <w:t xml:space="preserve">). Add the </w:t>
      </w:r>
      <w:r w:rsidRPr="00B33CDB">
        <w:rPr>
          <w:rFonts w:asciiTheme="minorHAnsi" w:hAnsiTheme="minorHAnsi" w:cstheme="minorHAnsi"/>
          <w:color w:val="000000" w:themeColor="text1"/>
        </w:rPr>
        <w:t xml:space="preserve">sample mixture into the reservoir. </w:t>
      </w:r>
      <w:r w:rsidRPr="00B1241F">
        <w:rPr>
          <w:rFonts w:asciiTheme="minorHAnsi" w:hAnsiTheme="minorHAnsi" w:cstheme="minorHAnsi"/>
          <w:color w:val="000000" w:themeColor="text1"/>
        </w:rPr>
        <w:t xml:space="preserve">Apply </w:t>
      </w:r>
      <w:r w:rsidRPr="00FC67E9">
        <w:rPr>
          <w:rFonts w:asciiTheme="minorHAnsi" w:hAnsiTheme="minorHAnsi" w:cstheme="minorHAnsi"/>
          <w:color w:val="000000" w:themeColor="text1"/>
        </w:rPr>
        <w:t xml:space="preserve">a vacuum until all liquid </w:t>
      </w:r>
      <w:r w:rsidRPr="00AB0846">
        <w:rPr>
          <w:rFonts w:asciiTheme="minorHAnsi" w:hAnsiTheme="minorHAnsi" w:cstheme="minorHAnsi"/>
          <w:color w:val="000000" w:themeColor="text1"/>
        </w:rPr>
        <w:t>has passed through the co</w:t>
      </w:r>
      <w:r w:rsidRPr="0063227A">
        <w:rPr>
          <w:rFonts w:asciiTheme="minorHAnsi" w:hAnsiTheme="minorHAnsi" w:cstheme="minorHAnsi"/>
          <w:color w:val="000000" w:themeColor="text1"/>
        </w:rPr>
        <w:t>lumn.</w:t>
      </w:r>
    </w:p>
    <w:p w:rsidR="0024495B" w:rsidRDefault="0024495B" w:rsidP="009D062D">
      <w:pPr>
        <w:pStyle w:val="ListParagraph"/>
        <w:ind w:left="0"/>
        <w:rPr>
          <w:rFonts w:asciiTheme="minorHAnsi" w:hAnsiTheme="minorHAnsi" w:cstheme="minorHAnsi"/>
          <w:color w:val="000000" w:themeColor="text1"/>
        </w:rPr>
      </w:pPr>
      <w:r w:rsidRPr="00F02843">
        <w:rPr>
          <w:rFonts w:asciiTheme="minorHAnsi" w:hAnsiTheme="minorHAnsi" w:cstheme="minorHAnsi"/>
          <w:color w:val="000000" w:themeColor="text1"/>
        </w:rPr>
        <w:t xml:space="preserve"> </w:t>
      </w:r>
    </w:p>
    <w:p w:rsidR="0024495B" w:rsidRPr="00F02843" w:rsidRDefault="0024495B" w:rsidP="00C30BC2">
      <w:pPr>
        <w:pStyle w:val="ListParagraph"/>
        <w:numPr>
          <w:ilvl w:val="1"/>
          <w:numId w:val="18"/>
        </w:numPr>
        <w:ind w:left="0" w:firstLine="0"/>
        <w:rPr>
          <w:rFonts w:asciiTheme="minorHAnsi" w:hAnsiTheme="minorHAnsi" w:cstheme="minorHAnsi"/>
          <w:color w:val="000000" w:themeColor="text1"/>
        </w:rPr>
      </w:pPr>
      <w:r>
        <w:rPr>
          <w:rFonts w:asciiTheme="minorHAnsi" w:hAnsiTheme="minorHAnsi" w:cstheme="minorHAnsi"/>
          <w:color w:val="000000" w:themeColor="text1"/>
        </w:rPr>
        <w:t>Alternatively, if no vacuum manifold is available, the blood can be passed through the column in 700 µL portions by repeated centrifugation for 30 s at 12,000 x</w:t>
      </w:r>
      <w:r w:rsidR="009D2F02" w:rsidRPr="009D2F02">
        <w:rPr>
          <w:rFonts w:asciiTheme="minorHAnsi" w:hAnsiTheme="minorHAnsi" w:cstheme="minorHAnsi"/>
          <w:i/>
          <w:color w:val="000000" w:themeColor="text1"/>
        </w:rPr>
        <w:t xml:space="preserve"> g </w:t>
      </w:r>
      <w:r>
        <w:rPr>
          <w:rFonts w:asciiTheme="minorHAnsi" w:hAnsiTheme="minorHAnsi" w:cstheme="minorHAnsi"/>
          <w:color w:val="000000" w:themeColor="text1"/>
        </w:rPr>
        <w:t>with the flow</w:t>
      </w:r>
      <w:r w:rsidR="00450C58">
        <w:rPr>
          <w:rFonts w:asciiTheme="minorHAnsi" w:hAnsiTheme="minorHAnsi" w:cstheme="minorHAnsi"/>
          <w:color w:val="000000" w:themeColor="text1"/>
        </w:rPr>
        <w:t>-</w:t>
      </w:r>
      <w:r>
        <w:rPr>
          <w:rFonts w:asciiTheme="minorHAnsi" w:hAnsiTheme="minorHAnsi" w:cstheme="minorHAnsi"/>
          <w:color w:val="000000" w:themeColor="text1"/>
        </w:rPr>
        <w:t xml:space="preserve">through discarded between centrifugation steps. However, this will require approximately 26 centrifugation steps. </w:t>
      </w:r>
    </w:p>
    <w:p w:rsidR="0024495B" w:rsidRPr="001201E4" w:rsidRDefault="0024495B" w:rsidP="00C30BC2">
      <w:pPr>
        <w:pStyle w:val="ListParagraph"/>
        <w:ind w:left="0"/>
        <w:rPr>
          <w:rFonts w:asciiTheme="minorHAnsi" w:hAnsiTheme="minorHAnsi" w:cstheme="minorHAnsi"/>
          <w:color w:val="000000" w:themeColor="text1"/>
        </w:rPr>
      </w:pPr>
    </w:p>
    <w:p w:rsidR="0024495B" w:rsidRPr="00F02843" w:rsidRDefault="0024495B" w:rsidP="00C30BC2">
      <w:pPr>
        <w:pStyle w:val="ListParagraph"/>
        <w:numPr>
          <w:ilvl w:val="1"/>
          <w:numId w:val="18"/>
        </w:numPr>
        <w:ind w:left="0" w:firstLine="0"/>
        <w:rPr>
          <w:rFonts w:asciiTheme="minorHAnsi" w:hAnsiTheme="minorHAnsi" w:cstheme="minorHAnsi"/>
          <w:color w:val="000000" w:themeColor="text1"/>
        </w:rPr>
      </w:pPr>
      <w:r w:rsidRPr="00F02843">
        <w:rPr>
          <w:rFonts w:asciiTheme="minorHAnsi" w:hAnsiTheme="minorHAnsi" w:cstheme="minorHAnsi"/>
          <w:color w:val="000000" w:themeColor="text1"/>
        </w:rPr>
        <w:t xml:space="preserve">Place the </w:t>
      </w:r>
      <w:r>
        <w:rPr>
          <w:rFonts w:asciiTheme="minorHAnsi" w:hAnsiTheme="minorHAnsi" w:cstheme="minorHAnsi"/>
          <w:color w:val="000000" w:themeColor="text1"/>
        </w:rPr>
        <w:t xml:space="preserve">RNA purification spin </w:t>
      </w:r>
      <w:r w:rsidRPr="00F02843">
        <w:rPr>
          <w:rFonts w:asciiTheme="minorHAnsi" w:hAnsiTheme="minorHAnsi" w:cstheme="minorHAnsi"/>
          <w:color w:val="000000" w:themeColor="text1"/>
        </w:rPr>
        <w:t xml:space="preserve">column into a collection tube and add 400 </w:t>
      </w:r>
      <w:r>
        <w:rPr>
          <w:rFonts w:asciiTheme="minorHAnsi" w:hAnsiTheme="minorHAnsi" w:cstheme="minorHAnsi"/>
          <w:color w:val="000000" w:themeColor="text1"/>
        </w:rPr>
        <w:t>µL</w:t>
      </w:r>
      <w:r w:rsidRPr="00F02843">
        <w:rPr>
          <w:rFonts w:asciiTheme="minorHAnsi" w:hAnsiTheme="minorHAnsi" w:cstheme="minorHAnsi"/>
          <w:color w:val="000000" w:themeColor="text1"/>
        </w:rPr>
        <w:t xml:space="preserve"> DNA/RNA </w:t>
      </w:r>
      <w:r>
        <w:rPr>
          <w:rFonts w:asciiTheme="minorHAnsi" w:hAnsiTheme="minorHAnsi" w:cstheme="minorHAnsi"/>
          <w:color w:val="000000" w:themeColor="text1"/>
        </w:rPr>
        <w:t>p</w:t>
      </w:r>
      <w:r w:rsidRPr="00F02843">
        <w:rPr>
          <w:rFonts w:asciiTheme="minorHAnsi" w:hAnsiTheme="minorHAnsi" w:cstheme="minorHAnsi"/>
          <w:color w:val="000000" w:themeColor="text1"/>
        </w:rPr>
        <w:t xml:space="preserve">rep </w:t>
      </w:r>
      <w:r>
        <w:rPr>
          <w:rFonts w:asciiTheme="minorHAnsi" w:hAnsiTheme="minorHAnsi" w:cstheme="minorHAnsi"/>
          <w:color w:val="000000" w:themeColor="text1"/>
        </w:rPr>
        <w:t>b</w:t>
      </w:r>
      <w:r w:rsidRPr="00F02843">
        <w:rPr>
          <w:rFonts w:asciiTheme="minorHAnsi" w:hAnsiTheme="minorHAnsi" w:cstheme="minorHAnsi"/>
          <w:color w:val="000000" w:themeColor="text1"/>
        </w:rPr>
        <w:t>uffer</w:t>
      </w:r>
      <w:r w:rsidR="00450C58">
        <w:rPr>
          <w:rFonts w:asciiTheme="minorHAnsi" w:hAnsiTheme="minorHAnsi" w:cstheme="minorHAnsi"/>
          <w:color w:val="000000" w:themeColor="text1"/>
        </w:rPr>
        <w:t xml:space="preserve"> (see </w:t>
      </w:r>
      <w:r w:rsidR="00450C58" w:rsidRPr="009D2F02">
        <w:rPr>
          <w:rFonts w:asciiTheme="minorHAnsi" w:hAnsiTheme="minorHAnsi" w:cstheme="minorHAnsi"/>
          <w:b/>
          <w:color w:val="000000" w:themeColor="text1"/>
        </w:rPr>
        <w:t>Table of Materials</w:t>
      </w:r>
      <w:r w:rsidR="00450C58">
        <w:rPr>
          <w:rFonts w:asciiTheme="minorHAnsi" w:hAnsiTheme="minorHAnsi" w:cstheme="minorHAnsi"/>
          <w:color w:val="000000" w:themeColor="text1"/>
        </w:rPr>
        <w:t>)</w:t>
      </w:r>
      <w:r w:rsidRPr="00F02843">
        <w:rPr>
          <w:rFonts w:asciiTheme="minorHAnsi" w:hAnsiTheme="minorHAnsi" w:cstheme="minorHAnsi"/>
          <w:color w:val="000000" w:themeColor="text1"/>
        </w:rPr>
        <w:t>. Centrifuge at 12</w:t>
      </w:r>
      <w:r>
        <w:rPr>
          <w:rFonts w:asciiTheme="minorHAnsi" w:hAnsiTheme="minorHAnsi" w:cstheme="minorHAnsi"/>
          <w:color w:val="000000" w:themeColor="text1"/>
        </w:rPr>
        <w:t>,</w:t>
      </w:r>
      <w:r w:rsidRPr="00F02843">
        <w:rPr>
          <w:rFonts w:asciiTheme="minorHAnsi" w:hAnsiTheme="minorHAnsi" w:cstheme="minorHAnsi"/>
          <w:color w:val="000000" w:themeColor="text1"/>
        </w:rPr>
        <w:t>000 x</w:t>
      </w:r>
      <w:r w:rsidR="009D2F02" w:rsidRPr="009D2F02">
        <w:rPr>
          <w:rFonts w:asciiTheme="minorHAnsi" w:hAnsiTheme="minorHAnsi" w:cstheme="minorHAnsi"/>
          <w:i/>
          <w:color w:val="000000" w:themeColor="text1"/>
        </w:rPr>
        <w:t xml:space="preserve"> g </w:t>
      </w:r>
      <w:r w:rsidRPr="00F02843">
        <w:rPr>
          <w:rFonts w:asciiTheme="minorHAnsi" w:hAnsiTheme="minorHAnsi" w:cstheme="minorHAnsi"/>
          <w:color w:val="000000" w:themeColor="text1"/>
        </w:rPr>
        <w:t xml:space="preserve">for 30 </w:t>
      </w:r>
      <w:r>
        <w:rPr>
          <w:rFonts w:asciiTheme="minorHAnsi" w:hAnsiTheme="minorHAnsi" w:cstheme="minorHAnsi"/>
          <w:color w:val="000000" w:themeColor="text1"/>
        </w:rPr>
        <w:t>s</w:t>
      </w:r>
      <w:r w:rsidRPr="00F02843">
        <w:rPr>
          <w:rFonts w:asciiTheme="minorHAnsi" w:hAnsiTheme="minorHAnsi" w:cstheme="minorHAnsi"/>
          <w:color w:val="000000" w:themeColor="text1"/>
        </w:rPr>
        <w:t xml:space="preserve"> and discard </w:t>
      </w:r>
      <w:r>
        <w:rPr>
          <w:rFonts w:asciiTheme="minorHAnsi" w:hAnsiTheme="minorHAnsi" w:cstheme="minorHAnsi"/>
          <w:color w:val="000000" w:themeColor="text1"/>
        </w:rPr>
        <w:t xml:space="preserve">the </w:t>
      </w:r>
      <w:r w:rsidRPr="00F02843">
        <w:rPr>
          <w:rFonts w:asciiTheme="minorHAnsi" w:hAnsiTheme="minorHAnsi" w:cstheme="minorHAnsi"/>
          <w:color w:val="000000" w:themeColor="text1"/>
        </w:rPr>
        <w:t>flow-through.</w:t>
      </w:r>
    </w:p>
    <w:p w:rsidR="0024495B" w:rsidRPr="00C56A67" w:rsidRDefault="0024495B" w:rsidP="00C30BC2">
      <w:pPr>
        <w:pStyle w:val="ListParagraph"/>
        <w:ind w:left="0"/>
        <w:rPr>
          <w:rFonts w:asciiTheme="minorHAnsi" w:hAnsiTheme="minorHAnsi" w:cstheme="minorHAnsi"/>
          <w:color w:val="000000" w:themeColor="text1"/>
        </w:rPr>
      </w:pPr>
    </w:p>
    <w:p w:rsidR="0024495B" w:rsidRPr="00F02843" w:rsidRDefault="0024495B" w:rsidP="00C30BC2">
      <w:pPr>
        <w:pStyle w:val="ListParagraph"/>
        <w:numPr>
          <w:ilvl w:val="1"/>
          <w:numId w:val="18"/>
        </w:numPr>
        <w:ind w:left="0" w:firstLine="0"/>
        <w:rPr>
          <w:rFonts w:asciiTheme="minorHAnsi" w:hAnsiTheme="minorHAnsi" w:cstheme="minorHAnsi"/>
          <w:color w:val="000000" w:themeColor="text1"/>
        </w:rPr>
      </w:pPr>
      <w:r w:rsidRPr="00F02843">
        <w:rPr>
          <w:rFonts w:asciiTheme="minorHAnsi" w:hAnsiTheme="minorHAnsi" w:cstheme="minorHAnsi"/>
          <w:color w:val="000000" w:themeColor="text1"/>
        </w:rPr>
        <w:t xml:space="preserve">Add 400 </w:t>
      </w:r>
      <w:r>
        <w:rPr>
          <w:rFonts w:asciiTheme="minorHAnsi" w:hAnsiTheme="minorHAnsi" w:cstheme="minorHAnsi"/>
          <w:color w:val="000000" w:themeColor="text1"/>
        </w:rPr>
        <w:t>µL</w:t>
      </w:r>
      <w:r w:rsidRPr="00F02843">
        <w:rPr>
          <w:rFonts w:asciiTheme="minorHAnsi" w:hAnsiTheme="minorHAnsi" w:cstheme="minorHAnsi"/>
          <w:color w:val="000000" w:themeColor="text1"/>
        </w:rPr>
        <w:t xml:space="preserve"> </w:t>
      </w:r>
      <w:r w:rsidR="009D2F02" w:rsidRPr="00F02843">
        <w:rPr>
          <w:rFonts w:asciiTheme="minorHAnsi" w:hAnsiTheme="minorHAnsi" w:cstheme="minorHAnsi"/>
          <w:color w:val="000000" w:themeColor="text1"/>
        </w:rPr>
        <w:t xml:space="preserve">of </w:t>
      </w:r>
      <w:r w:rsidRPr="00F02843">
        <w:rPr>
          <w:rFonts w:asciiTheme="minorHAnsi" w:hAnsiTheme="minorHAnsi" w:cstheme="minorHAnsi"/>
          <w:color w:val="000000" w:themeColor="text1"/>
        </w:rPr>
        <w:t xml:space="preserve">DNA/RNA </w:t>
      </w:r>
      <w:r>
        <w:rPr>
          <w:rFonts w:asciiTheme="minorHAnsi" w:hAnsiTheme="minorHAnsi" w:cstheme="minorHAnsi"/>
          <w:color w:val="000000" w:themeColor="text1"/>
        </w:rPr>
        <w:t xml:space="preserve">wash buffer (see </w:t>
      </w:r>
      <w:r w:rsidRPr="009D2F02">
        <w:rPr>
          <w:rFonts w:asciiTheme="minorHAnsi" w:hAnsiTheme="minorHAnsi" w:cstheme="minorHAnsi"/>
          <w:b/>
          <w:color w:val="000000" w:themeColor="text1"/>
        </w:rPr>
        <w:t>Table of Materials</w:t>
      </w:r>
      <w:r>
        <w:rPr>
          <w:rFonts w:asciiTheme="minorHAnsi" w:hAnsiTheme="minorHAnsi" w:cstheme="minorHAnsi"/>
          <w:color w:val="000000" w:themeColor="text1"/>
        </w:rPr>
        <w:t xml:space="preserve">) to the column, </w:t>
      </w:r>
      <w:r w:rsidRPr="00F02843">
        <w:rPr>
          <w:rFonts w:asciiTheme="minorHAnsi" w:hAnsiTheme="minorHAnsi" w:cstheme="minorHAnsi"/>
          <w:color w:val="000000" w:themeColor="text1"/>
        </w:rPr>
        <w:t>centrifuge at 12</w:t>
      </w:r>
      <w:r>
        <w:rPr>
          <w:rFonts w:asciiTheme="minorHAnsi" w:hAnsiTheme="minorHAnsi" w:cstheme="minorHAnsi"/>
          <w:color w:val="000000" w:themeColor="text1"/>
        </w:rPr>
        <w:t>,000 x</w:t>
      </w:r>
      <w:r w:rsidR="009D2F02" w:rsidRPr="009D2F02">
        <w:rPr>
          <w:rFonts w:asciiTheme="minorHAnsi" w:hAnsiTheme="minorHAnsi" w:cstheme="minorHAnsi"/>
          <w:i/>
          <w:color w:val="000000" w:themeColor="text1"/>
        </w:rPr>
        <w:t xml:space="preserve"> g </w:t>
      </w:r>
      <w:r w:rsidRPr="00F02843">
        <w:rPr>
          <w:rFonts w:asciiTheme="minorHAnsi" w:hAnsiTheme="minorHAnsi" w:cstheme="minorHAnsi"/>
          <w:color w:val="000000" w:themeColor="text1"/>
        </w:rPr>
        <w:t>for 30</w:t>
      </w:r>
      <w:r>
        <w:rPr>
          <w:rFonts w:asciiTheme="minorHAnsi" w:hAnsiTheme="minorHAnsi" w:cstheme="minorHAnsi"/>
          <w:color w:val="000000" w:themeColor="text1"/>
        </w:rPr>
        <w:t xml:space="preserve"> s</w:t>
      </w:r>
      <w:r w:rsidRPr="00F02843">
        <w:rPr>
          <w:rFonts w:asciiTheme="minorHAnsi" w:hAnsiTheme="minorHAnsi" w:cstheme="minorHAnsi"/>
          <w:color w:val="000000" w:themeColor="text1"/>
        </w:rPr>
        <w:t xml:space="preserve"> and discard </w:t>
      </w:r>
      <w:r>
        <w:rPr>
          <w:rFonts w:asciiTheme="minorHAnsi" w:hAnsiTheme="minorHAnsi" w:cstheme="minorHAnsi"/>
          <w:color w:val="000000" w:themeColor="text1"/>
        </w:rPr>
        <w:t xml:space="preserve">the </w:t>
      </w:r>
      <w:r w:rsidRPr="00F02843">
        <w:rPr>
          <w:rFonts w:asciiTheme="minorHAnsi" w:hAnsiTheme="minorHAnsi" w:cstheme="minorHAnsi"/>
          <w:color w:val="000000" w:themeColor="text1"/>
        </w:rPr>
        <w:t xml:space="preserve">flow-through. </w:t>
      </w:r>
    </w:p>
    <w:p w:rsidR="0024495B" w:rsidRPr="00C56A67" w:rsidRDefault="0024495B" w:rsidP="00C30BC2">
      <w:pPr>
        <w:pStyle w:val="ListParagraph"/>
        <w:ind w:left="0"/>
        <w:rPr>
          <w:rFonts w:asciiTheme="minorHAnsi" w:hAnsiTheme="minorHAnsi" w:cstheme="minorHAnsi"/>
          <w:color w:val="000000" w:themeColor="text1"/>
        </w:rPr>
      </w:pPr>
    </w:p>
    <w:p w:rsidR="0024495B" w:rsidRPr="00F02843" w:rsidRDefault="0024495B" w:rsidP="00C30BC2">
      <w:pPr>
        <w:pStyle w:val="ListParagraph"/>
        <w:numPr>
          <w:ilvl w:val="1"/>
          <w:numId w:val="18"/>
        </w:numPr>
        <w:ind w:left="0" w:firstLine="0"/>
        <w:rPr>
          <w:rFonts w:asciiTheme="minorHAnsi" w:hAnsiTheme="minorHAnsi" w:cstheme="minorHAnsi"/>
          <w:color w:val="000000" w:themeColor="text1"/>
        </w:rPr>
      </w:pPr>
      <w:r w:rsidRPr="00F02843">
        <w:rPr>
          <w:rFonts w:asciiTheme="minorHAnsi" w:hAnsiTheme="minorHAnsi" w:cstheme="minorHAnsi"/>
          <w:color w:val="000000" w:themeColor="text1"/>
        </w:rPr>
        <w:t xml:space="preserve">Mix 5 </w:t>
      </w:r>
      <w:r>
        <w:rPr>
          <w:rFonts w:asciiTheme="minorHAnsi" w:hAnsiTheme="minorHAnsi" w:cstheme="minorHAnsi"/>
          <w:color w:val="000000" w:themeColor="text1"/>
        </w:rPr>
        <w:t>µL</w:t>
      </w:r>
      <w:r w:rsidRPr="00F02843">
        <w:rPr>
          <w:rFonts w:asciiTheme="minorHAnsi" w:hAnsiTheme="minorHAnsi" w:cstheme="minorHAnsi"/>
          <w:color w:val="000000" w:themeColor="text1"/>
        </w:rPr>
        <w:t xml:space="preserve"> </w:t>
      </w:r>
      <w:r w:rsidR="009D2F02" w:rsidRPr="00F02843">
        <w:rPr>
          <w:rFonts w:asciiTheme="minorHAnsi" w:hAnsiTheme="minorHAnsi" w:cstheme="minorHAnsi"/>
          <w:color w:val="000000" w:themeColor="text1"/>
        </w:rPr>
        <w:t xml:space="preserve">of </w:t>
      </w:r>
      <w:r w:rsidRPr="00F02843">
        <w:rPr>
          <w:rFonts w:asciiTheme="minorHAnsi" w:hAnsiTheme="minorHAnsi" w:cstheme="minorHAnsi"/>
          <w:color w:val="000000" w:themeColor="text1"/>
        </w:rPr>
        <w:t>DNase I (1</w:t>
      </w:r>
      <w:r w:rsidR="009D2F02">
        <w:rPr>
          <w:rFonts w:asciiTheme="minorHAnsi" w:hAnsiTheme="minorHAnsi" w:cstheme="minorHAnsi"/>
          <w:color w:val="000000" w:themeColor="text1"/>
        </w:rPr>
        <w:t xml:space="preserve"> </w:t>
      </w:r>
      <w:r w:rsidRPr="00F02843">
        <w:rPr>
          <w:rFonts w:asciiTheme="minorHAnsi" w:hAnsiTheme="minorHAnsi" w:cstheme="minorHAnsi"/>
          <w:color w:val="000000" w:themeColor="text1"/>
        </w:rPr>
        <w:t>U/</w:t>
      </w:r>
      <w:r>
        <w:rPr>
          <w:rFonts w:asciiTheme="minorHAnsi" w:hAnsiTheme="minorHAnsi" w:cstheme="minorHAnsi"/>
          <w:color w:val="000000" w:themeColor="text1"/>
        </w:rPr>
        <w:t>µL</w:t>
      </w:r>
      <w:r w:rsidRPr="00F0284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(see </w:t>
      </w:r>
      <w:r w:rsidRPr="009D2F02">
        <w:rPr>
          <w:rFonts w:asciiTheme="minorHAnsi" w:hAnsiTheme="minorHAnsi" w:cstheme="minorHAnsi"/>
          <w:b/>
          <w:color w:val="000000" w:themeColor="text1"/>
        </w:rPr>
        <w:t>Table of Materials</w:t>
      </w:r>
      <w:r>
        <w:rPr>
          <w:rFonts w:asciiTheme="minorHAnsi" w:hAnsiTheme="minorHAnsi" w:cstheme="minorHAnsi"/>
          <w:color w:val="000000" w:themeColor="text1"/>
        </w:rPr>
        <w:t xml:space="preserve">) </w:t>
      </w:r>
      <w:r w:rsidRPr="00F02843">
        <w:rPr>
          <w:rFonts w:asciiTheme="minorHAnsi" w:hAnsiTheme="minorHAnsi" w:cstheme="minorHAnsi"/>
          <w:color w:val="000000" w:themeColor="text1"/>
        </w:rPr>
        <w:t xml:space="preserve">with 75 </w:t>
      </w:r>
      <w:r>
        <w:rPr>
          <w:rFonts w:asciiTheme="minorHAnsi" w:hAnsiTheme="minorHAnsi" w:cstheme="minorHAnsi"/>
          <w:color w:val="000000" w:themeColor="text1"/>
        </w:rPr>
        <w:t>µL</w:t>
      </w:r>
      <w:r w:rsidRPr="00F02843">
        <w:rPr>
          <w:rFonts w:asciiTheme="minorHAnsi" w:hAnsiTheme="minorHAnsi" w:cstheme="minorHAnsi"/>
          <w:color w:val="000000" w:themeColor="text1"/>
        </w:rPr>
        <w:t xml:space="preserve"> </w:t>
      </w:r>
      <w:r w:rsidR="009D2F02" w:rsidRPr="00F02843">
        <w:rPr>
          <w:rFonts w:asciiTheme="minorHAnsi" w:hAnsiTheme="minorHAnsi" w:cstheme="minorHAnsi"/>
          <w:color w:val="000000" w:themeColor="text1"/>
        </w:rPr>
        <w:t xml:space="preserve">of </w:t>
      </w:r>
      <w:r w:rsidRPr="00F02843">
        <w:rPr>
          <w:rFonts w:asciiTheme="minorHAnsi" w:hAnsiTheme="minorHAnsi" w:cstheme="minorHAnsi"/>
          <w:color w:val="000000" w:themeColor="text1"/>
        </w:rPr>
        <w:t xml:space="preserve">DNA </w:t>
      </w:r>
      <w:r>
        <w:rPr>
          <w:rFonts w:asciiTheme="minorHAnsi" w:hAnsiTheme="minorHAnsi" w:cstheme="minorHAnsi"/>
          <w:color w:val="000000" w:themeColor="text1"/>
        </w:rPr>
        <w:t>d</w:t>
      </w:r>
      <w:r w:rsidRPr="00F02843">
        <w:rPr>
          <w:rFonts w:asciiTheme="minorHAnsi" w:hAnsiTheme="minorHAnsi" w:cstheme="minorHAnsi"/>
          <w:color w:val="000000" w:themeColor="text1"/>
        </w:rPr>
        <w:t xml:space="preserve">igestion </w:t>
      </w:r>
      <w:r>
        <w:rPr>
          <w:rFonts w:asciiTheme="minorHAnsi" w:hAnsiTheme="minorHAnsi" w:cstheme="minorHAnsi"/>
          <w:color w:val="000000" w:themeColor="text1"/>
        </w:rPr>
        <w:t>b</w:t>
      </w:r>
      <w:r w:rsidRPr="00F02843">
        <w:rPr>
          <w:rFonts w:asciiTheme="minorHAnsi" w:hAnsiTheme="minorHAnsi" w:cstheme="minorHAnsi"/>
          <w:color w:val="000000" w:themeColor="text1"/>
        </w:rPr>
        <w:t xml:space="preserve">uffer </w:t>
      </w:r>
      <w:r>
        <w:rPr>
          <w:rFonts w:asciiTheme="minorHAnsi" w:hAnsiTheme="minorHAnsi" w:cstheme="minorHAnsi"/>
          <w:color w:val="000000" w:themeColor="text1"/>
        </w:rPr>
        <w:t xml:space="preserve">(see </w:t>
      </w:r>
      <w:r w:rsidRPr="009D2F02">
        <w:rPr>
          <w:rFonts w:asciiTheme="minorHAnsi" w:hAnsiTheme="minorHAnsi" w:cstheme="minorHAnsi"/>
          <w:b/>
          <w:color w:val="000000" w:themeColor="text1"/>
        </w:rPr>
        <w:t>Table of Materials</w:t>
      </w:r>
      <w:r>
        <w:rPr>
          <w:rFonts w:asciiTheme="minorHAnsi" w:hAnsiTheme="minorHAnsi" w:cstheme="minorHAnsi"/>
          <w:color w:val="000000" w:themeColor="text1"/>
        </w:rPr>
        <w:t xml:space="preserve">) </w:t>
      </w:r>
      <w:r w:rsidRPr="00F02843">
        <w:rPr>
          <w:rFonts w:asciiTheme="minorHAnsi" w:hAnsiTheme="minorHAnsi" w:cstheme="minorHAnsi"/>
          <w:color w:val="000000" w:themeColor="text1"/>
        </w:rPr>
        <w:t xml:space="preserve">and add the mixture onto the column. Incubate for 15 min at room temperature. </w:t>
      </w:r>
    </w:p>
    <w:p w:rsidR="0024495B" w:rsidRPr="000764A9" w:rsidRDefault="0024495B" w:rsidP="00C30BC2">
      <w:pPr>
        <w:pStyle w:val="ListParagraph"/>
        <w:ind w:left="0"/>
        <w:rPr>
          <w:rFonts w:asciiTheme="minorHAnsi" w:hAnsiTheme="minorHAnsi" w:cstheme="minorHAnsi"/>
          <w:color w:val="000000" w:themeColor="text1"/>
        </w:rPr>
      </w:pPr>
    </w:p>
    <w:p w:rsidR="0024495B" w:rsidRPr="00F02843" w:rsidRDefault="0024495B" w:rsidP="00C30BC2">
      <w:pPr>
        <w:pStyle w:val="ListParagraph"/>
        <w:numPr>
          <w:ilvl w:val="1"/>
          <w:numId w:val="18"/>
        </w:numPr>
        <w:ind w:left="0" w:firstLine="0"/>
        <w:rPr>
          <w:rFonts w:asciiTheme="minorHAnsi" w:hAnsiTheme="minorHAnsi" w:cstheme="minorHAnsi"/>
          <w:color w:val="000000" w:themeColor="text1"/>
        </w:rPr>
      </w:pPr>
      <w:r w:rsidRPr="00F02843">
        <w:rPr>
          <w:rFonts w:asciiTheme="minorHAnsi" w:hAnsiTheme="minorHAnsi" w:cstheme="minorHAnsi"/>
          <w:color w:val="000000" w:themeColor="text1"/>
        </w:rPr>
        <w:t xml:space="preserve">Add 400 </w:t>
      </w:r>
      <w:r>
        <w:rPr>
          <w:rFonts w:asciiTheme="minorHAnsi" w:hAnsiTheme="minorHAnsi" w:cstheme="minorHAnsi"/>
          <w:color w:val="000000" w:themeColor="text1"/>
        </w:rPr>
        <w:t>µL</w:t>
      </w:r>
      <w:r w:rsidRPr="00F02843">
        <w:rPr>
          <w:rFonts w:asciiTheme="minorHAnsi" w:hAnsiTheme="minorHAnsi" w:cstheme="minorHAnsi"/>
          <w:color w:val="000000" w:themeColor="text1"/>
        </w:rPr>
        <w:t xml:space="preserve"> </w:t>
      </w:r>
      <w:r w:rsidR="009D2F02" w:rsidRPr="00F02843">
        <w:rPr>
          <w:rFonts w:asciiTheme="minorHAnsi" w:hAnsiTheme="minorHAnsi" w:cstheme="minorHAnsi"/>
          <w:color w:val="000000" w:themeColor="text1"/>
        </w:rPr>
        <w:t xml:space="preserve">of </w:t>
      </w:r>
      <w:r w:rsidRPr="00F02843">
        <w:rPr>
          <w:rFonts w:asciiTheme="minorHAnsi" w:hAnsiTheme="minorHAnsi" w:cstheme="minorHAnsi"/>
          <w:color w:val="000000" w:themeColor="text1"/>
        </w:rPr>
        <w:t xml:space="preserve">DNA/RNA </w:t>
      </w:r>
      <w:r>
        <w:rPr>
          <w:rFonts w:asciiTheme="minorHAnsi" w:hAnsiTheme="minorHAnsi" w:cstheme="minorHAnsi"/>
          <w:color w:val="000000" w:themeColor="text1"/>
        </w:rPr>
        <w:t>p</w:t>
      </w:r>
      <w:r w:rsidRPr="00F02843">
        <w:rPr>
          <w:rFonts w:asciiTheme="minorHAnsi" w:hAnsiTheme="minorHAnsi" w:cstheme="minorHAnsi"/>
          <w:color w:val="000000" w:themeColor="text1"/>
        </w:rPr>
        <w:t xml:space="preserve">rep </w:t>
      </w:r>
      <w:r>
        <w:rPr>
          <w:rFonts w:asciiTheme="minorHAnsi" w:hAnsiTheme="minorHAnsi" w:cstheme="minorHAnsi"/>
          <w:color w:val="000000" w:themeColor="text1"/>
        </w:rPr>
        <w:t>b</w:t>
      </w:r>
      <w:r w:rsidRPr="00F02843">
        <w:rPr>
          <w:rFonts w:asciiTheme="minorHAnsi" w:hAnsiTheme="minorHAnsi" w:cstheme="minorHAnsi"/>
          <w:color w:val="000000" w:themeColor="text1"/>
        </w:rPr>
        <w:t>uffer to the column and centrifuge at 12</w:t>
      </w:r>
      <w:r>
        <w:rPr>
          <w:rFonts w:asciiTheme="minorHAnsi" w:hAnsiTheme="minorHAnsi" w:cstheme="minorHAnsi"/>
          <w:color w:val="000000" w:themeColor="text1"/>
        </w:rPr>
        <w:t>,000 x</w:t>
      </w:r>
      <w:r w:rsidR="009D2F02" w:rsidRPr="009D2F02">
        <w:rPr>
          <w:rFonts w:asciiTheme="minorHAnsi" w:hAnsiTheme="minorHAnsi" w:cstheme="minorHAnsi"/>
          <w:i/>
          <w:color w:val="000000" w:themeColor="text1"/>
        </w:rPr>
        <w:t xml:space="preserve"> g </w:t>
      </w:r>
      <w:r w:rsidRPr="00F02843">
        <w:rPr>
          <w:rFonts w:asciiTheme="minorHAnsi" w:hAnsiTheme="minorHAnsi" w:cstheme="minorHAnsi"/>
          <w:color w:val="000000" w:themeColor="text1"/>
        </w:rPr>
        <w:t>for 30</w:t>
      </w:r>
      <w:r>
        <w:rPr>
          <w:rFonts w:asciiTheme="minorHAnsi" w:hAnsiTheme="minorHAnsi" w:cstheme="minorHAnsi"/>
          <w:color w:val="000000" w:themeColor="text1"/>
        </w:rPr>
        <w:t xml:space="preserve"> s.</w:t>
      </w:r>
      <w:r w:rsidRPr="00F02843">
        <w:rPr>
          <w:rFonts w:asciiTheme="minorHAnsi" w:hAnsiTheme="minorHAnsi" w:cstheme="minorHAnsi"/>
          <w:color w:val="000000" w:themeColor="text1"/>
        </w:rPr>
        <w:t xml:space="preserve"> Discard </w:t>
      </w:r>
      <w:r>
        <w:rPr>
          <w:rFonts w:asciiTheme="minorHAnsi" w:hAnsiTheme="minorHAnsi" w:cstheme="minorHAnsi"/>
          <w:color w:val="000000" w:themeColor="text1"/>
        </w:rPr>
        <w:t xml:space="preserve">the </w:t>
      </w:r>
      <w:r w:rsidRPr="00F02843">
        <w:rPr>
          <w:rFonts w:asciiTheme="minorHAnsi" w:hAnsiTheme="minorHAnsi" w:cstheme="minorHAnsi"/>
          <w:color w:val="000000" w:themeColor="text1"/>
        </w:rPr>
        <w:t>flow-through.</w:t>
      </w:r>
    </w:p>
    <w:p w:rsidR="0024495B" w:rsidRPr="000764A9" w:rsidRDefault="0024495B" w:rsidP="00C30BC2">
      <w:pPr>
        <w:pStyle w:val="ListParagraph"/>
        <w:ind w:left="0"/>
        <w:rPr>
          <w:rFonts w:asciiTheme="minorHAnsi" w:hAnsiTheme="minorHAnsi" w:cstheme="minorHAnsi"/>
          <w:color w:val="000000" w:themeColor="text1"/>
        </w:rPr>
      </w:pPr>
    </w:p>
    <w:p w:rsidR="0024495B" w:rsidRPr="00F02843" w:rsidRDefault="0024495B" w:rsidP="00C30BC2">
      <w:pPr>
        <w:pStyle w:val="ListParagraph"/>
        <w:numPr>
          <w:ilvl w:val="1"/>
          <w:numId w:val="18"/>
        </w:numPr>
        <w:ind w:left="0" w:firstLine="0"/>
        <w:rPr>
          <w:rFonts w:asciiTheme="minorHAnsi" w:hAnsiTheme="minorHAnsi" w:cstheme="minorHAnsi"/>
          <w:color w:val="000000" w:themeColor="text1"/>
        </w:rPr>
      </w:pPr>
      <w:r w:rsidRPr="00F02843">
        <w:rPr>
          <w:rFonts w:asciiTheme="minorHAnsi" w:hAnsiTheme="minorHAnsi" w:cstheme="minorHAnsi"/>
          <w:color w:val="000000" w:themeColor="text1"/>
        </w:rPr>
        <w:t xml:space="preserve">Wash the column with 700 </w:t>
      </w:r>
      <w:r>
        <w:rPr>
          <w:rFonts w:asciiTheme="minorHAnsi" w:hAnsiTheme="minorHAnsi" w:cstheme="minorHAnsi"/>
          <w:color w:val="000000" w:themeColor="text1"/>
        </w:rPr>
        <w:t>µL</w:t>
      </w:r>
      <w:r w:rsidRPr="00F02843">
        <w:rPr>
          <w:rFonts w:asciiTheme="minorHAnsi" w:hAnsiTheme="minorHAnsi" w:cstheme="minorHAnsi"/>
          <w:color w:val="000000" w:themeColor="text1"/>
        </w:rPr>
        <w:t xml:space="preserve"> </w:t>
      </w:r>
      <w:r w:rsidR="009D2F02" w:rsidRPr="00F02843">
        <w:rPr>
          <w:rFonts w:asciiTheme="minorHAnsi" w:hAnsiTheme="minorHAnsi" w:cstheme="minorHAnsi"/>
          <w:color w:val="000000" w:themeColor="text1"/>
        </w:rPr>
        <w:t xml:space="preserve">of </w:t>
      </w:r>
      <w:r w:rsidRPr="00F02843">
        <w:rPr>
          <w:rFonts w:asciiTheme="minorHAnsi" w:hAnsiTheme="minorHAnsi" w:cstheme="minorHAnsi"/>
          <w:color w:val="000000" w:themeColor="text1"/>
        </w:rPr>
        <w:t>DNA/</w:t>
      </w:r>
      <w:r>
        <w:rPr>
          <w:rFonts w:asciiTheme="minorHAnsi" w:hAnsiTheme="minorHAnsi" w:cstheme="minorHAnsi"/>
          <w:color w:val="000000" w:themeColor="text1"/>
        </w:rPr>
        <w:t xml:space="preserve">RNA wash buffer </w:t>
      </w:r>
      <w:r w:rsidRPr="00F02843">
        <w:rPr>
          <w:rFonts w:asciiTheme="minorHAnsi" w:hAnsiTheme="minorHAnsi" w:cstheme="minorHAnsi"/>
          <w:color w:val="000000" w:themeColor="text1"/>
        </w:rPr>
        <w:t>and centrifuge at 12</w:t>
      </w:r>
      <w:r>
        <w:rPr>
          <w:rFonts w:asciiTheme="minorHAnsi" w:hAnsiTheme="minorHAnsi" w:cstheme="minorHAnsi"/>
          <w:color w:val="000000" w:themeColor="text1"/>
        </w:rPr>
        <w:t>,000 x</w:t>
      </w:r>
      <w:r w:rsidR="009D2F02" w:rsidRPr="009D2F02">
        <w:rPr>
          <w:rFonts w:asciiTheme="minorHAnsi" w:hAnsiTheme="minorHAnsi" w:cstheme="minorHAnsi"/>
          <w:i/>
          <w:color w:val="000000" w:themeColor="text1"/>
        </w:rPr>
        <w:t xml:space="preserve"> g </w:t>
      </w:r>
      <w:r w:rsidRPr="00F02843">
        <w:rPr>
          <w:rFonts w:asciiTheme="minorHAnsi" w:hAnsiTheme="minorHAnsi" w:cstheme="minorHAnsi"/>
          <w:color w:val="000000" w:themeColor="text1"/>
        </w:rPr>
        <w:t>for 30</w:t>
      </w:r>
      <w:r>
        <w:rPr>
          <w:rFonts w:asciiTheme="minorHAnsi" w:hAnsiTheme="minorHAnsi" w:cstheme="minorHAnsi"/>
          <w:color w:val="000000" w:themeColor="text1"/>
        </w:rPr>
        <w:t xml:space="preserve"> s. </w:t>
      </w:r>
      <w:r w:rsidRPr="00F02843">
        <w:rPr>
          <w:rFonts w:asciiTheme="minorHAnsi" w:hAnsiTheme="minorHAnsi" w:cstheme="minorHAnsi"/>
          <w:color w:val="000000" w:themeColor="text1"/>
        </w:rPr>
        <w:t xml:space="preserve">Discard </w:t>
      </w:r>
      <w:r>
        <w:rPr>
          <w:rFonts w:asciiTheme="minorHAnsi" w:hAnsiTheme="minorHAnsi" w:cstheme="minorHAnsi"/>
          <w:color w:val="000000" w:themeColor="text1"/>
        </w:rPr>
        <w:t xml:space="preserve">the </w:t>
      </w:r>
      <w:r w:rsidRPr="00F02843">
        <w:rPr>
          <w:rFonts w:asciiTheme="minorHAnsi" w:hAnsiTheme="minorHAnsi" w:cstheme="minorHAnsi"/>
          <w:color w:val="000000" w:themeColor="text1"/>
        </w:rPr>
        <w:t xml:space="preserve">flow-through. </w:t>
      </w:r>
    </w:p>
    <w:p w:rsidR="0024495B" w:rsidRPr="000764A9" w:rsidRDefault="0024495B" w:rsidP="00C30BC2">
      <w:pPr>
        <w:pStyle w:val="ListParagraph"/>
        <w:ind w:left="0"/>
        <w:rPr>
          <w:rFonts w:asciiTheme="minorHAnsi" w:hAnsiTheme="minorHAnsi" w:cstheme="minorHAnsi"/>
          <w:color w:val="000000" w:themeColor="text1"/>
        </w:rPr>
      </w:pPr>
    </w:p>
    <w:p w:rsidR="0024495B" w:rsidRPr="00F02843" w:rsidRDefault="0024495B" w:rsidP="00C30BC2">
      <w:pPr>
        <w:pStyle w:val="ListParagraph"/>
        <w:numPr>
          <w:ilvl w:val="1"/>
          <w:numId w:val="18"/>
        </w:numPr>
        <w:ind w:left="0" w:firstLine="0"/>
        <w:rPr>
          <w:rFonts w:asciiTheme="minorHAnsi" w:hAnsiTheme="minorHAnsi" w:cstheme="minorHAnsi"/>
          <w:color w:val="000000" w:themeColor="text1"/>
        </w:rPr>
      </w:pPr>
      <w:r w:rsidRPr="00F02843">
        <w:rPr>
          <w:rFonts w:asciiTheme="minorHAnsi" w:hAnsiTheme="minorHAnsi" w:cstheme="minorHAnsi"/>
          <w:color w:val="000000" w:themeColor="text1"/>
        </w:rPr>
        <w:t xml:space="preserve">Repeat step </w:t>
      </w:r>
      <w:r>
        <w:rPr>
          <w:rFonts w:asciiTheme="minorHAnsi" w:hAnsiTheme="minorHAnsi" w:cstheme="minorHAnsi"/>
          <w:color w:val="000000" w:themeColor="text1"/>
        </w:rPr>
        <w:t>1.</w:t>
      </w:r>
      <w:r w:rsidRPr="00F02843">
        <w:rPr>
          <w:rFonts w:asciiTheme="minorHAnsi" w:hAnsiTheme="minorHAnsi" w:cstheme="minorHAnsi"/>
          <w:color w:val="000000" w:themeColor="text1"/>
        </w:rPr>
        <w:t>9</w:t>
      </w:r>
      <w:r w:rsidR="009D2F02">
        <w:rPr>
          <w:rFonts w:asciiTheme="minorHAnsi" w:hAnsiTheme="minorHAnsi" w:cstheme="minorHAnsi"/>
          <w:color w:val="000000" w:themeColor="text1"/>
        </w:rPr>
        <w:t xml:space="preserve"> </w:t>
      </w:r>
      <w:r>
        <w:rPr>
          <w:rFonts w:asciiTheme="minorHAnsi" w:hAnsiTheme="minorHAnsi" w:cstheme="minorHAnsi"/>
          <w:color w:val="000000" w:themeColor="text1"/>
        </w:rPr>
        <w:t>w</w:t>
      </w:r>
      <w:r w:rsidRPr="00F02843">
        <w:rPr>
          <w:rFonts w:asciiTheme="minorHAnsi" w:hAnsiTheme="minorHAnsi" w:cstheme="minorHAnsi"/>
          <w:color w:val="000000" w:themeColor="text1"/>
        </w:rPr>
        <w:t xml:space="preserve">ith 400 </w:t>
      </w:r>
      <w:r>
        <w:rPr>
          <w:rFonts w:asciiTheme="minorHAnsi" w:hAnsiTheme="minorHAnsi" w:cstheme="minorHAnsi"/>
          <w:color w:val="000000" w:themeColor="text1"/>
        </w:rPr>
        <w:t>µL</w:t>
      </w:r>
      <w:r w:rsidRPr="00F02843">
        <w:rPr>
          <w:rFonts w:asciiTheme="minorHAnsi" w:hAnsiTheme="minorHAnsi" w:cstheme="minorHAnsi"/>
          <w:color w:val="000000" w:themeColor="text1"/>
        </w:rPr>
        <w:t xml:space="preserve"> </w:t>
      </w:r>
      <w:r w:rsidR="009D2F02" w:rsidRPr="00F02843">
        <w:rPr>
          <w:rFonts w:asciiTheme="minorHAnsi" w:hAnsiTheme="minorHAnsi" w:cstheme="minorHAnsi"/>
          <w:color w:val="000000" w:themeColor="text1"/>
        </w:rPr>
        <w:t xml:space="preserve">of </w:t>
      </w:r>
      <w:r w:rsidRPr="00F02843">
        <w:rPr>
          <w:rFonts w:asciiTheme="minorHAnsi" w:hAnsiTheme="minorHAnsi" w:cstheme="minorHAnsi"/>
          <w:color w:val="000000" w:themeColor="text1"/>
        </w:rPr>
        <w:t>DNA/</w:t>
      </w:r>
      <w:r>
        <w:rPr>
          <w:rFonts w:asciiTheme="minorHAnsi" w:hAnsiTheme="minorHAnsi" w:cstheme="minorHAnsi"/>
          <w:color w:val="000000" w:themeColor="text1"/>
        </w:rPr>
        <w:t xml:space="preserve">RNA wash buffer </w:t>
      </w:r>
      <w:r w:rsidRPr="00F02843">
        <w:rPr>
          <w:rFonts w:asciiTheme="minorHAnsi" w:hAnsiTheme="minorHAnsi" w:cstheme="minorHAnsi"/>
          <w:color w:val="000000" w:themeColor="text1"/>
        </w:rPr>
        <w:t>and centrifuge at 12</w:t>
      </w:r>
      <w:r>
        <w:rPr>
          <w:rFonts w:asciiTheme="minorHAnsi" w:hAnsiTheme="minorHAnsi" w:cstheme="minorHAnsi"/>
          <w:color w:val="000000" w:themeColor="text1"/>
        </w:rPr>
        <w:t>,000 x</w:t>
      </w:r>
      <w:r w:rsidR="009D2F02" w:rsidRPr="009D2F02">
        <w:rPr>
          <w:rFonts w:asciiTheme="minorHAnsi" w:hAnsiTheme="minorHAnsi" w:cstheme="minorHAnsi"/>
          <w:i/>
          <w:color w:val="000000" w:themeColor="text1"/>
        </w:rPr>
        <w:t xml:space="preserve"> g </w:t>
      </w:r>
      <w:r w:rsidRPr="00F02843">
        <w:rPr>
          <w:rFonts w:asciiTheme="minorHAnsi" w:hAnsiTheme="minorHAnsi" w:cstheme="minorHAnsi"/>
          <w:color w:val="000000" w:themeColor="text1"/>
        </w:rPr>
        <w:t>for 2 min to remove all residu</w:t>
      </w:r>
      <w:r>
        <w:rPr>
          <w:rFonts w:asciiTheme="minorHAnsi" w:hAnsiTheme="minorHAnsi" w:cstheme="minorHAnsi"/>
          <w:color w:val="000000" w:themeColor="text1"/>
        </w:rPr>
        <w:t>al wash buffer and to dry the column</w:t>
      </w:r>
      <w:r w:rsidRPr="00F0284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When removing the column from the collection tube, make sure not to wet the underside of the column with the buffer in the </w:t>
      </w:r>
      <w:r>
        <w:rPr>
          <w:rFonts w:asciiTheme="minorHAnsi" w:hAnsiTheme="minorHAnsi" w:cstheme="minorHAnsi"/>
          <w:color w:val="000000" w:themeColor="text1"/>
        </w:rPr>
        <w:lastRenderedPageBreak/>
        <w:t xml:space="preserve">collection tube. </w:t>
      </w:r>
    </w:p>
    <w:p w:rsidR="0024495B" w:rsidRPr="00921E8A" w:rsidRDefault="0024495B" w:rsidP="00C30BC2">
      <w:pPr>
        <w:pStyle w:val="ListParagraph"/>
        <w:ind w:left="0"/>
        <w:rPr>
          <w:rFonts w:asciiTheme="minorHAnsi" w:hAnsiTheme="minorHAnsi" w:cstheme="minorHAnsi"/>
          <w:color w:val="000000" w:themeColor="text1"/>
        </w:rPr>
      </w:pPr>
    </w:p>
    <w:p w:rsidR="009D2F02" w:rsidRDefault="0024495B" w:rsidP="00C30BC2">
      <w:pPr>
        <w:pStyle w:val="ListParagraph"/>
        <w:numPr>
          <w:ilvl w:val="1"/>
          <w:numId w:val="18"/>
        </w:numPr>
        <w:ind w:left="0" w:firstLine="0"/>
        <w:rPr>
          <w:rFonts w:asciiTheme="minorHAnsi" w:hAnsiTheme="minorHAnsi" w:cstheme="minorHAnsi"/>
          <w:color w:val="000000" w:themeColor="text1"/>
        </w:rPr>
      </w:pPr>
      <w:r w:rsidRPr="00F02843">
        <w:rPr>
          <w:rFonts w:asciiTheme="minorHAnsi" w:hAnsiTheme="minorHAnsi" w:cstheme="minorHAnsi"/>
          <w:color w:val="000000" w:themeColor="text1"/>
        </w:rPr>
        <w:t xml:space="preserve">Place </w:t>
      </w:r>
      <w:r>
        <w:rPr>
          <w:rFonts w:asciiTheme="minorHAnsi" w:hAnsiTheme="minorHAnsi" w:cstheme="minorHAnsi"/>
          <w:color w:val="000000" w:themeColor="text1"/>
        </w:rPr>
        <w:t>the c</w:t>
      </w:r>
      <w:r w:rsidRPr="00F02843">
        <w:rPr>
          <w:rFonts w:asciiTheme="minorHAnsi" w:hAnsiTheme="minorHAnsi" w:cstheme="minorHAnsi"/>
          <w:color w:val="000000" w:themeColor="text1"/>
        </w:rPr>
        <w:t>olumn in</w:t>
      </w:r>
      <w:r>
        <w:rPr>
          <w:rFonts w:asciiTheme="minorHAnsi" w:hAnsiTheme="minorHAnsi" w:cstheme="minorHAnsi"/>
          <w:color w:val="000000" w:themeColor="text1"/>
        </w:rPr>
        <w:t>to</w:t>
      </w:r>
      <w:r w:rsidRPr="00F02843">
        <w:rPr>
          <w:rFonts w:asciiTheme="minorHAnsi" w:hAnsiTheme="minorHAnsi" w:cstheme="minorHAnsi"/>
          <w:color w:val="000000" w:themeColor="text1"/>
        </w:rPr>
        <w:t xml:space="preserve"> a new 1.5 mL microcentrifuge tube and add 70 </w:t>
      </w:r>
      <w:r>
        <w:rPr>
          <w:rFonts w:asciiTheme="minorHAnsi" w:hAnsiTheme="minorHAnsi" w:cstheme="minorHAnsi"/>
          <w:color w:val="000000" w:themeColor="text1"/>
        </w:rPr>
        <w:t>µL</w:t>
      </w:r>
      <w:r w:rsidRPr="00F02843">
        <w:rPr>
          <w:rFonts w:asciiTheme="minorHAnsi" w:hAnsiTheme="minorHAnsi" w:cstheme="minorHAnsi"/>
          <w:color w:val="000000" w:themeColor="text1"/>
        </w:rPr>
        <w:t xml:space="preserve"> </w:t>
      </w:r>
      <w:r w:rsidR="009D2F02" w:rsidRPr="00F02843">
        <w:rPr>
          <w:rFonts w:asciiTheme="minorHAnsi" w:hAnsiTheme="minorHAnsi" w:cstheme="minorHAnsi"/>
          <w:color w:val="000000" w:themeColor="text1"/>
        </w:rPr>
        <w:t xml:space="preserve">of </w:t>
      </w:r>
      <w:r>
        <w:rPr>
          <w:rFonts w:asciiTheme="minorHAnsi" w:hAnsiTheme="minorHAnsi" w:cstheme="minorHAnsi"/>
          <w:color w:val="000000" w:themeColor="text1"/>
        </w:rPr>
        <w:t>nuclease</w:t>
      </w:r>
      <w:r w:rsidRPr="00F02843">
        <w:rPr>
          <w:rFonts w:asciiTheme="minorHAnsi" w:hAnsiTheme="minorHAnsi" w:cstheme="minorHAnsi"/>
          <w:color w:val="000000" w:themeColor="text1"/>
        </w:rPr>
        <w:t>-</w:t>
      </w:r>
      <w:r>
        <w:rPr>
          <w:rFonts w:asciiTheme="minorHAnsi" w:hAnsiTheme="minorHAnsi" w:cstheme="minorHAnsi"/>
          <w:color w:val="000000" w:themeColor="text1"/>
        </w:rPr>
        <w:t>f</w:t>
      </w:r>
      <w:r w:rsidRPr="00F02843">
        <w:rPr>
          <w:rFonts w:asciiTheme="minorHAnsi" w:hAnsiTheme="minorHAnsi" w:cstheme="minorHAnsi"/>
          <w:color w:val="000000" w:themeColor="text1"/>
        </w:rPr>
        <w:t xml:space="preserve">ree </w:t>
      </w:r>
      <w:r>
        <w:rPr>
          <w:rFonts w:asciiTheme="minorHAnsi" w:hAnsiTheme="minorHAnsi" w:cstheme="minorHAnsi"/>
          <w:color w:val="000000" w:themeColor="text1"/>
        </w:rPr>
        <w:t>w</w:t>
      </w:r>
      <w:r w:rsidRPr="00F02843">
        <w:rPr>
          <w:rFonts w:asciiTheme="minorHAnsi" w:hAnsiTheme="minorHAnsi" w:cstheme="minorHAnsi"/>
          <w:color w:val="000000" w:themeColor="text1"/>
        </w:rPr>
        <w:t xml:space="preserve">ater. Incubate for 1 min at room temperature and centrifuge for 30 </w:t>
      </w:r>
      <w:r>
        <w:rPr>
          <w:rFonts w:asciiTheme="minorHAnsi" w:hAnsiTheme="minorHAnsi" w:cstheme="minorHAnsi"/>
          <w:color w:val="000000" w:themeColor="text1"/>
        </w:rPr>
        <w:t>s</w:t>
      </w:r>
      <w:r w:rsidRPr="00F02843">
        <w:rPr>
          <w:rFonts w:asciiTheme="minorHAnsi" w:hAnsiTheme="minorHAnsi" w:cstheme="minorHAnsi"/>
          <w:color w:val="000000" w:themeColor="text1"/>
        </w:rPr>
        <w:t xml:space="preserve"> at 12</w:t>
      </w:r>
      <w:r>
        <w:rPr>
          <w:rFonts w:asciiTheme="minorHAnsi" w:hAnsiTheme="minorHAnsi" w:cstheme="minorHAnsi"/>
          <w:color w:val="000000" w:themeColor="text1"/>
        </w:rPr>
        <w:t xml:space="preserve">,000 x </w:t>
      </w:r>
      <w:r w:rsidRPr="009D2F02">
        <w:rPr>
          <w:rFonts w:asciiTheme="minorHAnsi" w:hAnsiTheme="minorHAnsi" w:cstheme="minorHAnsi"/>
          <w:i/>
          <w:color w:val="000000" w:themeColor="text1"/>
        </w:rPr>
        <w:t>g</w:t>
      </w:r>
      <w:r w:rsidRPr="00F02843">
        <w:rPr>
          <w:rFonts w:asciiTheme="minorHAnsi" w:hAnsiTheme="minorHAnsi" w:cstheme="minorHAnsi"/>
          <w:color w:val="000000" w:themeColor="text1"/>
        </w:rPr>
        <w:t>. Store the RNA at -80</w:t>
      </w:r>
      <w:r>
        <w:rPr>
          <w:rFonts w:asciiTheme="minorHAnsi" w:hAnsiTheme="minorHAnsi" w:cstheme="minorHAnsi"/>
          <w:color w:val="000000" w:themeColor="text1"/>
        </w:rPr>
        <w:t> °C</w:t>
      </w:r>
      <w:r w:rsidRPr="00F02843">
        <w:rPr>
          <w:rFonts w:asciiTheme="minorHAnsi" w:hAnsiTheme="minorHAnsi" w:cstheme="minorHAnsi"/>
          <w:color w:val="000000" w:themeColor="text1"/>
        </w:rPr>
        <w:t xml:space="preserve"> until further use</w:t>
      </w:r>
      <w:r>
        <w:rPr>
          <w:rFonts w:asciiTheme="minorHAnsi" w:hAnsiTheme="minorHAnsi" w:cstheme="minorHAnsi"/>
          <w:color w:val="000000" w:themeColor="text1"/>
        </w:rPr>
        <w:t xml:space="preserve"> (or use immediately)</w:t>
      </w:r>
      <w:r w:rsidRPr="00F02843">
        <w:rPr>
          <w:rFonts w:asciiTheme="minorHAnsi" w:hAnsiTheme="minorHAnsi" w:cstheme="minorHAnsi"/>
          <w:color w:val="000000" w:themeColor="text1"/>
        </w:rPr>
        <w:t xml:space="preserve">. </w:t>
      </w:r>
    </w:p>
    <w:p w:rsidR="009D2F02" w:rsidRPr="009D2F02" w:rsidRDefault="009D2F02" w:rsidP="009D2F02">
      <w:pPr>
        <w:pStyle w:val="ListParagraph"/>
        <w:rPr>
          <w:rFonts w:asciiTheme="minorHAnsi" w:hAnsiTheme="minorHAnsi" w:cstheme="minorHAnsi"/>
          <w:color w:val="000000" w:themeColor="text1"/>
        </w:rPr>
      </w:pPr>
    </w:p>
    <w:p w:rsidR="0024495B" w:rsidRPr="00F02843" w:rsidRDefault="0024495B" w:rsidP="009D2F02">
      <w:pPr>
        <w:pStyle w:val="ListParagraph"/>
        <w:numPr>
          <w:ilvl w:val="2"/>
          <w:numId w:val="18"/>
        </w:numPr>
        <w:rPr>
          <w:rFonts w:asciiTheme="minorHAnsi" w:hAnsiTheme="minorHAnsi" w:cstheme="minorHAnsi"/>
          <w:color w:val="000000" w:themeColor="text1"/>
        </w:rPr>
      </w:pPr>
      <w:r>
        <w:rPr>
          <w:rFonts w:asciiTheme="minorHAnsi" w:hAnsiTheme="minorHAnsi" w:cstheme="minorHAnsi"/>
          <w:color w:val="000000" w:themeColor="text1"/>
        </w:rPr>
        <w:t xml:space="preserve">Optional: </w:t>
      </w:r>
      <w:r w:rsidRPr="00F02843">
        <w:rPr>
          <w:rFonts w:asciiTheme="minorHAnsi" w:hAnsiTheme="minorHAnsi" w:cstheme="minorHAnsi"/>
          <w:color w:val="000000" w:themeColor="text1"/>
        </w:rPr>
        <w:t>T</w:t>
      </w:r>
      <w:r>
        <w:rPr>
          <w:rFonts w:asciiTheme="minorHAnsi" w:hAnsiTheme="minorHAnsi" w:cstheme="minorHAnsi"/>
          <w:color w:val="000000" w:themeColor="text1"/>
        </w:rPr>
        <w:t>o</w:t>
      </w:r>
      <w:r w:rsidRPr="00F02843">
        <w:rPr>
          <w:rFonts w:asciiTheme="minorHAnsi" w:hAnsiTheme="minorHAnsi" w:cstheme="minorHAnsi"/>
          <w:color w:val="000000" w:themeColor="text1"/>
        </w:rPr>
        <w:t xml:space="preserve"> quantify the RNA, take a</w:t>
      </w:r>
      <w:r>
        <w:rPr>
          <w:rFonts w:asciiTheme="minorHAnsi" w:hAnsiTheme="minorHAnsi" w:cstheme="minorHAnsi"/>
          <w:color w:val="000000" w:themeColor="text1"/>
        </w:rPr>
        <w:t>n</w:t>
      </w:r>
      <w:r w:rsidRPr="00F02843">
        <w:rPr>
          <w:rFonts w:asciiTheme="minorHAnsi" w:hAnsiTheme="minorHAnsi" w:cstheme="minorHAnsi"/>
          <w:color w:val="000000" w:themeColor="text1"/>
        </w:rPr>
        <w:t xml:space="preserve"> aliquot and determine </w:t>
      </w:r>
      <w:r>
        <w:rPr>
          <w:rFonts w:asciiTheme="minorHAnsi" w:hAnsiTheme="minorHAnsi" w:cstheme="minorHAnsi"/>
          <w:color w:val="000000" w:themeColor="text1"/>
        </w:rPr>
        <w:t xml:space="preserve">the </w:t>
      </w:r>
      <w:r w:rsidRPr="00F02843">
        <w:rPr>
          <w:rFonts w:asciiTheme="minorHAnsi" w:hAnsiTheme="minorHAnsi" w:cstheme="minorHAnsi"/>
          <w:color w:val="000000" w:themeColor="text1"/>
        </w:rPr>
        <w:t>concentration</w:t>
      </w:r>
      <w:r>
        <w:rPr>
          <w:rFonts w:asciiTheme="minorHAnsi" w:hAnsiTheme="minorHAnsi" w:cstheme="minorHAnsi"/>
          <w:color w:val="000000" w:themeColor="text1"/>
        </w:rPr>
        <w:t xml:space="preserve"> using a UV </w:t>
      </w:r>
      <w:r w:rsidRPr="00D73DB8">
        <w:rPr>
          <w:rFonts w:asciiTheme="minorHAnsi" w:hAnsiTheme="minorHAnsi" w:cstheme="minorHAnsi"/>
          <w:color w:val="000000" w:themeColor="text1"/>
        </w:rPr>
        <w:t>spectro</w:t>
      </w:r>
      <w:r>
        <w:rPr>
          <w:rFonts w:asciiTheme="minorHAnsi" w:hAnsiTheme="minorHAnsi" w:cstheme="minorHAnsi"/>
          <w:color w:val="000000" w:themeColor="text1"/>
        </w:rPr>
        <w:t>photo</w:t>
      </w:r>
      <w:r w:rsidRPr="00D73DB8">
        <w:rPr>
          <w:rFonts w:asciiTheme="minorHAnsi" w:hAnsiTheme="minorHAnsi" w:cstheme="minorHAnsi"/>
          <w:color w:val="000000" w:themeColor="text1"/>
        </w:rPr>
        <w:t>meter</w:t>
      </w:r>
      <w:r>
        <w:rPr>
          <w:rFonts w:asciiTheme="minorHAnsi" w:hAnsiTheme="minorHAnsi" w:cstheme="minorHAnsi"/>
          <w:color w:val="000000" w:themeColor="text1"/>
        </w:rPr>
        <w:t xml:space="preserve"> (see </w:t>
      </w:r>
      <w:r w:rsidRPr="009D2F02">
        <w:rPr>
          <w:rFonts w:asciiTheme="minorHAnsi" w:hAnsiTheme="minorHAnsi" w:cstheme="minorHAnsi"/>
          <w:b/>
          <w:color w:val="000000" w:themeColor="text1"/>
        </w:rPr>
        <w:t>Table of Materials</w:t>
      </w:r>
      <w:r>
        <w:rPr>
          <w:rFonts w:asciiTheme="minorHAnsi" w:hAnsiTheme="minorHAnsi" w:cstheme="minorHAnsi"/>
          <w:color w:val="000000" w:themeColor="text1"/>
        </w:rPr>
        <w:t>).</w:t>
      </w:r>
    </w:p>
    <w:p w:rsidR="0024495B" w:rsidRPr="00921E8A" w:rsidRDefault="0024495B" w:rsidP="00C30BC2">
      <w:pPr>
        <w:pStyle w:val="ListParagraph"/>
        <w:ind w:left="0"/>
        <w:rPr>
          <w:rFonts w:asciiTheme="minorHAnsi" w:hAnsiTheme="minorHAnsi" w:cstheme="minorHAnsi"/>
          <w:color w:val="000000" w:themeColor="text1"/>
        </w:rPr>
      </w:pPr>
    </w:p>
    <w:p w:rsidR="0024495B" w:rsidRPr="00E53711" w:rsidRDefault="0024495B" w:rsidP="00C30BC2">
      <w:pPr>
        <w:rPr>
          <w:rFonts w:asciiTheme="minorHAnsi" w:hAnsiTheme="minorHAnsi" w:cstheme="minorHAnsi"/>
          <w:b/>
          <w:color w:val="000000" w:themeColor="text1"/>
        </w:rPr>
      </w:pPr>
      <w:r w:rsidRPr="00E53711">
        <w:rPr>
          <w:rFonts w:asciiTheme="minorHAnsi" w:hAnsiTheme="minorHAnsi" w:cstheme="minorHAnsi"/>
          <w:b/>
          <w:color w:val="000000" w:themeColor="text1"/>
        </w:rPr>
        <w:t xml:space="preserve">2. Reverse transcription of </w:t>
      </w:r>
      <w:r>
        <w:rPr>
          <w:rFonts w:asciiTheme="minorHAnsi" w:hAnsiTheme="minorHAnsi" w:cstheme="minorHAnsi"/>
          <w:b/>
          <w:color w:val="000000" w:themeColor="text1"/>
        </w:rPr>
        <w:t>NPC1 m</w:t>
      </w:r>
      <w:r w:rsidRPr="00E53711">
        <w:rPr>
          <w:rFonts w:asciiTheme="minorHAnsi" w:hAnsiTheme="minorHAnsi" w:cstheme="minorHAnsi"/>
          <w:b/>
          <w:color w:val="000000" w:themeColor="text1"/>
        </w:rPr>
        <w:t xml:space="preserve">RNA </w:t>
      </w:r>
      <w:r>
        <w:rPr>
          <w:rFonts w:asciiTheme="minorHAnsi" w:hAnsiTheme="minorHAnsi" w:cstheme="minorHAnsi"/>
          <w:b/>
          <w:color w:val="000000" w:themeColor="text1"/>
        </w:rPr>
        <w:t>into cDNA</w:t>
      </w:r>
    </w:p>
    <w:p w:rsidR="0024495B" w:rsidRDefault="0024495B" w:rsidP="00C30BC2">
      <w:pPr>
        <w:rPr>
          <w:rFonts w:asciiTheme="minorHAnsi" w:hAnsiTheme="minorHAnsi" w:cstheme="minorHAnsi"/>
          <w:color w:val="000000" w:themeColor="text1"/>
        </w:rPr>
      </w:pPr>
    </w:p>
    <w:p w:rsidR="0024495B" w:rsidRPr="00AD6690" w:rsidRDefault="0024495B" w:rsidP="00AD6690">
      <w:pPr>
        <w:pStyle w:val="ListParagraph"/>
        <w:numPr>
          <w:ilvl w:val="1"/>
          <w:numId w:val="20"/>
        </w:numPr>
        <w:ind w:left="0" w:firstLine="0"/>
        <w:rPr>
          <w:rFonts w:asciiTheme="minorHAnsi" w:hAnsiTheme="minorHAnsi" w:cstheme="minorHAnsi"/>
          <w:color w:val="000000" w:themeColor="text1"/>
        </w:rPr>
      </w:pPr>
      <w:r w:rsidRPr="00F02843">
        <w:rPr>
          <w:rFonts w:asciiTheme="minorHAnsi" w:hAnsiTheme="minorHAnsi" w:cstheme="minorHAnsi"/>
          <w:color w:val="000000" w:themeColor="text1"/>
        </w:rPr>
        <w:t>In a 0.2 mL reaction tube</w:t>
      </w:r>
      <w:r>
        <w:rPr>
          <w:rFonts w:asciiTheme="minorHAnsi" w:hAnsiTheme="minorHAnsi" w:cstheme="minorHAnsi"/>
          <w:color w:val="000000" w:themeColor="text1"/>
        </w:rPr>
        <w:t>,</w:t>
      </w:r>
      <w:r w:rsidRPr="00F02843">
        <w:rPr>
          <w:rFonts w:asciiTheme="minorHAnsi" w:hAnsiTheme="minorHAnsi" w:cstheme="minorHAnsi"/>
          <w:color w:val="000000" w:themeColor="text1"/>
        </w:rPr>
        <w:t xml:space="preserve"> add 8 </w:t>
      </w:r>
      <w:r>
        <w:rPr>
          <w:rFonts w:asciiTheme="minorHAnsi" w:hAnsiTheme="minorHAnsi" w:cstheme="minorHAnsi"/>
          <w:color w:val="000000" w:themeColor="text1"/>
        </w:rPr>
        <w:t>µL</w:t>
      </w:r>
      <w:r w:rsidRPr="00F02843">
        <w:rPr>
          <w:rFonts w:asciiTheme="minorHAnsi" w:hAnsiTheme="minorHAnsi" w:cstheme="minorHAnsi"/>
          <w:color w:val="000000" w:themeColor="text1"/>
        </w:rPr>
        <w:t xml:space="preserve"> of template RNA (1 pg to 2.5 µg of RNA) and 1 </w:t>
      </w:r>
      <w:r>
        <w:rPr>
          <w:rFonts w:asciiTheme="minorHAnsi" w:hAnsiTheme="minorHAnsi" w:cstheme="minorHAnsi"/>
          <w:color w:val="000000" w:themeColor="text1"/>
        </w:rPr>
        <w:t>µL</w:t>
      </w:r>
      <w:r w:rsidRPr="00F02843">
        <w:rPr>
          <w:rFonts w:asciiTheme="minorHAnsi" w:hAnsiTheme="minorHAnsi" w:cstheme="minorHAnsi"/>
          <w:color w:val="000000" w:themeColor="text1"/>
        </w:rPr>
        <w:t xml:space="preserve"> each of 10x DN</w:t>
      </w:r>
      <w:r>
        <w:rPr>
          <w:rFonts w:asciiTheme="minorHAnsi" w:hAnsiTheme="minorHAnsi" w:cstheme="minorHAnsi"/>
          <w:color w:val="000000" w:themeColor="text1"/>
        </w:rPr>
        <w:t>a</w:t>
      </w:r>
      <w:r w:rsidRPr="00F02843">
        <w:rPr>
          <w:rFonts w:asciiTheme="minorHAnsi" w:hAnsiTheme="minorHAnsi" w:cstheme="minorHAnsi"/>
          <w:color w:val="000000" w:themeColor="text1"/>
        </w:rPr>
        <w:t xml:space="preserve">se </w:t>
      </w:r>
      <w:r>
        <w:rPr>
          <w:rFonts w:asciiTheme="minorHAnsi" w:hAnsiTheme="minorHAnsi" w:cstheme="minorHAnsi"/>
          <w:color w:val="000000" w:themeColor="text1"/>
        </w:rPr>
        <w:t>b</w:t>
      </w:r>
      <w:r w:rsidRPr="00F02843">
        <w:rPr>
          <w:rFonts w:asciiTheme="minorHAnsi" w:hAnsiTheme="minorHAnsi" w:cstheme="minorHAnsi"/>
          <w:color w:val="000000" w:themeColor="text1"/>
        </w:rPr>
        <w:t>uffer and DN</w:t>
      </w:r>
      <w:r>
        <w:rPr>
          <w:rFonts w:asciiTheme="minorHAnsi" w:hAnsiTheme="minorHAnsi" w:cstheme="minorHAnsi"/>
          <w:color w:val="000000" w:themeColor="text1"/>
        </w:rPr>
        <w:t>a</w:t>
      </w:r>
      <w:r w:rsidRPr="00AD6690">
        <w:rPr>
          <w:rFonts w:asciiTheme="minorHAnsi" w:hAnsiTheme="minorHAnsi" w:cstheme="minorHAnsi"/>
          <w:color w:val="000000" w:themeColor="text1"/>
        </w:rPr>
        <w:t>se enzyme</w:t>
      </w:r>
      <w:r w:rsidR="00450C58">
        <w:rPr>
          <w:rFonts w:asciiTheme="minorHAnsi" w:hAnsiTheme="minorHAnsi" w:cstheme="minorHAnsi"/>
          <w:color w:val="000000" w:themeColor="text1"/>
        </w:rPr>
        <w:t xml:space="preserve"> (see </w:t>
      </w:r>
      <w:r w:rsidR="00450C58" w:rsidRPr="009D2F02">
        <w:rPr>
          <w:rFonts w:asciiTheme="minorHAnsi" w:hAnsiTheme="minorHAnsi" w:cstheme="minorHAnsi"/>
          <w:b/>
          <w:color w:val="000000" w:themeColor="text1"/>
        </w:rPr>
        <w:t>Table of Materials</w:t>
      </w:r>
      <w:r w:rsidR="00450C58">
        <w:rPr>
          <w:rFonts w:asciiTheme="minorHAnsi" w:hAnsiTheme="minorHAnsi" w:cstheme="minorHAnsi"/>
          <w:color w:val="000000" w:themeColor="text1"/>
        </w:rPr>
        <w:t>)</w:t>
      </w:r>
      <w:r w:rsidRPr="00AD6690">
        <w:rPr>
          <w:rFonts w:asciiTheme="minorHAnsi" w:hAnsiTheme="minorHAnsi" w:cstheme="minorHAnsi"/>
          <w:color w:val="000000" w:themeColor="text1"/>
        </w:rPr>
        <w:t>. Incubate at 37 °C for 2 min. Subsequently, centrifuge the reaction briefly and place it on ice.</w:t>
      </w:r>
    </w:p>
    <w:p w:rsidR="0024495B" w:rsidRDefault="0024495B" w:rsidP="00C30BC2">
      <w:pPr>
        <w:pStyle w:val="ListParagraph"/>
        <w:ind w:left="0"/>
        <w:rPr>
          <w:rFonts w:asciiTheme="minorHAnsi" w:hAnsiTheme="minorHAnsi" w:cstheme="minorHAnsi"/>
          <w:color w:val="000000" w:themeColor="text1"/>
        </w:rPr>
      </w:pPr>
    </w:p>
    <w:p w:rsidR="0024495B" w:rsidRPr="00F02843" w:rsidRDefault="0024495B" w:rsidP="00C30BC2">
      <w:pPr>
        <w:pStyle w:val="ListParagraph"/>
        <w:numPr>
          <w:ilvl w:val="1"/>
          <w:numId w:val="20"/>
        </w:numPr>
        <w:ind w:left="0" w:firstLine="0"/>
        <w:rPr>
          <w:rFonts w:asciiTheme="minorHAnsi" w:hAnsiTheme="minorHAnsi" w:cstheme="minorHAnsi"/>
          <w:color w:val="000000" w:themeColor="text1"/>
        </w:rPr>
      </w:pPr>
      <w:r w:rsidRPr="00F02843">
        <w:rPr>
          <w:rFonts w:asciiTheme="minorHAnsi" w:hAnsiTheme="minorHAnsi" w:cstheme="minorHAnsi"/>
          <w:color w:val="000000" w:themeColor="text1"/>
        </w:rPr>
        <w:t xml:space="preserve">Add 4 </w:t>
      </w:r>
      <w:r>
        <w:rPr>
          <w:rFonts w:asciiTheme="minorHAnsi" w:hAnsiTheme="minorHAnsi" w:cstheme="minorHAnsi"/>
          <w:color w:val="000000" w:themeColor="text1"/>
        </w:rPr>
        <w:t>µL</w:t>
      </w:r>
      <w:r w:rsidRPr="00F02843">
        <w:rPr>
          <w:rFonts w:asciiTheme="minorHAnsi" w:hAnsiTheme="minorHAnsi" w:cstheme="minorHAnsi"/>
          <w:color w:val="000000" w:themeColor="text1"/>
        </w:rPr>
        <w:t xml:space="preserve"> </w:t>
      </w:r>
      <w:r w:rsidR="009D2F02" w:rsidRPr="00F02843">
        <w:rPr>
          <w:rFonts w:asciiTheme="minorHAnsi" w:hAnsiTheme="minorHAnsi" w:cstheme="minorHAnsi"/>
          <w:color w:val="000000" w:themeColor="text1"/>
        </w:rPr>
        <w:t xml:space="preserve">of </w:t>
      </w:r>
      <w:r>
        <w:rPr>
          <w:rFonts w:asciiTheme="minorHAnsi" w:hAnsiTheme="minorHAnsi" w:cstheme="minorHAnsi"/>
          <w:color w:val="000000" w:themeColor="text1"/>
        </w:rPr>
        <w:t xml:space="preserve">reverse transcriptase master mix (see </w:t>
      </w:r>
      <w:r w:rsidRPr="009D2F02">
        <w:rPr>
          <w:rFonts w:asciiTheme="minorHAnsi" w:hAnsiTheme="minorHAnsi" w:cstheme="minorHAnsi"/>
          <w:b/>
          <w:color w:val="000000" w:themeColor="text1"/>
        </w:rPr>
        <w:t>Table of Materials</w:t>
      </w:r>
      <w:r>
        <w:rPr>
          <w:rFonts w:asciiTheme="minorHAnsi" w:hAnsiTheme="minorHAnsi" w:cstheme="minorHAnsi"/>
          <w:color w:val="000000" w:themeColor="text1"/>
        </w:rPr>
        <w:t>)</w:t>
      </w:r>
      <w:r w:rsidRPr="00F02843">
        <w:rPr>
          <w:rFonts w:asciiTheme="minorHAnsi" w:hAnsiTheme="minorHAnsi" w:cstheme="minorHAnsi"/>
          <w:color w:val="000000" w:themeColor="text1"/>
        </w:rPr>
        <w:t xml:space="preserve"> and 6 </w:t>
      </w:r>
      <w:r>
        <w:rPr>
          <w:rFonts w:asciiTheme="minorHAnsi" w:hAnsiTheme="minorHAnsi" w:cstheme="minorHAnsi"/>
          <w:color w:val="000000" w:themeColor="text1"/>
        </w:rPr>
        <w:t>µL</w:t>
      </w:r>
      <w:r w:rsidRPr="00F02843">
        <w:rPr>
          <w:rFonts w:asciiTheme="minorHAnsi" w:hAnsiTheme="minorHAnsi" w:cstheme="minorHAnsi"/>
          <w:color w:val="000000" w:themeColor="text1"/>
        </w:rPr>
        <w:t xml:space="preserve"> </w:t>
      </w:r>
      <w:r w:rsidR="009D2F02" w:rsidRPr="00F02843">
        <w:rPr>
          <w:rFonts w:asciiTheme="minorHAnsi" w:hAnsiTheme="minorHAnsi" w:cstheme="minorHAnsi"/>
          <w:color w:val="000000" w:themeColor="text1"/>
        </w:rPr>
        <w:t xml:space="preserve">of </w:t>
      </w:r>
      <w:r>
        <w:rPr>
          <w:rFonts w:asciiTheme="minorHAnsi" w:hAnsiTheme="minorHAnsi" w:cstheme="minorHAnsi"/>
          <w:color w:val="000000" w:themeColor="text1"/>
        </w:rPr>
        <w:t>n</w:t>
      </w:r>
      <w:r w:rsidRPr="00F02843">
        <w:rPr>
          <w:rFonts w:asciiTheme="minorHAnsi" w:hAnsiTheme="minorHAnsi" w:cstheme="minorHAnsi"/>
          <w:color w:val="000000" w:themeColor="text1"/>
        </w:rPr>
        <w:t xml:space="preserve">uclease-free water </w:t>
      </w:r>
      <w:r>
        <w:rPr>
          <w:rFonts w:asciiTheme="minorHAnsi" w:hAnsiTheme="minorHAnsi" w:cstheme="minorHAnsi"/>
          <w:color w:val="000000" w:themeColor="text1"/>
        </w:rPr>
        <w:t xml:space="preserve">to the reaction tube </w:t>
      </w:r>
      <w:r w:rsidRPr="00F02843">
        <w:rPr>
          <w:rFonts w:asciiTheme="minorHAnsi" w:hAnsiTheme="minorHAnsi" w:cstheme="minorHAnsi"/>
          <w:color w:val="000000" w:themeColor="text1"/>
        </w:rPr>
        <w:t xml:space="preserve">and mix gently. </w:t>
      </w:r>
      <w:r>
        <w:rPr>
          <w:rFonts w:asciiTheme="minorHAnsi" w:hAnsiTheme="minorHAnsi" w:cstheme="minorHAnsi"/>
          <w:color w:val="000000" w:themeColor="text1"/>
        </w:rPr>
        <w:t>I</w:t>
      </w:r>
      <w:r w:rsidRPr="00F02843">
        <w:rPr>
          <w:rFonts w:asciiTheme="minorHAnsi" w:hAnsiTheme="minorHAnsi" w:cstheme="minorHAnsi"/>
          <w:color w:val="000000" w:themeColor="text1"/>
        </w:rPr>
        <w:t xml:space="preserve">ncubate the reaction </w:t>
      </w:r>
      <w:r>
        <w:rPr>
          <w:rFonts w:asciiTheme="minorHAnsi" w:hAnsiTheme="minorHAnsi" w:cstheme="minorHAnsi"/>
          <w:color w:val="000000" w:themeColor="text1"/>
        </w:rPr>
        <w:t xml:space="preserve">in a thermocycler </w:t>
      </w:r>
      <w:r w:rsidRPr="00F02843">
        <w:rPr>
          <w:rFonts w:asciiTheme="minorHAnsi" w:hAnsiTheme="minorHAnsi" w:cstheme="minorHAnsi"/>
          <w:color w:val="000000" w:themeColor="text1"/>
        </w:rPr>
        <w:t>for 10 min at 25</w:t>
      </w:r>
      <w:r>
        <w:rPr>
          <w:rFonts w:asciiTheme="minorHAnsi" w:hAnsiTheme="minorHAnsi" w:cstheme="minorHAnsi"/>
          <w:color w:val="000000" w:themeColor="text1"/>
        </w:rPr>
        <w:t> °C</w:t>
      </w:r>
      <w:r w:rsidRPr="00F02843">
        <w:rPr>
          <w:rFonts w:asciiTheme="minorHAnsi" w:hAnsiTheme="minorHAnsi" w:cstheme="minorHAnsi"/>
          <w:color w:val="000000" w:themeColor="text1"/>
        </w:rPr>
        <w:t xml:space="preserve"> </w:t>
      </w:r>
      <w:r>
        <w:rPr>
          <w:rFonts w:asciiTheme="minorHAnsi" w:hAnsiTheme="minorHAnsi" w:cstheme="minorHAnsi"/>
          <w:color w:val="000000" w:themeColor="text1"/>
        </w:rPr>
        <w:t>(f</w:t>
      </w:r>
      <w:r w:rsidRPr="00F02843">
        <w:rPr>
          <w:rFonts w:asciiTheme="minorHAnsi" w:hAnsiTheme="minorHAnsi" w:cstheme="minorHAnsi"/>
          <w:color w:val="000000" w:themeColor="text1"/>
        </w:rPr>
        <w:t>or primer annealing</w:t>
      </w:r>
      <w:r>
        <w:rPr>
          <w:rFonts w:asciiTheme="minorHAnsi" w:hAnsiTheme="minorHAnsi" w:cstheme="minorHAnsi"/>
          <w:color w:val="000000" w:themeColor="text1"/>
        </w:rPr>
        <w:t>),</w:t>
      </w:r>
      <w:r w:rsidRPr="00F02843">
        <w:rPr>
          <w:rFonts w:asciiTheme="minorHAnsi" w:hAnsiTheme="minorHAnsi" w:cstheme="minorHAnsi"/>
          <w:color w:val="000000" w:themeColor="text1"/>
        </w:rPr>
        <w:t xml:space="preserve"> </w:t>
      </w:r>
      <w:r>
        <w:rPr>
          <w:rFonts w:asciiTheme="minorHAnsi" w:hAnsiTheme="minorHAnsi" w:cstheme="minorHAnsi"/>
          <w:color w:val="000000" w:themeColor="text1"/>
        </w:rPr>
        <w:t>followed by 10 min at 50 °C</w:t>
      </w:r>
      <w:r w:rsidRPr="00F02843">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F02843">
        <w:rPr>
          <w:rFonts w:asciiTheme="minorHAnsi" w:hAnsiTheme="minorHAnsi" w:cstheme="minorHAnsi"/>
          <w:color w:val="000000" w:themeColor="text1"/>
        </w:rPr>
        <w:t>for reverse transcription of RNA</w:t>
      </w:r>
      <w:r>
        <w:rPr>
          <w:rFonts w:asciiTheme="minorHAnsi" w:hAnsiTheme="minorHAnsi" w:cstheme="minorHAnsi"/>
          <w:color w:val="000000" w:themeColor="text1"/>
        </w:rPr>
        <w:t>)</w:t>
      </w:r>
      <w:r w:rsidRPr="00F02843">
        <w:rPr>
          <w:rFonts w:asciiTheme="minorHAnsi" w:hAnsiTheme="minorHAnsi" w:cstheme="minorHAnsi"/>
          <w:color w:val="000000" w:themeColor="text1"/>
        </w:rPr>
        <w:t>. To inactivate the enzyme</w:t>
      </w:r>
      <w:r>
        <w:rPr>
          <w:rFonts w:asciiTheme="minorHAnsi" w:hAnsiTheme="minorHAnsi" w:cstheme="minorHAnsi"/>
          <w:color w:val="000000" w:themeColor="text1"/>
        </w:rPr>
        <w:t>,</w:t>
      </w:r>
      <w:r w:rsidRPr="00F02843">
        <w:rPr>
          <w:rFonts w:asciiTheme="minorHAnsi" w:hAnsiTheme="minorHAnsi" w:cstheme="minorHAnsi"/>
          <w:color w:val="000000" w:themeColor="text1"/>
        </w:rPr>
        <w:t xml:space="preserve"> incubate for 5 min at 85</w:t>
      </w:r>
      <w:r>
        <w:rPr>
          <w:rFonts w:asciiTheme="minorHAnsi" w:hAnsiTheme="minorHAnsi" w:cstheme="minorHAnsi"/>
          <w:color w:val="000000" w:themeColor="text1"/>
        </w:rPr>
        <w:t> °C</w:t>
      </w:r>
      <w:r w:rsidRPr="00F02843">
        <w:rPr>
          <w:rFonts w:asciiTheme="minorHAnsi" w:hAnsiTheme="minorHAnsi" w:cstheme="minorHAnsi"/>
          <w:color w:val="000000" w:themeColor="text1"/>
        </w:rPr>
        <w:t xml:space="preserve">. </w:t>
      </w:r>
    </w:p>
    <w:p w:rsidR="0024495B" w:rsidRPr="00464407" w:rsidRDefault="0024495B" w:rsidP="00C30BC2">
      <w:pPr>
        <w:pStyle w:val="ListParagraph"/>
        <w:ind w:left="0"/>
        <w:rPr>
          <w:rFonts w:asciiTheme="minorHAnsi" w:hAnsiTheme="minorHAnsi" w:cstheme="minorHAnsi"/>
          <w:color w:val="000000" w:themeColor="text1"/>
        </w:rPr>
      </w:pPr>
    </w:p>
    <w:p w:rsidR="0024495B" w:rsidRPr="00F02843" w:rsidRDefault="0024495B" w:rsidP="00C30BC2">
      <w:pPr>
        <w:pStyle w:val="ListParagraph"/>
        <w:numPr>
          <w:ilvl w:val="1"/>
          <w:numId w:val="20"/>
        </w:numPr>
        <w:ind w:left="0" w:firstLine="0"/>
        <w:rPr>
          <w:rFonts w:asciiTheme="minorHAnsi" w:hAnsiTheme="minorHAnsi" w:cstheme="minorHAnsi"/>
          <w:color w:val="000000" w:themeColor="text1"/>
        </w:rPr>
      </w:pPr>
      <w:r w:rsidRPr="00F02843">
        <w:rPr>
          <w:rFonts w:asciiTheme="minorHAnsi" w:hAnsiTheme="minorHAnsi" w:cstheme="minorHAnsi"/>
          <w:color w:val="000000" w:themeColor="text1"/>
        </w:rPr>
        <w:t>Transfer cDNA to a new 1.5 mL microcentrifuge tube and store at -80</w:t>
      </w:r>
      <w:r>
        <w:rPr>
          <w:rFonts w:asciiTheme="minorHAnsi" w:hAnsiTheme="minorHAnsi" w:cstheme="minorHAnsi"/>
          <w:color w:val="000000" w:themeColor="text1"/>
        </w:rPr>
        <w:t> °C</w:t>
      </w:r>
      <w:r w:rsidRPr="00F02843">
        <w:rPr>
          <w:rFonts w:asciiTheme="minorHAnsi" w:hAnsiTheme="minorHAnsi" w:cstheme="minorHAnsi"/>
          <w:color w:val="000000" w:themeColor="text1"/>
        </w:rPr>
        <w:t xml:space="preserve"> until further use</w:t>
      </w:r>
      <w:r>
        <w:rPr>
          <w:rFonts w:asciiTheme="minorHAnsi" w:hAnsiTheme="minorHAnsi" w:cstheme="minorHAnsi"/>
          <w:color w:val="000000" w:themeColor="text1"/>
        </w:rPr>
        <w:t xml:space="preserve"> (or use immediately)</w:t>
      </w:r>
      <w:r w:rsidRPr="00F02843">
        <w:rPr>
          <w:rFonts w:asciiTheme="minorHAnsi" w:hAnsiTheme="minorHAnsi" w:cstheme="minorHAnsi"/>
          <w:color w:val="000000" w:themeColor="text1"/>
        </w:rPr>
        <w:t xml:space="preserve">. </w:t>
      </w:r>
    </w:p>
    <w:p w:rsidR="0024495B" w:rsidRPr="00464407" w:rsidRDefault="0024495B" w:rsidP="00C30BC2">
      <w:pPr>
        <w:pStyle w:val="ListParagraph"/>
        <w:ind w:left="0"/>
        <w:rPr>
          <w:rFonts w:asciiTheme="minorHAnsi" w:hAnsiTheme="minorHAnsi" w:cstheme="minorHAnsi"/>
          <w:color w:val="000000" w:themeColor="text1"/>
        </w:rPr>
      </w:pPr>
      <w:bookmarkStart w:id="0" w:name="_Hlk789277"/>
    </w:p>
    <w:p w:rsidR="0024495B" w:rsidRPr="00484A27" w:rsidRDefault="0024495B" w:rsidP="00C30BC2">
      <w:pPr>
        <w:rPr>
          <w:rFonts w:asciiTheme="minorHAnsi" w:hAnsiTheme="minorHAnsi" w:cstheme="minorHAnsi"/>
          <w:b/>
          <w:color w:val="000000" w:themeColor="text1"/>
          <w:highlight w:val="yellow"/>
        </w:rPr>
      </w:pPr>
      <w:r w:rsidRPr="00484A27">
        <w:rPr>
          <w:rFonts w:asciiTheme="minorHAnsi" w:hAnsiTheme="minorHAnsi" w:cstheme="minorHAnsi"/>
          <w:b/>
          <w:color w:val="000000" w:themeColor="text1"/>
          <w:highlight w:val="yellow"/>
        </w:rPr>
        <w:t>3. Amplification of the NPC1 open reading frame</w:t>
      </w:r>
    </w:p>
    <w:p w:rsidR="0024495B" w:rsidRPr="00484A27" w:rsidRDefault="0024495B" w:rsidP="00C30BC2">
      <w:pPr>
        <w:rPr>
          <w:highlight w:val="yellow"/>
        </w:rPr>
      </w:pPr>
    </w:p>
    <w:p w:rsidR="0024495B" w:rsidRPr="00484A27" w:rsidRDefault="0024495B" w:rsidP="00C30BC2">
      <w:pPr>
        <w:pStyle w:val="ListParagraph"/>
        <w:numPr>
          <w:ilvl w:val="1"/>
          <w:numId w:val="21"/>
        </w:numPr>
        <w:ind w:left="0" w:firstLine="0"/>
        <w:rPr>
          <w:highlight w:val="yellow"/>
        </w:rPr>
      </w:pPr>
      <w:r>
        <w:rPr>
          <w:highlight w:val="yellow"/>
        </w:rPr>
        <w:t>Initial</w:t>
      </w:r>
      <w:r w:rsidRPr="00484A27">
        <w:rPr>
          <w:highlight w:val="yellow"/>
        </w:rPr>
        <w:t xml:space="preserve"> amplification step</w:t>
      </w:r>
    </w:p>
    <w:p w:rsidR="0024495B" w:rsidRPr="00484A27" w:rsidRDefault="0024495B" w:rsidP="00C30BC2">
      <w:pPr>
        <w:rPr>
          <w:rFonts w:asciiTheme="minorHAnsi" w:hAnsiTheme="minorHAnsi" w:cstheme="minorHAnsi"/>
          <w:color w:val="000000" w:themeColor="text1"/>
          <w:highlight w:val="yellow"/>
        </w:rPr>
      </w:pPr>
    </w:p>
    <w:p w:rsidR="0024495B" w:rsidRDefault="0024495B" w:rsidP="00C30BC2">
      <w:pPr>
        <w:pStyle w:val="ListParagraph"/>
        <w:numPr>
          <w:ilvl w:val="2"/>
          <w:numId w:val="22"/>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Set up a touchdown PCR</w:t>
      </w:r>
      <w:r w:rsidRPr="005A7ADF">
        <w:rPr>
          <w:rFonts w:asciiTheme="minorHAnsi" w:hAnsiTheme="minorHAnsi" w:cstheme="minorHAnsi"/>
          <w:noProof/>
          <w:color w:val="000000" w:themeColor="text1"/>
          <w:highlight w:val="yellow"/>
          <w:vertAlign w:val="superscript"/>
        </w:rPr>
        <w:t>15,16</w:t>
      </w:r>
      <w:r w:rsidRPr="00484A27">
        <w:rPr>
          <w:rFonts w:asciiTheme="minorHAnsi" w:hAnsiTheme="minorHAnsi" w:cstheme="minorHAnsi"/>
          <w:color w:val="000000" w:themeColor="text1"/>
          <w:highlight w:val="yellow"/>
        </w:rPr>
        <w:t xml:space="preserve"> to amplify the NPC1 cDNA with </w:t>
      </w:r>
      <w:r>
        <w:rPr>
          <w:rFonts w:asciiTheme="minorHAnsi" w:hAnsiTheme="minorHAnsi" w:cstheme="minorHAnsi"/>
          <w:color w:val="000000" w:themeColor="text1"/>
          <w:highlight w:val="yellow"/>
        </w:rPr>
        <w:t xml:space="preserve">Primer Set 1 (see </w:t>
      </w:r>
      <w:r w:rsidRPr="009D2F02">
        <w:rPr>
          <w:rFonts w:asciiTheme="minorHAnsi" w:hAnsiTheme="minorHAnsi" w:cstheme="minorHAnsi"/>
          <w:b/>
          <w:color w:val="000000" w:themeColor="text1"/>
          <w:highlight w:val="yellow"/>
        </w:rPr>
        <w:t>Table 1</w:t>
      </w:r>
      <w:r>
        <w:rPr>
          <w:rFonts w:asciiTheme="minorHAnsi" w:hAnsiTheme="minorHAnsi" w:cstheme="minorHAnsi"/>
          <w:color w:val="000000" w:themeColor="text1"/>
          <w:highlight w:val="yellow"/>
        </w:rPr>
        <w:t>),</w:t>
      </w:r>
      <w:r w:rsidRPr="00484A27">
        <w:rPr>
          <w:rFonts w:asciiTheme="minorHAnsi" w:hAnsiTheme="minorHAnsi" w:cstheme="minorHAnsi"/>
          <w:color w:val="000000" w:themeColor="text1"/>
          <w:highlight w:val="yellow"/>
        </w:rPr>
        <w:t xml:space="preserve"> us</w:t>
      </w:r>
      <w:r>
        <w:rPr>
          <w:rFonts w:asciiTheme="minorHAnsi" w:hAnsiTheme="minorHAnsi" w:cstheme="minorHAnsi"/>
          <w:color w:val="000000" w:themeColor="text1"/>
          <w:highlight w:val="yellow"/>
        </w:rPr>
        <w:t>ing</w:t>
      </w:r>
      <w:r w:rsidRPr="00484A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a</w:t>
      </w:r>
      <w:r w:rsidRPr="00484A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h</w:t>
      </w:r>
      <w:r w:rsidRPr="00484A27">
        <w:rPr>
          <w:rFonts w:asciiTheme="minorHAnsi" w:hAnsiTheme="minorHAnsi" w:cstheme="minorHAnsi"/>
          <w:color w:val="000000" w:themeColor="text1"/>
          <w:highlight w:val="yellow"/>
        </w:rPr>
        <w:t xml:space="preserve">ot </w:t>
      </w:r>
      <w:r>
        <w:rPr>
          <w:rFonts w:asciiTheme="minorHAnsi" w:hAnsiTheme="minorHAnsi" w:cstheme="minorHAnsi"/>
          <w:color w:val="000000" w:themeColor="text1"/>
          <w:highlight w:val="yellow"/>
        </w:rPr>
        <w:t>s</w:t>
      </w:r>
      <w:r w:rsidRPr="00484A27">
        <w:rPr>
          <w:rFonts w:asciiTheme="minorHAnsi" w:hAnsiTheme="minorHAnsi" w:cstheme="minorHAnsi"/>
          <w:color w:val="000000" w:themeColor="text1"/>
          <w:highlight w:val="yellow"/>
        </w:rPr>
        <w:t xml:space="preserve">tart </w:t>
      </w:r>
      <w:r>
        <w:rPr>
          <w:rFonts w:asciiTheme="minorHAnsi" w:hAnsiTheme="minorHAnsi" w:cstheme="minorHAnsi"/>
          <w:color w:val="000000" w:themeColor="text1"/>
          <w:highlight w:val="yellow"/>
        </w:rPr>
        <w:t>h</w:t>
      </w:r>
      <w:r w:rsidRPr="00484A27">
        <w:rPr>
          <w:rFonts w:asciiTheme="minorHAnsi" w:hAnsiTheme="minorHAnsi" w:cstheme="minorHAnsi"/>
          <w:color w:val="000000" w:themeColor="text1"/>
          <w:highlight w:val="yellow"/>
        </w:rPr>
        <w:t>igh</w:t>
      </w:r>
      <w:r>
        <w:rPr>
          <w:rFonts w:asciiTheme="minorHAnsi" w:hAnsiTheme="minorHAnsi" w:cstheme="minorHAnsi"/>
          <w:color w:val="000000" w:themeColor="text1"/>
          <w:highlight w:val="yellow"/>
        </w:rPr>
        <w:t xml:space="preserve"> f</w:t>
      </w:r>
      <w:r w:rsidRPr="00484A27">
        <w:rPr>
          <w:rFonts w:asciiTheme="minorHAnsi" w:hAnsiTheme="minorHAnsi" w:cstheme="minorHAnsi"/>
          <w:color w:val="000000" w:themeColor="text1"/>
          <w:highlight w:val="yellow"/>
        </w:rPr>
        <w:t xml:space="preserve">idelity DNA </w:t>
      </w:r>
      <w:r>
        <w:rPr>
          <w:rFonts w:asciiTheme="minorHAnsi" w:hAnsiTheme="minorHAnsi" w:cstheme="minorHAnsi"/>
          <w:color w:val="000000" w:themeColor="text1"/>
          <w:highlight w:val="yellow"/>
        </w:rPr>
        <w:t>p</w:t>
      </w:r>
      <w:r w:rsidRPr="00484A27">
        <w:rPr>
          <w:rFonts w:asciiTheme="minorHAnsi" w:hAnsiTheme="minorHAnsi" w:cstheme="minorHAnsi"/>
          <w:color w:val="000000" w:themeColor="text1"/>
          <w:highlight w:val="yellow"/>
        </w:rPr>
        <w:t>olymerase</w:t>
      </w:r>
      <w:r>
        <w:rPr>
          <w:rFonts w:asciiTheme="minorHAnsi" w:hAnsiTheme="minorHAnsi" w:cstheme="minorHAnsi"/>
          <w:color w:val="000000" w:themeColor="text1"/>
          <w:highlight w:val="yellow"/>
        </w:rPr>
        <w:t xml:space="preserve"> (see </w:t>
      </w:r>
      <w:r w:rsidRPr="009D2F02">
        <w:rPr>
          <w:rFonts w:asciiTheme="minorHAnsi" w:hAnsiTheme="minorHAnsi" w:cstheme="minorHAnsi"/>
          <w:b/>
          <w:color w:val="000000" w:themeColor="text1"/>
          <w:highlight w:val="yellow"/>
        </w:rPr>
        <w:t>Table of Materials</w:t>
      </w:r>
      <w:r>
        <w:rPr>
          <w:rFonts w:asciiTheme="minorHAnsi" w:hAnsiTheme="minorHAnsi" w:cstheme="minorHAnsi"/>
          <w:color w:val="000000" w:themeColor="text1"/>
          <w:highlight w:val="yellow"/>
        </w:rPr>
        <w:t>)</w:t>
      </w:r>
      <w:r w:rsidRPr="00484A27">
        <w:rPr>
          <w:rFonts w:asciiTheme="minorHAnsi" w:hAnsiTheme="minorHAnsi" w:cstheme="minorHAnsi"/>
          <w:color w:val="000000" w:themeColor="text1"/>
          <w:highlight w:val="yellow"/>
        </w:rPr>
        <w:t xml:space="preserve"> with the </w:t>
      </w:r>
      <w:r>
        <w:rPr>
          <w:rFonts w:asciiTheme="minorHAnsi" w:hAnsiTheme="minorHAnsi" w:cstheme="minorHAnsi"/>
          <w:color w:val="000000" w:themeColor="text1"/>
          <w:highlight w:val="yellow"/>
        </w:rPr>
        <w:t>appropriate</w:t>
      </w:r>
      <w:r w:rsidRPr="00484A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r</w:t>
      </w:r>
      <w:r w:rsidRPr="00484A27">
        <w:rPr>
          <w:rFonts w:asciiTheme="minorHAnsi" w:hAnsiTheme="minorHAnsi" w:cstheme="minorHAnsi"/>
          <w:color w:val="000000" w:themeColor="text1"/>
          <w:highlight w:val="yellow"/>
        </w:rPr>
        <w:t xml:space="preserve">eaction </w:t>
      </w:r>
      <w:r>
        <w:rPr>
          <w:rFonts w:asciiTheme="minorHAnsi" w:hAnsiTheme="minorHAnsi" w:cstheme="minorHAnsi"/>
          <w:color w:val="000000" w:themeColor="text1"/>
          <w:highlight w:val="yellow"/>
        </w:rPr>
        <w:t>b</w:t>
      </w:r>
      <w:r w:rsidRPr="00484A27">
        <w:rPr>
          <w:rFonts w:asciiTheme="minorHAnsi" w:hAnsiTheme="minorHAnsi" w:cstheme="minorHAnsi"/>
          <w:color w:val="000000" w:themeColor="text1"/>
          <w:highlight w:val="yellow"/>
        </w:rPr>
        <w:t>uffer in a 50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reaction </w:t>
      </w:r>
      <w:r>
        <w:rPr>
          <w:rFonts w:asciiTheme="minorHAnsi" w:hAnsiTheme="minorHAnsi" w:cstheme="minorHAnsi"/>
          <w:color w:val="000000" w:themeColor="text1"/>
          <w:highlight w:val="yellow"/>
        </w:rPr>
        <w:t xml:space="preserve">volume </w:t>
      </w:r>
      <w:r w:rsidRPr="00484A27">
        <w:rPr>
          <w:rFonts w:asciiTheme="minorHAnsi" w:hAnsiTheme="minorHAnsi" w:cstheme="minorHAnsi"/>
          <w:color w:val="000000" w:themeColor="text1"/>
          <w:highlight w:val="yellow"/>
        </w:rPr>
        <w:t>with 1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template. If possible, set up the reaction on ice or in a 4</w:t>
      </w:r>
      <w:r>
        <w:rPr>
          <w:rFonts w:asciiTheme="minorHAnsi" w:hAnsiTheme="minorHAnsi" w:cstheme="minorHAnsi"/>
          <w:color w:val="000000" w:themeColor="text1"/>
          <w:highlight w:val="yellow"/>
        </w:rPr>
        <w:t> °C</w:t>
      </w:r>
      <w:r w:rsidRPr="00484A27">
        <w:rPr>
          <w:rFonts w:asciiTheme="minorHAnsi" w:hAnsiTheme="minorHAnsi" w:cstheme="minorHAnsi"/>
          <w:color w:val="000000" w:themeColor="text1"/>
          <w:highlight w:val="yellow"/>
        </w:rPr>
        <w:t xml:space="preserve"> cool block. </w:t>
      </w:r>
    </w:p>
    <w:p w:rsidR="0024495B" w:rsidRDefault="0024495B" w:rsidP="00AD6690">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2"/>
          <w:numId w:val="22"/>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Incubate the reaction in a thermocycler with an initial denaturation step of 30 s at 98</w:t>
      </w:r>
      <w:r>
        <w:rPr>
          <w:rFonts w:asciiTheme="minorHAnsi" w:hAnsiTheme="minorHAnsi" w:cstheme="minorHAnsi"/>
          <w:color w:val="000000" w:themeColor="text1"/>
          <w:highlight w:val="yellow"/>
        </w:rPr>
        <w:t> °C</w:t>
      </w:r>
      <w:r w:rsidRPr="00484A27">
        <w:rPr>
          <w:rFonts w:asciiTheme="minorHAnsi" w:hAnsiTheme="minorHAnsi" w:cstheme="minorHAnsi"/>
          <w:color w:val="000000" w:themeColor="text1"/>
          <w:highlight w:val="yellow"/>
        </w:rPr>
        <w:t>, followed by 10 cycles with denaturation at 98</w:t>
      </w:r>
      <w:r>
        <w:rPr>
          <w:rFonts w:asciiTheme="minorHAnsi" w:hAnsiTheme="minorHAnsi" w:cstheme="minorHAnsi"/>
          <w:color w:val="000000" w:themeColor="text1"/>
          <w:highlight w:val="yellow"/>
        </w:rPr>
        <w:t> °C</w:t>
      </w:r>
      <w:r w:rsidRPr="00484A27">
        <w:rPr>
          <w:rFonts w:asciiTheme="minorHAnsi" w:hAnsiTheme="minorHAnsi" w:cstheme="minorHAnsi"/>
          <w:color w:val="000000" w:themeColor="text1"/>
          <w:highlight w:val="yellow"/>
        </w:rPr>
        <w:t xml:space="preserve"> for 10 s, primer annealing for 20 s at 65</w:t>
      </w:r>
      <w:r>
        <w:rPr>
          <w:rFonts w:asciiTheme="minorHAnsi" w:hAnsiTheme="minorHAnsi" w:cstheme="minorHAnsi"/>
          <w:color w:val="000000" w:themeColor="text1"/>
          <w:highlight w:val="yellow"/>
        </w:rPr>
        <w:t> °C</w:t>
      </w:r>
      <w:r w:rsidRPr="00484A27">
        <w:rPr>
          <w:rFonts w:asciiTheme="minorHAnsi" w:hAnsiTheme="minorHAnsi" w:cstheme="minorHAnsi"/>
          <w:color w:val="000000" w:themeColor="text1"/>
          <w:highlight w:val="yellow"/>
        </w:rPr>
        <w:t>, lowering the temperature by 0.5</w:t>
      </w:r>
      <w:r>
        <w:rPr>
          <w:rFonts w:asciiTheme="minorHAnsi" w:hAnsiTheme="minorHAnsi" w:cstheme="minorHAnsi"/>
          <w:color w:val="000000" w:themeColor="text1"/>
          <w:highlight w:val="yellow"/>
        </w:rPr>
        <w:t> °C</w:t>
      </w:r>
      <w:r w:rsidRPr="00484A27">
        <w:rPr>
          <w:rFonts w:asciiTheme="minorHAnsi" w:hAnsiTheme="minorHAnsi" w:cstheme="minorHAnsi"/>
          <w:color w:val="000000" w:themeColor="text1"/>
          <w:highlight w:val="yellow"/>
        </w:rPr>
        <w:t xml:space="preserve"> per cycle, and elongation for 1 min at 72</w:t>
      </w:r>
      <w:r>
        <w:rPr>
          <w:rFonts w:asciiTheme="minorHAnsi" w:hAnsiTheme="minorHAnsi" w:cstheme="minorHAnsi"/>
          <w:color w:val="000000" w:themeColor="text1"/>
          <w:highlight w:val="yellow"/>
        </w:rPr>
        <w:t> °C</w:t>
      </w:r>
      <w:r w:rsidRPr="00484A27">
        <w:rPr>
          <w:rFonts w:asciiTheme="minorHAnsi" w:hAnsiTheme="minorHAnsi" w:cstheme="minorHAnsi"/>
          <w:color w:val="000000" w:themeColor="text1"/>
          <w:highlight w:val="yellow"/>
        </w:rPr>
        <w:t xml:space="preserve">. Subsequently, run </w:t>
      </w:r>
      <w:r>
        <w:rPr>
          <w:rFonts w:asciiTheme="minorHAnsi" w:hAnsiTheme="minorHAnsi" w:cstheme="minorHAnsi"/>
          <w:color w:val="000000" w:themeColor="text1"/>
          <w:highlight w:val="yellow"/>
        </w:rPr>
        <w:t xml:space="preserve">an additional </w:t>
      </w:r>
      <w:r w:rsidRPr="00484A27">
        <w:rPr>
          <w:rFonts w:asciiTheme="minorHAnsi" w:hAnsiTheme="minorHAnsi" w:cstheme="minorHAnsi"/>
          <w:color w:val="000000" w:themeColor="text1"/>
          <w:highlight w:val="yellow"/>
        </w:rPr>
        <w:t>20 cycles with 10 s at 98</w:t>
      </w:r>
      <w:r>
        <w:rPr>
          <w:rFonts w:asciiTheme="minorHAnsi" w:hAnsiTheme="minorHAnsi" w:cstheme="minorHAnsi"/>
          <w:color w:val="000000" w:themeColor="text1"/>
          <w:highlight w:val="yellow"/>
        </w:rPr>
        <w:t> °C</w:t>
      </w:r>
      <w:r w:rsidRPr="00484A27">
        <w:rPr>
          <w:rFonts w:asciiTheme="minorHAnsi" w:hAnsiTheme="minorHAnsi" w:cstheme="minorHAnsi"/>
          <w:color w:val="000000" w:themeColor="text1"/>
          <w:highlight w:val="yellow"/>
        </w:rPr>
        <w:t>, 20 s at 60</w:t>
      </w:r>
      <w:r>
        <w:rPr>
          <w:rFonts w:asciiTheme="minorHAnsi" w:hAnsiTheme="minorHAnsi" w:cstheme="minorHAnsi"/>
          <w:color w:val="000000" w:themeColor="text1"/>
          <w:highlight w:val="yellow"/>
        </w:rPr>
        <w:t> °C</w:t>
      </w:r>
      <w:r w:rsidRPr="00484A27">
        <w:rPr>
          <w:rFonts w:asciiTheme="minorHAnsi" w:hAnsiTheme="minorHAnsi" w:cstheme="minorHAnsi"/>
          <w:color w:val="000000" w:themeColor="text1"/>
          <w:highlight w:val="yellow"/>
        </w:rPr>
        <w:t>, and 1 min at 72</w:t>
      </w:r>
      <w:r>
        <w:rPr>
          <w:rFonts w:asciiTheme="minorHAnsi" w:hAnsiTheme="minorHAnsi" w:cstheme="minorHAnsi"/>
          <w:color w:val="000000" w:themeColor="text1"/>
          <w:highlight w:val="yellow"/>
        </w:rPr>
        <w:t> °C</w:t>
      </w:r>
      <w:r w:rsidRPr="00484A27">
        <w:rPr>
          <w:rFonts w:asciiTheme="minorHAnsi" w:hAnsiTheme="minorHAnsi" w:cstheme="minorHAnsi"/>
          <w:color w:val="000000" w:themeColor="text1"/>
          <w:highlight w:val="yellow"/>
        </w:rPr>
        <w:t>, followed by a final elongation step of 5 min at 72</w:t>
      </w:r>
      <w:r>
        <w:rPr>
          <w:rFonts w:asciiTheme="minorHAnsi" w:hAnsiTheme="minorHAnsi" w:cstheme="minorHAnsi"/>
          <w:color w:val="000000" w:themeColor="text1"/>
          <w:highlight w:val="yellow"/>
        </w:rPr>
        <w:t> °C</w:t>
      </w:r>
      <w:r w:rsidRPr="00484A27">
        <w:rPr>
          <w:rFonts w:asciiTheme="minorHAnsi" w:hAnsiTheme="minorHAnsi" w:cstheme="minorHAnsi"/>
          <w:color w:val="000000" w:themeColor="text1"/>
          <w:highlight w:val="yellow"/>
        </w:rPr>
        <w:t>.</w:t>
      </w:r>
      <w:r w:rsidR="00336ECE">
        <w:rPr>
          <w:rFonts w:asciiTheme="minorHAnsi" w:hAnsiTheme="minorHAnsi" w:cstheme="minorHAnsi"/>
          <w:color w:val="000000" w:themeColor="text1"/>
          <w:highlight w:val="yellow"/>
        </w:rPr>
        <w:t xml:space="preserve"> </w:t>
      </w:r>
    </w:p>
    <w:p w:rsidR="0024495B" w:rsidRPr="00484A27" w:rsidRDefault="0024495B" w:rsidP="00C30BC2">
      <w:pPr>
        <w:rPr>
          <w:rFonts w:asciiTheme="minorHAnsi" w:hAnsiTheme="minorHAnsi" w:cstheme="minorHAnsi"/>
          <w:color w:val="000000" w:themeColor="text1"/>
          <w:highlight w:val="yellow"/>
        </w:rPr>
      </w:pPr>
    </w:p>
    <w:p w:rsidR="0024495B" w:rsidRPr="00484A27" w:rsidRDefault="0024495B" w:rsidP="00AD6690">
      <w:pPr>
        <w:pStyle w:val="ListParagraph"/>
        <w:numPr>
          <w:ilvl w:val="1"/>
          <w:numId w:val="22"/>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 xml:space="preserve">PCR purification using </w:t>
      </w:r>
      <w:r>
        <w:rPr>
          <w:rFonts w:asciiTheme="minorHAnsi" w:hAnsiTheme="minorHAnsi" w:cstheme="minorHAnsi"/>
          <w:color w:val="000000" w:themeColor="text1"/>
          <w:highlight w:val="yellow"/>
        </w:rPr>
        <w:t>magnetic</w:t>
      </w:r>
      <w:r w:rsidRPr="00484A27">
        <w:rPr>
          <w:rFonts w:asciiTheme="minorHAnsi" w:hAnsiTheme="minorHAnsi" w:cstheme="minorHAnsi"/>
          <w:color w:val="000000" w:themeColor="text1"/>
          <w:highlight w:val="yellow"/>
        </w:rPr>
        <w:t xml:space="preserve"> beads</w:t>
      </w:r>
      <w:r>
        <w:rPr>
          <w:rFonts w:asciiTheme="minorHAnsi" w:hAnsiTheme="minorHAnsi" w:cstheme="minorHAnsi"/>
          <w:color w:val="000000" w:themeColor="text1"/>
          <w:highlight w:val="yellow"/>
        </w:rPr>
        <w:t xml:space="preserve"> </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2"/>
          <w:numId w:val="22"/>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Transfer 50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of </w:t>
      </w:r>
      <w:r w:rsidRPr="00484A27">
        <w:rPr>
          <w:rFonts w:asciiTheme="minorHAnsi" w:hAnsiTheme="minorHAnsi" w:cstheme="minorHAnsi"/>
          <w:color w:val="000000" w:themeColor="text1"/>
          <w:highlight w:val="yellow"/>
        </w:rPr>
        <w:t xml:space="preserve">PCR product into a 1.5 mL </w:t>
      </w:r>
      <w:r>
        <w:rPr>
          <w:rFonts w:asciiTheme="minorHAnsi" w:hAnsiTheme="minorHAnsi" w:cstheme="minorHAnsi"/>
          <w:color w:val="000000" w:themeColor="text1"/>
          <w:highlight w:val="yellow"/>
        </w:rPr>
        <w:t>DNA-low binding reaction</w:t>
      </w:r>
      <w:r w:rsidRPr="00484A27">
        <w:rPr>
          <w:rFonts w:asciiTheme="minorHAnsi" w:hAnsiTheme="minorHAnsi" w:cstheme="minorHAnsi"/>
          <w:color w:val="000000" w:themeColor="text1"/>
          <w:highlight w:val="yellow"/>
        </w:rPr>
        <w:t xml:space="preserve"> tube</w:t>
      </w:r>
      <w:r>
        <w:rPr>
          <w:rFonts w:asciiTheme="minorHAnsi" w:hAnsiTheme="minorHAnsi" w:cstheme="minorHAnsi"/>
          <w:color w:val="000000" w:themeColor="text1"/>
          <w:highlight w:val="yellow"/>
        </w:rPr>
        <w:t xml:space="preserve"> (see </w:t>
      </w:r>
      <w:r w:rsidRPr="009D2F02">
        <w:rPr>
          <w:rFonts w:asciiTheme="minorHAnsi" w:hAnsiTheme="minorHAnsi" w:cstheme="minorHAnsi"/>
          <w:b/>
          <w:color w:val="000000" w:themeColor="text1"/>
          <w:highlight w:val="yellow"/>
        </w:rPr>
        <w:t>Table of Materials</w:t>
      </w:r>
      <w:r>
        <w:rPr>
          <w:rFonts w:asciiTheme="minorHAnsi" w:hAnsiTheme="minorHAnsi" w:cstheme="minorHAnsi"/>
          <w:color w:val="000000" w:themeColor="text1"/>
          <w:highlight w:val="yellow"/>
        </w:rPr>
        <w:t>).</w:t>
      </w:r>
      <w:r w:rsidRPr="00484A27" w:rsidDel="00F954C0">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R</w:t>
      </w:r>
      <w:r w:rsidRPr="00484A27">
        <w:rPr>
          <w:rFonts w:asciiTheme="minorHAnsi" w:hAnsiTheme="minorHAnsi" w:cstheme="minorHAnsi"/>
          <w:color w:val="000000" w:themeColor="text1"/>
          <w:highlight w:val="yellow"/>
        </w:rPr>
        <w:t xml:space="preserve">esuspend </w:t>
      </w:r>
      <w:r>
        <w:rPr>
          <w:rFonts w:asciiTheme="minorHAnsi" w:hAnsiTheme="minorHAnsi" w:cstheme="minorHAnsi"/>
          <w:color w:val="000000" w:themeColor="text1"/>
          <w:highlight w:val="yellow"/>
        </w:rPr>
        <w:t>magnetic</w:t>
      </w:r>
      <w:r w:rsidRPr="00484A27">
        <w:rPr>
          <w:rFonts w:asciiTheme="minorHAnsi" w:hAnsiTheme="minorHAnsi" w:cstheme="minorHAnsi"/>
          <w:color w:val="000000" w:themeColor="text1"/>
          <w:highlight w:val="yellow"/>
        </w:rPr>
        <w:t xml:space="preserve"> beads</w:t>
      </w:r>
      <w:r>
        <w:rPr>
          <w:rFonts w:asciiTheme="minorHAnsi" w:hAnsiTheme="minorHAnsi" w:cstheme="minorHAnsi"/>
          <w:color w:val="000000" w:themeColor="text1"/>
          <w:highlight w:val="yellow"/>
        </w:rPr>
        <w:t xml:space="preserve"> (see </w:t>
      </w:r>
      <w:r w:rsidRPr="009D2F02">
        <w:rPr>
          <w:rFonts w:asciiTheme="minorHAnsi" w:hAnsiTheme="minorHAnsi" w:cstheme="minorHAnsi"/>
          <w:b/>
          <w:color w:val="000000" w:themeColor="text1"/>
          <w:highlight w:val="yellow"/>
        </w:rPr>
        <w:t>Table of Materials</w:t>
      </w:r>
      <w:r>
        <w:rPr>
          <w:rFonts w:asciiTheme="minorHAnsi" w:hAnsiTheme="minorHAnsi" w:cstheme="minorHAnsi"/>
          <w:color w:val="000000" w:themeColor="text1"/>
          <w:highlight w:val="yellow"/>
        </w:rPr>
        <w:t xml:space="preserve">) </w:t>
      </w:r>
      <w:r w:rsidRPr="00484A27">
        <w:rPr>
          <w:rFonts w:asciiTheme="minorHAnsi" w:hAnsiTheme="minorHAnsi" w:cstheme="minorHAnsi"/>
          <w:color w:val="000000" w:themeColor="text1"/>
          <w:highlight w:val="yellow"/>
        </w:rPr>
        <w:t xml:space="preserve">thoroughly by </w:t>
      </w:r>
      <w:proofErr w:type="spellStart"/>
      <w:r w:rsidRPr="00484A27">
        <w:rPr>
          <w:rFonts w:asciiTheme="minorHAnsi" w:hAnsiTheme="minorHAnsi" w:cstheme="minorHAnsi"/>
          <w:color w:val="000000" w:themeColor="text1"/>
          <w:highlight w:val="yellow"/>
        </w:rPr>
        <w:t>vortexing</w:t>
      </w:r>
      <w:proofErr w:type="spellEnd"/>
      <w:r w:rsidRPr="00484A27">
        <w:rPr>
          <w:rFonts w:asciiTheme="minorHAnsi" w:hAnsiTheme="minorHAnsi" w:cstheme="minorHAnsi"/>
          <w:color w:val="000000" w:themeColor="text1"/>
          <w:highlight w:val="yellow"/>
        </w:rPr>
        <w:t xml:space="preserve"> and </w:t>
      </w:r>
      <w:r>
        <w:rPr>
          <w:rFonts w:asciiTheme="minorHAnsi" w:hAnsiTheme="minorHAnsi" w:cstheme="minorHAnsi"/>
          <w:color w:val="000000" w:themeColor="text1"/>
          <w:highlight w:val="yellow"/>
        </w:rPr>
        <w:t xml:space="preserve">add </w:t>
      </w:r>
      <w:r w:rsidRPr="00484A27">
        <w:rPr>
          <w:rFonts w:asciiTheme="minorHAnsi" w:hAnsiTheme="minorHAnsi" w:cstheme="minorHAnsi"/>
          <w:color w:val="000000" w:themeColor="text1"/>
          <w:highlight w:val="yellow"/>
        </w:rPr>
        <w:t>50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beads</w:t>
      </w:r>
      <w:r>
        <w:rPr>
          <w:rFonts w:asciiTheme="minorHAnsi" w:hAnsiTheme="minorHAnsi" w:cstheme="minorHAnsi"/>
          <w:color w:val="000000" w:themeColor="text1"/>
          <w:highlight w:val="yellow"/>
        </w:rPr>
        <w:t xml:space="preserve"> to the PCR reaction</w:t>
      </w:r>
      <w:r w:rsidRPr="00484A27">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Mix well.</w:t>
      </w:r>
      <w:r w:rsidRPr="00484A27">
        <w:rPr>
          <w:rFonts w:asciiTheme="minorHAnsi" w:hAnsiTheme="minorHAnsi" w:cstheme="minorHAnsi"/>
          <w:color w:val="000000" w:themeColor="text1"/>
          <w:highlight w:val="yellow"/>
        </w:rPr>
        <w:t xml:space="preserve"> Incubate the </w:t>
      </w:r>
      <w:r>
        <w:rPr>
          <w:rFonts w:asciiTheme="minorHAnsi" w:hAnsiTheme="minorHAnsi" w:cstheme="minorHAnsi"/>
          <w:color w:val="000000" w:themeColor="text1"/>
          <w:highlight w:val="yellow"/>
        </w:rPr>
        <w:t>sample</w:t>
      </w:r>
      <w:r w:rsidRPr="00484A27">
        <w:rPr>
          <w:rFonts w:asciiTheme="minorHAnsi" w:hAnsiTheme="minorHAnsi" w:cstheme="minorHAnsi"/>
          <w:color w:val="000000" w:themeColor="text1"/>
          <w:highlight w:val="yellow"/>
        </w:rPr>
        <w:t xml:space="preserve"> on a </w:t>
      </w:r>
      <w:r>
        <w:rPr>
          <w:rFonts w:asciiTheme="minorHAnsi" w:hAnsiTheme="minorHAnsi" w:cstheme="minorHAnsi"/>
          <w:color w:val="000000" w:themeColor="text1"/>
          <w:highlight w:val="yellow"/>
        </w:rPr>
        <w:t>rotating m</w:t>
      </w:r>
      <w:r w:rsidRPr="00484A27">
        <w:rPr>
          <w:rFonts w:asciiTheme="minorHAnsi" w:hAnsiTheme="minorHAnsi" w:cstheme="minorHAnsi"/>
          <w:color w:val="000000" w:themeColor="text1"/>
          <w:highlight w:val="yellow"/>
        </w:rPr>
        <w:t xml:space="preserve">ixer </w:t>
      </w:r>
      <w:r>
        <w:rPr>
          <w:rFonts w:asciiTheme="minorHAnsi" w:hAnsiTheme="minorHAnsi" w:cstheme="minorHAnsi"/>
          <w:color w:val="000000" w:themeColor="text1"/>
          <w:highlight w:val="yellow"/>
        </w:rPr>
        <w:t xml:space="preserve">(see </w:t>
      </w:r>
      <w:r w:rsidRPr="009D2F02">
        <w:rPr>
          <w:rFonts w:asciiTheme="minorHAnsi" w:hAnsiTheme="minorHAnsi" w:cstheme="minorHAnsi"/>
          <w:b/>
          <w:color w:val="000000" w:themeColor="text1"/>
          <w:highlight w:val="yellow"/>
        </w:rPr>
        <w:t>Table of Materials</w:t>
      </w:r>
      <w:r>
        <w:rPr>
          <w:rFonts w:asciiTheme="minorHAnsi" w:hAnsiTheme="minorHAnsi" w:cstheme="minorHAnsi"/>
          <w:color w:val="000000" w:themeColor="text1"/>
          <w:highlight w:val="yellow"/>
        </w:rPr>
        <w:t xml:space="preserve">) </w:t>
      </w:r>
      <w:r w:rsidRPr="00484A27">
        <w:rPr>
          <w:rFonts w:asciiTheme="minorHAnsi" w:hAnsiTheme="minorHAnsi" w:cstheme="minorHAnsi"/>
          <w:color w:val="000000" w:themeColor="text1"/>
          <w:highlight w:val="yellow"/>
        </w:rPr>
        <w:t xml:space="preserve">for 5 min at room temperature (at 15 rpm). </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2"/>
          <w:numId w:val="22"/>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lastRenderedPageBreak/>
        <w:t xml:space="preserve">Briefly spin down the sample and place the 1.5 mL microcentrifuge tube on a magnetic rack </w:t>
      </w:r>
      <w:r>
        <w:rPr>
          <w:rFonts w:asciiTheme="minorHAnsi" w:hAnsiTheme="minorHAnsi" w:cstheme="minorHAnsi"/>
          <w:color w:val="000000" w:themeColor="text1"/>
          <w:highlight w:val="yellow"/>
        </w:rPr>
        <w:t xml:space="preserve">(see </w:t>
      </w:r>
      <w:r w:rsidRPr="009D2F02">
        <w:rPr>
          <w:rFonts w:asciiTheme="minorHAnsi" w:hAnsiTheme="minorHAnsi" w:cstheme="minorHAnsi"/>
          <w:b/>
          <w:color w:val="000000" w:themeColor="text1"/>
          <w:highlight w:val="yellow"/>
        </w:rPr>
        <w:t>Table of Materials</w:t>
      </w:r>
      <w:r>
        <w:rPr>
          <w:rFonts w:asciiTheme="minorHAnsi" w:hAnsiTheme="minorHAnsi" w:cstheme="minorHAnsi"/>
          <w:color w:val="000000" w:themeColor="text1"/>
          <w:highlight w:val="yellow"/>
        </w:rPr>
        <w:t xml:space="preserve">) </w:t>
      </w:r>
      <w:r w:rsidRPr="00484A27">
        <w:rPr>
          <w:rFonts w:asciiTheme="minorHAnsi" w:hAnsiTheme="minorHAnsi" w:cstheme="minorHAnsi"/>
          <w:color w:val="000000" w:themeColor="text1"/>
          <w:highlight w:val="yellow"/>
        </w:rPr>
        <w:t xml:space="preserve">to pellet the </w:t>
      </w:r>
      <w:r>
        <w:rPr>
          <w:rFonts w:asciiTheme="minorHAnsi" w:hAnsiTheme="minorHAnsi" w:cstheme="minorHAnsi"/>
          <w:color w:val="000000" w:themeColor="text1"/>
          <w:highlight w:val="yellow"/>
        </w:rPr>
        <w:t xml:space="preserve">magnetic </w:t>
      </w:r>
      <w:r w:rsidRPr="00484A27">
        <w:rPr>
          <w:rFonts w:asciiTheme="minorHAnsi" w:hAnsiTheme="minorHAnsi" w:cstheme="minorHAnsi"/>
          <w:color w:val="000000" w:themeColor="text1"/>
          <w:highlight w:val="yellow"/>
        </w:rPr>
        <w:t>beads. Wait until the supernatant has b</w:t>
      </w:r>
      <w:r>
        <w:rPr>
          <w:rFonts w:asciiTheme="minorHAnsi" w:hAnsiTheme="minorHAnsi" w:cstheme="minorHAnsi"/>
          <w:color w:val="000000" w:themeColor="text1"/>
          <w:highlight w:val="yellow"/>
        </w:rPr>
        <w:t>een</w:t>
      </w:r>
      <w:r w:rsidRPr="00484A27">
        <w:rPr>
          <w:rFonts w:asciiTheme="minorHAnsi" w:hAnsiTheme="minorHAnsi" w:cstheme="minorHAnsi"/>
          <w:color w:val="000000" w:themeColor="text1"/>
          <w:highlight w:val="yellow"/>
        </w:rPr>
        <w:t xml:space="preserve"> completely clarified before continuing </w:t>
      </w:r>
      <w:r>
        <w:rPr>
          <w:rFonts w:asciiTheme="minorHAnsi" w:hAnsiTheme="minorHAnsi" w:cstheme="minorHAnsi"/>
          <w:color w:val="000000" w:themeColor="text1"/>
          <w:highlight w:val="yellow"/>
        </w:rPr>
        <w:t>with</w:t>
      </w:r>
      <w:r w:rsidRPr="00484A27">
        <w:rPr>
          <w:rFonts w:asciiTheme="minorHAnsi" w:hAnsiTheme="minorHAnsi" w:cstheme="minorHAnsi"/>
          <w:color w:val="000000" w:themeColor="text1"/>
          <w:highlight w:val="yellow"/>
        </w:rPr>
        <w:t xml:space="preserve"> the next step.</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2"/>
          <w:numId w:val="22"/>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 xml:space="preserve">Aspirate the supernatant without disturbing the </w:t>
      </w:r>
      <w:r>
        <w:rPr>
          <w:rFonts w:asciiTheme="minorHAnsi" w:hAnsiTheme="minorHAnsi" w:cstheme="minorHAnsi"/>
          <w:color w:val="000000" w:themeColor="text1"/>
          <w:highlight w:val="yellow"/>
        </w:rPr>
        <w:t xml:space="preserve">bead </w:t>
      </w:r>
      <w:r w:rsidRPr="00484A27">
        <w:rPr>
          <w:rFonts w:asciiTheme="minorHAnsi" w:hAnsiTheme="minorHAnsi" w:cstheme="minorHAnsi"/>
          <w:color w:val="000000" w:themeColor="text1"/>
          <w:highlight w:val="yellow"/>
        </w:rPr>
        <w:t xml:space="preserve">pellet and discard. </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Pipette</w:t>
      </w:r>
      <w:r w:rsidRPr="00484A27">
        <w:rPr>
          <w:rFonts w:asciiTheme="minorHAnsi" w:hAnsiTheme="minorHAnsi" w:cstheme="minorHAnsi"/>
          <w:color w:val="000000" w:themeColor="text1"/>
          <w:highlight w:val="yellow"/>
        </w:rPr>
        <w:t xml:space="preserve"> 200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of 70</w:t>
      </w:r>
      <w:r>
        <w:rPr>
          <w:rFonts w:asciiTheme="minorHAnsi" w:hAnsiTheme="minorHAnsi" w:cstheme="minorHAnsi"/>
          <w:color w:val="000000" w:themeColor="text1"/>
          <w:highlight w:val="yellow"/>
        </w:rPr>
        <w:t>%</w:t>
      </w:r>
      <w:r w:rsidRPr="00484A27">
        <w:rPr>
          <w:rFonts w:asciiTheme="minorHAnsi" w:hAnsiTheme="minorHAnsi" w:cstheme="minorHAnsi"/>
          <w:color w:val="000000" w:themeColor="text1"/>
          <w:highlight w:val="yellow"/>
        </w:rPr>
        <w:t xml:space="preserve"> ethanol into the reaction tube and incubate for 30 s. Aspirate the ethanol without disturbing the pellet and discard. Repeat for a total of two washes. Make sure that no ethanol is left. It may be necessary to first aspirate with a larger pipet</w:t>
      </w:r>
      <w:r>
        <w:rPr>
          <w:rFonts w:asciiTheme="minorHAnsi" w:hAnsiTheme="minorHAnsi" w:cstheme="minorHAnsi"/>
          <w:color w:val="000000" w:themeColor="text1"/>
          <w:highlight w:val="yellow"/>
        </w:rPr>
        <w:t>te</w:t>
      </w:r>
      <w:r w:rsidRPr="00484A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e.g.</w:t>
      </w:r>
      <w:r w:rsidR="009D2F02">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Pr="00484A27">
        <w:rPr>
          <w:rFonts w:asciiTheme="minorHAnsi" w:hAnsiTheme="minorHAnsi" w:cstheme="minorHAnsi"/>
          <w:color w:val="000000" w:themeColor="text1"/>
          <w:highlight w:val="yellow"/>
        </w:rPr>
        <w:t>1000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and</w:t>
      </w:r>
      <w:r>
        <w:rPr>
          <w:rFonts w:asciiTheme="minorHAnsi" w:hAnsiTheme="minorHAnsi" w:cstheme="minorHAnsi"/>
          <w:color w:val="000000" w:themeColor="text1"/>
          <w:highlight w:val="yellow"/>
        </w:rPr>
        <w:t xml:space="preserve"> then</w:t>
      </w:r>
      <w:r w:rsidRPr="00484A27">
        <w:rPr>
          <w:rFonts w:asciiTheme="minorHAnsi" w:hAnsiTheme="minorHAnsi" w:cstheme="minorHAnsi"/>
          <w:color w:val="000000" w:themeColor="text1"/>
          <w:highlight w:val="yellow"/>
        </w:rPr>
        <w:t xml:space="preserve"> to remove any remaining ethanol drop</w:t>
      </w:r>
      <w:r>
        <w:rPr>
          <w:rFonts w:asciiTheme="minorHAnsi" w:hAnsiTheme="minorHAnsi" w:cstheme="minorHAnsi"/>
          <w:color w:val="000000" w:themeColor="text1"/>
          <w:highlight w:val="yellow"/>
        </w:rPr>
        <w:t>let</w:t>
      </w:r>
      <w:r w:rsidRPr="00484A27">
        <w:rPr>
          <w:rFonts w:asciiTheme="minorHAnsi" w:hAnsiTheme="minorHAnsi" w:cstheme="minorHAnsi"/>
          <w:color w:val="000000" w:themeColor="text1"/>
          <w:highlight w:val="yellow"/>
        </w:rPr>
        <w:t>s with a small</w:t>
      </w:r>
      <w:r>
        <w:rPr>
          <w:rFonts w:asciiTheme="minorHAnsi" w:hAnsiTheme="minorHAnsi" w:cstheme="minorHAnsi"/>
          <w:color w:val="000000" w:themeColor="text1"/>
          <w:highlight w:val="yellow"/>
        </w:rPr>
        <w:t>er</w:t>
      </w:r>
      <w:r w:rsidRPr="00484A27">
        <w:rPr>
          <w:rFonts w:asciiTheme="minorHAnsi" w:hAnsiTheme="minorHAnsi" w:cstheme="minorHAnsi"/>
          <w:color w:val="000000" w:themeColor="text1"/>
          <w:highlight w:val="yellow"/>
        </w:rPr>
        <w:t xml:space="preserve"> pipet</w:t>
      </w:r>
      <w:r>
        <w:rPr>
          <w:rFonts w:asciiTheme="minorHAnsi" w:hAnsiTheme="minorHAnsi" w:cstheme="minorHAnsi"/>
          <w:color w:val="000000" w:themeColor="text1"/>
          <w:highlight w:val="yellow"/>
        </w:rPr>
        <w:t>te</w:t>
      </w:r>
      <w:r w:rsidRPr="00484A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e.g.</w:t>
      </w:r>
      <w:r w:rsidR="009D2F02">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Pr="00484A27">
        <w:rPr>
          <w:rFonts w:asciiTheme="minorHAnsi" w:hAnsiTheme="minorHAnsi" w:cstheme="minorHAnsi"/>
          <w:color w:val="000000" w:themeColor="text1"/>
          <w:highlight w:val="yellow"/>
        </w:rPr>
        <w:t>10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2"/>
          <w:numId w:val="22"/>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Air-dry the pellet for 1 min at room temperature.</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Remove</w:t>
      </w:r>
      <w:r w:rsidRPr="00484A27">
        <w:rPr>
          <w:rFonts w:asciiTheme="minorHAnsi" w:hAnsiTheme="minorHAnsi" w:cstheme="minorHAnsi"/>
          <w:color w:val="000000" w:themeColor="text1"/>
          <w:highlight w:val="yellow"/>
        </w:rPr>
        <w:t xml:space="preserve"> the reaction tube </w:t>
      </w:r>
      <w:r>
        <w:rPr>
          <w:rFonts w:asciiTheme="minorHAnsi" w:hAnsiTheme="minorHAnsi" w:cstheme="minorHAnsi"/>
          <w:color w:val="000000" w:themeColor="text1"/>
          <w:highlight w:val="yellow"/>
        </w:rPr>
        <w:t>from</w:t>
      </w:r>
      <w:r w:rsidRPr="00484A27">
        <w:rPr>
          <w:rFonts w:asciiTheme="minorHAnsi" w:hAnsiTheme="minorHAnsi" w:cstheme="minorHAnsi"/>
          <w:color w:val="000000" w:themeColor="text1"/>
          <w:highlight w:val="yellow"/>
        </w:rPr>
        <w:t xml:space="preserve"> the magnetic rack, resuspend the pellet in 30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sidR="009D2F02" w:rsidRPr="00F02843">
        <w:rPr>
          <w:rFonts w:asciiTheme="minorHAnsi" w:hAnsiTheme="minorHAnsi" w:cstheme="minorHAnsi"/>
          <w:color w:val="000000" w:themeColor="text1"/>
        </w:rPr>
        <w:t xml:space="preserve">of </w:t>
      </w:r>
      <w:r w:rsidRPr="00484A27">
        <w:rPr>
          <w:rFonts w:asciiTheme="minorHAnsi" w:hAnsiTheme="minorHAnsi" w:cstheme="minorHAnsi"/>
          <w:color w:val="000000" w:themeColor="text1"/>
          <w:highlight w:val="yellow"/>
        </w:rPr>
        <w:t xml:space="preserve">nuclease-free water and incubate for 2 min at room temperature. </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2"/>
          <w:numId w:val="22"/>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 xml:space="preserve">Place the reaction tube back on the magnetic rack and wait until the beads are completely pelleted. </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Remove</w:t>
      </w:r>
      <w:r w:rsidRPr="00484A27">
        <w:rPr>
          <w:rFonts w:asciiTheme="minorHAnsi" w:hAnsiTheme="minorHAnsi" w:cstheme="minorHAnsi"/>
          <w:color w:val="000000" w:themeColor="text1"/>
          <w:highlight w:val="yellow"/>
        </w:rPr>
        <w:t xml:space="preserve"> the supernatant without disturbing the pellet and </w:t>
      </w:r>
      <w:r>
        <w:rPr>
          <w:rFonts w:asciiTheme="minorHAnsi" w:hAnsiTheme="minorHAnsi" w:cstheme="minorHAnsi"/>
          <w:color w:val="000000" w:themeColor="text1"/>
          <w:highlight w:val="yellow"/>
        </w:rPr>
        <w:t>transfer</w:t>
      </w:r>
      <w:r w:rsidRPr="00484A27">
        <w:rPr>
          <w:rFonts w:asciiTheme="minorHAnsi" w:hAnsiTheme="minorHAnsi" w:cstheme="minorHAnsi"/>
          <w:color w:val="000000" w:themeColor="text1"/>
          <w:highlight w:val="yellow"/>
        </w:rPr>
        <w:t xml:space="preserve"> it to a new 1.5 mL reaction tube.</w:t>
      </w:r>
    </w:p>
    <w:p w:rsidR="0024495B" w:rsidRDefault="0024495B" w:rsidP="00C30BC2">
      <w:pPr>
        <w:rPr>
          <w:rFonts w:asciiTheme="minorHAnsi" w:hAnsiTheme="minorHAnsi" w:cstheme="minorHAnsi"/>
          <w:color w:val="000000" w:themeColor="text1"/>
        </w:rPr>
      </w:pPr>
    </w:p>
    <w:p w:rsidR="0024495B" w:rsidRPr="003D0CE5" w:rsidRDefault="0024495B" w:rsidP="00C30BC2">
      <w:pPr>
        <w:pStyle w:val="ListParagraph"/>
        <w:numPr>
          <w:ilvl w:val="1"/>
          <w:numId w:val="22"/>
        </w:numPr>
        <w:ind w:left="0" w:firstLine="0"/>
        <w:rPr>
          <w:rFonts w:asciiTheme="minorHAnsi" w:hAnsiTheme="minorHAnsi" w:cstheme="minorHAnsi"/>
          <w:color w:val="000000" w:themeColor="text1"/>
        </w:rPr>
      </w:pPr>
      <w:r w:rsidRPr="003D0CE5">
        <w:rPr>
          <w:rFonts w:asciiTheme="minorHAnsi" w:hAnsiTheme="minorHAnsi" w:cstheme="minorHAnsi"/>
          <w:color w:val="000000" w:themeColor="text1"/>
        </w:rPr>
        <w:t>Addi</w:t>
      </w:r>
      <w:r>
        <w:rPr>
          <w:rFonts w:asciiTheme="minorHAnsi" w:hAnsiTheme="minorHAnsi" w:cstheme="minorHAnsi"/>
          <w:color w:val="000000" w:themeColor="text1"/>
        </w:rPr>
        <w:t xml:space="preserve">tion of barcode adapters </w:t>
      </w:r>
      <w:r w:rsidRPr="003D0CE5">
        <w:rPr>
          <w:rFonts w:asciiTheme="minorHAnsi" w:hAnsiTheme="minorHAnsi" w:cstheme="minorHAnsi"/>
          <w:color w:val="000000" w:themeColor="text1"/>
        </w:rPr>
        <w:t xml:space="preserve">by </w:t>
      </w:r>
      <w:r>
        <w:rPr>
          <w:rFonts w:asciiTheme="minorHAnsi" w:hAnsiTheme="minorHAnsi" w:cstheme="minorHAnsi"/>
          <w:color w:val="000000" w:themeColor="text1"/>
        </w:rPr>
        <w:t xml:space="preserve">nested </w:t>
      </w:r>
      <w:r w:rsidRPr="003D0CE5">
        <w:rPr>
          <w:rFonts w:asciiTheme="minorHAnsi" w:hAnsiTheme="minorHAnsi" w:cstheme="minorHAnsi"/>
          <w:color w:val="000000" w:themeColor="text1"/>
        </w:rPr>
        <w:t>PCR</w:t>
      </w:r>
    </w:p>
    <w:p w:rsidR="0024495B" w:rsidRDefault="0024495B" w:rsidP="00C30BC2">
      <w:pPr>
        <w:rPr>
          <w:rFonts w:asciiTheme="minorHAnsi" w:hAnsiTheme="minorHAnsi" w:cstheme="minorHAnsi"/>
          <w:color w:val="000000" w:themeColor="text1"/>
        </w:rPr>
      </w:pPr>
    </w:p>
    <w:p w:rsidR="0024495B" w:rsidRDefault="0024495B" w:rsidP="00C30BC2">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Set up</w:t>
      </w:r>
      <w:r w:rsidRPr="003D0CE5">
        <w:rPr>
          <w:rFonts w:asciiTheme="minorHAnsi" w:hAnsiTheme="minorHAnsi" w:cstheme="minorHAnsi"/>
          <w:color w:val="000000" w:themeColor="text1"/>
        </w:rPr>
        <w:t xml:space="preserve"> a 50 </w:t>
      </w:r>
      <w:r>
        <w:rPr>
          <w:rFonts w:asciiTheme="minorHAnsi" w:hAnsiTheme="minorHAnsi" w:cstheme="minorHAnsi"/>
          <w:color w:val="000000" w:themeColor="text1"/>
        </w:rPr>
        <w:t>µL</w:t>
      </w:r>
      <w:r w:rsidRPr="003D0CE5">
        <w:rPr>
          <w:rFonts w:asciiTheme="minorHAnsi" w:hAnsiTheme="minorHAnsi" w:cstheme="minorHAnsi"/>
          <w:color w:val="000000" w:themeColor="text1"/>
        </w:rPr>
        <w:t xml:space="preserve"> </w:t>
      </w:r>
      <w:r>
        <w:rPr>
          <w:rFonts w:asciiTheme="minorHAnsi" w:hAnsiTheme="minorHAnsi" w:cstheme="minorHAnsi"/>
          <w:color w:val="000000" w:themeColor="text1"/>
        </w:rPr>
        <w:t>touchdown PCR</w:t>
      </w:r>
      <w:r w:rsidRPr="003D0CE5">
        <w:rPr>
          <w:rFonts w:asciiTheme="minorHAnsi" w:hAnsiTheme="minorHAnsi" w:cstheme="minorHAnsi"/>
          <w:color w:val="000000" w:themeColor="text1"/>
        </w:rPr>
        <w:t xml:space="preserve"> with </w:t>
      </w:r>
      <w:r>
        <w:rPr>
          <w:rFonts w:asciiTheme="minorHAnsi" w:hAnsiTheme="minorHAnsi" w:cstheme="minorHAnsi"/>
          <w:color w:val="000000" w:themeColor="text1"/>
        </w:rPr>
        <w:t>h</w:t>
      </w:r>
      <w:r w:rsidRPr="003D0CE5">
        <w:rPr>
          <w:rFonts w:asciiTheme="minorHAnsi" w:hAnsiTheme="minorHAnsi" w:cstheme="minorHAnsi"/>
          <w:color w:val="000000" w:themeColor="text1"/>
        </w:rPr>
        <w:t xml:space="preserve">ot </w:t>
      </w:r>
      <w:r>
        <w:rPr>
          <w:rFonts w:asciiTheme="minorHAnsi" w:hAnsiTheme="minorHAnsi" w:cstheme="minorHAnsi"/>
          <w:color w:val="000000" w:themeColor="text1"/>
        </w:rPr>
        <w:t>s</w:t>
      </w:r>
      <w:r w:rsidRPr="003D0CE5">
        <w:rPr>
          <w:rFonts w:asciiTheme="minorHAnsi" w:hAnsiTheme="minorHAnsi" w:cstheme="minorHAnsi"/>
          <w:color w:val="000000" w:themeColor="text1"/>
        </w:rPr>
        <w:t xml:space="preserve">tart High-Fidelity DNA </w:t>
      </w:r>
      <w:r>
        <w:rPr>
          <w:rFonts w:asciiTheme="minorHAnsi" w:hAnsiTheme="minorHAnsi" w:cstheme="minorHAnsi"/>
          <w:color w:val="000000" w:themeColor="text1"/>
        </w:rPr>
        <w:t>p</w:t>
      </w:r>
      <w:r w:rsidRPr="003D0CE5">
        <w:rPr>
          <w:rFonts w:asciiTheme="minorHAnsi" w:hAnsiTheme="minorHAnsi" w:cstheme="minorHAnsi"/>
          <w:color w:val="000000" w:themeColor="text1"/>
        </w:rPr>
        <w:t>olymerase</w:t>
      </w:r>
      <w:r>
        <w:rPr>
          <w:rFonts w:asciiTheme="minorHAnsi" w:hAnsiTheme="minorHAnsi" w:cstheme="minorHAnsi"/>
          <w:color w:val="000000" w:themeColor="text1"/>
        </w:rPr>
        <w:t xml:space="preserve"> with 5x reaction buffer</w:t>
      </w:r>
      <w:r w:rsidRPr="003D0CE5">
        <w:rPr>
          <w:rFonts w:asciiTheme="minorHAnsi" w:hAnsiTheme="minorHAnsi" w:cstheme="minorHAnsi"/>
          <w:color w:val="000000" w:themeColor="text1"/>
        </w:rPr>
        <w:t xml:space="preserve"> and </w:t>
      </w:r>
      <w:r>
        <w:rPr>
          <w:rFonts w:asciiTheme="minorHAnsi" w:hAnsiTheme="minorHAnsi" w:cstheme="minorHAnsi"/>
          <w:color w:val="000000" w:themeColor="text1"/>
        </w:rPr>
        <w:t>P</w:t>
      </w:r>
      <w:r w:rsidRPr="003D0CE5">
        <w:rPr>
          <w:rFonts w:asciiTheme="minorHAnsi" w:hAnsiTheme="minorHAnsi" w:cstheme="minorHAnsi"/>
          <w:color w:val="000000" w:themeColor="text1"/>
        </w:rPr>
        <w:t xml:space="preserve">rimer </w:t>
      </w:r>
      <w:r>
        <w:rPr>
          <w:rFonts w:asciiTheme="minorHAnsi" w:hAnsiTheme="minorHAnsi" w:cstheme="minorHAnsi"/>
          <w:color w:val="000000" w:themeColor="text1"/>
        </w:rPr>
        <w:t>S</w:t>
      </w:r>
      <w:r w:rsidRPr="003D0CE5">
        <w:rPr>
          <w:rFonts w:asciiTheme="minorHAnsi" w:hAnsiTheme="minorHAnsi" w:cstheme="minorHAnsi"/>
          <w:color w:val="000000" w:themeColor="text1"/>
        </w:rPr>
        <w:t xml:space="preserve">et 2 (see </w:t>
      </w:r>
      <w:r w:rsidRPr="009D2F02">
        <w:rPr>
          <w:rFonts w:asciiTheme="minorHAnsi" w:hAnsiTheme="minorHAnsi" w:cstheme="minorHAnsi"/>
          <w:b/>
          <w:color w:val="000000" w:themeColor="text1"/>
        </w:rPr>
        <w:t>Table 1</w:t>
      </w:r>
      <w:r w:rsidRPr="003D0CE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Primers in this set consist of a target sequence-specific region to allow binding of PCR products generated in step 3.2 (inside of the primer set 1 sequences), as well as an adapter sequence that is used as target in the subsequent barcoding PCR reaction (cf. section 4). If possible, set up the reaction on ice or in a 4 °C cool block. </w:t>
      </w:r>
      <w:r w:rsidRPr="003D0CE5">
        <w:rPr>
          <w:rFonts w:asciiTheme="minorHAnsi" w:hAnsiTheme="minorHAnsi" w:cstheme="minorHAnsi"/>
          <w:color w:val="000000" w:themeColor="text1"/>
        </w:rPr>
        <w:t xml:space="preserve">Use </w:t>
      </w:r>
      <w:r>
        <w:rPr>
          <w:rFonts w:asciiTheme="minorHAnsi" w:hAnsiTheme="minorHAnsi" w:cstheme="minorHAnsi"/>
          <w:color w:val="000000" w:themeColor="text1"/>
        </w:rPr>
        <w:t xml:space="preserve">1 µL of </w:t>
      </w:r>
      <w:r w:rsidRPr="003D0CE5">
        <w:rPr>
          <w:rFonts w:asciiTheme="minorHAnsi" w:hAnsiTheme="minorHAnsi" w:cstheme="minorHAnsi"/>
          <w:color w:val="000000" w:themeColor="text1"/>
        </w:rPr>
        <w:t xml:space="preserve">the </w:t>
      </w:r>
      <w:r>
        <w:rPr>
          <w:rFonts w:asciiTheme="minorHAnsi" w:hAnsiTheme="minorHAnsi" w:cstheme="minorHAnsi"/>
          <w:color w:val="000000" w:themeColor="text1"/>
        </w:rPr>
        <w:t>purified</w:t>
      </w:r>
      <w:r w:rsidRPr="003D0CE5">
        <w:rPr>
          <w:rFonts w:asciiTheme="minorHAnsi" w:hAnsiTheme="minorHAnsi" w:cstheme="minorHAnsi"/>
          <w:color w:val="000000" w:themeColor="text1"/>
        </w:rPr>
        <w:t xml:space="preserve"> PCR product </w:t>
      </w:r>
      <w:r>
        <w:rPr>
          <w:rFonts w:asciiTheme="minorHAnsi" w:hAnsiTheme="minorHAnsi" w:cstheme="minorHAnsi"/>
          <w:color w:val="000000" w:themeColor="text1"/>
        </w:rPr>
        <w:t>prepared in section 3.2</w:t>
      </w:r>
      <w:r w:rsidRPr="003D0CE5">
        <w:rPr>
          <w:rFonts w:asciiTheme="minorHAnsi" w:hAnsiTheme="minorHAnsi" w:cstheme="minorHAnsi"/>
          <w:color w:val="000000" w:themeColor="text1"/>
        </w:rPr>
        <w:t xml:space="preserve"> as template. </w:t>
      </w:r>
    </w:p>
    <w:p w:rsidR="0024495B" w:rsidRDefault="0024495B" w:rsidP="00A70103">
      <w:pPr>
        <w:pStyle w:val="ListParagraph"/>
        <w:ind w:left="0"/>
        <w:rPr>
          <w:rFonts w:asciiTheme="minorHAnsi" w:hAnsiTheme="minorHAnsi" w:cstheme="minorHAnsi"/>
          <w:color w:val="000000" w:themeColor="text1"/>
        </w:rPr>
      </w:pPr>
    </w:p>
    <w:p w:rsidR="0024495B" w:rsidRPr="003D0CE5" w:rsidRDefault="0024495B" w:rsidP="00C30BC2">
      <w:pPr>
        <w:pStyle w:val="ListParagraph"/>
        <w:numPr>
          <w:ilvl w:val="2"/>
          <w:numId w:val="22"/>
        </w:numPr>
        <w:ind w:left="0" w:firstLine="0"/>
        <w:rPr>
          <w:rFonts w:asciiTheme="minorHAnsi" w:hAnsiTheme="minorHAnsi" w:cstheme="minorHAnsi"/>
          <w:color w:val="000000" w:themeColor="text1"/>
        </w:rPr>
      </w:pPr>
      <w:r w:rsidRPr="003D0CE5">
        <w:rPr>
          <w:rFonts w:asciiTheme="minorHAnsi" w:hAnsiTheme="minorHAnsi" w:cstheme="minorHAnsi"/>
          <w:color w:val="000000" w:themeColor="text1"/>
        </w:rPr>
        <w:t xml:space="preserve">Incubate the reaction mix in a thermocycler </w:t>
      </w:r>
      <w:r>
        <w:rPr>
          <w:rFonts w:asciiTheme="minorHAnsi" w:hAnsiTheme="minorHAnsi" w:cstheme="minorHAnsi"/>
          <w:color w:val="000000" w:themeColor="text1"/>
        </w:rPr>
        <w:t>using</w:t>
      </w:r>
      <w:r w:rsidRPr="003D0CE5">
        <w:rPr>
          <w:rFonts w:asciiTheme="minorHAnsi" w:hAnsiTheme="minorHAnsi" w:cstheme="minorHAnsi"/>
          <w:color w:val="000000" w:themeColor="text1"/>
        </w:rPr>
        <w:t xml:space="preserve"> an initial denaturation step of 30 </w:t>
      </w:r>
      <w:r>
        <w:rPr>
          <w:rFonts w:asciiTheme="minorHAnsi" w:hAnsiTheme="minorHAnsi" w:cstheme="minorHAnsi"/>
          <w:color w:val="000000" w:themeColor="text1"/>
        </w:rPr>
        <w:t>s</w:t>
      </w:r>
      <w:r w:rsidRPr="003D0CE5">
        <w:rPr>
          <w:rFonts w:asciiTheme="minorHAnsi" w:hAnsiTheme="minorHAnsi" w:cstheme="minorHAnsi"/>
          <w:color w:val="000000" w:themeColor="text1"/>
        </w:rPr>
        <w:t xml:space="preserve"> at 98</w:t>
      </w:r>
      <w:r>
        <w:rPr>
          <w:rFonts w:asciiTheme="minorHAnsi" w:hAnsiTheme="minorHAnsi" w:cstheme="minorHAnsi"/>
          <w:color w:val="000000" w:themeColor="text1"/>
        </w:rPr>
        <w:t> °C,</w:t>
      </w:r>
      <w:r w:rsidRPr="003D0CE5">
        <w:rPr>
          <w:rFonts w:asciiTheme="minorHAnsi" w:hAnsiTheme="minorHAnsi" w:cstheme="minorHAnsi"/>
          <w:color w:val="000000" w:themeColor="text1"/>
        </w:rPr>
        <w:t xml:space="preserve"> followed by 10 </w:t>
      </w:r>
      <w:r>
        <w:rPr>
          <w:rFonts w:asciiTheme="minorHAnsi" w:hAnsiTheme="minorHAnsi" w:cstheme="minorHAnsi"/>
          <w:color w:val="000000" w:themeColor="text1"/>
        </w:rPr>
        <w:t xml:space="preserve">cycles with </w:t>
      </w:r>
      <w:r w:rsidRPr="003D0CE5">
        <w:rPr>
          <w:rFonts w:asciiTheme="minorHAnsi" w:hAnsiTheme="minorHAnsi" w:cstheme="minorHAnsi"/>
          <w:color w:val="000000" w:themeColor="text1"/>
        </w:rPr>
        <w:t>denaturation at 98</w:t>
      </w:r>
      <w:r>
        <w:rPr>
          <w:rFonts w:asciiTheme="minorHAnsi" w:hAnsiTheme="minorHAnsi" w:cstheme="minorHAnsi"/>
          <w:color w:val="000000" w:themeColor="text1"/>
        </w:rPr>
        <w:t> °C</w:t>
      </w:r>
      <w:r w:rsidRPr="003D0CE5">
        <w:rPr>
          <w:rFonts w:asciiTheme="minorHAnsi" w:hAnsiTheme="minorHAnsi" w:cstheme="minorHAnsi"/>
          <w:color w:val="000000" w:themeColor="text1"/>
        </w:rPr>
        <w:t xml:space="preserve"> for 10 </w:t>
      </w:r>
      <w:r>
        <w:rPr>
          <w:rFonts w:asciiTheme="minorHAnsi" w:hAnsiTheme="minorHAnsi" w:cstheme="minorHAnsi"/>
          <w:color w:val="000000" w:themeColor="text1"/>
        </w:rPr>
        <w:t>s</w:t>
      </w:r>
      <w:r w:rsidRPr="003D0CE5">
        <w:rPr>
          <w:rFonts w:asciiTheme="minorHAnsi" w:hAnsiTheme="minorHAnsi" w:cstheme="minorHAnsi"/>
          <w:color w:val="000000" w:themeColor="text1"/>
        </w:rPr>
        <w:t xml:space="preserve">, primer annealing for 20 </w:t>
      </w:r>
      <w:r>
        <w:rPr>
          <w:rFonts w:asciiTheme="minorHAnsi" w:hAnsiTheme="minorHAnsi" w:cstheme="minorHAnsi"/>
          <w:color w:val="000000" w:themeColor="text1"/>
        </w:rPr>
        <w:t>s</w:t>
      </w:r>
      <w:r w:rsidRPr="003D0CE5">
        <w:rPr>
          <w:rFonts w:asciiTheme="minorHAnsi" w:hAnsiTheme="minorHAnsi" w:cstheme="minorHAnsi"/>
          <w:color w:val="000000" w:themeColor="text1"/>
        </w:rPr>
        <w:t xml:space="preserve"> at 65</w:t>
      </w:r>
      <w:r>
        <w:rPr>
          <w:rFonts w:asciiTheme="minorHAnsi" w:hAnsiTheme="minorHAnsi" w:cstheme="minorHAnsi"/>
          <w:color w:val="000000" w:themeColor="text1"/>
        </w:rPr>
        <w:t> °C,</w:t>
      </w:r>
      <w:r w:rsidRPr="003D0CE5">
        <w:rPr>
          <w:rFonts w:asciiTheme="minorHAnsi" w:hAnsiTheme="minorHAnsi" w:cstheme="minorHAnsi"/>
          <w:color w:val="000000" w:themeColor="text1"/>
        </w:rPr>
        <w:t xml:space="preserve"> </w:t>
      </w:r>
      <w:r>
        <w:rPr>
          <w:rFonts w:asciiTheme="minorHAnsi" w:hAnsiTheme="minorHAnsi" w:cstheme="minorHAnsi"/>
          <w:color w:val="000000" w:themeColor="text1"/>
        </w:rPr>
        <w:t>lowering the temperature by 0.5 °C per cycle,</w:t>
      </w:r>
      <w:r w:rsidRPr="00F02843">
        <w:rPr>
          <w:rFonts w:asciiTheme="minorHAnsi" w:hAnsiTheme="minorHAnsi" w:cstheme="minorHAnsi"/>
          <w:color w:val="000000" w:themeColor="text1"/>
        </w:rPr>
        <w:t xml:space="preserve"> </w:t>
      </w:r>
      <w:r w:rsidRPr="003D0CE5">
        <w:rPr>
          <w:rFonts w:asciiTheme="minorHAnsi" w:hAnsiTheme="minorHAnsi" w:cstheme="minorHAnsi"/>
          <w:color w:val="000000" w:themeColor="text1"/>
        </w:rPr>
        <w:t>and elongation for 1 min at 72</w:t>
      </w:r>
      <w:r>
        <w:rPr>
          <w:rFonts w:asciiTheme="minorHAnsi" w:hAnsiTheme="minorHAnsi" w:cstheme="minorHAnsi"/>
          <w:color w:val="000000" w:themeColor="text1"/>
        </w:rPr>
        <w:t> °C</w:t>
      </w:r>
      <w:r w:rsidRPr="003D0CE5">
        <w:rPr>
          <w:rFonts w:asciiTheme="minorHAnsi" w:hAnsiTheme="minorHAnsi" w:cstheme="minorHAnsi"/>
          <w:color w:val="000000" w:themeColor="text1"/>
        </w:rPr>
        <w:t xml:space="preserve">. Subsequently, incubate the reaction </w:t>
      </w:r>
      <w:r>
        <w:rPr>
          <w:rFonts w:asciiTheme="minorHAnsi" w:hAnsiTheme="minorHAnsi" w:cstheme="minorHAnsi"/>
          <w:color w:val="000000" w:themeColor="text1"/>
        </w:rPr>
        <w:t xml:space="preserve">for a further </w:t>
      </w:r>
      <w:r w:rsidRPr="003D0CE5">
        <w:rPr>
          <w:rFonts w:asciiTheme="minorHAnsi" w:hAnsiTheme="minorHAnsi" w:cstheme="minorHAnsi"/>
          <w:color w:val="000000" w:themeColor="text1"/>
        </w:rPr>
        <w:t xml:space="preserve">30 </w:t>
      </w:r>
      <w:r>
        <w:rPr>
          <w:rFonts w:asciiTheme="minorHAnsi" w:hAnsiTheme="minorHAnsi" w:cstheme="minorHAnsi"/>
          <w:color w:val="000000" w:themeColor="text1"/>
        </w:rPr>
        <w:t>cycles</w:t>
      </w:r>
      <w:r w:rsidRPr="003D0CE5">
        <w:rPr>
          <w:rFonts w:asciiTheme="minorHAnsi" w:hAnsiTheme="minorHAnsi" w:cstheme="minorHAnsi"/>
          <w:color w:val="000000" w:themeColor="text1"/>
        </w:rPr>
        <w:t xml:space="preserve"> for 10 </w:t>
      </w:r>
      <w:r>
        <w:rPr>
          <w:rFonts w:asciiTheme="minorHAnsi" w:hAnsiTheme="minorHAnsi" w:cstheme="minorHAnsi"/>
          <w:color w:val="000000" w:themeColor="text1"/>
        </w:rPr>
        <w:t>s</w:t>
      </w:r>
      <w:r w:rsidRPr="003D0CE5">
        <w:rPr>
          <w:rFonts w:asciiTheme="minorHAnsi" w:hAnsiTheme="minorHAnsi" w:cstheme="minorHAnsi"/>
          <w:color w:val="000000" w:themeColor="text1"/>
        </w:rPr>
        <w:t xml:space="preserve"> at 98</w:t>
      </w:r>
      <w:r>
        <w:rPr>
          <w:rFonts w:asciiTheme="minorHAnsi" w:hAnsiTheme="minorHAnsi" w:cstheme="minorHAnsi"/>
          <w:color w:val="000000" w:themeColor="text1"/>
        </w:rPr>
        <w:t> °C</w:t>
      </w:r>
      <w:r w:rsidRPr="003D0CE5">
        <w:rPr>
          <w:rFonts w:asciiTheme="minorHAnsi" w:hAnsiTheme="minorHAnsi" w:cstheme="minorHAnsi"/>
          <w:color w:val="000000" w:themeColor="text1"/>
        </w:rPr>
        <w:t>, 20</w:t>
      </w:r>
      <w:r>
        <w:rPr>
          <w:rFonts w:asciiTheme="minorHAnsi" w:hAnsiTheme="minorHAnsi" w:cstheme="minorHAnsi"/>
          <w:color w:val="000000" w:themeColor="text1"/>
        </w:rPr>
        <w:t xml:space="preserve"> s</w:t>
      </w:r>
      <w:r w:rsidRPr="003D0CE5">
        <w:rPr>
          <w:rFonts w:asciiTheme="minorHAnsi" w:hAnsiTheme="minorHAnsi" w:cstheme="minorHAnsi"/>
          <w:color w:val="000000" w:themeColor="text1"/>
        </w:rPr>
        <w:t xml:space="preserve"> at </w:t>
      </w:r>
      <w:r>
        <w:rPr>
          <w:rFonts w:asciiTheme="minorHAnsi" w:hAnsiTheme="minorHAnsi" w:cstheme="minorHAnsi"/>
          <w:color w:val="000000" w:themeColor="text1"/>
        </w:rPr>
        <w:t>71 °C,</w:t>
      </w:r>
      <w:r w:rsidRPr="003D0CE5">
        <w:rPr>
          <w:rFonts w:asciiTheme="minorHAnsi" w:hAnsiTheme="minorHAnsi" w:cstheme="minorHAnsi"/>
          <w:color w:val="000000" w:themeColor="text1"/>
        </w:rPr>
        <w:t xml:space="preserve"> and </w:t>
      </w:r>
      <w:r>
        <w:rPr>
          <w:rFonts w:asciiTheme="minorHAnsi" w:hAnsiTheme="minorHAnsi" w:cstheme="minorHAnsi"/>
          <w:color w:val="000000" w:themeColor="text1"/>
        </w:rPr>
        <w:t xml:space="preserve">1 min </w:t>
      </w:r>
      <w:r w:rsidRPr="003D0CE5">
        <w:rPr>
          <w:rFonts w:asciiTheme="minorHAnsi" w:hAnsiTheme="minorHAnsi" w:cstheme="minorHAnsi"/>
          <w:color w:val="000000" w:themeColor="text1"/>
        </w:rPr>
        <w:t>at 72</w:t>
      </w:r>
      <w:r>
        <w:rPr>
          <w:rFonts w:asciiTheme="minorHAnsi" w:hAnsiTheme="minorHAnsi" w:cstheme="minorHAnsi"/>
          <w:color w:val="000000" w:themeColor="text1"/>
        </w:rPr>
        <w:t xml:space="preserve"> °C, </w:t>
      </w:r>
      <w:r w:rsidRPr="003D0CE5">
        <w:rPr>
          <w:rFonts w:asciiTheme="minorHAnsi" w:hAnsiTheme="minorHAnsi" w:cstheme="minorHAnsi"/>
          <w:color w:val="000000" w:themeColor="text1"/>
        </w:rPr>
        <w:t>followed by a final elongation step of 5 min at 72</w:t>
      </w:r>
      <w:r>
        <w:rPr>
          <w:rFonts w:asciiTheme="minorHAnsi" w:hAnsiTheme="minorHAnsi" w:cstheme="minorHAnsi"/>
          <w:color w:val="000000" w:themeColor="text1"/>
        </w:rPr>
        <w:t> °C</w:t>
      </w:r>
      <w:r w:rsidRPr="003D0CE5">
        <w:rPr>
          <w:rFonts w:asciiTheme="minorHAnsi" w:hAnsiTheme="minorHAnsi" w:cstheme="minorHAnsi"/>
          <w:color w:val="000000" w:themeColor="text1"/>
        </w:rPr>
        <w:t>.</w:t>
      </w:r>
      <w:r w:rsidR="00336ECE">
        <w:rPr>
          <w:rFonts w:asciiTheme="minorHAnsi" w:hAnsiTheme="minorHAnsi" w:cstheme="minorHAnsi"/>
          <w:color w:val="000000" w:themeColor="text1"/>
        </w:rPr>
        <w:t xml:space="preserve"> </w:t>
      </w:r>
    </w:p>
    <w:p w:rsidR="0024495B" w:rsidRPr="00F16169" w:rsidRDefault="0024495B" w:rsidP="00C30BC2">
      <w:pPr>
        <w:rPr>
          <w:rFonts w:asciiTheme="minorHAnsi" w:hAnsiTheme="minorHAnsi" w:cstheme="minorHAnsi"/>
          <w:color w:val="000000" w:themeColor="text1"/>
        </w:rPr>
      </w:pPr>
    </w:p>
    <w:p w:rsidR="0024495B" w:rsidRPr="003D0CE5" w:rsidRDefault="0024495B" w:rsidP="00C30BC2">
      <w:pPr>
        <w:pStyle w:val="ListParagraph"/>
        <w:numPr>
          <w:ilvl w:val="2"/>
          <w:numId w:val="22"/>
        </w:numPr>
        <w:ind w:left="0" w:firstLine="0"/>
        <w:rPr>
          <w:rFonts w:asciiTheme="minorHAnsi" w:hAnsiTheme="minorHAnsi" w:cstheme="minorHAnsi"/>
          <w:color w:val="000000" w:themeColor="text1"/>
        </w:rPr>
      </w:pPr>
      <w:r w:rsidRPr="003D0CE5">
        <w:rPr>
          <w:rFonts w:asciiTheme="minorHAnsi" w:hAnsiTheme="minorHAnsi" w:cstheme="minorHAnsi"/>
          <w:color w:val="000000" w:themeColor="text1"/>
        </w:rPr>
        <w:t xml:space="preserve">Clean up the PCR product using </w:t>
      </w:r>
      <w:r>
        <w:rPr>
          <w:rFonts w:asciiTheme="minorHAnsi" w:hAnsiTheme="minorHAnsi" w:cstheme="minorHAnsi"/>
          <w:color w:val="000000" w:themeColor="text1"/>
        </w:rPr>
        <w:t>magnetic</w:t>
      </w:r>
      <w:r w:rsidRPr="003D0CE5">
        <w:rPr>
          <w:rFonts w:asciiTheme="minorHAnsi" w:hAnsiTheme="minorHAnsi" w:cstheme="minorHAnsi"/>
          <w:color w:val="000000" w:themeColor="text1"/>
        </w:rPr>
        <w:t xml:space="preserve"> beads as described in </w:t>
      </w:r>
      <w:r>
        <w:rPr>
          <w:rFonts w:asciiTheme="minorHAnsi" w:hAnsiTheme="minorHAnsi" w:cstheme="minorHAnsi"/>
          <w:color w:val="000000" w:themeColor="text1"/>
        </w:rPr>
        <w:t xml:space="preserve">section </w:t>
      </w:r>
      <w:r w:rsidRPr="003D0CE5">
        <w:rPr>
          <w:rFonts w:asciiTheme="minorHAnsi" w:hAnsiTheme="minorHAnsi" w:cstheme="minorHAnsi"/>
          <w:color w:val="000000" w:themeColor="text1"/>
        </w:rPr>
        <w:t>3.2</w:t>
      </w:r>
      <w:r>
        <w:rPr>
          <w:rFonts w:asciiTheme="minorHAnsi" w:hAnsiTheme="minorHAnsi" w:cstheme="minorHAnsi"/>
          <w:color w:val="000000" w:themeColor="text1"/>
        </w:rPr>
        <w:t>.</w:t>
      </w:r>
    </w:p>
    <w:p w:rsidR="0024495B" w:rsidRPr="008958F1" w:rsidRDefault="0024495B" w:rsidP="00C30BC2">
      <w:pPr>
        <w:pStyle w:val="ListParagraph"/>
        <w:ind w:left="0"/>
        <w:rPr>
          <w:rFonts w:asciiTheme="minorHAnsi" w:hAnsiTheme="minorHAnsi" w:cstheme="minorHAnsi"/>
          <w:color w:val="000000" w:themeColor="text1"/>
        </w:rPr>
      </w:pPr>
    </w:p>
    <w:p w:rsidR="0024495B" w:rsidRPr="003D0CE5" w:rsidRDefault="0024495B" w:rsidP="00C30BC2">
      <w:pPr>
        <w:rPr>
          <w:rFonts w:asciiTheme="minorHAnsi" w:hAnsiTheme="minorHAnsi" w:cstheme="minorHAnsi"/>
          <w:b/>
          <w:color w:val="000000" w:themeColor="text1"/>
        </w:rPr>
      </w:pPr>
      <w:r>
        <w:rPr>
          <w:rFonts w:asciiTheme="minorHAnsi" w:hAnsiTheme="minorHAnsi" w:cstheme="minorHAnsi"/>
          <w:b/>
          <w:color w:val="000000" w:themeColor="text1"/>
        </w:rPr>
        <w:t xml:space="preserve">4. </w:t>
      </w:r>
      <w:r w:rsidRPr="003D0CE5">
        <w:rPr>
          <w:rFonts w:asciiTheme="minorHAnsi" w:hAnsiTheme="minorHAnsi" w:cstheme="minorHAnsi"/>
          <w:b/>
          <w:color w:val="000000" w:themeColor="text1"/>
        </w:rPr>
        <w:t>Barcoding of NPC1 amplicons</w:t>
      </w:r>
    </w:p>
    <w:p w:rsidR="0024495B" w:rsidRPr="008958F1" w:rsidRDefault="0024495B" w:rsidP="00C30BC2">
      <w:pPr>
        <w:rPr>
          <w:rFonts w:asciiTheme="minorHAnsi" w:hAnsiTheme="minorHAnsi" w:cstheme="minorHAnsi"/>
          <w:color w:val="000000" w:themeColor="text1"/>
        </w:rPr>
      </w:pPr>
    </w:p>
    <w:p w:rsidR="0024495B" w:rsidRDefault="0024495B" w:rsidP="00C30BC2">
      <w:pPr>
        <w:pStyle w:val="ListParagraph"/>
        <w:numPr>
          <w:ilvl w:val="1"/>
          <w:numId w:val="23"/>
        </w:numPr>
        <w:ind w:left="0" w:firstLine="0"/>
        <w:rPr>
          <w:rFonts w:asciiTheme="minorHAnsi" w:hAnsiTheme="minorHAnsi" w:cstheme="minorHAnsi"/>
          <w:color w:val="000000" w:themeColor="text1"/>
        </w:rPr>
      </w:pPr>
      <w:r>
        <w:rPr>
          <w:rFonts w:asciiTheme="minorHAnsi" w:hAnsiTheme="minorHAnsi" w:cstheme="minorHAnsi"/>
          <w:color w:val="000000" w:themeColor="text1"/>
        </w:rPr>
        <w:t>For each PCR product generated in section 3, set up a</w:t>
      </w:r>
      <w:r w:rsidRPr="00D73DB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barcoding </w:t>
      </w:r>
      <w:r w:rsidRPr="00D73DB8">
        <w:rPr>
          <w:rFonts w:asciiTheme="minorHAnsi" w:hAnsiTheme="minorHAnsi" w:cstheme="minorHAnsi"/>
          <w:color w:val="000000" w:themeColor="text1"/>
        </w:rPr>
        <w:t xml:space="preserve">PCR </w:t>
      </w:r>
      <w:r>
        <w:rPr>
          <w:rFonts w:asciiTheme="minorHAnsi" w:hAnsiTheme="minorHAnsi" w:cstheme="minorHAnsi"/>
          <w:color w:val="000000" w:themeColor="text1"/>
        </w:rPr>
        <w:t xml:space="preserve">reaction </w:t>
      </w:r>
      <w:r w:rsidRPr="00D73DB8">
        <w:rPr>
          <w:rFonts w:asciiTheme="minorHAnsi" w:hAnsiTheme="minorHAnsi" w:cstheme="minorHAnsi"/>
          <w:color w:val="000000" w:themeColor="text1"/>
        </w:rPr>
        <w:t xml:space="preserve">in a 0.2 </w:t>
      </w:r>
      <w:r>
        <w:rPr>
          <w:rFonts w:asciiTheme="minorHAnsi" w:hAnsiTheme="minorHAnsi" w:cstheme="minorHAnsi"/>
          <w:color w:val="000000" w:themeColor="text1"/>
        </w:rPr>
        <w:t>mL</w:t>
      </w:r>
      <w:r w:rsidRPr="00D73DB8">
        <w:rPr>
          <w:rFonts w:asciiTheme="minorHAnsi" w:hAnsiTheme="minorHAnsi" w:cstheme="minorHAnsi"/>
          <w:color w:val="000000" w:themeColor="text1"/>
        </w:rPr>
        <w:t xml:space="preserve"> reaction tube </w:t>
      </w:r>
      <w:r>
        <w:rPr>
          <w:rFonts w:asciiTheme="minorHAnsi" w:hAnsiTheme="minorHAnsi" w:cstheme="minorHAnsi"/>
          <w:color w:val="000000" w:themeColor="text1"/>
        </w:rPr>
        <w:t xml:space="preserve">using </w:t>
      </w:r>
      <w:r w:rsidRPr="00D73DB8">
        <w:rPr>
          <w:rFonts w:asciiTheme="minorHAnsi" w:hAnsiTheme="minorHAnsi" w:cstheme="minorHAnsi"/>
          <w:color w:val="000000" w:themeColor="text1"/>
        </w:rPr>
        <w:t xml:space="preserve">50 </w:t>
      </w:r>
      <w:r>
        <w:rPr>
          <w:rFonts w:asciiTheme="minorHAnsi" w:hAnsiTheme="minorHAnsi" w:cstheme="minorHAnsi"/>
          <w:color w:val="000000" w:themeColor="text1"/>
        </w:rPr>
        <w:t xml:space="preserve">µL </w:t>
      </w:r>
      <w:r w:rsidR="009D2F02" w:rsidRPr="00F02843">
        <w:rPr>
          <w:rFonts w:asciiTheme="minorHAnsi" w:hAnsiTheme="minorHAnsi" w:cstheme="minorHAnsi"/>
          <w:color w:val="000000" w:themeColor="text1"/>
        </w:rPr>
        <w:t xml:space="preserve">of </w:t>
      </w:r>
      <w:proofErr w:type="spellStart"/>
      <w:r>
        <w:rPr>
          <w:rFonts w:asciiTheme="minorHAnsi" w:hAnsiTheme="minorHAnsi" w:cstheme="minorHAnsi"/>
          <w:color w:val="000000" w:themeColor="text1"/>
        </w:rPr>
        <w:t>Taq</w:t>
      </w:r>
      <w:proofErr w:type="spellEnd"/>
      <w:r>
        <w:rPr>
          <w:rFonts w:asciiTheme="minorHAnsi" w:hAnsiTheme="minorHAnsi" w:cstheme="minorHAnsi"/>
          <w:color w:val="000000" w:themeColor="text1"/>
        </w:rPr>
        <w:t xml:space="preserve"> DNA polymerase 2x master mix (see </w:t>
      </w:r>
      <w:r w:rsidRPr="009D2F02">
        <w:rPr>
          <w:rFonts w:asciiTheme="minorHAnsi" w:hAnsiTheme="minorHAnsi" w:cstheme="minorHAnsi"/>
          <w:b/>
          <w:color w:val="000000" w:themeColor="text1"/>
        </w:rPr>
        <w:t>Table of Materials</w:t>
      </w:r>
      <w:r>
        <w:rPr>
          <w:rFonts w:asciiTheme="minorHAnsi" w:hAnsiTheme="minorHAnsi" w:cstheme="minorHAnsi"/>
          <w:color w:val="000000" w:themeColor="text1"/>
        </w:rPr>
        <w:t>)</w:t>
      </w:r>
      <w:r w:rsidRPr="00D73DB8">
        <w:rPr>
          <w:rFonts w:asciiTheme="minorHAnsi" w:hAnsiTheme="minorHAnsi" w:cstheme="minorHAnsi"/>
          <w:color w:val="000000" w:themeColor="text1"/>
        </w:rPr>
        <w:t xml:space="preserve">, 2 </w:t>
      </w:r>
      <w:r>
        <w:rPr>
          <w:rFonts w:asciiTheme="minorHAnsi" w:hAnsiTheme="minorHAnsi" w:cstheme="minorHAnsi"/>
          <w:color w:val="000000" w:themeColor="text1"/>
        </w:rPr>
        <w:t>µL</w:t>
      </w:r>
      <w:r w:rsidRPr="00D73DB8">
        <w:rPr>
          <w:rFonts w:asciiTheme="minorHAnsi" w:hAnsiTheme="minorHAnsi" w:cstheme="minorHAnsi"/>
          <w:color w:val="000000" w:themeColor="text1"/>
        </w:rPr>
        <w:t xml:space="preserve"> of one of the barcode primer</w:t>
      </w:r>
      <w:r>
        <w:rPr>
          <w:rFonts w:asciiTheme="minorHAnsi" w:hAnsiTheme="minorHAnsi" w:cstheme="minorHAnsi"/>
          <w:color w:val="000000" w:themeColor="text1"/>
        </w:rPr>
        <w:t>s</w:t>
      </w:r>
      <w:r w:rsidRPr="00D73DB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from a PCR barcoding kit (see </w:t>
      </w:r>
      <w:r w:rsidRPr="009D2F02">
        <w:rPr>
          <w:rFonts w:asciiTheme="minorHAnsi" w:hAnsiTheme="minorHAnsi" w:cstheme="minorHAnsi"/>
          <w:b/>
          <w:color w:val="000000" w:themeColor="text1"/>
        </w:rPr>
        <w:t>Table of Materials</w:t>
      </w:r>
      <w:r>
        <w:rPr>
          <w:rFonts w:asciiTheme="minorHAnsi" w:hAnsiTheme="minorHAnsi" w:cstheme="minorHAnsi"/>
          <w:color w:val="000000" w:themeColor="text1"/>
        </w:rPr>
        <w:t xml:space="preserve"> and </w:t>
      </w:r>
      <w:r w:rsidRPr="009D2F02">
        <w:rPr>
          <w:rFonts w:asciiTheme="minorHAnsi" w:hAnsiTheme="minorHAnsi" w:cstheme="minorHAnsi"/>
          <w:b/>
          <w:color w:val="000000" w:themeColor="text1"/>
        </w:rPr>
        <w:t>Table 2</w:t>
      </w:r>
      <w:r>
        <w:rPr>
          <w:rFonts w:asciiTheme="minorHAnsi" w:hAnsiTheme="minorHAnsi" w:cstheme="minorHAnsi"/>
          <w:color w:val="000000" w:themeColor="text1"/>
        </w:rPr>
        <w:t xml:space="preserve">), </w:t>
      </w:r>
      <w:r w:rsidRPr="00D73DB8">
        <w:rPr>
          <w:rFonts w:asciiTheme="minorHAnsi" w:hAnsiTheme="minorHAnsi" w:cstheme="minorHAnsi"/>
          <w:color w:val="000000" w:themeColor="text1"/>
        </w:rPr>
        <w:t xml:space="preserve">and 1 </w:t>
      </w:r>
      <w:r>
        <w:rPr>
          <w:rFonts w:asciiTheme="minorHAnsi" w:hAnsiTheme="minorHAnsi" w:cstheme="minorHAnsi"/>
          <w:color w:val="000000" w:themeColor="text1"/>
        </w:rPr>
        <w:t>µL</w:t>
      </w:r>
      <w:r w:rsidRPr="00D73DB8">
        <w:rPr>
          <w:rFonts w:asciiTheme="minorHAnsi" w:hAnsiTheme="minorHAnsi" w:cstheme="minorHAnsi"/>
          <w:color w:val="000000" w:themeColor="text1"/>
        </w:rPr>
        <w:t xml:space="preserve"> of </w:t>
      </w:r>
      <w:r>
        <w:rPr>
          <w:rFonts w:asciiTheme="minorHAnsi" w:hAnsiTheme="minorHAnsi" w:cstheme="minorHAnsi"/>
          <w:color w:val="000000" w:themeColor="text1"/>
        </w:rPr>
        <w:t xml:space="preserve">purified </w:t>
      </w:r>
      <w:r w:rsidRPr="00D73DB8">
        <w:rPr>
          <w:rFonts w:asciiTheme="minorHAnsi" w:hAnsiTheme="minorHAnsi" w:cstheme="minorHAnsi"/>
          <w:color w:val="000000" w:themeColor="text1"/>
        </w:rPr>
        <w:t xml:space="preserve">PCR product </w:t>
      </w:r>
      <w:r>
        <w:rPr>
          <w:rFonts w:asciiTheme="minorHAnsi" w:hAnsiTheme="minorHAnsi" w:cstheme="minorHAnsi"/>
          <w:color w:val="000000" w:themeColor="text1"/>
        </w:rPr>
        <w:t xml:space="preserve">from step 3.3.2 </w:t>
      </w:r>
      <w:r w:rsidRPr="00D73DB8">
        <w:rPr>
          <w:rFonts w:asciiTheme="minorHAnsi" w:hAnsiTheme="minorHAnsi" w:cstheme="minorHAnsi"/>
          <w:color w:val="000000" w:themeColor="text1"/>
        </w:rPr>
        <w:t>as template. Add 47</w:t>
      </w:r>
      <w:r>
        <w:rPr>
          <w:rFonts w:asciiTheme="minorHAnsi" w:hAnsiTheme="minorHAnsi" w:cstheme="minorHAnsi"/>
          <w:color w:val="000000" w:themeColor="text1"/>
        </w:rPr>
        <w:t> µL</w:t>
      </w:r>
      <w:r w:rsidRPr="00D73DB8">
        <w:rPr>
          <w:rFonts w:asciiTheme="minorHAnsi" w:hAnsiTheme="minorHAnsi" w:cstheme="minorHAnsi"/>
          <w:color w:val="000000" w:themeColor="text1"/>
        </w:rPr>
        <w:t xml:space="preserve"> </w:t>
      </w:r>
      <w:r>
        <w:rPr>
          <w:rFonts w:asciiTheme="minorHAnsi" w:hAnsiTheme="minorHAnsi" w:cstheme="minorHAnsi"/>
          <w:color w:val="000000" w:themeColor="text1"/>
        </w:rPr>
        <w:t>of nuclease free water t</w:t>
      </w:r>
      <w:r w:rsidRPr="00D73DB8">
        <w:rPr>
          <w:rFonts w:asciiTheme="minorHAnsi" w:hAnsiTheme="minorHAnsi" w:cstheme="minorHAnsi"/>
          <w:color w:val="000000" w:themeColor="text1"/>
        </w:rPr>
        <w:t xml:space="preserve">o </w:t>
      </w:r>
      <w:r>
        <w:rPr>
          <w:rFonts w:asciiTheme="minorHAnsi" w:hAnsiTheme="minorHAnsi" w:cstheme="minorHAnsi"/>
          <w:color w:val="000000" w:themeColor="text1"/>
        </w:rPr>
        <w:t xml:space="preserve">obtain </w:t>
      </w:r>
      <w:r w:rsidRPr="00D73DB8">
        <w:rPr>
          <w:rFonts w:asciiTheme="minorHAnsi" w:hAnsiTheme="minorHAnsi" w:cstheme="minorHAnsi"/>
          <w:color w:val="000000" w:themeColor="text1"/>
        </w:rPr>
        <w:lastRenderedPageBreak/>
        <w:t xml:space="preserve">a final volume of 100 </w:t>
      </w:r>
      <w:r>
        <w:rPr>
          <w:rFonts w:asciiTheme="minorHAnsi" w:hAnsiTheme="minorHAnsi" w:cstheme="minorHAnsi"/>
          <w:color w:val="000000" w:themeColor="text1"/>
        </w:rPr>
        <w:t>µL.</w:t>
      </w:r>
      <w:r w:rsidRPr="00D73DB8">
        <w:rPr>
          <w:rFonts w:asciiTheme="minorHAnsi" w:hAnsiTheme="minorHAnsi" w:cstheme="minorHAnsi"/>
          <w:color w:val="000000" w:themeColor="text1"/>
        </w:rPr>
        <w:t xml:space="preserve"> </w:t>
      </w:r>
    </w:p>
    <w:p w:rsidR="0024495B" w:rsidRDefault="0024495B" w:rsidP="00E5318B">
      <w:pPr>
        <w:pStyle w:val="ListParagraph"/>
        <w:ind w:left="0"/>
        <w:rPr>
          <w:rFonts w:asciiTheme="minorHAnsi" w:hAnsiTheme="minorHAnsi" w:cstheme="minorHAnsi"/>
          <w:color w:val="000000" w:themeColor="text1"/>
        </w:rPr>
      </w:pPr>
    </w:p>
    <w:p w:rsidR="0024495B" w:rsidRPr="00D73DB8" w:rsidRDefault="0024495B" w:rsidP="00C30BC2">
      <w:pPr>
        <w:pStyle w:val="ListParagraph"/>
        <w:numPr>
          <w:ilvl w:val="1"/>
          <w:numId w:val="23"/>
        </w:numPr>
        <w:ind w:left="0" w:firstLine="0"/>
        <w:rPr>
          <w:rFonts w:asciiTheme="minorHAnsi" w:hAnsiTheme="minorHAnsi" w:cstheme="minorHAnsi"/>
          <w:color w:val="000000" w:themeColor="text1"/>
        </w:rPr>
      </w:pPr>
      <w:r>
        <w:rPr>
          <w:rFonts w:asciiTheme="minorHAnsi" w:hAnsiTheme="minorHAnsi" w:cstheme="minorHAnsi"/>
          <w:color w:val="000000" w:themeColor="text1"/>
        </w:rPr>
        <w:t>Incubate</w:t>
      </w:r>
      <w:r w:rsidRPr="00D73DB8">
        <w:rPr>
          <w:rFonts w:asciiTheme="minorHAnsi" w:hAnsiTheme="minorHAnsi" w:cstheme="minorHAnsi"/>
          <w:color w:val="000000" w:themeColor="text1"/>
        </w:rPr>
        <w:t xml:space="preserve"> the reaction in a thermocycler at 95</w:t>
      </w:r>
      <w:r>
        <w:rPr>
          <w:rFonts w:asciiTheme="minorHAnsi" w:hAnsiTheme="minorHAnsi" w:cstheme="minorHAnsi"/>
          <w:color w:val="000000" w:themeColor="text1"/>
        </w:rPr>
        <w:t> °C</w:t>
      </w:r>
      <w:r w:rsidRPr="00D73DB8">
        <w:rPr>
          <w:rFonts w:asciiTheme="minorHAnsi" w:hAnsiTheme="minorHAnsi" w:cstheme="minorHAnsi"/>
          <w:color w:val="000000" w:themeColor="text1"/>
        </w:rPr>
        <w:t xml:space="preserve"> for 3 min as </w:t>
      </w:r>
      <w:r>
        <w:rPr>
          <w:rFonts w:asciiTheme="minorHAnsi" w:hAnsiTheme="minorHAnsi" w:cstheme="minorHAnsi"/>
          <w:color w:val="000000" w:themeColor="text1"/>
        </w:rPr>
        <w:t xml:space="preserve">an </w:t>
      </w:r>
      <w:r w:rsidRPr="00D73DB8">
        <w:rPr>
          <w:rFonts w:asciiTheme="minorHAnsi" w:hAnsiTheme="minorHAnsi" w:cstheme="minorHAnsi"/>
          <w:color w:val="000000" w:themeColor="text1"/>
        </w:rPr>
        <w:t xml:space="preserve">initial denaturation. Subsequently, </w:t>
      </w:r>
      <w:r>
        <w:rPr>
          <w:rFonts w:asciiTheme="minorHAnsi" w:hAnsiTheme="minorHAnsi" w:cstheme="minorHAnsi"/>
          <w:color w:val="000000" w:themeColor="text1"/>
        </w:rPr>
        <w:t>run</w:t>
      </w:r>
      <w:r w:rsidRPr="00D73DB8">
        <w:rPr>
          <w:rFonts w:asciiTheme="minorHAnsi" w:hAnsiTheme="minorHAnsi" w:cstheme="minorHAnsi"/>
          <w:color w:val="000000" w:themeColor="text1"/>
        </w:rPr>
        <w:t xml:space="preserve"> 15 cycles </w:t>
      </w:r>
      <w:r>
        <w:rPr>
          <w:rFonts w:asciiTheme="minorHAnsi" w:hAnsiTheme="minorHAnsi" w:cstheme="minorHAnsi"/>
          <w:color w:val="000000" w:themeColor="text1"/>
        </w:rPr>
        <w:t>for</w:t>
      </w:r>
      <w:r w:rsidRPr="00D73DB8">
        <w:rPr>
          <w:rFonts w:asciiTheme="minorHAnsi" w:hAnsiTheme="minorHAnsi" w:cstheme="minorHAnsi"/>
          <w:color w:val="000000" w:themeColor="text1"/>
        </w:rPr>
        <w:t xml:space="preserve"> 15 </w:t>
      </w:r>
      <w:r>
        <w:rPr>
          <w:rFonts w:asciiTheme="minorHAnsi" w:hAnsiTheme="minorHAnsi" w:cstheme="minorHAnsi"/>
          <w:color w:val="000000" w:themeColor="text1"/>
        </w:rPr>
        <w:t>s</w:t>
      </w:r>
      <w:r w:rsidRPr="00D73DB8">
        <w:rPr>
          <w:rFonts w:asciiTheme="minorHAnsi" w:hAnsiTheme="minorHAnsi" w:cstheme="minorHAnsi"/>
          <w:color w:val="000000" w:themeColor="text1"/>
        </w:rPr>
        <w:t xml:space="preserve"> at 95</w:t>
      </w:r>
      <w:r>
        <w:rPr>
          <w:rFonts w:asciiTheme="minorHAnsi" w:hAnsiTheme="minorHAnsi" w:cstheme="minorHAnsi"/>
          <w:color w:val="000000" w:themeColor="text1"/>
        </w:rPr>
        <w:t> °C</w:t>
      </w:r>
      <w:r w:rsidRPr="00D73DB8">
        <w:rPr>
          <w:rFonts w:asciiTheme="minorHAnsi" w:hAnsiTheme="minorHAnsi" w:cstheme="minorHAnsi"/>
          <w:color w:val="000000" w:themeColor="text1"/>
        </w:rPr>
        <w:t xml:space="preserve">, 15 </w:t>
      </w:r>
      <w:r>
        <w:rPr>
          <w:rFonts w:asciiTheme="minorHAnsi" w:hAnsiTheme="minorHAnsi" w:cstheme="minorHAnsi"/>
          <w:color w:val="000000" w:themeColor="text1"/>
        </w:rPr>
        <w:t>s</w:t>
      </w:r>
      <w:r w:rsidRPr="00D73DB8">
        <w:rPr>
          <w:rFonts w:asciiTheme="minorHAnsi" w:hAnsiTheme="minorHAnsi" w:cstheme="minorHAnsi"/>
          <w:color w:val="000000" w:themeColor="text1"/>
        </w:rPr>
        <w:t xml:space="preserve"> at 6</w:t>
      </w:r>
      <w:r>
        <w:rPr>
          <w:rFonts w:asciiTheme="minorHAnsi" w:hAnsiTheme="minorHAnsi" w:cstheme="minorHAnsi"/>
          <w:color w:val="000000" w:themeColor="text1"/>
        </w:rPr>
        <w:t>2 °C,</w:t>
      </w:r>
      <w:r w:rsidRPr="00D73DB8">
        <w:rPr>
          <w:rFonts w:asciiTheme="minorHAnsi" w:hAnsiTheme="minorHAnsi" w:cstheme="minorHAnsi"/>
          <w:color w:val="000000" w:themeColor="text1"/>
        </w:rPr>
        <w:t xml:space="preserve"> and 1</w:t>
      </w:r>
      <w:r>
        <w:rPr>
          <w:rFonts w:asciiTheme="minorHAnsi" w:hAnsiTheme="minorHAnsi" w:cstheme="minorHAnsi"/>
          <w:color w:val="000000" w:themeColor="text1"/>
        </w:rPr>
        <w:t>.5</w:t>
      </w:r>
      <w:r w:rsidRPr="00D73DB8">
        <w:rPr>
          <w:rFonts w:asciiTheme="minorHAnsi" w:hAnsiTheme="minorHAnsi" w:cstheme="minorHAnsi"/>
          <w:color w:val="000000" w:themeColor="text1"/>
        </w:rPr>
        <w:t xml:space="preserve"> min at 65</w:t>
      </w:r>
      <w:r>
        <w:rPr>
          <w:rFonts w:asciiTheme="minorHAnsi" w:hAnsiTheme="minorHAnsi" w:cstheme="minorHAnsi"/>
          <w:color w:val="000000" w:themeColor="text1"/>
        </w:rPr>
        <w:t> °C</w:t>
      </w:r>
      <w:r w:rsidRPr="00D73DB8">
        <w:rPr>
          <w:rFonts w:asciiTheme="minorHAnsi" w:hAnsiTheme="minorHAnsi" w:cstheme="minorHAnsi"/>
          <w:color w:val="000000" w:themeColor="text1"/>
        </w:rPr>
        <w:t xml:space="preserve">. As </w:t>
      </w:r>
      <w:r>
        <w:rPr>
          <w:rFonts w:asciiTheme="minorHAnsi" w:hAnsiTheme="minorHAnsi" w:cstheme="minorHAnsi"/>
          <w:color w:val="000000" w:themeColor="text1"/>
        </w:rPr>
        <w:t xml:space="preserve">a </w:t>
      </w:r>
      <w:r w:rsidRPr="00D73DB8">
        <w:rPr>
          <w:rFonts w:asciiTheme="minorHAnsi" w:hAnsiTheme="minorHAnsi" w:cstheme="minorHAnsi"/>
          <w:color w:val="000000" w:themeColor="text1"/>
        </w:rPr>
        <w:t>final elongation, incubate the reaction at 65</w:t>
      </w:r>
      <w:r>
        <w:rPr>
          <w:rFonts w:asciiTheme="minorHAnsi" w:hAnsiTheme="minorHAnsi" w:cstheme="minorHAnsi"/>
          <w:color w:val="000000" w:themeColor="text1"/>
        </w:rPr>
        <w:t> °C</w:t>
      </w:r>
      <w:r w:rsidRPr="00D73DB8">
        <w:rPr>
          <w:rFonts w:asciiTheme="minorHAnsi" w:hAnsiTheme="minorHAnsi" w:cstheme="minorHAnsi"/>
          <w:color w:val="000000" w:themeColor="text1"/>
        </w:rPr>
        <w:t xml:space="preserve"> for 5 min. </w:t>
      </w:r>
    </w:p>
    <w:p w:rsidR="0024495B" w:rsidRDefault="0024495B" w:rsidP="00C30BC2">
      <w:pPr>
        <w:pStyle w:val="ListParagraph"/>
        <w:ind w:left="0"/>
        <w:rPr>
          <w:rFonts w:asciiTheme="minorHAnsi" w:hAnsiTheme="minorHAnsi" w:cstheme="minorHAnsi"/>
          <w:color w:val="000000" w:themeColor="text1"/>
        </w:rPr>
      </w:pPr>
    </w:p>
    <w:p w:rsidR="0024495B" w:rsidRDefault="0024495B" w:rsidP="006F04C3">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4.2</w:t>
      </w:r>
      <w:r>
        <w:rPr>
          <w:rFonts w:asciiTheme="minorHAnsi" w:hAnsiTheme="minorHAnsi" w:cstheme="minorHAnsi"/>
          <w:color w:val="000000" w:themeColor="text1"/>
        </w:rPr>
        <w:tab/>
        <w:t>Purify the</w:t>
      </w:r>
      <w:r w:rsidRPr="00D73DB8">
        <w:rPr>
          <w:rFonts w:asciiTheme="minorHAnsi" w:hAnsiTheme="minorHAnsi" w:cstheme="minorHAnsi"/>
          <w:color w:val="000000" w:themeColor="text1"/>
        </w:rPr>
        <w:t xml:space="preserve"> PCR product </w:t>
      </w:r>
      <w:r>
        <w:rPr>
          <w:rFonts w:asciiTheme="minorHAnsi" w:hAnsiTheme="minorHAnsi" w:cstheme="minorHAnsi"/>
          <w:color w:val="000000" w:themeColor="text1"/>
        </w:rPr>
        <w:t xml:space="preserve">as described under </w:t>
      </w:r>
      <w:proofErr w:type="gramStart"/>
      <w:r>
        <w:rPr>
          <w:rFonts w:asciiTheme="minorHAnsi" w:hAnsiTheme="minorHAnsi" w:cstheme="minorHAnsi"/>
          <w:color w:val="000000" w:themeColor="text1"/>
        </w:rPr>
        <w:t>3.2, but</w:t>
      </w:r>
      <w:proofErr w:type="gramEnd"/>
      <w:r>
        <w:rPr>
          <w:rFonts w:asciiTheme="minorHAnsi" w:hAnsiTheme="minorHAnsi" w:cstheme="minorHAnsi"/>
          <w:color w:val="000000" w:themeColor="text1"/>
        </w:rPr>
        <w:t xml:space="preserve"> use </w:t>
      </w:r>
      <w:r w:rsidRPr="00D73DB8">
        <w:rPr>
          <w:rFonts w:asciiTheme="minorHAnsi" w:hAnsiTheme="minorHAnsi" w:cstheme="minorHAnsi"/>
          <w:color w:val="000000" w:themeColor="text1"/>
        </w:rPr>
        <w:t>100 µ</w:t>
      </w:r>
      <w:r>
        <w:rPr>
          <w:rFonts w:asciiTheme="minorHAnsi" w:hAnsiTheme="minorHAnsi" w:cstheme="minorHAnsi"/>
          <w:color w:val="000000" w:themeColor="text1"/>
        </w:rPr>
        <w:t>L</w:t>
      </w:r>
      <w:r w:rsidRPr="00D73DB8">
        <w:rPr>
          <w:rFonts w:asciiTheme="minorHAnsi" w:hAnsiTheme="minorHAnsi" w:cstheme="minorHAnsi"/>
          <w:color w:val="000000" w:themeColor="text1"/>
        </w:rPr>
        <w:t xml:space="preserve"> </w:t>
      </w:r>
      <w:r w:rsidR="009D2F02" w:rsidRPr="00F02843">
        <w:rPr>
          <w:rFonts w:asciiTheme="minorHAnsi" w:hAnsiTheme="minorHAnsi" w:cstheme="minorHAnsi"/>
          <w:color w:val="000000" w:themeColor="text1"/>
        </w:rPr>
        <w:t xml:space="preserve">of </w:t>
      </w:r>
      <w:r>
        <w:rPr>
          <w:rFonts w:asciiTheme="minorHAnsi" w:hAnsiTheme="minorHAnsi" w:cstheme="minorHAnsi"/>
          <w:color w:val="000000" w:themeColor="text1"/>
        </w:rPr>
        <w:t>magnetic</w:t>
      </w:r>
      <w:r w:rsidRPr="00D73DB8">
        <w:rPr>
          <w:rFonts w:asciiTheme="minorHAnsi" w:hAnsiTheme="minorHAnsi" w:cstheme="minorHAnsi"/>
          <w:color w:val="000000" w:themeColor="text1"/>
        </w:rPr>
        <w:t xml:space="preserve"> beads</w:t>
      </w:r>
      <w:r>
        <w:rPr>
          <w:rFonts w:asciiTheme="minorHAnsi" w:hAnsiTheme="minorHAnsi" w:cstheme="minorHAnsi"/>
          <w:color w:val="000000" w:themeColor="text1"/>
        </w:rPr>
        <w:t xml:space="preserve"> and elute in 30 </w:t>
      </w:r>
      <w:r w:rsidRPr="00D73DB8">
        <w:rPr>
          <w:rFonts w:asciiTheme="minorHAnsi" w:hAnsiTheme="minorHAnsi" w:cstheme="minorHAnsi"/>
          <w:color w:val="000000" w:themeColor="text1"/>
        </w:rPr>
        <w:t>µ</w:t>
      </w:r>
      <w:r>
        <w:rPr>
          <w:rFonts w:asciiTheme="minorHAnsi" w:hAnsiTheme="minorHAnsi" w:cstheme="minorHAnsi"/>
          <w:color w:val="000000" w:themeColor="text1"/>
        </w:rPr>
        <w:t xml:space="preserve">L </w:t>
      </w:r>
      <w:r w:rsidR="009D2F02" w:rsidRPr="00F02843">
        <w:rPr>
          <w:rFonts w:asciiTheme="minorHAnsi" w:hAnsiTheme="minorHAnsi" w:cstheme="minorHAnsi"/>
          <w:color w:val="000000" w:themeColor="text1"/>
        </w:rPr>
        <w:t xml:space="preserve">of </w:t>
      </w:r>
      <w:r>
        <w:rPr>
          <w:rFonts w:asciiTheme="minorHAnsi" w:hAnsiTheme="minorHAnsi" w:cstheme="minorHAnsi"/>
          <w:color w:val="000000" w:themeColor="text1"/>
        </w:rPr>
        <w:t>nuclease-free water</w:t>
      </w:r>
      <w:r w:rsidRPr="00D73DB8">
        <w:rPr>
          <w:rFonts w:asciiTheme="minorHAnsi" w:hAnsiTheme="minorHAnsi" w:cstheme="minorHAnsi"/>
          <w:color w:val="000000" w:themeColor="text1"/>
        </w:rPr>
        <w:t>.</w:t>
      </w:r>
    </w:p>
    <w:p w:rsidR="0024495B" w:rsidRDefault="0024495B" w:rsidP="006F04C3">
      <w:pPr>
        <w:pStyle w:val="ListParagraph"/>
        <w:ind w:left="0"/>
        <w:rPr>
          <w:rFonts w:asciiTheme="minorHAnsi" w:hAnsiTheme="minorHAnsi" w:cstheme="minorHAnsi"/>
          <w:color w:val="000000" w:themeColor="text1"/>
        </w:rPr>
      </w:pPr>
    </w:p>
    <w:p w:rsidR="0024495B" w:rsidRDefault="0024495B" w:rsidP="006F04C3">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4.3</w:t>
      </w:r>
      <w:r>
        <w:rPr>
          <w:rFonts w:asciiTheme="minorHAnsi" w:hAnsiTheme="minorHAnsi" w:cstheme="minorHAnsi"/>
          <w:color w:val="000000" w:themeColor="text1"/>
        </w:rPr>
        <w:tab/>
        <w:t>If possible, q</w:t>
      </w:r>
      <w:r w:rsidRPr="00D73DB8">
        <w:rPr>
          <w:rFonts w:asciiTheme="minorHAnsi" w:hAnsiTheme="minorHAnsi" w:cstheme="minorHAnsi"/>
          <w:color w:val="000000" w:themeColor="text1"/>
        </w:rPr>
        <w:t>uantify the sample using a UV spectro</w:t>
      </w:r>
      <w:r>
        <w:rPr>
          <w:rFonts w:asciiTheme="minorHAnsi" w:hAnsiTheme="minorHAnsi" w:cstheme="minorHAnsi"/>
          <w:color w:val="000000" w:themeColor="text1"/>
        </w:rPr>
        <w:t>photo</w:t>
      </w:r>
      <w:r w:rsidRPr="00D73DB8">
        <w:rPr>
          <w:rFonts w:asciiTheme="minorHAnsi" w:hAnsiTheme="minorHAnsi" w:cstheme="minorHAnsi"/>
          <w:color w:val="000000" w:themeColor="text1"/>
        </w:rPr>
        <w:t>meter.</w:t>
      </w:r>
    </w:p>
    <w:p w:rsidR="0024495B" w:rsidRDefault="0024495B" w:rsidP="00C30BC2">
      <w:pPr>
        <w:rPr>
          <w:rFonts w:asciiTheme="minorHAnsi" w:hAnsiTheme="minorHAnsi" w:cstheme="minorHAnsi"/>
          <w:color w:val="000000" w:themeColor="text1"/>
        </w:rPr>
      </w:pPr>
    </w:p>
    <w:p w:rsidR="0024495B" w:rsidRPr="00484A27" w:rsidRDefault="0024495B" w:rsidP="00C30BC2">
      <w:pPr>
        <w:rPr>
          <w:rFonts w:asciiTheme="minorHAnsi" w:hAnsiTheme="minorHAnsi" w:cstheme="minorHAnsi"/>
          <w:b/>
          <w:color w:val="000000" w:themeColor="text1"/>
          <w:highlight w:val="yellow"/>
        </w:rPr>
      </w:pPr>
      <w:r w:rsidRPr="00484A27">
        <w:rPr>
          <w:rFonts w:asciiTheme="minorHAnsi" w:hAnsiTheme="minorHAnsi" w:cstheme="minorHAnsi"/>
          <w:b/>
          <w:color w:val="000000" w:themeColor="text1"/>
          <w:highlight w:val="yellow"/>
        </w:rPr>
        <w:t>5. Library preparation</w:t>
      </w:r>
    </w:p>
    <w:p w:rsidR="0024495B" w:rsidRPr="00484A27" w:rsidRDefault="0024495B" w:rsidP="00C30BC2">
      <w:pPr>
        <w:rPr>
          <w:highlight w:val="yellow"/>
        </w:rPr>
      </w:pPr>
    </w:p>
    <w:p w:rsidR="0024495B" w:rsidRPr="00DB5B0C" w:rsidRDefault="0024495B" w:rsidP="00C30BC2">
      <w:pPr>
        <w:pStyle w:val="ListParagraph"/>
        <w:numPr>
          <w:ilvl w:val="1"/>
          <w:numId w:val="19"/>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 xml:space="preserve">Combine an equal amount of barcoded DNA </w:t>
      </w:r>
      <w:r>
        <w:rPr>
          <w:rFonts w:asciiTheme="minorHAnsi" w:hAnsiTheme="minorHAnsi" w:cstheme="minorHAnsi"/>
          <w:color w:val="000000" w:themeColor="text1"/>
          <w:highlight w:val="yellow"/>
        </w:rPr>
        <w:t>from</w:t>
      </w:r>
      <w:r w:rsidRPr="00484A27">
        <w:rPr>
          <w:rFonts w:asciiTheme="minorHAnsi" w:hAnsiTheme="minorHAnsi" w:cstheme="minorHAnsi"/>
          <w:color w:val="000000" w:themeColor="text1"/>
          <w:highlight w:val="yellow"/>
        </w:rPr>
        <w:t xml:space="preserve"> each sample for a total of 1 µg </w:t>
      </w:r>
      <w:r w:rsidR="009D2F02" w:rsidRPr="00F02843">
        <w:rPr>
          <w:rFonts w:asciiTheme="minorHAnsi" w:hAnsiTheme="minorHAnsi" w:cstheme="minorHAnsi"/>
          <w:color w:val="000000" w:themeColor="text1"/>
        </w:rPr>
        <w:t xml:space="preserve">of </w:t>
      </w:r>
      <w:r w:rsidRPr="00484A27">
        <w:rPr>
          <w:rFonts w:asciiTheme="minorHAnsi" w:hAnsiTheme="minorHAnsi" w:cstheme="minorHAnsi"/>
          <w:color w:val="000000" w:themeColor="text1"/>
          <w:highlight w:val="yellow"/>
        </w:rPr>
        <w:t>DNA in a volume of 45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(if necessary</w:t>
      </w:r>
      <w:r>
        <w:rPr>
          <w:rFonts w:asciiTheme="minorHAnsi" w:hAnsiTheme="minorHAnsi" w:cstheme="minorHAnsi"/>
          <w:color w:val="000000" w:themeColor="text1"/>
          <w:highlight w:val="yellow"/>
        </w:rPr>
        <w:t>,</w:t>
      </w:r>
      <w:r w:rsidRPr="00484A27">
        <w:rPr>
          <w:rFonts w:asciiTheme="minorHAnsi" w:hAnsiTheme="minorHAnsi" w:cstheme="minorHAnsi"/>
          <w:color w:val="000000" w:themeColor="text1"/>
          <w:highlight w:val="yellow"/>
        </w:rPr>
        <w:t xml:space="preserve"> add nuclease-free water) in a 0.2 mL reaction tube. If no UV </w:t>
      </w:r>
      <w:r w:rsidRPr="00DB5B0C">
        <w:rPr>
          <w:rFonts w:asciiTheme="minorHAnsi" w:hAnsiTheme="minorHAnsi" w:cstheme="minorHAnsi"/>
          <w:color w:val="000000" w:themeColor="text1"/>
          <w:highlight w:val="yellow"/>
        </w:rPr>
        <w:t xml:space="preserve">spectrophotometer is available, use equal amounts of each sample. For </w:t>
      </w:r>
      <w:proofErr w:type="spellStart"/>
      <w:r w:rsidRPr="00DB5B0C">
        <w:rPr>
          <w:rFonts w:asciiTheme="minorHAnsi" w:hAnsiTheme="minorHAnsi" w:cstheme="minorHAnsi"/>
          <w:color w:val="000000" w:themeColor="text1"/>
          <w:highlight w:val="yellow"/>
        </w:rPr>
        <w:t>dA</w:t>
      </w:r>
      <w:proofErr w:type="spellEnd"/>
      <w:r w:rsidRPr="00DB5B0C">
        <w:rPr>
          <w:rFonts w:asciiTheme="minorHAnsi" w:hAnsiTheme="minorHAnsi" w:cstheme="minorHAnsi"/>
          <w:color w:val="000000" w:themeColor="text1"/>
          <w:highlight w:val="yellow"/>
        </w:rPr>
        <w:t xml:space="preserve">-tailing, add 7 µL </w:t>
      </w:r>
      <w:r w:rsidR="009D2F02" w:rsidRPr="00F02843">
        <w:rPr>
          <w:rFonts w:asciiTheme="minorHAnsi" w:hAnsiTheme="minorHAnsi" w:cstheme="minorHAnsi"/>
          <w:color w:val="000000" w:themeColor="text1"/>
        </w:rPr>
        <w:t xml:space="preserve">of </w:t>
      </w:r>
      <w:r w:rsidRPr="00DB5B0C">
        <w:rPr>
          <w:rFonts w:asciiTheme="minorHAnsi" w:hAnsiTheme="minorHAnsi" w:cstheme="minorHAnsi"/>
          <w:color w:val="000000" w:themeColor="text1"/>
          <w:highlight w:val="yellow"/>
        </w:rPr>
        <w:t xml:space="preserve">End-prep reaction buffer (see </w:t>
      </w:r>
      <w:r w:rsidRPr="009D2F02">
        <w:rPr>
          <w:rFonts w:asciiTheme="minorHAnsi" w:hAnsiTheme="minorHAnsi" w:cstheme="minorHAnsi"/>
          <w:b/>
          <w:color w:val="000000" w:themeColor="text1"/>
          <w:highlight w:val="yellow"/>
        </w:rPr>
        <w:t>Table of Materials</w:t>
      </w:r>
      <w:r w:rsidRPr="00DB5B0C">
        <w:rPr>
          <w:rFonts w:asciiTheme="minorHAnsi" w:hAnsiTheme="minorHAnsi" w:cstheme="minorHAnsi"/>
          <w:color w:val="000000" w:themeColor="text1"/>
          <w:highlight w:val="yellow"/>
        </w:rPr>
        <w:t xml:space="preserve">), 3 µL </w:t>
      </w:r>
      <w:r w:rsidR="009D2F02" w:rsidRPr="00F02843">
        <w:rPr>
          <w:rFonts w:asciiTheme="minorHAnsi" w:hAnsiTheme="minorHAnsi" w:cstheme="minorHAnsi"/>
          <w:color w:val="000000" w:themeColor="text1"/>
        </w:rPr>
        <w:t xml:space="preserve">of </w:t>
      </w:r>
      <w:r w:rsidRPr="00DB5B0C">
        <w:rPr>
          <w:rFonts w:asciiTheme="minorHAnsi" w:hAnsiTheme="minorHAnsi" w:cstheme="minorHAnsi"/>
          <w:color w:val="000000" w:themeColor="text1"/>
          <w:highlight w:val="yellow"/>
        </w:rPr>
        <w:t xml:space="preserve">End-prep enzyme mix (see </w:t>
      </w:r>
      <w:r w:rsidRPr="009D2F02">
        <w:rPr>
          <w:rFonts w:asciiTheme="minorHAnsi" w:hAnsiTheme="minorHAnsi" w:cstheme="minorHAnsi"/>
          <w:b/>
          <w:color w:val="000000" w:themeColor="text1"/>
          <w:highlight w:val="yellow"/>
        </w:rPr>
        <w:t>Table of Materials</w:t>
      </w:r>
      <w:r w:rsidRPr="00DB5B0C">
        <w:rPr>
          <w:rFonts w:asciiTheme="minorHAnsi" w:hAnsiTheme="minorHAnsi" w:cstheme="minorHAnsi"/>
          <w:color w:val="000000" w:themeColor="text1"/>
          <w:highlight w:val="yellow"/>
        </w:rPr>
        <w:t xml:space="preserve">), and 5 µL </w:t>
      </w:r>
      <w:r w:rsidR="009D2F02" w:rsidRPr="00F02843">
        <w:rPr>
          <w:rFonts w:asciiTheme="minorHAnsi" w:hAnsiTheme="minorHAnsi" w:cstheme="minorHAnsi"/>
          <w:color w:val="000000" w:themeColor="text1"/>
        </w:rPr>
        <w:t xml:space="preserve">of </w:t>
      </w:r>
      <w:r w:rsidRPr="00DB5B0C">
        <w:rPr>
          <w:rFonts w:asciiTheme="minorHAnsi" w:hAnsiTheme="minorHAnsi" w:cstheme="minorHAnsi"/>
          <w:color w:val="000000" w:themeColor="text1"/>
          <w:highlight w:val="yellow"/>
        </w:rPr>
        <w:t>nuclease-free water. Mix gently by flicking the tube.</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1"/>
          <w:numId w:val="19"/>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 xml:space="preserve">Incubate </w:t>
      </w:r>
      <w:r>
        <w:rPr>
          <w:rFonts w:asciiTheme="minorHAnsi" w:hAnsiTheme="minorHAnsi" w:cstheme="minorHAnsi"/>
          <w:color w:val="000000" w:themeColor="text1"/>
          <w:highlight w:val="yellow"/>
        </w:rPr>
        <w:t xml:space="preserve">the reaction </w:t>
      </w:r>
      <w:r w:rsidRPr="00484A27">
        <w:rPr>
          <w:rFonts w:asciiTheme="minorHAnsi" w:hAnsiTheme="minorHAnsi" w:cstheme="minorHAnsi"/>
          <w:color w:val="000000" w:themeColor="text1"/>
          <w:highlight w:val="yellow"/>
        </w:rPr>
        <w:t>for 5 min at 20</w:t>
      </w:r>
      <w:r>
        <w:rPr>
          <w:rFonts w:asciiTheme="minorHAnsi" w:hAnsiTheme="minorHAnsi" w:cstheme="minorHAnsi"/>
          <w:color w:val="000000" w:themeColor="text1"/>
          <w:highlight w:val="yellow"/>
        </w:rPr>
        <w:t> °C</w:t>
      </w:r>
      <w:r w:rsidRPr="00484A27">
        <w:rPr>
          <w:rFonts w:asciiTheme="minorHAnsi" w:hAnsiTheme="minorHAnsi" w:cstheme="minorHAnsi"/>
          <w:color w:val="000000" w:themeColor="text1"/>
          <w:highlight w:val="yellow"/>
        </w:rPr>
        <w:t>, followed by 5 min at 65</w:t>
      </w:r>
      <w:r>
        <w:rPr>
          <w:rFonts w:asciiTheme="minorHAnsi" w:hAnsiTheme="minorHAnsi" w:cstheme="minorHAnsi"/>
          <w:color w:val="000000" w:themeColor="text1"/>
          <w:highlight w:val="yellow"/>
        </w:rPr>
        <w:t> °C</w:t>
      </w:r>
      <w:r w:rsidRPr="00484A27">
        <w:rPr>
          <w:rFonts w:asciiTheme="minorHAnsi" w:hAnsiTheme="minorHAnsi" w:cstheme="minorHAnsi"/>
          <w:color w:val="000000" w:themeColor="text1"/>
          <w:highlight w:val="yellow"/>
        </w:rPr>
        <w:t xml:space="preserve"> in a thermocycler.</w:t>
      </w:r>
    </w:p>
    <w:p w:rsidR="0024495B" w:rsidRPr="00377B92" w:rsidRDefault="0024495B" w:rsidP="00C30BC2">
      <w:pPr>
        <w:pStyle w:val="ListParagraph"/>
        <w:ind w:left="0"/>
        <w:rPr>
          <w:rFonts w:asciiTheme="minorHAnsi" w:hAnsiTheme="minorHAnsi" w:cstheme="minorHAnsi"/>
          <w:color w:val="000000" w:themeColor="text1"/>
        </w:rPr>
      </w:pPr>
    </w:p>
    <w:p w:rsidR="0024495B" w:rsidRDefault="0024495B" w:rsidP="00C30BC2">
      <w:pPr>
        <w:pStyle w:val="ListParagraph"/>
        <w:numPr>
          <w:ilvl w:val="1"/>
          <w:numId w:val="19"/>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 xml:space="preserve">Purify the reaction product as described in section </w:t>
      </w:r>
      <w:proofErr w:type="gramStart"/>
      <w:r w:rsidRPr="00484A27">
        <w:rPr>
          <w:rFonts w:asciiTheme="minorHAnsi" w:hAnsiTheme="minorHAnsi" w:cstheme="minorHAnsi"/>
          <w:color w:val="000000" w:themeColor="text1"/>
          <w:highlight w:val="yellow"/>
        </w:rPr>
        <w:t>3.2, but</w:t>
      </w:r>
      <w:proofErr w:type="gramEnd"/>
      <w:r w:rsidRPr="00484A27">
        <w:rPr>
          <w:rFonts w:asciiTheme="minorHAnsi" w:hAnsiTheme="minorHAnsi" w:cstheme="minorHAnsi"/>
          <w:color w:val="000000" w:themeColor="text1"/>
          <w:highlight w:val="yellow"/>
        </w:rPr>
        <w:t xml:space="preserve"> use 60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sidR="009D2F02" w:rsidRPr="00F02843">
        <w:rPr>
          <w:rFonts w:asciiTheme="minorHAnsi" w:hAnsiTheme="minorHAnsi" w:cstheme="minorHAnsi"/>
          <w:color w:val="000000" w:themeColor="text1"/>
        </w:rPr>
        <w:t xml:space="preserve">of </w:t>
      </w:r>
      <w:r>
        <w:rPr>
          <w:rFonts w:asciiTheme="minorHAnsi" w:hAnsiTheme="minorHAnsi" w:cstheme="minorHAnsi"/>
          <w:color w:val="000000" w:themeColor="text1"/>
          <w:highlight w:val="yellow"/>
        </w:rPr>
        <w:t>magnetic</w:t>
      </w:r>
      <w:r w:rsidRPr="00484A27">
        <w:rPr>
          <w:rFonts w:asciiTheme="minorHAnsi" w:hAnsiTheme="minorHAnsi" w:cstheme="minorHAnsi"/>
          <w:color w:val="000000" w:themeColor="text1"/>
          <w:highlight w:val="yellow"/>
        </w:rPr>
        <w:t xml:space="preserve"> beads and elute in 25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sidR="009D2F02" w:rsidRPr="00F02843">
        <w:rPr>
          <w:rFonts w:asciiTheme="minorHAnsi" w:hAnsiTheme="minorHAnsi" w:cstheme="minorHAnsi"/>
          <w:color w:val="000000" w:themeColor="text1"/>
        </w:rPr>
        <w:t xml:space="preserve">of </w:t>
      </w:r>
      <w:r w:rsidRPr="00484A27">
        <w:rPr>
          <w:rFonts w:asciiTheme="minorHAnsi" w:hAnsiTheme="minorHAnsi" w:cstheme="minorHAnsi"/>
          <w:color w:val="000000" w:themeColor="text1"/>
          <w:highlight w:val="yellow"/>
        </w:rPr>
        <w:t>nuclease-free water.</w:t>
      </w:r>
    </w:p>
    <w:p w:rsidR="0024495B" w:rsidRPr="00484A27" w:rsidRDefault="0024495B" w:rsidP="00E4662A">
      <w:pPr>
        <w:rPr>
          <w:rFonts w:asciiTheme="minorHAnsi" w:hAnsiTheme="minorHAnsi" w:cstheme="minorHAnsi"/>
          <w:color w:val="000000" w:themeColor="text1"/>
          <w:highlight w:val="yellow"/>
        </w:rPr>
      </w:pPr>
    </w:p>
    <w:p w:rsidR="0024495B" w:rsidRPr="00484A27" w:rsidRDefault="0024495B" w:rsidP="00E4662A">
      <w:pPr>
        <w:pStyle w:val="ListParagraph"/>
        <w:numPr>
          <w:ilvl w:val="1"/>
          <w:numId w:val="19"/>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Optional: Take 1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to quantify the concentration of the sample using a UV spec</w:t>
      </w:r>
      <w:r>
        <w:rPr>
          <w:rFonts w:asciiTheme="minorHAnsi" w:hAnsiTheme="minorHAnsi" w:cstheme="minorHAnsi"/>
          <w:color w:val="000000" w:themeColor="text1"/>
          <w:highlight w:val="yellow"/>
        </w:rPr>
        <w:t xml:space="preserve">trophotometer. The total amount </w:t>
      </w:r>
      <w:r w:rsidRPr="00484A27">
        <w:rPr>
          <w:rFonts w:asciiTheme="minorHAnsi" w:hAnsiTheme="minorHAnsi" w:cstheme="minorHAnsi"/>
          <w:color w:val="000000" w:themeColor="text1"/>
          <w:highlight w:val="yellow"/>
        </w:rPr>
        <w:t xml:space="preserve">should be more than 700 ng. </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1"/>
          <w:numId w:val="19"/>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Combine 22.5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sidR="009D2F02" w:rsidRPr="00F02843">
        <w:rPr>
          <w:rFonts w:asciiTheme="minorHAnsi" w:hAnsiTheme="minorHAnsi" w:cstheme="minorHAnsi"/>
          <w:color w:val="000000" w:themeColor="text1"/>
        </w:rPr>
        <w:t xml:space="preserve">of </w:t>
      </w:r>
      <w:r w:rsidRPr="00484A27">
        <w:rPr>
          <w:rFonts w:asciiTheme="minorHAnsi" w:hAnsiTheme="minorHAnsi" w:cstheme="minorHAnsi"/>
          <w:color w:val="000000" w:themeColor="text1"/>
          <w:highlight w:val="yellow"/>
        </w:rPr>
        <w:t>purified DNA from step 5.3 with 2.5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sidR="009D2F02" w:rsidRPr="00F02843">
        <w:rPr>
          <w:rFonts w:asciiTheme="minorHAnsi" w:hAnsiTheme="minorHAnsi" w:cstheme="minorHAnsi"/>
          <w:color w:val="000000" w:themeColor="text1"/>
        </w:rPr>
        <w:t xml:space="preserve">of </w:t>
      </w:r>
      <w:r w:rsidRPr="00484A27">
        <w:rPr>
          <w:rFonts w:asciiTheme="minorHAnsi" w:hAnsiTheme="minorHAnsi" w:cstheme="minorHAnsi"/>
          <w:color w:val="000000" w:themeColor="text1"/>
          <w:highlight w:val="yellow"/>
        </w:rPr>
        <w:t xml:space="preserve">1D2 </w:t>
      </w:r>
      <w:r>
        <w:rPr>
          <w:rFonts w:asciiTheme="minorHAnsi" w:hAnsiTheme="minorHAnsi" w:cstheme="minorHAnsi"/>
          <w:color w:val="000000" w:themeColor="text1"/>
          <w:highlight w:val="yellow"/>
        </w:rPr>
        <w:t>a</w:t>
      </w:r>
      <w:r w:rsidRPr="00484A27">
        <w:rPr>
          <w:rFonts w:asciiTheme="minorHAnsi" w:hAnsiTheme="minorHAnsi" w:cstheme="minorHAnsi"/>
          <w:color w:val="000000" w:themeColor="text1"/>
          <w:highlight w:val="yellow"/>
        </w:rPr>
        <w:t xml:space="preserve">dapter </w:t>
      </w:r>
      <w:r w:rsidRPr="00DB5B0C">
        <w:rPr>
          <w:rFonts w:asciiTheme="minorHAnsi" w:hAnsiTheme="minorHAnsi" w:cstheme="minorHAnsi"/>
          <w:color w:val="000000" w:themeColor="text1"/>
          <w:highlight w:val="yellow"/>
        </w:rPr>
        <w:t xml:space="preserve">(see </w:t>
      </w:r>
      <w:r w:rsidRPr="009D2F02">
        <w:rPr>
          <w:rFonts w:asciiTheme="minorHAnsi" w:hAnsiTheme="minorHAnsi" w:cstheme="minorHAnsi"/>
          <w:b/>
          <w:color w:val="000000" w:themeColor="text1"/>
          <w:highlight w:val="yellow"/>
        </w:rPr>
        <w:t>Table of Materials</w:t>
      </w:r>
      <w:r w:rsidRPr="00DB5B0C">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Pr="00484A27">
        <w:rPr>
          <w:rFonts w:asciiTheme="minorHAnsi" w:hAnsiTheme="minorHAnsi" w:cstheme="minorHAnsi"/>
          <w:color w:val="000000" w:themeColor="text1"/>
          <w:highlight w:val="yellow"/>
        </w:rPr>
        <w:t>and 25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sidR="009D2F02" w:rsidRPr="00F02843">
        <w:rPr>
          <w:rFonts w:asciiTheme="minorHAnsi" w:hAnsiTheme="minorHAnsi" w:cstheme="minorHAnsi"/>
          <w:color w:val="000000" w:themeColor="text1"/>
        </w:rPr>
        <w:t xml:space="preserve">of </w:t>
      </w:r>
      <w:r>
        <w:rPr>
          <w:rFonts w:asciiTheme="minorHAnsi" w:hAnsiTheme="minorHAnsi" w:cstheme="minorHAnsi"/>
          <w:color w:val="000000" w:themeColor="text1"/>
          <w:highlight w:val="yellow"/>
        </w:rPr>
        <w:t>b</w:t>
      </w:r>
      <w:r w:rsidRPr="00484A27">
        <w:rPr>
          <w:rFonts w:asciiTheme="minorHAnsi" w:hAnsiTheme="minorHAnsi" w:cstheme="minorHAnsi"/>
          <w:color w:val="000000" w:themeColor="text1"/>
          <w:highlight w:val="yellow"/>
        </w:rPr>
        <w:t xml:space="preserve">lunt/TA </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igase </w:t>
      </w:r>
      <w:r>
        <w:rPr>
          <w:rFonts w:asciiTheme="minorHAnsi" w:hAnsiTheme="minorHAnsi" w:cstheme="minorHAnsi"/>
          <w:color w:val="000000" w:themeColor="text1"/>
          <w:highlight w:val="yellow"/>
        </w:rPr>
        <w:t>m</w:t>
      </w:r>
      <w:r w:rsidRPr="00484A27">
        <w:rPr>
          <w:rFonts w:asciiTheme="minorHAnsi" w:hAnsiTheme="minorHAnsi" w:cstheme="minorHAnsi"/>
          <w:color w:val="000000" w:themeColor="text1"/>
          <w:highlight w:val="yellow"/>
        </w:rPr>
        <w:t xml:space="preserve">aster </w:t>
      </w:r>
      <w:r>
        <w:rPr>
          <w:rFonts w:asciiTheme="minorHAnsi" w:hAnsiTheme="minorHAnsi" w:cstheme="minorHAnsi"/>
          <w:color w:val="000000" w:themeColor="text1"/>
          <w:highlight w:val="yellow"/>
        </w:rPr>
        <w:t>m</w:t>
      </w:r>
      <w:r w:rsidRPr="00484A27">
        <w:rPr>
          <w:rFonts w:asciiTheme="minorHAnsi" w:hAnsiTheme="minorHAnsi" w:cstheme="minorHAnsi"/>
          <w:color w:val="000000" w:themeColor="text1"/>
          <w:highlight w:val="yellow"/>
        </w:rPr>
        <w:t xml:space="preserve">ix </w:t>
      </w:r>
      <w:r w:rsidRPr="00DB5B0C">
        <w:rPr>
          <w:rFonts w:asciiTheme="minorHAnsi" w:hAnsiTheme="minorHAnsi" w:cstheme="minorHAnsi"/>
          <w:color w:val="000000" w:themeColor="text1"/>
          <w:highlight w:val="yellow"/>
        </w:rPr>
        <w:t xml:space="preserve">(see </w:t>
      </w:r>
      <w:r w:rsidRPr="009D2F02">
        <w:rPr>
          <w:rFonts w:asciiTheme="minorHAnsi" w:hAnsiTheme="minorHAnsi" w:cstheme="minorHAnsi"/>
          <w:b/>
          <w:color w:val="000000" w:themeColor="text1"/>
          <w:highlight w:val="yellow"/>
        </w:rPr>
        <w:t>Table of Materials</w:t>
      </w:r>
      <w:r w:rsidRPr="00DB5B0C">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Pr="00484A27">
        <w:rPr>
          <w:rFonts w:asciiTheme="minorHAnsi" w:hAnsiTheme="minorHAnsi" w:cstheme="minorHAnsi"/>
          <w:color w:val="000000" w:themeColor="text1"/>
          <w:highlight w:val="yellow"/>
        </w:rPr>
        <w:t xml:space="preserve">in a new 1.5 mL </w:t>
      </w:r>
      <w:r>
        <w:rPr>
          <w:rFonts w:asciiTheme="minorHAnsi" w:hAnsiTheme="minorHAnsi" w:cstheme="minorHAnsi"/>
          <w:color w:val="000000" w:themeColor="text1"/>
          <w:highlight w:val="yellow"/>
        </w:rPr>
        <w:t>DNA-low binding reaction</w:t>
      </w:r>
      <w:r w:rsidRPr="00484A27">
        <w:rPr>
          <w:rFonts w:asciiTheme="minorHAnsi" w:hAnsiTheme="minorHAnsi" w:cstheme="minorHAnsi"/>
          <w:color w:val="000000" w:themeColor="text1"/>
          <w:highlight w:val="yellow"/>
        </w:rPr>
        <w:t xml:space="preserve"> tube, mix gently by flicking, and briefly spin down. Incubate for 10 min at room temperature. </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1"/>
          <w:numId w:val="19"/>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Purify the reaction product as described in section 3.2, but use 20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sidR="009D2F02" w:rsidRPr="00F02843">
        <w:rPr>
          <w:rFonts w:asciiTheme="minorHAnsi" w:hAnsiTheme="minorHAnsi" w:cstheme="minorHAnsi"/>
          <w:color w:val="000000" w:themeColor="text1"/>
        </w:rPr>
        <w:t xml:space="preserve">of </w:t>
      </w:r>
      <w:r>
        <w:rPr>
          <w:rFonts w:asciiTheme="minorHAnsi" w:hAnsiTheme="minorHAnsi" w:cstheme="minorHAnsi"/>
          <w:color w:val="000000" w:themeColor="text1"/>
          <w:highlight w:val="yellow"/>
        </w:rPr>
        <w:t>magnetic</w:t>
      </w:r>
      <w:r w:rsidRPr="00484A27">
        <w:rPr>
          <w:rFonts w:asciiTheme="minorHAnsi" w:hAnsiTheme="minorHAnsi" w:cstheme="minorHAnsi"/>
          <w:color w:val="000000" w:themeColor="text1"/>
          <w:highlight w:val="yellow"/>
        </w:rPr>
        <w:t xml:space="preserve"> beads, </w:t>
      </w:r>
      <w:r>
        <w:rPr>
          <w:rFonts w:asciiTheme="minorHAnsi" w:hAnsiTheme="minorHAnsi" w:cstheme="minorHAnsi"/>
          <w:color w:val="000000" w:themeColor="text1"/>
          <w:highlight w:val="yellow"/>
        </w:rPr>
        <w:t>increase the incubation time for DNA binding to 10 min, perform two</w:t>
      </w:r>
      <w:r w:rsidRPr="00484A27">
        <w:rPr>
          <w:rFonts w:asciiTheme="minorHAnsi" w:hAnsiTheme="minorHAnsi" w:cstheme="minorHAnsi"/>
          <w:color w:val="000000" w:themeColor="text1"/>
          <w:highlight w:val="yellow"/>
        </w:rPr>
        <w:t xml:space="preserve"> wash step</w:t>
      </w:r>
      <w:r>
        <w:rPr>
          <w:rFonts w:asciiTheme="minorHAnsi" w:hAnsiTheme="minorHAnsi" w:cstheme="minorHAnsi"/>
          <w:color w:val="000000" w:themeColor="text1"/>
          <w:highlight w:val="yellow"/>
        </w:rPr>
        <w:t>s</w:t>
      </w:r>
      <w:r w:rsidRPr="00484A27">
        <w:rPr>
          <w:rFonts w:asciiTheme="minorHAnsi" w:hAnsiTheme="minorHAnsi" w:cstheme="minorHAnsi"/>
          <w:color w:val="000000" w:themeColor="text1"/>
          <w:highlight w:val="yellow"/>
        </w:rPr>
        <w:t xml:space="preserve"> with 1 mL </w:t>
      </w:r>
      <w:r w:rsidR="009D2F02" w:rsidRPr="00F02843">
        <w:rPr>
          <w:rFonts w:asciiTheme="minorHAnsi" w:hAnsiTheme="minorHAnsi" w:cstheme="minorHAnsi"/>
          <w:color w:val="000000" w:themeColor="text1"/>
        </w:rPr>
        <w:t xml:space="preserve">of </w:t>
      </w:r>
      <w:r w:rsidRPr="00484A27">
        <w:rPr>
          <w:rFonts w:asciiTheme="minorHAnsi" w:hAnsiTheme="minorHAnsi" w:cstheme="minorHAnsi"/>
          <w:color w:val="000000" w:themeColor="text1"/>
          <w:highlight w:val="yellow"/>
        </w:rPr>
        <w:t>ethanol</w:t>
      </w:r>
      <w:r>
        <w:rPr>
          <w:rFonts w:asciiTheme="minorHAnsi" w:hAnsiTheme="minorHAnsi" w:cstheme="minorHAnsi"/>
          <w:color w:val="000000" w:themeColor="text1"/>
          <w:highlight w:val="yellow"/>
        </w:rPr>
        <w:t xml:space="preserve"> each</w:t>
      </w:r>
      <w:r w:rsidRPr="00484A27">
        <w:rPr>
          <w:rFonts w:asciiTheme="minorHAnsi" w:hAnsiTheme="minorHAnsi" w:cstheme="minorHAnsi"/>
          <w:color w:val="000000" w:themeColor="text1"/>
          <w:highlight w:val="yellow"/>
        </w:rPr>
        <w:t>, and elute in 46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sidR="009D2F02" w:rsidRPr="00F02843">
        <w:rPr>
          <w:rFonts w:asciiTheme="minorHAnsi" w:hAnsiTheme="minorHAnsi" w:cstheme="minorHAnsi"/>
          <w:color w:val="000000" w:themeColor="text1"/>
        </w:rPr>
        <w:t xml:space="preserve">of </w:t>
      </w:r>
      <w:r w:rsidRPr="00484A27">
        <w:rPr>
          <w:rFonts w:asciiTheme="minorHAnsi" w:hAnsiTheme="minorHAnsi" w:cstheme="minorHAnsi"/>
          <w:color w:val="000000" w:themeColor="text1"/>
          <w:highlight w:val="yellow"/>
        </w:rPr>
        <w:t>nuclease-free water.</w:t>
      </w:r>
    </w:p>
    <w:p w:rsidR="0024495B" w:rsidRPr="00484A27" w:rsidRDefault="0024495B" w:rsidP="00C30BC2">
      <w:pPr>
        <w:rPr>
          <w:rFonts w:asciiTheme="minorHAnsi" w:hAnsiTheme="minorHAnsi" w:cstheme="minorHAnsi"/>
          <w:color w:val="000000" w:themeColor="text1"/>
          <w:highlight w:val="yellow"/>
        </w:rPr>
      </w:pPr>
    </w:p>
    <w:p w:rsidR="0024495B" w:rsidRPr="00484A27" w:rsidRDefault="0024495B" w:rsidP="000F2537">
      <w:pPr>
        <w:pStyle w:val="ListParagraph"/>
        <w:numPr>
          <w:ilvl w:val="1"/>
          <w:numId w:val="19"/>
        </w:numPr>
        <w:ind w:left="0" w:firstLine="0"/>
        <w:rPr>
          <w:rFonts w:asciiTheme="minorHAnsi" w:hAnsiTheme="minorHAnsi" w:cstheme="minorHAnsi"/>
          <w:color w:val="000000" w:themeColor="text1"/>
          <w:highlight w:val="yellow"/>
        </w:rPr>
      </w:pPr>
      <w:r w:rsidRPr="000F2537">
        <w:rPr>
          <w:rFonts w:asciiTheme="minorHAnsi" w:hAnsiTheme="minorHAnsi" w:cstheme="minorHAnsi"/>
          <w:color w:val="000000" w:themeColor="text1"/>
          <w:highlight w:val="yellow"/>
        </w:rPr>
        <w:t xml:space="preserve">Combine 45 µL of the reaction product from step 5.6 with 5 µL </w:t>
      </w:r>
      <w:r w:rsidR="009D2F02" w:rsidRPr="00F02843">
        <w:rPr>
          <w:rFonts w:asciiTheme="minorHAnsi" w:hAnsiTheme="minorHAnsi" w:cstheme="minorHAnsi"/>
          <w:color w:val="000000" w:themeColor="text1"/>
        </w:rPr>
        <w:t xml:space="preserve">of </w:t>
      </w:r>
      <w:r>
        <w:rPr>
          <w:rFonts w:asciiTheme="minorHAnsi" w:hAnsiTheme="minorHAnsi" w:cstheme="minorHAnsi"/>
          <w:color w:val="000000" w:themeColor="text1"/>
          <w:highlight w:val="yellow"/>
        </w:rPr>
        <w:t>b</w:t>
      </w:r>
      <w:r w:rsidRPr="000F2537">
        <w:rPr>
          <w:rFonts w:asciiTheme="minorHAnsi" w:hAnsiTheme="minorHAnsi" w:cstheme="minorHAnsi"/>
          <w:color w:val="000000" w:themeColor="text1"/>
          <w:highlight w:val="yellow"/>
        </w:rPr>
        <w:t xml:space="preserve">arcode </w:t>
      </w:r>
      <w:r>
        <w:rPr>
          <w:rFonts w:asciiTheme="minorHAnsi" w:hAnsiTheme="minorHAnsi" w:cstheme="minorHAnsi"/>
          <w:color w:val="000000" w:themeColor="text1"/>
          <w:highlight w:val="yellow"/>
        </w:rPr>
        <w:t>a</w:t>
      </w:r>
      <w:r w:rsidRPr="000F2537">
        <w:rPr>
          <w:rFonts w:asciiTheme="minorHAnsi" w:hAnsiTheme="minorHAnsi" w:cstheme="minorHAnsi"/>
          <w:color w:val="000000" w:themeColor="text1"/>
          <w:highlight w:val="yellow"/>
        </w:rPr>
        <w:t xml:space="preserve">dapter </w:t>
      </w:r>
      <w:r>
        <w:rPr>
          <w:rFonts w:asciiTheme="minorHAnsi" w:hAnsiTheme="minorHAnsi" w:cstheme="minorHAnsi"/>
          <w:color w:val="000000" w:themeColor="text1"/>
          <w:highlight w:val="yellow"/>
        </w:rPr>
        <w:t>m</w:t>
      </w:r>
      <w:r w:rsidRPr="000F2537">
        <w:rPr>
          <w:rFonts w:asciiTheme="minorHAnsi" w:hAnsiTheme="minorHAnsi" w:cstheme="minorHAnsi"/>
          <w:color w:val="000000" w:themeColor="text1"/>
          <w:highlight w:val="yellow"/>
        </w:rPr>
        <w:t>ix</w:t>
      </w:r>
      <w:r>
        <w:rPr>
          <w:rFonts w:asciiTheme="minorHAnsi" w:hAnsiTheme="minorHAnsi" w:cstheme="minorHAnsi"/>
          <w:color w:val="000000" w:themeColor="text1"/>
          <w:highlight w:val="yellow"/>
        </w:rPr>
        <w:t xml:space="preserve"> </w:t>
      </w:r>
      <w:r w:rsidRPr="00DB5B0C">
        <w:rPr>
          <w:rFonts w:asciiTheme="minorHAnsi" w:hAnsiTheme="minorHAnsi" w:cstheme="minorHAnsi"/>
          <w:color w:val="000000" w:themeColor="text1"/>
          <w:highlight w:val="yellow"/>
        </w:rPr>
        <w:t xml:space="preserve">(see </w:t>
      </w:r>
      <w:r w:rsidRPr="009D2F02">
        <w:rPr>
          <w:rFonts w:asciiTheme="minorHAnsi" w:hAnsiTheme="minorHAnsi" w:cstheme="minorHAnsi"/>
          <w:b/>
          <w:color w:val="000000" w:themeColor="text1"/>
          <w:highlight w:val="yellow"/>
        </w:rPr>
        <w:t>Table of Materials</w:t>
      </w:r>
      <w:r w:rsidRPr="00DB5B0C">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an</w:t>
      </w:r>
      <w:r w:rsidRPr="000F2537">
        <w:rPr>
          <w:rFonts w:asciiTheme="minorHAnsi" w:hAnsiTheme="minorHAnsi" w:cstheme="minorHAnsi"/>
          <w:color w:val="000000" w:themeColor="text1"/>
          <w:highlight w:val="yellow"/>
        </w:rPr>
        <w:t xml:space="preserve">d 50 µL </w:t>
      </w:r>
      <w:r w:rsidR="009D2F02" w:rsidRPr="000F2537">
        <w:rPr>
          <w:rFonts w:asciiTheme="minorHAnsi" w:hAnsiTheme="minorHAnsi" w:cstheme="minorHAnsi"/>
          <w:color w:val="000000" w:themeColor="text1"/>
          <w:highlight w:val="yellow"/>
        </w:rPr>
        <w:t xml:space="preserve">of </w:t>
      </w:r>
      <w:r>
        <w:rPr>
          <w:rFonts w:asciiTheme="minorHAnsi" w:hAnsiTheme="minorHAnsi" w:cstheme="minorHAnsi"/>
          <w:color w:val="000000" w:themeColor="text1"/>
          <w:highlight w:val="yellow"/>
        </w:rPr>
        <w:t>b</w:t>
      </w:r>
      <w:r w:rsidRPr="000F2537">
        <w:rPr>
          <w:rFonts w:asciiTheme="minorHAnsi" w:hAnsiTheme="minorHAnsi" w:cstheme="minorHAnsi"/>
          <w:color w:val="000000" w:themeColor="text1"/>
          <w:highlight w:val="yellow"/>
        </w:rPr>
        <w:t xml:space="preserve">lunt/TA </w:t>
      </w:r>
      <w:r>
        <w:rPr>
          <w:rFonts w:asciiTheme="minorHAnsi" w:hAnsiTheme="minorHAnsi" w:cstheme="minorHAnsi"/>
          <w:color w:val="000000" w:themeColor="text1"/>
          <w:highlight w:val="yellow"/>
        </w:rPr>
        <w:t>l</w:t>
      </w:r>
      <w:r w:rsidRPr="000F2537">
        <w:rPr>
          <w:rFonts w:asciiTheme="minorHAnsi" w:hAnsiTheme="minorHAnsi" w:cstheme="minorHAnsi"/>
          <w:color w:val="000000" w:themeColor="text1"/>
          <w:highlight w:val="yellow"/>
        </w:rPr>
        <w:t xml:space="preserve">igase </w:t>
      </w:r>
      <w:r>
        <w:rPr>
          <w:rFonts w:asciiTheme="minorHAnsi" w:hAnsiTheme="minorHAnsi" w:cstheme="minorHAnsi"/>
          <w:color w:val="000000" w:themeColor="text1"/>
          <w:highlight w:val="yellow"/>
        </w:rPr>
        <w:t>m</w:t>
      </w:r>
      <w:r w:rsidRPr="000F2537">
        <w:rPr>
          <w:rFonts w:asciiTheme="minorHAnsi" w:hAnsiTheme="minorHAnsi" w:cstheme="minorHAnsi"/>
          <w:color w:val="000000" w:themeColor="text1"/>
          <w:highlight w:val="yellow"/>
        </w:rPr>
        <w:t xml:space="preserve">aster </w:t>
      </w:r>
      <w:r>
        <w:rPr>
          <w:rFonts w:asciiTheme="minorHAnsi" w:hAnsiTheme="minorHAnsi" w:cstheme="minorHAnsi"/>
          <w:color w:val="000000" w:themeColor="text1"/>
          <w:highlight w:val="yellow"/>
        </w:rPr>
        <w:t>m</w:t>
      </w:r>
      <w:r w:rsidRPr="000F2537">
        <w:rPr>
          <w:rFonts w:asciiTheme="minorHAnsi" w:hAnsiTheme="minorHAnsi" w:cstheme="minorHAnsi"/>
          <w:color w:val="000000" w:themeColor="text1"/>
          <w:highlight w:val="yellow"/>
        </w:rPr>
        <w:t>ix in a</w:t>
      </w:r>
      <w:r>
        <w:rPr>
          <w:rFonts w:asciiTheme="minorHAnsi" w:hAnsiTheme="minorHAnsi" w:cstheme="minorHAnsi"/>
          <w:color w:val="000000" w:themeColor="text1"/>
          <w:highlight w:val="yellow"/>
        </w:rPr>
        <w:t xml:space="preserve"> DNA-low binding </w:t>
      </w:r>
      <w:r w:rsidRPr="000F2537">
        <w:rPr>
          <w:rFonts w:asciiTheme="minorHAnsi" w:hAnsiTheme="minorHAnsi" w:cstheme="minorHAnsi"/>
          <w:color w:val="000000" w:themeColor="text1"/>
          <w:highlight w:val="yellow"/>
        </w:rPr>
        <w:t xml:space="preserve">reaction tube. Mix gently by flicking and incubate for 10 min at room temperature. </w:t>
      </w:r>
    </w:p>
    <w:p w:rsidR="0024495B" w:rsidRPr="000F2537" w:rsidRDefault="0024495B" w:rsidP="000F2537">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1"/>
          <w:numId w:val="19"/>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Purify the reaction product as described in section 3.2, but use 40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sidR="009D2F02" w:rsidRPr="000F2537">
        <w:rPr>
          <w:rFonts w:asciiTheme="minorHAnsi" w:hAnsiTheme="minorHAnsi" w:cstheme="minorHAnsi"/>
          <w:color w:val="000000" w:themeColor="text1"/>
          <w:highlight w:val="yellow"/>
        </w:rPr>
        <w:t xml:space="preserve">of </w:t>
      </w:r>
      <w:r>
        <w:rPr>
          <w:rFonts w:asciiTheme="minorHAnsi" w:hAnsiTheme="minorHAnsi" w:cstheme="minorHAnsi"/>
          <w:color w:val="000000" w:themeColor="text1"/>
          <w:highlight w:val="yellow"/>
        </w:rPr>
        <w:t>magnetic</w:t>
      </w:r>
      <w:r w:rsidRPr="00484A27">
        <w:rPr>
          <w:rFonts w:asciiTheme="minorHAnsi" w:hAnsiTheme="minorHAnsi" w:cstheme="minorHAnsi"/>
          <w:color w:val="000000" w:themeColor="text1"/>
          <w:highlight w:val="yellow"/>
        </w:rPr>
        <w:t xml:space="preserve"> beads, do two wash steps with 140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sidR="009D2F02" w:rsidRPr="000F2537">
        <w:rPr>
          <w:rFonts w:asciiTheme="minorHAnsi" w:hAnsiTheme="minorHAnsi" w:cstheme="minorHAnsi"/>
          <w:color w:val="000000" w:themeColor="text1"/>
          <w:highlight w:val="yellow"/>
        </w:rPr>
        <w:t xml:space="preserve">of </w:t>
      </w:r>
      <w:r w:rsidRPr="00484A27">
        <w:rPr>
          <w:rFonts w:asciiTheme="minorHAnsi" w:hAnsiTheme="minorHAnsi" w:cstheme="minorHAnsi"/>
          <w:color w:val="000000" w:themeColor="text1"/>
          <w:highlight w:val="yellow"/>
        </w:rPr>
        <w:t xml:space="preserve">ABB buffer </w:t>
      </w:r>
      <w:r w:rsidRPr="00DB5B0C">
        <w:rPr>
          <w:rFonts w:asciiTheme="minorHAnsi" w:hAnsiTheme="minorHAnsi" w:cstheme="minorHAnsi"/>
          <w:color w:val="000000" w:themeColor="text1"/>
          <w:highlight w:val="yellow"/>
        </w:rPr>
        <w:t xml:space="preserve">(see </w:t>
      </w:r>
      <w:r w:rsidRPr="009D2F02">
        <w:rPr>
          <w:rFonts w:asciiTheme="minorHAnsi" w:hAnsiTheme="minorHAnsi" w:cstheme="minorHAnsi"/>
          <w:b/>
          <w:color w:val="000000" w:themeColor="text1"/>
          <w:highlight w:val="yellow"/>
        </w:rPr>
        <w:t>Table of Materials</w:t>
      </w:r>
      <w:r w:rsidRPr="00DB5B0C">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Pr="00484A27">
        <w:rPr>
          <w:rFonts w:asciiTheme="minorHAnsi" w:hAnsiTheme="minorHAnsi" w:cstheme="minorHAnsi"/>
          <w:color w:val="000000" w:themeColor="text1"/>
          <w:highlight w:val="yellow"/>
        </w:rPr>
        <w:t>instead of ethanol,</w:t>
      </w:r>
      <w:r>
        <w:rPr>
          <w:rFonts w:asciiTheme="minorHAnsi" w:hAnsiTheme="minorHAnsi" w:cstheme="minorHAnsi"/>
          <w:color w:val="000000" w:themeColor="text1"/>
          <w:highlight w:val="yellow"/>
        </w:rPr>
        <w:t xml:space="preserve"> resuspend the beads by flicking and pellet on </w:t>
      </w:r>
      <w:r w:rsidR="009B66D8">
        <w:rPr>
          <w:rFonts w:asciiTheme="minorHAnsi" w:hAnsiTheme="minorHAnsi" w:cstheme="minorHAnsi"/>
          <w:color w:val="000000" w:themeColor="text1"/>
          <w:highlight w:val="yellow"/>
        </w:rPr>
        <w:t xml:space="preserve">a </w:t>
      </w:r>
      <w:r>
        <w:rPr>
          <w:rFonts w:asciiTheme="minorHAnsi" w:hAnsiTheme="minorHAnsi" w:cstheme="minorHAnsi"/>
          <w:color w:val="000000" w:themeColor="text1"/>
          <w:highlight w:val="yellow"/>
        </w:rPr>
        <w:t>magnetic rack.</w:t>
      </w:r>
      <w:r w:rsidRPr="00484A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E</w:t>
      </w:r>
      <w:r w:rsidRPr="00484A27">
        <w:rPr>
          <w:rFonts w:asciiTheme="minorHAnsi" w:hAnsiTheme="minorHAnsi" w:cstheme="minorHAnsi"/>
          <w:color w:val="000000" w:themeColor="text1"/>
          <w:highlight w:val="yellow"/>
        </w:rPr>
        <w:t>lute in 15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sidR="009D2F02" w:rsidRPr="000F2537">
        <w:rPr>
          <w:rFonts w:asciiTheme="minorHAnsi" w:hAnsiTheme="minorHAnsi" w:cstheme="minorHAnsi"/>
          <w:color w:val="000000" w:themeColor="text1"/>
          <w:highlight w:val="yellow"/>
        </w:rPr>
        <w:t xml:space="preserve">of </w:t>
      </w:r>
      <w:r>
        <w:rPr>
          <w:rFonts w:asciiTheme="minorHAnsi" w:hAnsiTheme="minorHAnsi" w:cstheme="minorHAnsi"/>
          <w:color w:val="000000" w:themeColor="text1"/>
          <w:highlight w:val="yellow"/>
        </w:rPr>
        <w:t xml:space="preserve">elution buffer </w:t>
      </w:r>
      <w:r w:rsidRPr="00DB5B0C">
        <w:rPr>
          <w:rFonts w:asciiTheme="minorHAnsi" w:hAnsiTheme="minorHAnsi" w:cstheme="minorHAnsi"/>
          <w:color w:val="000000" w:themeColor="text1"/>
          <w:highlight w:val="yellow"/>
        </w:rPr>
        <w:t xml:space="preserve">(see </w:t>
      </w:r>
      <w:r w:rsidRPr="009D2F02">
        <w:rPr>
          <w:rFonts w:asciiTheme="minorHAnsi" w:hAnsiTheme="minorHAnsi" w:cstheme="minorHAnsi"/>
          <w:b/>
          <w:color w:val="000000" w:themeColor="text1"/>
          <w:highlight w:val="yellow"/>
        </w:rPr>
        <w:t>Table of Materials</w:t>
      </w:r>
      <w:r w:rsidRPr="00DB5B0C">
        <w:rPr>
          <w:rFonts w:asciiTheme="minorHAnsi" w:hAnsiTheme="minorHAnsi" w:cstheme="minorHAnsi"/>
          <w:color w:val="000000" w:themeColor="text1"/>
          <w:highlight w:val="yellow"/>
        </w:rPr>
        <w:t>)</w:t>
      </w:r>
      <w:r w:rsidRPr="00484A27">
        <w:rPr>
          <w:rFonts w:asciiTheme="minorHAnsi" w:hAnsiTheme="minorHAnsi" w:cstheme="minorHAnsi"/>
          <w:color w:val="000000" w:themeColor="text1"/>
          <w:highlight w:val="yellow"/>
        </w:rPr>
        <w:t xml:space="preserve">. Increase the incubation times for the initial binding of DNA to the beads as well as for the elution step to 10 min. Store </w:t>
      </w:r>
      <w:r>
        <w:rPr>
          <w:rFonts w:asciiTheme="minorHAnsi" w:hAnsiTheme="minorHAnsi" w:cstheme="minorHAnsi"/>
          <w:color w:val="000000" w:themeColor="text1"/>
          <w:highlight w:val="yellow"/>
        </w:rPr>
        <w:t xml:space="preserve">the resulting product </w:t>
      </w:r>
      <w:r w:rsidRPr="00484A27">
        <w:rPr>
          <w:rFonts w:asciiTheme="minorHAnsi" w:hAnsiTheme="minorHAnsi" w:cstheme="minorHAnsi"/>
          <w:color w:val="000000" w:themeColor="text1"/>
          <w:highlight w:val="yellow"/>
        </w:rPr>
        <w:t>on ice or at 4</w:t>
      </w:r>
      <w:r>
        <w:rPr>
          <w:rFonts w:asciiTheme="minorHAnsi" w:hAnsiTheme="minorHAnsi" w:cstheme="minorHAnsi"/>
          <w:color w:val="000000" w:themeColor="text1"/>
          <w:highlight w:val="yellow"/>
        </w:rPr>
        <w:t> °C</w:t>
      </w:r>
      <w:r w:rsidRPr="00484A27">
        <w:rPr>
          <w:rFonts w:asciiTheme="minorHAnsi" w:hAnsiTheme="minorHAnsi" w:cstheme="minorHAnsi"/>
          <w:color w:val="000000" w:themeColor="text1"/>
          <w:highlight w:val="yellow"/>
        </w:rPr>
        <w:t xml:space="preserve"> until use.</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rPr>
          <w:rFonts w:asciiTheme="minorHAnsi" w:hAnsiTheme="minorHAnsi" w:cstheme="minorHAnsi"/>
          <w:b/>
          <w:color w:val="000000" w:themeColor="text1"/>
          <w:highlight w:val="yellow"/>
        </w:rPr>
      </w:pPr>
      <w:r w:rsidRPr="00484A27">
        <w:rPr>
          <w:rFonts w:asciiTheme="minorHAnsi" w:hAnsiTheme="minorHAnsi" w:cstheme="minorHAnsi"/>
          <w:b/>
          <w:color w:val="000000" w:themeColor="text1"/>
          <w:highlight w:val="yellow"/>
        </w:rPr>
        <w:t>6. Quality check of flow cell</w:t>
      </w:r>
    </w:p>
    <w:p w:rsidR="0024495B" w:rsidRPr="00484A27" w:rsidRDefault="0024495B" w:rsidP="00C30BC2">
      <w:pPr>
        <w:rPr>
          <w:rFonts w:asciiTheme="minorHAnsi" w:hAnsiTheme="minorHAnsi" w:cstheme="minorHAnsi"/>
          <w:color w:val="000000" w:themeColor="text1"/>
          <w:highlight w:val="yellow"/>
        </w:rPr>
      </w:pPr>
    </w:p>
    <w:p w:rsidR="0024495B" w:rsidRPr="00484A27" w:rsidRDefault="0024495B" w:rsidP="00C30BC2">
      <w:pPr>
        <w:pStyle w:val="ListParagraph"/>
        <w:numPr>
          <w:ilvl w:val="1"/>
          <w:numId w:val="24"/>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 xml:space="preserve"> Perform a quality check on the flow cell before</w:t>
      </w:r>
      <w:r>
        <w:rPr>
          <w:rFonts w:asciiTheme="minorHAnsi" w:hAnsiTheme="minorHAnsi" w:cstheme="minorHAnsi"/>
          <w:color w:val="000000" w:themeColor="text1"/>
          <w:highlight w:val="yellow"/>
        </w:rPr>
        <w:t xml:space="preserve"> use</w:t>
      </w:r>
      <w:r w:rsidRPr="00484A27">
        <w:rPr>
          <w:rFonts w:asciiTheme="minorHAnsi" w:hAnsiTheme="minorHAnsi" w:cstheme="minorHAnsi"/>
          <w:color w:val="000000" w:themeColor="text1"/>
          <w:highlight w:val="yellow"/>
        </w:rPr>
        <w:t xml:space="preserve">. To this end, connect the </w:t>
      </w:r>
      <w:r>
        <w:rPr>
          <w:rFonts w:asciiTheme="minorHAnsi" w:hAnsiTheme="minorHAnsi" w:cstheme="minorHAnsi"/>
          <w:color w:val="000000" w:themeColor="text1"/>
          <w:highlight w:val="yellow"/>
        </w:rPr>
        <w:t>sequencing</w:t>
      </w:r>
      <w:r w:rsidRPr="00484A27">
        <w:rPr>
          <w:rFonts w:asciiTheme="minorHAnsi" w:hAnsiTheme="minorHAnsi" w:cstheme="minorHAnsi"/>
          <w:color w:val="000000" w:themeColor="text1"/>
          <w:highlight w:val="yellow"/>
        </w:rPr>
        <w:t xml:space="preserve"> device to the host computer and open the </w:t>
      </w:r>
      <w:r>
        <w:rPr>
          <w:rFonts w:asciiTheme="minorHAnsi" w:hAnsiTheme="minorHAnsi" w:cstheme="minorHAnsi"/>
          <w:color w:val="000000" w:themeColor="text1"/>
          <w:highlight w:val="yellow"/>
        </w:rPr>
        <w:t>software</w:t>
      </w:r>
      <w:r w:rsidRPr="00484A27">
        <w:rPr>
          <w:rFonts w:asciiTheme="minorHAnsi" w:hAnsiTheme="minorHAnsi" w:cstheme="minorHAnsi"/>
          <w:color w:val="000000" w:themeColor="text1"/>
          <w:highlight w:val="yellow"/>
        </w:rPr>
        <w:t xml:space="preserve">. </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1"/>
          <w:numId w:val="24"/>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 xml:space="preserve">Insert </w:t>
      </w:r>
      <w:r>
        <w:rPr>
          <w:rFonts w:asciiTheme="minorHAnsi" w:hAnsiTheme="minorHAnsi" w:cstheme="minorHAnsi"/>
          <w:color w:val="000000" w:themeColor="text1"/>
          <w:highlight w:val="yellow"/>
        </w:rPr>
        <w:t xml:space="preserve">a </w:t>
      </w:r>
      <w:r w:rsidRPr="00484A27">
        <w:rPr>
          <w:rFonts w:asciiTheme="minorHAnsi" w:hAnsiTheme="minorHAnsi" w:cstheme="minorHAnsi"/>
          <w:color w:val="000000" w:themeColor="text1"/>
          <w:highlight w:val="yellow"/>
        </w:rPr>
        <w:t xml:space="preserve">flow cell </w:t>
      </w:r>
      <w:r w:rsidRPr="00DB5B0C">
        <w:rPr>
          <w:rFonts w:asciiTheme="minorHAnsi" w:hAnsiTheme="minorHAnsi" w:cstheme="minorHAnsi"/>
          <w:color w:val="000000" w:themeColor="text1"/>
          <w:highlight w:val="yellow"/>
        </w:rPr>
        <w:t xml:space="preserve">(see </w:t>
      </w:r>
      <w:r w:rsidRPr="009D2F02">
        <w:rPr>
          <w:rFonts w:asciiTheme="minorHAnsi" w:hAnsiTheme="minorHAnsi" w:cstheme="minorHAnsi"/>
          <w:b/>
          <w:color w:val="000000" w:themeColor="text1"/>
          <w:highlight w:val="yellow"/>
        </w:rPr>
        <w:t>Table of Materials</w:t>
      </w:r>
      <w:r w:rsidRPr="00DB5B0C">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Pr="00484A27">
        <w:rPr>
          <w:rFonts w:asciiTheme="minorHAnsi" w:hAnsiTheme="minorHAnsi" w:cstheme="minorHAnsi"/>
          <w:color w:val="000000" w:themeColor="text1"/>
          <w:highlight w:val="yellow"/>
        </w:rPr>
        <w:t xml:space="preserve">into the </w:t>
      </w:r>
      <w:r>
        <w:rPr>
          <w:rFonts w:asciiTheme="minorHAnsi" w:hAnsiTheme="minorHAnsi" w:cstheme="minorHAnsi"/>
          <w:color w:val="000000" w:themeColor="text1"/>
          <w:highlight w:val="yellow"/>
        </w:rPr>
        <w:t>sequencing</w:t>
      </w:r>
      <w:r w:rsidRPr="00484A27">
        <w:rPr>
          <w:rFonts w:asciiTheme="minorHAnsi" w:hAnsiTheme="minorHAnsi" w:cstheme="minorHAnsi"/>
          <w:color w:val="000000" w:themeColor="text1"/>
          <w:highlight w:val="yellow"/>
        </w:rPr>
        <w:t xml:space="preserve"> device and choose the flow cell type from the selector box</w:t>
      </w:r>
      <w:r>
        <w:rPr>
          <w:rFonts w:asciiTheme="minorHAnsi" w:hAnsiTheme="minorHAnsi" w:cstheme="minorHAnsi"/>
          <w:color w:val="000000" w:themeColor="text1"/>
          <w:highlight w:val="yellow"/>
        </w:rPr>
        <w:t xml:space="preserve"> and confirm by clicking </w:t>
      </w:r>
      <w:r w:rsidRPr="009D2F02">
        <w:rPr>
          <w:rFonts w:asciiTheme="minorHAnsi" w:hAnsiTheme="minorHAnsi" w:cstheme="minorHAnsi"/>
          <w:b/>
          <w:color w:val="000000" w:themeColor="text1"/>
          <w:highlight w:val="yellow"/>
        </w:rPr>
        <w:t>Available</w:t>
      </w:r>
      <w:r w:rsidRPr="00484A27">
        <w:rPr>
          <w:rFonts w:asciiTheme="minorHAnsi" w:hAnsiTheme="minorHAnsi" w:cstheme="minorHAnsi"/>
          <w:color w:val="000000" w:themeColor="text1"/>
          <w:highlight w:val="yellow"/>
        </w:rPr>
        <w:t xml:space="preserve">. </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1"/>
          <w:numId w:val="24"/>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 xml:space="preserve">Click </w:t>
      </w:r>
      <w:r w:rsidRPr="009D2F02">
        <w:rPr>
          <w:rFonts w:asciiTheme="minorHAnsi" w:hAnsiTheme="minorHAnsi" w:cstheme="minorHAnsi"/>
          <w:b/>
          <w:color w:val="000000" w:themeColor="text1"/>
          <w:highlight w:val="yellow"/>
        </w:rPr>
        <w:t>Check flow cell</w:t>
      </w:r>
      <w:r w:rsidRPr="00484A27">
        <w:rPr>
          <w:rFonts w:asciiTheme="minorHAnsi" w:hAnsiTheme="minorHAnsi" w:cstheme="minorHAnsi"/>
          <w:color w:val="000000" w:themeColor="text1"/>
          <w:highlight w:val="yellow"/>
        </w:rPr>
        <w:t xml:space="preserve"> in the bottom of the screen and choose the correct flow cell type. </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1"/>
          <w:numId w:val="24"/>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 xml:space="preserve">Click </w:t>
      </w:r>
      <w:r w:rsidRPr="009D2F02">
        <w:rPr>
          <w:rFonts w:asciiTheme="minorHAnsi" w:hAnsiTheme="minorHAnsi" w:cstheme="minorHAnsi"/>
          <w:b/>
          <w:color w:val="000000" w:themeColor="text1"/>
          <w:highlight w:val="yellow"/>
        </w:rPr>
        <w:t>Start test</w:t>
      </w:r>
      <w:r w:rsidRPr="00484A27">
        <w:rPr>
          <w:rFonts w:asciiTheme="minorHAnsi" w:hAnsiTheme="minorHAnsi" w:cstheme="minorHAnsi"/>
          <w:color w:val="000000" w:themeColor="text1"/>
          <w:highlight w:val="yellow"/>
        </w:rPr>
        <w:t xml:space="preserve"> to start the quality check. </w:t>
      </w:r>
      <w:r>
        <w:rPr>
          <w:rFonts w:asciiTheme="minorHAnsi" w:hAnsiTheme="minorHAnsi" w:cstheme="minorHAnsi"/>
          <w:color w:val="000000" w:themeColor="text1"/>
          <w:highlight w:val="yellow"/>
        </w:rPr>
        <w:t>A</w:t>
      </w:r>
      <w:r w:rsidRPr="00484A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minimum</w:t>
      </w:r>
      <w:r w:rsidRPr="00484A27">
        <w:rPr>
          <w:rFonts w:asciiTheme="minorHAnsi" w:hAnsiTheme="minorHAnsi" w:cstheme="minorHAnsi"/>
          <w:color w:val="000000" w:themeColor="text1"/>
          <w:highlight w:val="yellow"/>
        </w:rPr>
        <w:t xml:space="preserve"> of 800</w:t>
      </w:r>
      <w:r>
        <w:rPr>
          <w:rFonts w:asciiTheme="minorHAnsi" w:hAnsiTheme="minorHAnsi" w:cstheme="minorHAnsi"/>
          <w:color w:val="000000" w:themeColor="text1"/>
          <w:highlight w:val="yellow"/>
        </w:rPr>
        <w:t xml:space="preserve"> active </w:t>
      </w:r>
      <w:r w:rsidRPr="00484A27">
        <w:rPr>
          <w:rFonts w:asciiTheme="minorHAnsi" w:hAnsiTheme="minorHAnsi" w:cstheme="minorHAnsi"/>
          <w:color w:val="000000" w:themeColor="text1"/>
          <w:highlight w:val="yellow"/>
        </w:rPr>
        <w:t>nanopores</w:t>
      </w:r>
      <w:r>
        <w:rPr>
          <w:rFonts w:asciiTheme="minorHAnsi" w:hAnsiTheme="minorHAnsi" w:cstheme="minorHAnsi"/>
          <w:color w:val="000000" w:themeColor="text1"/>
          <w:highlight w:val="yellow"/>
        </w:rPr>
        <w:t xml:space="preserve"> in total</w:t>
      </w:r>
      <w:r w:rsidRPr="00484A27">
        <w:rPr>
          <w:rFonts w:asciiTheme="minorHAnsi" w:hAnsiTheme="minorHAnsi" w:cstheme="minorHAnsi"/>
          <w:color w:val="000000" w:themeColor="text1"/>
          <w:highlight w:val="yellow"/>
        </w:rPr>
        <w:t xml:space="preserve"> is required</w:t>
      </w:r>
      <w:r>
        <w:rPr>
          <w:rFonts w:asciiTheme="minorHAnsi" w:hAnsiTheme="minorHAnsi" w:cstheme="minorHAnsi"/>
          <w:color w:val="000000" w:themeColor="text1"/>
          <w:highlight w:val="yellow"/>
        </w:rPr>
        <w:t xml:space="preserve"> for the flow cell to be usable</w:t>
      </w:r>
      <w:r w:rsidRPr="00484A27">
        <w:rPr>
          <w:rFonts w:asciiTheme="minorHAnsi" w:hAnsiTheme="minorHAnsi" w:cstheme="minorHAnsi"/>
          <w:color w:val="000000" w:themeColor="text1"/>
          <w:highlight w:val="yellow"/>
        </w:rPr>
        <w:t xml:space="preserve">. </w:t>
      </w:r>
    </w:p>
    <w:p w:rsidR="0024495B" w:rsidRPr="00484A27" w:rsidRDefault="0024495B" w:rsidP="00C30BC2">
      <w:pPr>
        <w:rPr>
          <w:rFonts w:asciiTheme="minorHAnsi" w:hAnsiTheme="minorHAnsi" w:cstheme="minorHAnsi"/>
          <w:color w:val="000000" w:themeColor="text1"/>
          <w:highlight w:val="yellow"/>
        </w:rPr>
      </w:pPr>
    </w:p>
    <w:p w:rsidR="0024495B" w:rsidRPr="00484A27" w:rsidRDefault="0024495B" w:rsidP="00C30BC2">
      <w:pPr>
        <w:rPr>
          <w:rFonts w:asciiTheme="minorHAnsi" w:hAnsiTheme="minorHAnsi" w:cstheme="minorHAnsi"/>
          <w:color w:val="000000" w:themeColor="text1"/>
          <w:highlight w:val="yellow"/>
        </w:rPr>
      </w:pPr>
      <w:r w:rsidRPr="00484A27">
        <w:rPr>
          <w:rFonts w:asciiTheme="minorHAnsi" w:hAnsiTheme="minorHAnsi" w:cstheme="minorHAnsi"/>
          <w:b/>
          <w:color w:val="000000" w:themeColor="text1"/>
          <w:highlight w:val="yellow"/>
        </w:rPr>
        <w:t>7.</w:t>
      </w:r>
      <w:r w:rsidRPr="00484A27">
        <w:rPr>
          <w:rFonts w:asciiTheme="minorHAnsi" w:hAnsiTheme="minorHAnsi" w:cstheme="minorHAnsi"/>
          <w:color w:val="000000" w:themeColor="text1"/>
          <w:highlight w:val="yellow"/>
        </w:rPr>
        <w:t xml:space="preserve"> </w:t>
      </w:r>
      <w:r w:rsidRPr="00484A27">
        <w:rPr>
          <w:rFonts w:asciiTheme="minorHAnsi" w:hAnsiTheme="minorHAnsi" w:cstheme="minorHAnsi"/>
          <w:b/>
          <w:color w:val="000000" w:themeColor="text1"/>
          <w:highlight w:val="yellow"/>
        </w:rPr>
        <w:t>Loading the flow cell and starting the sequencing run</w:t>
      </w:r>
    </w:p>
    <w:p w:rsidR="0024495B" w:rsidRPr="00484A27" w:rsidRDefault="0024495B" w:rsidP="00C30BC2">
      <w:pPr>
        <w:rPr>
          <w:rFonts w:asciiTheme="minorHAnsi" w:hAnsiTheme="minorHAnsi" w:cstheme="minorHAnsi"/>
          <w:color w:val="000000" w:themeColor="text1"/>
          <w:highlight w:val="yellow"/>
        </w:rPr>
      </w:pPr>
    </w:p>
    <w:p w:rsidR="0024495B" w:rsidRPr="00484A27" w:rsidRDefault="0024495B" w:rsidP="00C30BC2">
      <w:pPr>
        <w:pStyle w:val="ListParagraph"/>
        <w:numPr>
          <w:ilvl w:val="1"/>
          <w:numId w:val="25"/>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 xml:space="preserve">Open the priming port cover by sliding </w:t>
      </w:r>
      <w:r>
        <w:rPr>
          <w:rFonts w:asciiTheme="minorHAnsi" w:hAnsiTheme="minorHAnsi" w:cstheme="minorHAnsi"/>
          <w:color w:val="000000" w:themeColor="text1"/>
          <w:highlight w:val="yellow"/>
        </w:rPr>
        <w:t>it in a</w:t>
      </w:r>
      <w:r w:rsidRPr="00484A27">
        <w:rPr>
          <w:rFonts w:asciiTheme="minorHAnsi" w:hAnsiTheme="minorHAnsi" w:cstheme="minorHAnsi"/>
          <w:color w:val="000000" w:themeColor="text1"/>
          <w:highlight w:val="yellow"/>
        </w:rPr>
        <w:t xml:space="preserve"> clockwise</w:t>
      </w:r>
      <w:r>
        <w:rPr>
          <w:rFonts w:asciiTheme="minorHAnsi" w:hAnsiTheme="minorHAnsi" w:cstheme="minorHAnsi"/>
          <w:color w:val="000000" w:themeColor="text1"/>
          <w:highlight w:val="yellow"/>
        </w:rPr>
        <w:t xml:space="preserve"> direction</w:t>
      </w:r>
      <w:r w:rsidRPr="00484A27">
        <w:rPr>
          <w:rFonts w:asciiTheme="minorHAnsi" w:hAnsiTheme="minorHAnsi" w:cstheme="minorHAnsi"/>
          <w:color w:val="000000" w:themeColor="text1"/>
          <w:highlight w:val="yellow"/>
        </w:rPr>
        <w:t>. Set a P1000 pipette to 200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and insert the tip into the priming port. Adjust the pipette to 230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while keeping</w:t>
      </w:r>
      <w:r w:rsidRPr="00484A27">
        <w:rPr>
          <w:rFonts w:asciiTheme="minorHAnsi" w:hAnsiTheme="minorHAnsi" w:cstheme="minorHAnsi"/>
          <w:color w:val="000000" w:themeColor="text1"/>
          <w:highlight w:val="yellow"/>
        </w:rPr>
        <w:t xml:space="preserve"> the tip in the priming port, to draw </w:t>
      </w:r>
      <w:r>
        <w:rPr>
          <w:rFonts w:asciiTheme="minorHAnsi" w:hAnsiTheme="minorHAnsi" w:cstheme="minorHAnsi"/>
          <w:color w:val="000000" w:themeColor="text1"/>
          <w:highlight w:val="yellow"/>
        </w:rPr>
        <w:t>up</w:t>
      </w:r>
      <w:r w:rsidRPr="00484A27">
        <w:rPr>
          <w:rFonts w:asciiTheme="minorHAnsi" w:hAnsiTheme="minorHAnsi" w:cstheme="minorHAnsi"/>
          <w:color w:val="000000" w:themeColor="text1"/>
          <w:highlight w:val="yellow"/>
        </w:rPr>
        <w:t xml:space="preserve"> 20</w:t>
      </w:r>
      <w:r w:rsidRPr="00484A27">
        <w:rPr>
          <w:rFonts w:asciiTheme="minorHAnsi" w:hAnsiTheme="minorHAnsi" w:cstheme="minorHAnsi"/>
          <w:color w:val="000000" w:themeColor="text1"/>
          <w:highlight w:val="yellow"/>
        </w:rPr>
        <w:noBreakHyphen/>
        <w:t>30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buffer </w:t>
      </w:r>
      <w:r>
        <w:rPr>
          <w:rFonts w:asciiTheme="minorHAnsi" w:hAnsiTheme="minorHAnsi" w:cstheme="minorHAnsi"/>
          <w:color w:val="000000" w:themeColor="text1"/>
          <w:highlight w:val="yellow"/>
        </w:rPr>
        <w:t>and</w:t>
      </w:r>
      <w:r w:rsidRPr="00484A27">
        <w:rPr>
          <w:rFonts w:asciiTheme="minorHAnsi" w:hAnsiTheme="minorHAnsi" w:cstheme="minorHAnsi"/>
          <w:color w:val="000000" w:themeColor="text1"/>
          <w:highlight w:val="yellow"/>
        </w:rPr>
        <w:t xml:space="preserve"> remove any air bubbles.</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1"/>
          <w:numId w:val="25"/>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 xml:space="preserve">In a new 1.5 mL </w:t>
      </w:r>
      <w:r>
        <w:rPr>
          <w:rFonts w:asciiTheme="minorHAnsi" w:hAnsiTheme="minorHAnsi" w:cstheme="minorHAnsi"/>
          <w:color w:val="000000" w:themeColor="text1"/>
          <w:highlight w:val="yellow"/>
        </w:rPr>
        <w:t>DNA-low binding reaction</w:t>
      </w:r>
      <w:r w:rsidRPr="00484A27">
        <w:rPr>
          <w:rFonts w:asciiTheme="minorHAnsi" w:hAnsiTheme="minorHAnsi" w:cstheme="minorHAnsi"/>
          <w:color w:val="000000" w:themeColor="text1"/>
          <w:highlight w:val="yellow"/>
        </w:rPr>
        <w:t xml:space="preserve"> tube </w:t>
      </w:r>
      <w:r>
        <w:rPr>
          <w:rFonts w:asciiTheme="minorHAnsi" w:hAnsiTheme="minorHAnsi" w:cstheme="minorHAnsi"/>
          <w:color w:val="000000" w:themeColor="text1"/>
          <w:highlight w:val="yellow"/>
        </w:rPr>
        <w:t>prepare the priming mix by combining</w:t>
      </w:r>
      <w:r w:rsidRPr="00484A27">
        <w:rPr>
          <w:rFonts w:asciiTheme="minorHAnsi" w:hAnsiTheme="minorHAnsi" w:cstheme="minorHAnsi"/>
          <w:color w:val="000000" w:themeColor="text1"/>
          <w:highlight w:val="yellow"/>
        </w:rPr>
        <w:t xml:space="preserve"> 576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sidR="009D2F02">
        <w:rPr>
          <w:rFonts w:asciiTheme="minorHAnsi" w:hAnsiTheme="minorHAnsi" w:cstheme="minorHAnsi"/>
          <w:color w:val="000000" w:themeColor="text1"/>
          <w:highlight w:val="yellow"/>
        </w:rPr>
        <w:t xml:space="preserve">of </w:t>
      </w:r>
      <w:r w:rsidRPr="00484A27">
        <w:rPr>
          <w:rFonts w:asciiTheme="minorHAnsi" w:hAnsiTheme="minorHAnsi" w:cstheme="minorHAnsi"/>
          <w:color w:val="000000" w:themeColor="text1"/>
          <w:highlight w:val="yellow"/>
        </w:rPr>
        <w:t xml:space="preserve">RBF buffer </w:t>
      </w:r>
      <w:r w:rsidR="009B66D8">
        <w:rPr>
          <w:rFonts w:asciiTheme="minorHAnsi" w:hAnsiTheme="minorHAnsi" w:cstheme="minorHAnsi"/>
          <w:color w:val="000000" w:themeColor="text1"/>
          <w:highlight w:val="yellow"/>
        </w:rPr>
        <w:t xml:space="preserve">(see </w:t>
      </w:r>
      <w:r w:rsidR="009B66D8" w:rsidRPr="009D2F02">
        <w:rPr>
          <w:rFonts w:asciiTheme="minorHAnsi" w:hAnsiTheme="minorHAnsi" w:cstheme="minorHAnsi"/>
          <w:b/>
          <w:color w:val="000000" w:themeColor="text1"/>
          <w:highlight w:val="yellow"/>
        </w:rPr>
        <w:t>Table of Materials</w:t>
      </w:r>
      <w:r w:rsidR="009B66D8">
        <w:rPr>
          <w:rFonts w:asciiTheme="minorHAnsi" w:hAnsiTheme="minorHAnsi" w:cstheme="minorHAnsi"/>
          <w:color w:val="000000" w:themeColor="text1"/>
          <w:highlight w:val="yellow"/>
        </w:rPr>
        <w:t xml:space="preserve">) </w:t>
      </w:r>
      <w:r w:rsidRPr="00484A27">
        <w:rPr>
          <w:rFonts w:asciiTheme="minorHAnsi" w:hAnsiTheme="minorHAnsi" w:cstheme="minorHAnsi"/>
          <w:color w:val="000000" w:themeColor="text1"/>
          <w:highlight w:val="yellow"/>
        </w:rPr>
        <w:t>with 624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sidR="009D2F02">
        <w:rPr>
          <w:rFonts w:asciiTheme="minorHAnsi" w:hAnsiTheme="minorHAnsi" w:cstheme="minorHAnsi"/>
          <w:color w:val="000000" w:themeColor="text1"/>
          <w:highlight w:val="yellow"/>
        </w:rPr>
        <w:t xml:space="preserve">of </w:t>
      </w:r>
      <w:r>
        <w:rPr>
          <w:rFonts w:asciiTheme="minorHAnsi" w:hAnsiTheme="minorHAnsi" w:cstheme="minorHAnsi"/>
          <w:color w:val="000000" w:themeColor="text1"/>
          <w:highlight w:val="yellow"/>
        </w:rPr>
        <w:t>n</w:t>
      </w:r>
      <w:r w:rsidRPr="00484A27">
        <w:rPr>
          <w:rFonts w:asciiTheme="minorHAnsi" w:hAnsiTheme="minorHAnsi" w:cstheme="minorHAnsi"/>
          <w:color w:val="000000" w:themeColor="text1"/>
          <w:highlight w:val="yellow"/>
        </w:rPr>
        <w:t xml:space="preserve">uclease-free water. </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4A44E0">
      <w:pPr>
        <w:pStyle w:val="ListParagraph"/>
        <w:numPr>
          <w:ilvl w:val="1"/>
          <w:numId w:val="25"/>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Carefully pipette 800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of the prepared </w:t>
      </w:r>
      <w:r>
        <w:rPr>
          <w:rFonts w:asciiTheme="minorHAnsi" w:hAnsiTheme="minorHAnsi" w:cstheme="minorHAnsi"/>
          <w:color w:val="000000" w:themeColor="text1"/>
          <w:highlight w:val="yellow"/>
        </w:rPr>
        <w:t>p</w:t>
      </w:r>
      <w:r w:rsidRPr="00484A27">
        <w:rPr>
          <w:rFonts w:asciiTheme="minorHAnsi" w:hAnsiTheme="minorHAnsi" w:cstheme="minorHAnsi"/>
          <w:color w:val="000000" w:themeColor="text1"/>
          <w:highlight w:val="yellow"/>
        </w:rPr>
        <w:t xml:space="preserve">riming </w:t>
      </w:r>
      <w:r>
        <w:rPr>
          <w:rFonts w:asciiTheme="minorHAnsi" w:hAnsiTheme="minorHAnsi" w:cstheme="minorHAnsi"/>
          <w:color w:val="000000" w:themeColor="text1"/>
          <w:highlight w:val="yellow"/>
        </w:rPr>
        <w:t>m</w:t>
      </w:r>
      <w:r w:rsidRPr="00484A27">
        <w:rPr>
          <w:rFonts w:asciiTheme="minorHAnsi" w:hAnsiTheme="minorHAnsi" w:cstheme="minorHAnsi"/>
          <w:color w:val="000000" w:themeColor="text1"/>
          <w:highlight w:val="yellow"/>
        </w:rPr>
        <w:t>ix into the priming port and wait 5</w:t>
      </w:r>
      <w:r>
        <w:rPr>
          <w:rFonts w:asciiTheme="minorHAnsi" w:hAnsiTheme="minorHAnsi" w:cstheme="minorHAnsi"/>
          <w:color w:val="000000" w:themeColor="text1"/>
          <w:highlight w:val="yellow"/>
        </w:rPr>
        <w:t> </w:t>
      </w:r>
      <w:r w:rsidRPr="00484A27">
        <w:rPr>
          <w:rFonts w:asciiTheme="minorHAnsi" w:hAnsiTheme="minorHAnsi" w:cstheme="minorHAnsi"/>
          <w:color w:val="000000" w:themeColor="text1"/>
          <w:highlight w:val="yellow"/>
        </w:rPr>
        <w:t xml:space="preserve">min. Lift </w:t>
      </w:r>
      <w:r>
        <w:rPr>
          <w:rFonts w:asciiTheme="minorHAnsi" w:hAnsiTheme="minorHAnsi" w:cstheme="minorHAnsi"/>
          <w:color w:val="000000" w:themeColor="text1"/>
          <w:highlight w:val="yellow"/>
        </w:rPr>
        <w:t xml:space="preserve">the </w:t>
      </w:r>
      <w:r w:rsidRPr="00484A27">
        <w:rPr>
          <w:rFonts w:asciiTheme="minorHAnsi" w:hAnsiTheme="minorHAnsi" w:cstheme="minorHAnsi"/>
          <w:color w:val="000000" w:themeColor="text1"/>
          <w:highlight w:val="yellow"/>
        </w:rPr>
        <w:t xml:space="preserve">sample port </w:t>
      </w:r>
      <w:proofErr w:type="gramStart"/>
      <w:r w:rsidRPr="00484A27">
        <w:rPr>
          <w:rFonts w:asciiTheme="minorHAnsi" w:hAnsiTheme="minorHAnsi" w:cstheme="minorHAnsi"/>
          <w:color w:val="000000" w:themeColor="text1"/>
          <w:highlight w:val="yellow"/>
        </w:rPr>
        <w:t>cover, and</w:t>
      </w:r>
      <w:proofErr w:type="gramEnd"/>
      <w:r w:rsidRPr="00484A27">
        <w:rPr>
          <w:rFonts w:asciiTheme="minorHAnsi" w:hAnsiTheme="minorHAnsi" w:cstheme="minorHAnsi"/>
          <w:color w:val="000000" w:themeColor="text1"/>
          <w:highlight w:val="yellow"/>
        </w:rPr>
        <w:t xml:space="preserve"> pipette an additional 200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of the prepared</w:t>
      </w:r>
      <w:r>
        <w:rPr>
          <w:rFonts w:asciiTheme="minorHAnsi" w:hAnsiTheme="minorHAnsi" w:cstheme="minorHAnsi"/>
          <w:color w:val="000000" w:themeColor="text1"/>
          <w:highlight w:val="yellow"/>
        </w:rPr>
        <w:t xml:space="preserve"> priming mix</w:t>
      </w:r>
      <w:r w:rsidRPr="00484A27">
        <w:rPr>
          <w:rFonts w:asciiTheme="minorHAnsi" w:hAnsiTheme="minorHAnsi" w:cstheme="minorHAnsi"/>
          <w:color w:val="000000" w:themeColor="text1"/>
          <w:highlight w:val="yellow"/>
        </w:rPr>
        <w:t xml:space="preserve"> into the priming port.</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1"/>
          <w:numId w:val="25"/>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w:t>
      </w:r>
      <w:r w:rsidRPr="00484A27">
        <w:rPr>
          <w:rFonts w:asciiTheme="minorHAnsi" w:hAnsiTheme="minorHAnsi" w:cstheme="minorHAnsi"/>
          <w:color w:val="000000" w:themeColor="text1"/>
          <w:highlight w:val="yellow"/>
        </w:rPr>
        <w:t>ipette 35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of RBF buffer </w:t>
      </w:r>
      <w:r>
        <w:rPr>
          <w:rFonts w:asciiTheme="minorHAnsi" w:hAnsiTheme="minorHAnsi" w:cstheme="minorHAnsi"/>
          <w:color w:val="000000" w:themeColor="text1"/>
          <w:highlight w:val="yellow"/>
        </w:rPr>
        <w:t>i</w:t>
      </w:r>
      <w:r w:rsidRPr="00484A27">
        <w:rPr>
          <w:rFonts w:asciiTheme="minorHAnsi" w:hAnsiTheme="minorHAnsi" w:cstheme="minorHAnsi"/>
          <w:color w:val="000000" w:themeColor="text1"/>
          <w:highlight w:val="yellow"/>
        </w:rPr>
        <w:t>n</w:t>
      </w:r>
      <w:r>
        <w:rPr>
          <w:rFonts w:asciiTheme="minorHAnsi" w:hAnsiTheme="minorHAnsi" w:cstheme="minorHAnsi"/>
          <w:color w:val="000000" w:themeColor="text1"/>
          <w:highlight w:val="yellow"/>
        </w:rPr>
        <w:t>to</w:t>
      </w:r>
      <w:r w:rsidRPr="00484A27">
        <w:rPr>
          <w:rFonts w:asciiTheme="minorHAnsi" w:hAnsiTheme="minorHAnsi" w:cstheme="minorHAnsi"/>
          <w:color w:val="000000" w:themeColor="text1"/>
          <w:highlight w:val="yellow"/>
        </w:rPr>
        <w:t xml:space="preserve"> a new, clean 1.5 mL </w:t>
      </w:r>
      <w:r>
        <w:rPr>
          <w:rFonts w:asciiTheme="minorHAnsi" w:hAnsiTheme="minorHAnsi" w:cstheme="minorHAnsi"/>
          <w:color w:val="000000" w:themeColor="text1"/>
          <w:highlight w:val="yellow"/>
        </w:rPr>
        <w:t>DNA low-binding reaction</w:t>
      </w:r>
      <w:r w:rsidRPr="00484A27">
        <w:rPr>
          <w:rFonts w:asciiTheme="minorHAnsi" w:hAnsiTheme="minorHAnsi" w:cstheme="minorHAnsi"/>
          <w:color w:val="000000" w:themeColor="text1"/>
          <w:highlight w:val="yellow"/>
        </w:rPr>
        <w:t xml:space="preserve"> tube. Thoroughly mix LLB beads </w:t>
      </w:r>
      <w:r w:rsidRPr="00DB5B0C">
        <w:rPr>
          <w:rFonts w:asciiTheme="minorHAnsi" w:hAnsiTheme="minorHAnsi" w:cstheme="minorHAnsi"/>
          <w:color w:val="000000" w:themeColor="text1"/>
          <w:highlight w:val="yellow"/>
        </w:rPr>
        <w:t xml:space="preserve">(see </w:t>
      </w:r>
      <w:r w:rsidRPr="009D2F02">
        <w:rPr>
          <w:rFonts w:asciiTheme="minorHAnsi" w:hAnsiTheme="minorHAnsi" w:cstheme="minorHAnsi"/>
          <w:b/>
          <w:color w:val="000000" w:themeColor="text1"/>
          <w:highlight w:val="yellow"/>
        </w:rPr>
        <w:t>Table of Materials</w:t>
      </w:r>
      <w:r w:rsidRPr="00DB5B0C">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Pr="00484A27">
        <w:rPr>
          <w:rFonts w:asciiTheme="minorHAnsi" w:hAnsiTheme="minorHAnsi" w:cstheme="minorHAnsi"/>
          <w:color w:val="000000" w:themeColor="text1"/>
          <w:highlight w:val="yellow"/>
        </w:rPr>
        <w:t>by pipetting and add 25.5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of the beads </w:t>
      </w:r>
      <w:r w:rsidRPr="00484A27">
        <w:rPr>
          <w:rFonts w:asciiTheme="minorHAnsi" w:hAnsiTheme="minorHAnsi" w:cstheme="minorHAnsi"/>
          <w:color w:val="000000" w:themeColor="text1"/>
          <w:highlight w:val="yellow"/>
        </w:rPr>
        <w:t>to the RBF buffer. Add 2.5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n</w:t>
      </w:r>
      <w:r w:rsidRPr="00484A27">
        <w:rPr>
          <w:rFonts w:asciiTheme="minorHAnsi" w:hAnsiTheme="minorHAnsi" w:cstheme="minorHAnsi"/>
          <w:color w:val="000000" w:themeColor="text1"/>
          <w:highlight w:val="yellow"/>
        </w:rPr>
        <w:t>uclease-free water and 12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of DNA library from step 5.8 and mix by pipetting.</w:t>
      </w:r>
    </w:p>
    <w:p w:rsidR="0024495B" w:rsidRPr="00484A27" w:rsidRDefault="0024495B" w:rsidP="00C30BC2">
      <w:pPr>
        <w:pStyle w:val="ListParagraph"/>
        <w:ind w:left="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 xml:space="preserve"> </w:t>
      </w:r>
    </w:p>
    <w:p w:rsidR="0024495B" w:rsidRPr="00484A27" w:rsidRDefault="0024495B" w:rsidP="00C30BC2">
      <w:pPr>
        <w:pStyle w:val="ListParagraph"/>
        <w:numPr>
          <w:ilvl w:val="1"/>
          <w:numId w:val="25"/>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Add 75 µ</w:t>
      </w:r>
      <w:r>
        <w:rPr>
          <w:rFonts w:asciiTheme="minorHAnsi" w:hAnsiTheme="minorHAnsi" w:cstheme="minorHAnsi"/>
          <w:color w:val="000000" w:themeColor="text1"/>
          <w:highlight w:val="yellow"/>
        </w:rPr>
        <w:t>L</w:t>
      </w:r>
      <w:r w:rsidRPr="00484A27">
        <w:rPr>
          <w:rFonts w:asciiTheme="minorHAnsi" w:hAnsiTheme="minorHAnsi" w:cstheme="minorHAnsi"/>
          <w:color w:val="000000" w:themeColor="text1"/>
          <w:highlight w:val="yellow"/>
        </w:rPr>
        <w:t xml:space="preserve"> of </w:t>
      </w:r>
      <w:r>
        <w:rPr>
          <w:rFonts w:asciiTheme="minorHAnsi" w:hAnsiTheme="minorHAnsi" w:cstheme="minorHAnsi"/>
          <w:color w:val="000000" w:themeColor="text1"/>
          <w:highlight w:val="yellow"/>
        </w:rPr>
        <w:t xml:space="preserve">the </w:t>
      </w:r>
      <w:r w:rsidRPr="00484A27">
        <w:rPr>
          <w:rFonts w:asciiTheme="minorHAnsi" w:hAnsiTheme="minorHAnsi" w:cstheme="minorHAnsi"/>
          <w:color w:val="000000" w:themeColor="text1"/>
          <w:highlight w:val="yellow"/>
        </w:rPr>
        <w:t xml:space="preserve">sample </w:t>
      </w:r>
      <w:r>
        <w:rPr>
          <w:rFonts w:asciiTheme="minorHAnsi" w:hAnsiTheme="minorHAnsi" w:cstheme="minorHAnsi"/>
          <w:color w:val="000000" w:themeColor="text1"/>
          <w:highlight w:val="yellow"/>
        </w:rPr>
        <w:t xml:space="preserve">mixture in a slow dropwise fashion </w:t>
      </w:r>
      <w:r w:rsidRPr="00484A27">
        <w:rPr>
          <w:rFonts w:asciiTheme="minorHAnsi" w:hAnsiTheme="minorHAnsi" w:cstheme="minorHAnsi"/>
          <w:color w:val="000000" w:themeColor="text1"/>
          <w:highlight w:val="yellow"/>
        </w:rPr>
        <w:t>to the flow cell via the sample port.</w:t>
      </w:r>
    </w:p>
    <w:p w:rsidR="0024495B" w:rsidRPr="00484A27" w:rsidRDefault="0024495B" w:rsidP="00C30BC2">
      <w:pPr>
        <w:pStyle w:val="ListParagraph"/>
        <w:ind w:left="0"/>
        <w:rPr>
          <w:rFonts w:asciiTheme="minorHAnsi" w:hAnsiTheme="minorHAnsi" w:cstheme="minorHAnsi"/>
          <w:color w:val="000000" w:themeColor="text1"/>
          <w:highlight w:val="yellow"/>
        </w:rPr>
      </w:pPr>
    </w:p>
    <w:p w:rsidR="0024495B" w:rsidRPr="00484A27" w:rsidRDefault="0024495B" w:rsidP="00C30BC2">
      <w:pPr>
        <w:pStyle w:val="ListParagraph"/>
        <w:numPr>
          <w:ilvl w:val="1"/>
          <w:numId w:val="25"/>
        </w:numPr>
        <w:ind w:left="0" w:firstLine="0"/>
        <w:rPr>
          <w:rFonts w:asciiTheme="minorHAnsi" w:hAnsiTheme="minorHAnsi" w:cstheme="minorHAnsi"/>
          <w:color w:val="000000" w:themeColor="text1"/>
          <w:highlight w:val="yellow"/>
        </w:rPr>
      </w:pPr>
      <w:r w:rsidRPr="00484A27">
        <w:rPr>
          <w:rFonts w:asciiTheme="minorHAnsi" w:hAnsiTheme="minorHAnsi" w:cstheme="minorHAnsi"/>
          <w:color w:val="000000" w:themeColor="text1"/>
          <w:highlight w:val="yellow"/>
        </w:rPr>
        <w:t xml:space="preserve">Replace the sample port cover, close the priming port, and close the lid of the </w:t>
      </w:r>
      <w:r>
        <w:rPr>
          <w:rFonts w:asciiTheme="minorHAnsi" w:hAnsiTheme="minorHAnsi" w:cstheme="minorHAnsi"/>
          <w:color w:val="000000" w:themeColor="text1"/>
          <w:highlight w:val="yellow"/>
        </w:rPr>
        <w:t>sequencing device</w:t>
      </w:r>
      <w:r w:rsidRPr="00484A27">
        <w:rPr>
          <w:rFonts w:asciiTheme="minorHAnsi" w:hAnsiTheme="minorHAnsi" w:cstheme="minorHAnsi"/>
          <w:color w:val="000000" w:themeColor="text1"/>
          <w:highlight w:val="yellow"/>
        </w:rPr>
        <w:t xml:space="preserve">. </w:t>
      </w:r>
    </w:p>
    <w:p w:rsidR="0024495B" w:rsidRPr="00484A27" w:rsidRDefault="0024495B" w:rsidP="00557173">
      <w:pPr>
        <w:pStyle w:val="ListParagraph"/>
        <w:rPr>
          <w:rFonts w:asciiTheme="minorHAnsi" w:hAnsiTheme="minorHAnsi" w:cstheme="minorHAnsi"/>
          <w:color w:val="000000" w:themeColor="text1"/>
          <w:highlight w:val="yellow"/>
        </w:rPr>
      </w:pPr>
    </w:p>
    <w:p w:rsidR="0024495B" w:rsidRPr="00E5318B" w:rsidRDefault="0024495B" w:rsidP="006B3347">
      <w:pPr>
        <w:pStyle w:val="ListParagraph"/>
        <w:numPr>
          <w:ilvl w:val="1"/>
          <w:numId w:val="25"/>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Within the software, confirm that the flow cell is still available,</w:t>
      </w:r>
      <w:r w:rsidRPr="00484A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o</w:t>
      </w:r>
      <w:r w:rsidRPr="00484A27">
        <w:rPr>
          <w:rFonts w:asciiTheme="minorHAnsi" w:hAnsiTheme="minorHAnsi" w:cstheme="minorHAnsi"/>
          <w:color w:val="000000" w:themeColor="text1"/>
          <w:highlight w:val="yellow"/>
        </w:rPr>
        <w:t>pen a new experiment</w:t>
      </w:r>
      <w:r>
        <w:rPr>
          <w:rFonts w:asciiTheme="minorHAnsi" w:hAnsiTheme="minorHAnsi" w:cstheme="minorHAnsi"/>
          <w:color w:val="000000" w:themeColor="text1"/>
          <w:highlight w:val="yellow"/>
        </w:rPr>
        <w:t>,</w:t>
      </w:r>
      <w:r w:rsidRPr="00484A27">
        <w:rPr>
          <w:rFonts w:asciiTheme="minorHAnsi" w:hAnsiTheme="minorHAnsi" w:cstheme="minorHAnsi"/>
          <w:color w:val="000000" w:themeColor="text1"/>
          <w:highlight w:val="yellow"/>
        </w:rPr>
        <w:t xml:space="preserve"> and set up </w:t>
      </w:r>
      <w:r>
        <w:rPr>
          <w:rFonts w:asciiTheme="minorHAnsi" w:hAnsiTheme="minorHAnsi" w:cstheme="minorHAnsi"/>
          <w:color w:val="000000" w:themeColor="text1"/>
          <w:highlight w:val="yellow"/>
        </w:rPr>
        <w:t xml:space="preserve">the </w:t>
      </w:r>
      <w:r w:rsidRPr="00484A27">
        <w:rPr>
          <w:rFonts w:asciiTheme="minorHAnsi" w:hAnsiTheme="minorHAnsi" w:cstheme="minorHAnsi"/>
          <w:color w:val="000000" w:themeColor="text1"/>
          <w:highlight w:val="yellow"/>
        </w:rPr>
        <w:t>run parameters</w:t>
      </w:r>
      <w:r>
        <w:rPr>
          <w:rFonts w:asciiTheme="minorHAnsi" w:hAnsiTheme="minorHAnsi" w:cstheme="minorHAnsi"/>
          <w:color w:val="000000" w:themeColor="text1"/>
          <w:highlight w:val="yellow"/>
        </w:rPr>
        <w:t xml:space="preserve"> by</w:t>
      </w:r>
      <w:r w:rsidRPr="00484A27">
        <w:rPr>
          <w:rFonts w:asciiTheme="minorHAnsi" w:hAnsiTheme="minorHAnsi" w:cstheme="minorHAnsi"/>
          <w:color w:val="000000" w:themeColor="text1"/>
          <w:highlight w:val="yellow"/>
        </w:rPr>
        <w:t xml:space="preserve"> select</w:t>
      </w:r>
      <w:r>
        <w:rPr>
          <w:rFonts w:asciiTheme="minorHAnsi" w:hAnsiTheme="minorHAnsi" w:cstheme="minorHAnsi"/>
          <w:color w:val="000000" w:themeColor="text1"/>
          <w:highlight w:val="yellow"/>
        </w:rPr>
        <w:t>ing</w:t>
      </w:r>
      <w:r w:rsidRPr="00484A27">
        <w:rPr>
          <w:rFonts w:asciiTheme="minorHAnsi" w:hAnsiTheme="minorHAnsi" w:cstheme="minorHAnsi"/>
          <w:color w:val="000000" w:themeColor="text1"/>
          <w:highlight w:val="yellow"/>
        </w:rPr>
        <w:t xml:space="preserve"> the kit used</w:t>
      </w:r>
      <w:r>
        <w:rPr>
          <w:rFonts w:asciiTheme="minorHAnsi" w:hAnsiTheme="minorHAnsi" w:cstheme="minorHAnsi"/>
          <w:color w:val="000000" w:themeColor="text1"/>
          <w:highlight w:val="yellow"/>
        </w:rPr>
        <w:t>.</w:t>
      </w:r>
      <w:r w:rsidRPr="00484A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Select</w:t>
      </w:r>
      <w:r w:rsidRPr="00484A27">
        <w:rPr>
          <w:rFonts w:asciiTheme="minorHAnsi" w:hAnsiTheme="minorHAnsi" w:cstheme="minorHAnsi"/>
          <w:color w:val="000000" w:themeColor="text1"/>
          <w:highlight w:val="yellow"/>
        </w:rPr>
        <w:t xml:space="preserve"> live base</w:t>
      </w:r>
      <w:r>
        <w:rPr>
          <w:rFonts w:asciiTheme="minorHAnsi" w:hAnsiTheme="minorHAnsi" w:cstheme="minorHAnsi"/>
          <w:color w:val="000000" w:themeColor="text1"/>
          <w:highlight w:val="yellow"/>
        </w:rPr>
        <w:t>-</w:t>
      </w:r>
      <w:r w:rsidRPr="00484A27">
        <w:rPr>
          <w:rFonts w:asciiTheme="minorHAnsi" w:hAnsiTheme="minorHAnsi" w:cstheme="minorHAnsi"/>
          <w:color w:val="000000" w:themeColor="text1"/>
          <w:highlight w:val="yellow"/>
        </w:rPr>
        <w:t xml:space="preserve">calling. Start the sequencing run by clicking </w:t>
      </w:r>
      <w:r w:rsidRPr="009D2F02">
        <w:rPr>
          <w:rFonts w:asciiTheme="minorHAnsi" w:hAnsiTheme="minorHAnsi" w:cstheme="minorHAnsi"/>
          <w:b/>
          <w:color w:val="000000" w:themeColor="text1"/>
          <w:highlight w:val="yellow"/>
        </w:rPr>
        <w:t>Begin Experiment</w:t>
      </w:r>
      <w:r w:rsidRPr="00484A27">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Continue the sequencing run until </w:t>
      </w:r>
      <w:proofErr w:type="gramStart"/>
      <w:r>
        <w:rPr>
          <w:rFonts w:asciiTheme="minorHAnsi" w:hAnsiTheme="minorHAnsi" w:cstheme="minorHAnsi"/>
          <w:color w:val="000000" w:themeColor="text1"/>
          <w:highlight w:val="yellow"/>
        </w:rPr>
        <w:t>sufficient</w:t>
      </w:r>
      <w:proofErr w:type="gramEnd"/>
      <w:r>
        <w:rPr>
          <w:rFonts w:asciiTheme="minorHAnsi" w:hAnsiTheme="minorHAnsi" w:cstheme="minorHAnsi"/>
          <w:color w:val="000000" w:themeColor="text1"/>
          <w:highlight w:val="yellow"/>
        </w:rPr>
        <w:t xml:space="preserve"> experimental data is collected.</w:t>
      </w:r>
    </w:p>
    <w:bookmarkEnd w:id="0"/>
    <w:p w:rsidR="0024495B" w:rsidRPr="001B1519" w:rsidRDefault="0024495B" w:rsidP="001B1519">
      <w:pPr>
        <w:pStyle w:val="NormalWeb"/>
        <w:spacing w:before="0" w:beforeAutospacing="0" w:after="0" w:afterAutospacing="0"/>
        <w:rPr>
          <w:rFonts w:asciiTheme="minorHAnsi" w:hAnsiTheme="minorHAnsi" w:cstheme="minorHAnsi"/>
          <w:b/>
        </w:rPr>
      </w:pPr>
    </w:p>
    <w:p w:rsidR="0024495B" w:rsidRDefault="0024495B" w:rsidP="009D2F0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336ECE">
        <w:rPr>
          <w:rFonts w:asciiTheme="minorHAnsi" w:hAnsiTheme="minorHAnsi" w:cstheme="minorHAnsi"/>
          <w:b/>
        </w:rPr>
        <w:t xml:space="preserve"> </w:t>
      </w:r>
    </w:p>
    <w:p w:rsidR="0024495B" w:rsidRDefault="0024495B" w:rsidP="00916EEB">
      <w:pPr>
        <w:rPr>
          <w:rFonts w:asciiTheme="minorHAnsi" w:hAnsiTheme="minorHAnsi" w:cs="Times"/>
          <w:color w:val="00000A"/>
        </w:rPr>
      </w:pPr>
      <w:r w:rsidRPr="00484A27">
        <w:rPr>
          <w:rFonts w:asciiTheme="minorHAnsi" w:hAnsiTheme="minorHAnsi" w:cs="Times"/>
          <w:color w:val="00000A"/>
        </w:rPr>
        <w:t xml:space="preserve">In a representative experiment </w:t>
      </w:r>
      <w:r>
        <w:rPr>
          <w:rFonts w:asciiTheme="minorHAnsi" w:hAnsiTheme="minorHAnsi" w:cs="Times"/>
          <w:color w:val="00000A"/>
        </w:rPr>
        <w:t xml:space="preserve">to test the presented protocol </w:t>
      </w:r>
      <w:r w:rsidRPr="00484A27">
        <w:rPr>
          <w:rFonts w:asciiTheme="minorHAnsi" w:hAnsiTheme="minorHAnsi" w:cs="Times"/>
          <w:color w:val="00000A"/>
        </w:rPr>
        <w:t xml:space="preserve">we extracted the RNA from 10 </w:t>
      </w:r>
      <w:r w:rsidRPr="00484A27">
        <w:rPr>
          <w:rFonts w:asciiTheme="minorHAnsi" w:hAnsiTheme="minorHAnsi" w:cs="Times"/>
          <w:color w:val="00000A"/>
        </w:rPr>
        <w:lastRenderedPageBreak/>
        <w:t>different blood samples of five animal species (</w:t>
      </w:r>
      <w:r w:rsidR="009B66D8">
        <w:rPr>
          <w:rFonts w:asciiTheme="minorHAnsi" w:hAnsiTheme="minorHAnsi" w:cs="Times"/>
          <w:color w:val="00000A"/>
        </w:rPr>
        <w:t>i.e.</w:t>
      </w:r>
      <w:r w:rsidR="00C959C8">
        <w:rPr>
          <w:rFonts w:asciiTheme="minorHAnsi" w:hAnsiTheme="minorHAnsi" w:cs="Times"/>
          <w:color w:val="00000A"/>
        </w:rPr>
        <w:t>,</w:t>
      </w:r>
      <w:r w:rsidR="009B66D8">
        <w:rPr>
          <w:rFonts w:asciiTheme="minorHAnsi" w:hAnsiTheme="minorHAnsi" w:cs="Times"/>
          <w:color w:val="00000A"/>
        </w:rPr>
        <w:t xml:space="preserve"> </w:t>
      </w:r>
      <w:r w:rsidRPr="00484A27">
        <w:rPr>
          <w:rFonts w:asciiTheme="minorHAnsi" w:hAnsiTheme="minorHAnsi" w:cs="Times"/>
          <w:color w:val="00000A"/>
        </w:rPr>
        <w:t>2 individuals per species</w:t>
      </w:r>
      <w:r>
        <w:rPr>
          <w:rFonts w:asciiTheme="minorHAnsi" w:hAnsiTheme="minorHAnsi" w:cs="Times"/>
          <w:color w:val="00000A"/>
        </w:rPr>
        <w:t xml:space="preserve"> </w:t>
      </w:r>
      <w:r w:rsidR="009B66D8">
        <w:rPr>
          <w:rFonts w:asciiTheme="minorHAnsi" w:hAnsiTheme="minorHAnsi" w:cs="Times"/>
          <w:color w:val="00000A"/>
        </w:rPr>
        <w:t>(</w:t>
      </w:r>
      <w:r>
        <w:rPr>
          <w:rFonts w:asciiTheme="minorHAnsi" w:hAnsiTheme="minorHAnsi" w:cs="Times"/>
          <w:color w:val="00000A"/>
        </w:rPr>
        <w:t>goat, sheep, swine, dog, cattle</w:t>
      </w:r>
      <w:r w:rsidR="009B66D8">
        <w:rPr>
          <w:rFonts w:asciiTheme="minorHAnsi" w:hAnsiTheme="minorHAnsi" w:cs="Times"/>
          <w:color w:val="00000A"/>
        </w:rPr>
        <w:t>)</w:t>
      </w:r>
      <w:r w:rsidRPr="00484A27">
        <w:rPr>
          <w:rFonts w:asciiTheme="minorHAnsi" w:hAnsiTheme="minorHAnsi" w:cs="Times"/>
          <w:color w:val="00000A"/>
        </w:rPr>
        <w:t>)</w:t>
      </w:r>
      <w:r>
        <w:rPr>
          <w:rFonts w:asciiTheme="minorHAnsi" w:hAnsiTheme="minorHAnsi" w:cs="Times"/>
          <w:color w:val="00000A"/>
        </w:rPr>
        <w:t xml:space="preserve"> (</w:t>
      </w:r>
      <w:r w:rsidRPr="009D2F02">
        <w:rPr>
          <w:rFonts w:asciiTheme="minorHAnsi" w:hAnsiTheme="minorHAnsi" w:cs="Times"/>
          <w:b/>
          <w:color w:val="00000A"/>
        </w:rPr>
        <w:t>Table 3</w:t>
      </w:r>
      <w:r>
        <w:rPr>
          <w:rFonts w:asciiTheme="minorHAnsi" w:hAnsiTheme="minorHAnsi" w:cs="Times"/>
          <w:color w:val="00000A"/>
        </w:rPr>
        <w:t xml:space="preserve">). </w:t>
      </w:r>
      <w:r w:rsidRPr="00484A27">
        <w:rPr>
          <w:rFonts w:asciiTheme="minorHAnsi" w:hAnsiTheme="minorHAnsi" w:cs="Times"/>
          <w:color w:val="00000A"/>
        </w:rPr>
        <w:t xml:space="preserve">RNA </w:t>
      </w:r>
      <w:r>
        <w:rPr>
          <w:rFonts w:asciiTheme="minorHAnsi" w:hAnsiTheme="minorHAnsi" w:cs="Times"/>
          <w:color w:val="00000A"/>
        </w:rPr>
        <w:t xml:space="preserve">yields and quality following </w:t>
      </w:r>
      <w:r w:rsidRPr="00484A27">
        <w:rPr>
          <w:rFonts w:asciiTheme="minorHAnsi" w:hAnsiTheme="minorHAnsi" w:cs="Times"/>
          <w:color w:val="00000A"/>
        </w:rPr>
        <w:t xml:space="preserve">extraction can </w:t>
      </w:r>
      <w:r>
        <w:rPr>
          <w:rFonts w:asciiTheme="minorHAnsi" w:hAnsiTheme="minorHAnsi" w:cs="Times"/>
          <w:color w:val="00000A"/>
        </w:rPr>
        <w:t>vary</w:t>
      </w:r>
      <w:r w:rsidRPr="00484A27">
        <w:rPr>
          <w:rFonts w:asciiTheme="minorHAnsi" w:hAnsiTheme="minorHAnsi" w:cs="Times"/>
          <w:color w:val="00000A"/>
        </w:rPr>
        <w:t xml:space="preserve"> widely, </w:t>
      </w:r>
      <w:proofErr w:type="gramStart"/>
      <w:r>
        <w:rPr>
          <w:rFonts w:asciiTheme="minorHAnsi" w:hAnsiTheme="minorHAnsi" w:cs="Times"/>
          <w:color w:val="00000A"/>
        </w:rPr>
        <w:t xml:space="preserve">in particular </w:t>
      </w:r>
      <w:r w:rsidRPr="00484A27">
        <w:rPr>
          <w:rFonts w:asciiTheme="minorHAnsi" w:hAnsiTheme="minorHAnsi" w:cs="Times"/>
          <w:color w:val="00000A"/>
        </w:rPr>
        <w:t>due</w:t>
      </w:r>
      <w:proofErr w:type="gramEnd"/>
      <w:r w:rsidRPr="00484A27">
        <w:rPr>
          <w:rFonts w:asciiTheme="minorHAnsi" w:hAnsiTheme="minorHAnsi" w:cs="Times"/>
          <w:color w:val="00000A"/>
        </w:rPr>
        <w:t xml:space="preserve"> to differences in sample handling and storage</w:t>
      </w:r>
      <w:r>
        <w:rPr>
          <w:rFonts w:asciiTheme="minorHAnsi" w:hAnsiTheme="minorHAnsi" w:cs="Times"/>
          <w:color w:val="00000A"/>
        </w:rPr>
        <w:t>.</w:t>
      </w:r>
      <w:r w:rsidRPr="00484A27">
        <w:rPr>
          <w:rFonts w:asciiTheme="minorHAnsi" w:hAnsiTheme="minorHAnsi" w:cs="Times"/>
          <w:color w:val="00000A"/>
        </w:rPr>
        <w:t xml:space="preserve"> </w:t>
      </w:r>
      <w:r>
        <w:rPr>
          <w:rFonts w:asciiTheme="minorHAnsi" w:hAnsiTheme="minorHAnsi" w:cs="Times"/>
          <w:color w:val="00000A"/>
        </w:rPr>
        <w:t>In our representative experiment</w:t>
      </w:r>
      <w:r w:rsidR="00C959C8">
        <w:rPr>
          <w:rFonts w:asciiTheme="minorHAnsi" w:hAnsiTheme="minorHAnsi" w:cs="Times"/>
          <w:color w:val="00000A"/>
        </w:rPr>
        <w:t>,</w:t>
      </w:r>
      <w:r>
        <w:rPr>
          <w:rFonts w:asciiTheme="minorHAnsi" w:hAnsiTheme="minorHAnsi" w:cs="Times"/>
          <w:color w:val="00000A"/>
        </w:rPr>
        <w:t xml:space="preserve"> we</w:t>
      </w:r>
      <w:r w:rsidRPr="00484A27">
        <w:rPr>
          <w:rFonts w:asciiTheme="minorHAnsi" w:hAnsiTheme="minorHAnsi" w:cs="Times"/>
          <w:color w:val="00000A"/>
        </w:rPr>
        <w:t xml:space="preserve"> observed RNA concentrations between </w:t>
      </w:r>
      <w:r>
        <w:rPr>
          <w:rFonts w:asciiTheme="minorHAnsi" w:hAnsiTheme="minorHAnsi" w:cs="Times"/>
          <w:color w:val="00000A"/>
        </w:rPr>
        <w:t>43 ng and 543 ng per µL (</w:t>
      </w:r>
      <w:r w:rsidRPr="00C959C8">
        <w:rPr>
          <w:rFonts w:asciiTheme="minorHAnsi" w:hAnsiTheme="minorHAnsi" w:cs="Times"/>
          <w:b/>
          <w:color w:val="00000A"/>
        </w:rPr>
        <w:t>Table 3</w:t>
      </w:r>
      <w:r w:rsidRPr="00484A27">
        <w:rPr>
          <w:rFonts w:asciiTheme="minorHAnsi" w:hAnsiTheme="minorHAnsi" w:cs="Times"/>
          <w:color w:val="00000A"/>
        </w:rPr>
        <w:t xml:space="preserve">). </w:t>
      </w:r>
      <w:r>
        <w:rPr>
          <w:rFonts w:asciiTheme="minorHAnsi" w:hAnsiTheme="minorHAnsi" w:cs="Times"/>
          <w:color w:val="00000A"/>
        </w:rPr>
        <w:t>Also, after</w:t>
      </w:r>
      <w:r w:rsidRPr="00484A27">
        <w:rPr>
          <w:rFonts w:asciiTheme="minorHAnsi" w:hAnsiTheme="minorHAnsi" w:cs="Times"/>
          <w:color w:val="00000A"/>
        </w:rPr>
        <w:t xml:space="preserve"> </w:t>
      </w:r>
      <w:r>
        <w:rPr>
          <w:rFonts w:asciiTheme="minorHAnsi" w:hAnsiTheme="minorHAnsi" w:cs="Times"/>
          <w:color w:val="00000A"/>
        </w:rPr>
        <w:t xml:space="preserve">amplification by RT-PCR, </w:t>
      </w:r>
      <w:r w:rsidRPr="00484A27">
        <w:rPr>
          <w:rFonts w:asciiTheme="minorHAnsi" w:hAnsiTheme="minorHAnsi" w:cs="Times"/>
          <w:color w:val="00000A"/>
        </w:rPr>
        <w:t xml:space="preserve">gel </w:t>
      </w:r>
      <w:r>
        <w:rPr>
          <w:rFonts w:asciiTheme="minorHAnsi" w:hAnsiTheme="minorHAnsi" w:cs="Times"/>
          <w:color w:val="00000A"/>
        </w:rPr>
        <w:t xml:space="preserve">analysis of the NPC-1 PCR-products </w:t>
      </w:r>
      <w:r w:rsidRPr="00484A27">
        <w:rPr>
          <w:rFonts w:asciiTheme="minorHAnsi" w:hAnsiTheme="minorHAnsi" w:cs="Times"/>
          <w:color w:val="00000A"/>
        </w:rPr>
        <w:t>show</w:t>
      </w:r>
      <w:r>
        <w:rPr>
          <w:rFonts w:asciiTheme="minorHAnsi" w:hAnsiTheme="minorHAnsi" w:cs="Times"/>
          <w:color w:val="00000A"/>
        </w:rPr>
        <w:t>ed various outcomes (</w:t>
      </w:r>
      <w:r w:rsidRPr="00C959C8">
        <w:rPr>
          <w:rFonts w:asciiTheme="minorHAnsi" w:hAnsiTheme="minorHAnsi" w:cs="Times"/>
          <w:b/>
          <w:color w:val="00000A"/>
        </w:rPr>
        <w:t>Figure 2</w:t>
      </w:r>
      <w:r>
        <w:rPr>
          <w:rFonts w:asciiTheme="minorHAnsi" w:hAnsiTheme="minorHAnsi" w:cs="Times"/>
          <w:color w:val="00000A"/>
        </w:rPr>
        <w:t>), with</w:t>
      </w:r>
      <w:r w:rsidRPr="00484A27">
        <w:rPr>
          <w:rFonts w:asciiTheme="minorHAnsi" w:hAnsiTheme="minorHAnsi" w:cs="Times"/>
          <w:color w:val="00000A"/>
        </w:rPr>
        <w:t xml:space="preserve"> </w:t>
      </w:r>
      <w:r>
        <w:rPr>
          <w:rFonts w:asciiTheme="minorHAnsi" w:hAnsiTheme="minorHAnsi" w:cs="Times"/>
          <w:color w:val="00000A"/>
        </w:rPr>
        <w:t xml:space="preserve">markedly </w:t>
      </w:r>
      <w:r w:rsidRPr="00484A27">
        <w:rPr>
          <w:rFonts w:asciiTheme="minorHAnsi" w:hAnsiTheme="minorHAnsi" w:cs="Times"/>
          <w:color w:val="00000A"/>
        </w:rPr>
        <w:t>weaker band</w:t>
      </w:r>
      <w:r>
        <w:rPr>
          <w:rFonts w:asciiTheme="minorHAnsi" w:hAnsiTheme="minorHAnsi" w:cs="Times"/>
          <w:color w:val="00000A"/>
        </w:rPr>
        <w:t>s</w:t>
      </w:r>
      <w:r w:rsidRPr="00484A27">
        <w:rPr>
          <w:rFonts w:asciiTheme="minorHAnsi" w:hAnsiTheme="minorHAnsi" w:cs="Times"/>
          <w:color w:val="00000A"/>
        </w:rPr>
        <w:t xml:space="preserve"> for sample</w:t>
      </w:r>
      <w:r>
        <w:rPr>
          <w:rFonts w:asciiTheme="minorHAnsi" w:hAnsiTheme="minorHAnsi" w:cs="Times"/>
          <w:color w:val="00000A"/>
        </w:rPr>
        <w:t>s</w:t>
      </w:r>
      <w:r w:rsidRPr="00484A27">
        <w:rPr>
          <w:rFonts w:asciiTheme="minorHAnsi" w:hAnsiTheme="minorHAnsi" w:cs="Times"/>
          <w:color w:val="00000A"/>
        </w:rPr>
        <w:t xml:space="preserve"> </w:t>
      </w:r>
      <w:r>
        <w:rPr>
          <w:rFonts w:asciiTheme="minorHAnsi" w:hAnsiTheme="minorHAnsi" w:cs="Times"/>
          <w:color w:val="00000A"/>
        </w:rPr>
        <w:t>BC0</w:t>
      </w:r>
      <w:r w:rsidRPr="00484A27">
        <w:rPr>
          <w:rFonts w:asciiTheme="minorHAnsi" w:hAnsiTheme="minorHAnsi" w:cs="Times"/>
          <w:color w:val="00000A"/>
        </w:rPr>
        <w:t xml:space="preserve">1 and </w:t>
      </w:r>
      <w:r>
        <w:rPr>
          <w:rFonts w:asciiTheme="minorHAnsi" w:hAnsiTheme="minorHAnsi" w:cs="Times"/>
          <w:color w:val="00000A"/>
        </w:rPr>
        <w:t>BC0</w:t>
      </w:r>
      <w:r w:rsidRPr="00484A27">
        <w:rPr>
          <w:rFonts w:asciiTheme="minorHAnsi" w:hAnsiTheme="minorHAnsi" w:cs="Times"/>
          <w:color w:val="00000A"/>
        </w:rPr>
        <w:t>2</w:t>
      </w:r>
      <w:r>
        <w:rPr>
          <w:rFonts w:asciiTheme="minorHAnsi" w:hAnsiTheme="minorHAnsi" w:cs="Times"/>
          <w:color w:val="00000A"/>
        </w:rPr>
        <w:t xml:space="preserve"> (both goat). These differences were most likely caused by differences in sample quality, although differences in PCR efficacy due to differences in primer binding to the NPC1 gene of different species cannot be excluded. However, these differences in yield and/or amplification efficiency did </w:t>
      </w:r>
      <w:r w:rsidRPr="00484A27">
        <w:rPr>
          <w:rFonts w:asciiTheme="minorHAnsi" w:hAnsiTheme="minorHAnsi" w:cs="Times"/>
          <w:color w:val="00000A"/>
        </w:rPr>
        <w:t xml:space="preserve">not </w:t>
      </w:r>
      <w:r>
        <w:rPr>
          <w:rFonts w:asciiTheme="minorHAnsi" w:hAnsiTheme="minorHAnsi" w:cs="Times"/>
          <w:color w:val="00000A"/>
        </w:rPr>
        <w:t xml:space="preserve">markedly </w:t>
      </w:r>
      <w:r w:rsidRPr="00484A27">
        <w:rPr>
          <w:rFonts w:asciiTheme="minorHAnsi" w:hAnsiTheme="minorHAnsi" w:cs="Times"/>
          <w:color w:val="00000A"/>
        </w:rPr>
        <w:t xml:space="preserve">impact the </w:t>
      </w:r>
      <w:r>
        <w:rPr>
          <w:rFonts w:asciiTheme="minorHAnsi" w:hAnsiTheme="minorHAnsi" w:cs="Times"/>
          <w:color w:val="00000A"/>
        </w:rPr>
        <w:t xml:space="preserve">overall sequencing </w:t>
      </w:r>
      <w:r w:rsidRPr="00484A27">
        <w:rPr>
          <w:rFonts w:asciiTheme="minorHAnsi" w:hAnsiTheme="minorHAnsi" w:cs="Times"/>
          <w:color w:val="00000A"/>
        </w:rPr>
        <w:t xml:space="preserve">outcome. Further, </w:t>
      </w:r>
      <w:r>
        <w:rPr>
          <w:rFonts w:asciiTheme="minorHAnsi" w:hAnsiTheme="minorHAnsi" w:cs="Times"/>
          <w:color w:val="00000A"/>
        </w:rPr>
        <w:t xml:space="preserve">an </w:t>
      </w:r>
      <w:r w:rsidRPr="00484A27">
        <w:rPr>
          <w:rFonts w:asciiTheme="minorHAnsi" w:hAnsiTheme="minorHAnsi" w:cs="Times"/>
          <w:color w:val="00000A"/>
        </w:rPr>
        <w:t xml:space="preserve">additional </w:t>
      </w:r>
      <w:r>
        <w:rPr>
          <w:rFonts w:asciiTheme="minorHAnsi" w:hAnsiTheme="minorHAnsi" w:cs="Times"/>
          <w:color w:val="00000A"/>
        </w:rPr>
        <w:t xml:space="preserve">non-specific </w:t>
      </w:r>
      <w:r w:rsidRPr="00484A27">
        <w:rPr>
          <w:rFonts w:asciiTheme="minorHAnsi" w:hAnsiTheme="minorHAnsi" w:cs="Times"/>
          <w:color w:val="00000A"/>
        </w:rPr>
        <w:t xml:space="preserve">PCR product occurred </w:t>
      </w:r>
      <w:r>
        <w:rPr>
          <w:rFonts w:asciiTheme="minorHAnsi" w:hAnsiTheme="minorHAnsi" w:cs="Times"/>
          <w:color w:val="00000A"/>
        </w:rPr>
        <w:t xml:space="preserve">in </w:t>
      </w:r>
      <w:r w:rsidRPr="00484A27">
        <w:rPr>
          <w:rFonts w:asciiTheme="minorHAnsi" w:hAnsiTheme="minorHAnsi" w:cs="Times"/>
          <w:color w:val="00000A"/>
        </w:rPr>
        <w:t xml:space="preserve">sample </w:t>
      </w:r>
      <w:r>
        <w:rPr>
          <w:rFonts w:asciiTheme="minorHAnsi" w:hAnsiTheme="minorHAnsi" w:cs="Times"/>
          <w:color w:val="00000A"/>
        </w:rPr>
        <w:t>BC</w:t>
      </w:r>
      <w:r w:rsidRPr="00484A27">
        <w:rPr>
          <w:rFonts w:asciiTheme="minorHAnsi" w:hAnsiTheme="minorHAnsi" w:cs="Times"/>
          <w:color w:val="00000A"/>
        </w:rPr>
        <w:t xml:space="preserve">10 </w:t>
      </w:r>
      <w:r>
        <w:rPr>
          <w:rFonts w:asciiTheme="minorHAnsi" w:hAnsiTheme="minorHAnsi" w:cs="Times"/>
          <w:color w:val="00000A"/>
        </w:rPr>
        <w:t>(cattle)</w:t>
      </w:r>
      <w:r w:rsidRPr="00484A27">
        <w:rPr>
          <w:rFonts w:asciiTheme="minorHAnsi" w:hAnsiTheme="minorHAnsi" w:cs="Times"/>
          <w:color w:val="00000A"/>
        </w:rPr>
        <w:t xml:space="preserve">. </w:t>
      </w:r>
      <w:r>
        <w:rPr>
          <w:rFonts w:asciiTheme="minorHAnsi" w:hAnsiTheme="minorHAnsi" w:cs="Times"/>
          <w:color w:val="00000A"/>
        </w:rPr>
        <w:t>In contrast to Sanger sequencing, such</w:t>
      </w:r>
      <w:r w:rsidRPr="00484A27">
        <w:rPr>
          <w:rFonts w:asciiTheme="minorHAnsi" w:hAnsiTheme="minorHAnsi" w:cs="Times"/>
          <w:color w:val="00000A"/>
        </w:rPr>
        <w:t xml:space="preserve"> </w:t>
      </w:r>
      <w:r>
        <w:rPr>
          <w:rFonts w:asciiTheme="minorHAnsi" w:hAnsiTheme="minorHAnsi" w:cs="Times"/>
          <w:color w:val="00000A"/>
        </w:rPr>
        <w:t>non-specific products</w:t>
      </w:r>
      <w:r w:rsidRPr="00484A27">
        <w:rPr>
          <w:rFonts w:asciiTheme="minorHAnsi" w:hAnsiTheme="minorHAnsi" w:cs="Times"/>
          <w:color w:val="00000A"/>
        </w:rPr>
        <w:t xml:space="preserve"> do not </w:t>
      </w:r>
      <w:r>
        <w:rPr>
          <w:rFonts w:asciiTheme="minorHAnsi" w:hAnsiTheme="minorHAnsi" w:cs="Times"/>
          <w:color w:val="00000A"/>
        </w:rPr>
        <w:t xml:space="preserve">negatively </w:t>
      </w:r>
      <w:r w:rsidRPr="00484A27">
        <w:rPr>
          <w:rFonts w:asciiTheme="minorHAnsi" w:hAnsiTheme="minorHAnsi" w:cs="Times"/>
          <w:color w:val="00000A"/>
        </w:rPr>
        <w:t xml:space="preserve">influence </w:t>
      </w:r>
      <w:r>
        <w:rPr>
          <w:rFonts w:asciiTheme="minorHAnsi" w:hAnsiTheme="minorHAnsi" w:cs="Times"/>
          <w:color w:val="00000A"/>
        </w:rPr>
        <w:t xml:space="preserve">the results of nanopore sequencing, as these reads are discarded during </w:t>
      </w:r>
      <w:r w:rsidRPr="00484A27">
        <w:rPr>
          <w:rFonts w:asciiTheme="minorHAnsi" w:hAnsiTheme="minorHAnsi" w:cs="Times"/>
          <w:color w:val="00000A"/>
        </w:rPr>
        <w:t>mapp</w:t>
      </w:r>
      <w:r>
        <w:rPr>
          <w:rFonts w:asciiTheme="minorHAnsi" w:hAnsiTheme="minorHAnsi" w:cs="Times"/>
          <w:color w:val="00000A"/>
        </w:rPr>
        <w:t xml:space="preserve">ing of the </w:t>
      </w:r>
      <w:r w:rsidRPr="00484A27">
        <w:rPr>
          <w:rFonts w:asciiTheme="minorHAnsi" w:hAnsiTheme="minorHAnsi" w:cs="Times"/>
          <w:color w:val="00000A"/>
        </w:rPr>
        <w:t>obtained reads to a reference sequence</w:t>
      </w:r>
      <w:r>
        <w:rPr>
          <w:rFonts w:asciiTheme="minorHAnsi" w:hAnsiTheme="minorHAnsi" w:cs="Times"/>
          <w:color w:val="00000A"/>
        </w:rPr>
        <w:t xml:space="preserve"> as part of the data analysis</w:t>
      </w:r>
      <w:r w:rsidRPr="00484A27">
        <w:rPr>
          <w:rFonts w:asciiTheme="minorHAnsi" w:hAnsiTheme="minorHAnsi" w:cs="Times"/>
          <w:color w:val="00000A"/>
        </w:rPr>
        <w:t xml:space="preserve">. </w:t>
      </w:r>
    </w:p>
    <w:p w:rsidR="0024495B" w:rsidRDefault="0024495B" w:rsidP="00916EEB">
      <w:pPr>
        <w:rPr>
          <w:rFonts w:asciiTheme="minorHAnsi" w:hAnsiTheme="minorHAnsi" w:cs="Times"/>
          <w:color w:val="00000A"/>
        </w:rPr>
      </w:pPr>
    </w:p>
    <w:p w:rsidR="0024495B" w:rsidRDefault="0024495B" w:rsidP="00402192">
      <w:pPr>
        <w:rPr>
          <w:rFonts w:asciiTheme="minorHAnsi" w:hAnsiTheme="minorHAnsi" w:cs="Times"/>
          <w:color w:val="00000A"/>
        </w:rPr>
      </w:pPr>
      <w:r>
        <w:rPr>
          <w:rFonts w:asciiTheme="minorHAnsi" w:hAnsiTheme="minorHAnsi" w:cs="Times"/>
          <w:color w:val="00000A"/>
        </w:rPr>
        <w:t>Prior to each</w:t>
      </w:r>
      <w:r w:rsidRPr="00484A27">
        <w:rPr>
          <w:rFonts w:asciiTheme="minorHAnsi" w:hAnsiTheme="minorHAnsi" w:cs="Times"/>
          <w:color w:val="00000A"/>
        </w:rPr>
        <w:t xml:space="preserve"> sequencing run, a quality check of the flow cell </w:t>
      </w:r>
      <w:r>
        <w:rPr>
          <w:rFonts w:asciiTheme="minorHAnsi" w:hAnsiTheme="minorHAnsi" w:cs="Times"/>
          <w:color w:val="00000A"/>
        </w:rPr>
        <w:t xml:space="preserve">to be used is strongly </w:t>
      </w:r>
      <w:r w:rsidRPr="00484A27">
        <w:rPr>
          <w:rFonts w:asciiTheme="minorHAnsi" w:hAnsiTheme="minorHAnsi" w:cs="Times"/>
          <w:color w:val="00000A"/>
        </w:rPr>
        <w:t>recommended</w:t>
      </w:r>
      <w:r>
        <w:rPr>
          <w:rFonts w:asciiTheme="minorHAnsi" w:hAnsiTheme="minorHAnsi" w:cs="Times"/>
          <w:color w:val="00000A"/>
        </w:rPr>
        <w:t>,</w:t>
      </w:r>
      <w:r w:rsidRPr="00484A27">
        <w:rPr>
          <w:rFonts w:asciiTheme="minorHAnsi" w:hAnsiTheme="minorHAnsi" w:cs="Times"/>
          <w:color w:val="00000A"/>
        </w:rPr>
        <w:t xml:space="preserve"> </w:t>
      </w:r>
      <w:r>
        <w:rPr>
          <w:rFonts w:asciiTheme="minorHAnsi" w:hAnsiTheme="minorHAnsi" w:cs="Times"/>
          <w:color w:val="00000A"/>
        </w:rPr>
        <w:t xml:space="preserve">with a </w:t>
      </w:r>
      <w:r w:rsidRPr="00484A27">
        <w:rPr>
          <w:rFonts w:asciiTheme="minorHAnsi" w:hAnsiTheme="minorHAnsi" w:cs="Times"/>
          <w:color w:val="00000A"/>
        </w:rPr>
        <w:t xml:space="preserve">minimum </w:t>
      </w:r>
      <w:r>
        <w:rPr>
          <w:rFonts w:asciiTheme="minorHAnsi" w:hAnsiTheme="minorHAnsi" w:cs="Times"/>
          <w:color w:val="00000A"/>
        </w:rPr>
        <w:t>requirement of 800</w:t>
      </w:r>
      <w:r w:rsidRPr="00484A27">
        <w:rPr>
          <w:rFonts w:asciiTheme="minorHAnsi" w:hAnsiTheme="minorHAnsi" w:cs="Times"/>
          <w:color w:val="00000A"/>
        </w:rPr>
        <w:t xml:space="preserve"> </w:t>
      </w:r>
      <w:r>
        <w:rPr>
          <w:rFonts w:asciiTheme="minorHAnsi" w:hAnsiTheme="minorHAnsi" w:cs="Times"/>
          <w:color w:val="00000A"/>
        </w:rPr>
        <w:t xml:space="preserve">total </w:t>
      </w:r>
      <w:r w:rsidRPr="00484A27">
        <w:rPr>
          <w:rFonts w:asciiTheme="minorHAnsi" w:hAnsiTheme="minorHAnsi" w:cs="Times"/>
          <w:color w:val="00000A"/>
        </w:rPr>
        <w:t>pores.</w:t>
      </w:r>
      <w:r>
        <w:rPr>
          <w:rFonts w:asciiTheme="minorHAnsi" w:hAnsiTheme="minorHAnsi" w:cs="Times"/>
          <w:color w:val="00000A"/>
        </w:rPr>
        <w:t xml:space="preserve"> In our representative experiment, this quality check returned </w:t>
      </w:r>
      <w:r w:rsidRPr="001471B6">
        <w:rPr>
          <w:rFonts w:asciiTheme="minorHAnsi" w:hAnsiTheme="minorHAnsi" w:cs="Times"/>
          <w:color w:val="00000A"/>
        </w:rPr>
        <w:t>1</w:t>
      </w:r>
      <w:r>
        <w:rPr>
          <w:rFonts w:asciiTheme="minorHAnsi" w:hAnsiTheme="minorHAnsi" w:cs="Times"/>
          <w:color w:val="00000A"/>
        </w:rPr>
        <w:t>,</w:t>
      </w:r>
      <w:r w:rsidRPr="001471B6">
        <w:rPr>
          <w:rFonts w:asciiTheme="minorHAnsi" w:hAnsiTheme="minorHAnsi" w:cs="Times"/>
          <w:color w:val="00000A"/>
        </w:rPr>
        <w:t>102 pores available for sequencing.</w:t>
      </w:r>
      <w:r>
        <w:rPr>
          <w:rFonts w:asciiTheme="minorHAnsi" w:hAnsiTheme="minorHAnsi" w:cs="Times"/>
          <w:color w:val="00000A"/>
        </w:rPr>
        <w:t xml:space="preserve"> Since the data are provided in real time and can be analyzed immediately, the length of a sequencing run can be adjusted for the individual application</w:t>
      </w:r>
      <w:r w:rsidR="00C959C8">
        <w:rPr>
          <w:rFonts w:asciiTheme="minorHAnsi" w:hAnsiTheme="minorHAnsi" w:cs="Times"/>
          <w:color w:val="00000A"/>
        </w:rPr>
        <w:t xml:space="preserve"> (</w:t>
      </w:r>
      <w:r>
        <w:rPr>
          <w:rFonts w:asciiTheme="minorHAnsi" w:hAnsiTheme="minorHAnsi" w:cs="Times"/>
          <w:color w:val="00000A"/>
        </w:rPr>
        <w:t>i.e.</w:t>
      </w:r>
      <w:r w:rsidR="00C959C8">
        <w:rPr>
          <w:rFonts w:asciiTheme="minorHAnsi" w:hAnsiTheme="minorHAnsi" w:cs="Times"/>
          <w:color w:val="00000A"/>
        </w:rPr>
        <w:t>,</w:t>
      </w:r>
      <w:r>
        <w:rPr>
          <w:rFonts w:asciiTheme="minorHAnsi" w:hAnsiTheme="minorHAnsi" w:cs="Times"/>
          <w:color w:val="00000A"/>
        </w:rPr>
        <w:t xml:space="preserve"> until </w:t>
      </w:r>
      <w:proofErr w:type="gramStart"/>
      <w:r>
        <w:rPr>
          <w:rFonts w:asciiTheme="minorHAnsi" w:hAnsiTheme="minorHAnsi" w:cs="Times"/>
          <w:color w:val="00000A"/>
        </w:rPr>
        <w:t>sufficient</w:t>
      </w:r>
      <w:proofErr w:type="gramEnd"/>
      <w:r>
        <w:rPr>
          <w:rFonts w:asciiTheme="minorHAnsi" w:hAnsiTheme="minorHAnsi" w:cs="Times"/>
          <w:color w:val="00000A"/>
        </w:rPr>
        <w:t xml:space="preserve"> sequencing data is produced for the desired analysis</w:t>
      </w:r>
      <w:r w:rsidR="00C959C8">
        <w:rPr>
          <w:rFonts w:asciiTheme="minorHAnsi" w:hAnsiTheme="minorHAnsi" w:cs="Times"/>
          <w:color w:val="00000A"/>
        </w:rPr>
        <w:t>)</w:t>
      </w:r>
      <w:r>
        <w:rPr>
          <w:rFonts w:asciiTheme="minorHAnsi" w:hAnsiTheme="minorHAnsi" w:cs="Times"/>
          <w:color w:val="00000A"/>
        </w:rPr>
        <w:t xml:space="preserve">. In our experiments, sequencing runs are typically performed overnight, and in the case of our representative experiment </w:t>
      </w:r>
      <w:r w:rsidRPr="00484A27">
        <w:rPr>
          <w:rFonts w:asciiTheme="minorHAnsi" w:hAnsiTheme="minorHAnsi" w:cs="Times"/>
          <w:color w:val="00000A"/>
        </w:rPr>
        <w:t xml:space="preserve">we obtained </w:t>
      </w:r>
      <w:r>
        <w:rPr>
          <w:rFonts w:asciiTheme="minorHAnsi" w:hAnsiTheme="minorHAnsi" w:cs="Times"/>
          <w:color w:val="00000A"/>
        </w:rPr>
        <w:t>approximately</w:t>
      </w:r>
      <w:r w:rsidR="00336ECE">
        <w:rPr>
          <w:rFonts w:asciiTheme="minorHAnsi" w:hAnsiTheme="minorHAnsi" w:cs="Times"/>
          <w:color w:val="00000A"/>
        </w:rPr>
        <w:t xml:space="preserve"> </w:t>
      </w:r>
      <w:r>
        <w:rPr>
          <w:rFonts w:asciiTheme="minorHAnsi" w:hAnsiTheme="minorHAnsi" w:cs="Times"/>
          <w:color w:val="00000A"/>
        </w:rPr>
        <w:t xml:space="preserve">1.4 </w:t>
      </w:r>
      <w:r w:rsidRPr="00484A27">
        <w:rPr>
          <w:rFonts w:asciiTheme="minorHAnsi" w:hAnsiTheme="minorHAnsi" w:cs="Times"/>
          <w:color w:val="00000A"/>
        </w:rPr>
        <w:t>million reads</w:t>
      </w:r>
      <w:r>
        <w:rPr>
          <w:rFonts w:asciiTheme="minorHAnsi" w:hAnsiTheme="minorHAnsi" w:cs="Times"/>
          <w:color w:val="00000A"/>
        </w:rPr>
        <w:t xml:space="preserve"> during such a 14 h run. </w:t>
      </w:r>
    </w:p>
    <w:p w:rsidR="0024495B" w:rsidRDefault="0024495B" w:rsidP="00402192">
      <w:pPr>
        <w:rPr>
          <w:rFonts w:asciiTheme="minorHAnsi" w:hAnsiTheme="minorHAnsi" w:cs="Times"/>
          <w:color w:val="00000A"/>
        </w:rPr>
      </w:pPr>
    </w:p>
    <w:p w:rsidR="0024495B" w:rsidRPr="00484A27" w:rsidRDefault="0024495B" w:rsidP="00402192">
      <w:pPr>
        <w:rPr>
          <w:rFonts w:asciiTheme="minorHAnsi" w:hAnsiTheme="minorHAnsi" w:cs="Times"/>
          <w:color w:val="00000A"/>
        </w:rPr>
      </w:pPr>
      <w:r>
        <w:rPr>
          <w:rFonts w:asciiTheme="minorHAnsi" w:hAnsiTheme="minorHAnsi" w:cs="Times"/>
          <w:color w:val="00000A"/>
        </w:rPr>
        <w:t xml:space="preserve">Depending on the type of data analysis to be performed, it can be advisable to process only a subset of the obtained reads. In the case of our representative experiment, </w:t>
      </w:r>
      <w:r w:rsidRPr="00484A27">
        <w:rPr>
          <w:rFonts w:asciiTheme="minorHAnsi" w:hAnsiTheme="minorHAnsi" w:cs="Times"/>
          <w:color w:val="00000A"/>
        </w:rPr>
        <w:t>a subset of 10</w:t>
      </w:r>
      <w:r>
        <w:rPr>
          <w:rFonts w:asciiTheme="minorHAnsi" w:hAnsiTheme="minorHAnsi" w:cs="Times"/>
          <w:color w:val="00000A"/>
        </w:rPr>
        <w:t>,000</w:t>
      </w:r>
      <w:r w:rsidRPr="00484A27">
        <w:rPr>
          <w:rFonts w:asciiTheme="minorHAnsi" w:hAnsiTheme="minorHAnsi" w:cs="Times"/>
          <w:color w:val="00000A"/>
        </w:rPr>
        <w:t xml:space="preserve"> reads </w:t>
      </w:r>
      <w:r>
        <w:rPr>
          <w:rFonts w:asciiTheme="minorHAnsi" w:hAnsiTheme="minorHAnsi" w:cs="Times"/>
          <w:color w:val="00000A"/>
        </w:rPr>
        <w:t xml:space="preserve">was selected for further analysis. To this end, the </w:t>
      </w:r>
      <w:proofErr w:type="spellStart"/>
      <w:r>
        <w:rPr>
          <w:rFonts w:asciiTheme="minorHAnsi" w:hAnsiTheme="minorHAnsi" w:cs="Times"/>
          <w:color w:val="00000A"/>
        </w:rPr>
        <w:t>fastq</w:t>
      </w:r>
      <w:proofErr w:type="spellEnd"/>
      <w:r>
        <w:rPr>
          <w:rFonts w:asciiTheme="minorHAnsi" w:hAnsiTheme="minorHAnsi" w:cs="Times"/>
          <w:color w:val="00000A"/>
        </w:rPr>
        <w:t xml:space="preserve"> files generated during the sequencing run were further processed in an Ubuntu 18.04 LTS environment, and demultiplexed using </w:t>
      </w:r>
      <w:proofErr w:type="spellStart"/>
      <w:r>
        <w:rPr>
          <w:rFonts w:asciiTheme="minorHAnsi" w:hAnsiTheme="minorHAnsi" w:cs="Times"/>
          <w:color w:val="00000A"/>
        </w:rPr>
        <w:t>flexbar</w:t>
      </w:r>
      <w:proofErr w:type="spellEnd"/>
      <w:r>
        <w:rPr>
          <w:rFonts w:asciiTheme="minorHAnsi" w:hAnsiTheme="minorHAnsi" w:cs="Times"/>
          <w:color w:val="00000A"/>
        </w:rPr>
        <w:t xml:space="preserve"> v3.0.3 </w:t>
      </w:r>
      <w:r>
        <w:t>with parameters optimized for demultiplexing of nanopore sequencing data (</w:t>
      </w:r>
      <w:r w:rsidRPr="0088715D">
        <w:t>barcode-tail-length</w:t>
      </w:r>
      <w:r>
        <w:t xml:space="preserve"> 300, </w:t>
      </w:r>
      <w:r w:rsidRPr="0088715D">
        <w:t>barcode-error-rate</w:t>
      </w:r>
      <w:r>
        <w:t xml:space="preserve"> 0.2, </w:t>
      </w:r>
      <w:r w:rsidRPr="0088715D">
        <w:t>barcode-gap</w:t>
      </w:r>
      <w:r>
        <w:t>-penalty -1)</w:t>
      </w:r>
      <w:r w:rsidRPr="00B33CDB">
        <w:rPr>
          <w:noProof/>
          <w:vertAlign w:val="superscript"/>
        </w:rPr>
        <w:t>12</w:t>
      </w:r>
      <w:r>
        <w:rPr>
          <w:rFonts w:asciiTheme="minorHAnsi" w:hAnsiTheme="minorHAnsi" w:cs="Times"/>
          <w:color w:val="00000A"/>
        </w:rPr>
        <w:t xml:space="preserve">. After demultiplexing, read mapping and consensus generation can then </w:t>
      </w:r>
      <w:r w:rsidR="001D4A1F">
        <w:rPr>
          <w:rFonts w:asciiTheme="minorHAnsi" w:hAnsiTheme="minorHAnsi" w:cs="Times"/>
          <w:color w:val="00000A"/>
        </w:rPr>
        <w:t xml:space="preserve">be </w:t>
      </w:r>
      <w:r>
        <w:rPr>
          <w:rFonts w:asciiTheme="minorHAnsi" w:hAnsiTheme="minorHAnsi" w:cs="Times"/>
          <w:color w:val="00000A"/>
        </w:rPr>
        <w:t xml:space="preserve">done using </w:t>
      </w:r>
      <w:proofErr w:type="gramStart"/>
      <w:r>
        <w:rPr>
          <w:rFonts w:asciiTheme="minorHAnsi" w:hAnsiTheme="minorHAnsi" w:cs="Times"/>
          <w:color w:val="00000A"/>
        </w:rPr>
        <w:t>a number of</w:t>
      </w:r>
      <w:proofErr w:type="gramEnd"/>
      <w:r>
        <w:rPr>
          <w:rFonts w:asciiTheme="minorHAnsi" w:hAnsiTheme="minorHAnsi" w:cs="Times"/>
          <w:color w:val="00000A"/>
        </w:rPr>
        <w:t xml:space="preserve"> different tools, </w:t>
      </w:r>
      <w:r w:rsidR="009B66D8">
        <w:rPr>
          <w:rFonts w:asciiTheme="minorHAnsi" w:hAnsiTheme="minorHAnsi" w:cs="Times"/>
          <w:color w:val="00000A"/>
        </w:rPr>
        <w:t>but a</w:t>
      </w:r>
      <w:r>
        <w:rPr>
          <w:rFonts w:asciiTheme="minorHAnsi" w:hAnsiTheme="minorHAnsi" w:cs="Times"/>
          <w:color w:val="00000A"/>
        </w:rPr>
        <w:t xml:space="preserve"> detailed discussion of the bioinformatics aspect of nanopore sequencing goes beyond the scope of this manuscript. However, in </w:t>
      </w:r>
      <w:r w:rsidR="00450C58">
        <w:rPr>
          <w:rFonts w:asciiTheme="minorHAnsi" w:hAnsiTheme="minorHAnsi" w:cs="Times"/>
          <w:color w:val="00000A"/>
        </w:rPr>
        <w:t xml:space="preserve">the </w:t>
      </w:r>
      <w:r>
        <w:rPr>
          <w:rFonts w:asciiTheme="minorHAnsi" w:hAnsiTheme="minorHAnsi" w:cs="Times"/>
          <w:color w:val="00000A"/>
        </w:rPr>
        <w:t>case of our representative results</w:t>
      </w:r>
      <w:r w:rsidR="00450C58">
        <w:rPr>
          <w:rFonts w:asciiTheme="minorHAnsi" w:hAnsiTheme="minorHAnsi" w:cs="Times"/>
          <w:color w:val="00000A"/>
        </w:rPr>
        <w:t>,</w:t>
      </w:r>
      <w:r>
        <w:rPr>
          <w:rFonts w:asciiTheme="minorHAnsi" w:hAnsiTheme="minorHAnsi" w:cs="Times"/>
          <w:color w:val="00000A"/>
        </w:rPr>
        <w:t xml:space="preserve"> read mapping </w:t>
      </w:r>
      <w:r w:rsidR="00450C58">
        <w:rPr>
          <w:rFonts w:asciiTheme="minorHAnsi" w:hAnsiTheme="minorHAnsi" w:cs="Times"/>
          <w:color w:val="00000A"/>
        </w:rPr>
        <w:t xml:space="preserve">to a reference sequence </w:t>
      </w:r>
      <w:r>
        <w:rPr>
          <w:rFonts w:asciiTheme="minorHAnsi" w:hAnsiTheme="minorHAnsi" w:cs="Times"/>
          <w:color w:val="00000A"/>
        </w:rPr>
        <w:t xml:space="preserve">was performed using </w:t>
      </w:r>
      <w:proofErr w:type="spellStart"/>
      <w:r>
        <w:rPr>
          <w:rFonts w:asciiTheme="minorHAnsi" w:hAnsiTheme="minorHAnsi" w:cs="Times"/>
          <w:color w:val="00000A"/>
        </w:rPr>
        <w:t>Geneious</w:t>
      </w:r>
      <w:proofErr w:type="spellEnd"/>
      <w:r>
        <w:rPr>
          <w:rFonts w:asciiTheme="minorHAnsi" w:hAnsiTheme="minorHAnsi" w:cs="Times"/>
          <w:color w:val="00000A"/>
        </w:rPr>
        <w:t xml:space="preserve"> 10.2.3. O</w:t>
      </w:r>
      <w:r w:rsidRPr="00484A27">
        <w:rPr>
          <w:rFonts w:asciiTheme="minorHAnsi" w:hAnsiTheme="minorHAnsi" w:cs="Times"/>
          <w:color w:val="00000A"/>
        </w:rPr>
        <w:t xml:space="preserve">f </w:t>
      </w:r>
      <w:r>
        <w:rPr>
          <w:rFonts w:asciiTheme="minorHAnsi" w:hAnsiTheme="minorHAnsi" w:cs="Times"/>
          <w:color w:val="00000A"/>
        </w:rPr>
        <w:t>the 10,000 reads analyzed, 5,457</w:t>
      </w:r>
      <w:r w:rsidRPr="00484A27">
        <w:rPr>
          <w:rFonts w:asciiTheme="minorHAnsi" w:hAnsiTheme="minorHAnsi" w:cs="Times"/>
          <w:color w:val="00000A"/>
        </w:rPr>
        <w:t xml:space="preserve"> show</w:t>
      </w:r>
      <w:r>
        <w:rPr>
          <w:rFonts w:asciiTheme="minorHAnsi" w:hAnsiTheme="minorHAnsi" w:cs="Times"/>
          <w:color w:val="00000A"/>
        </w:rPr>
        <w:t>ed a length between 1,750</w:t>
      </w:r>
      <w:r w:rsidRPr="00484A27">
        <w:rPr>
          <w:rFonts w:asciiTheme="minorHAnsi" w:hAnsiTheme="minorHAnsi" w:cs="Times"/>
          <w:color w:val="00000A"/>
        </w:rPr>
        <w:t xml:space="preserve"> and 2</w:t>
      </w:r>
      <w:r>
        <w:rPr>
          <w:rFonts w:asciiTheme="minorHAnsi" w:hAnsiTheme="minorHAnsi" w:cs="Times"/>
          <w:color w:val="00000A"/>
        </w:rPr>
        <w:t>,</w:t>
      </w:r>
      <w:r w:rsidRPr="00484A27">
        <w:rPr>
          <w:rFonts w:asciiTheme="minorHAnsi" w:hAnsiTheme="minorHAnsi" w:cs="Times"/>
          <w:color w:val="00000A"/>
        </w:rPr>
        <w:t xml:space="preserve">000 </w:t>
      </w:r>
      <w:r>
        <w:rPr>
          <w:rFonts w:asciiTheme="minorHAnsi" w:hAnsiTheme="minorHAnsi" w:cs="Times"/>
          <w:color w:val="00000A"/>
        </w:rPr>
        <w:t xml:space="preserve">nucleotides, which matches the expected sizes for the PCR fragments amplified as part of our workflow (1,769 nt, </w:t>
      </w:r>
      <w:r w:rsidRPr="00C959C8">
        <w:rPr>
          <w:rFonts w:asciiTheme="minorHAnsi" w:hAnsiTheme="minorHAnsi" w:cs="Times"/>
          <w:b/>
          <w:color w:val="00000A"/>
        </w:rPr>
        <w:t>Figure 3</w:t>
      </w:r>
      <w:r w:rsidRPr="00484A27">
        <w:rPr>
          <w:rFonts w:asciiTheme="minorHAnsi" w:hAnsiTheme="minorHAnsi" w:cs="Times"/>
          <w:color w:val="00000A"/>
        </w:rPr>
        <w:t xml:space="preserve">). An additional peak </w:t>
      </w:r>
      <w:r>
        <w:rPr>
          <w:rFonts w:asciiTheme="minorHAnsi" w:hAnsiTheme="minorHAnsi" w:cs="Times"/>
          <w:color w:val="00000A"/>
        </w:rPr>
        <w:t>in the length distribution of reads was observed between</w:t>
      </w:r>
      <w:r w:rsidRPr="00484A27">
        <w:rPr>
          <w:rFonts w:asciiTheme="minorHAnsi" w:hAnsiTheme="minorHAnsi" w:cs="Times"/>
          <w:color w:val="00000A"/>
        </w:rPr>
        <w:t xml:space="preserve"> </w:t>
      </w:r>
      <w:r>
        <w:rPr>
          <w:rFonts w:asciiTheme="minorHAnsi" w:hAnsiTheme="minorHAnsi" w:cs="Times"/>
          <w:color w:val="00000A"/>
        </w:rPr>
        <w:t>250</w:t>
      </w:r>
      <w:r w:rsidRPr="00484A27">
        <w:rPr>
          <w:rFonts w:asciiTheme="minorHAnsi" w:hAnsiTheme="minorHAnsi" w:cs="Times"/>
          <w:color w:val="00000A"/>
        </w:rPr>
        <w:t xml:space="preserve"> to 500 </w:t>
      </w:r>
      <w:r>
        <w:rPr>
          <w:rFonts w:asciiTheme="minorHAnsi" w:hAnsiTheme="minorHAnsi" w:cs="Times"/>
          <w:color w:val="00000A"/>
        </w:rPr>
        <w:t xml:space="preserve">nucleotides, which </w:t>
      </w:r>
      <w:r w:rsidRPr="00484A27">
        <w:rPr>
          <w:rFonts w:asciiTheme="minorHAnsi" w:hAnsiTheme="minorHAnsi" w:cs="Times"/>
          <w:color w:val="00000A"/>
        </w:rPr>
        <w:t xml:space="preserve">can </w:t>
      </w:r>
      <w:r>
        <w:rPr>
          <w:rFonts w:asciiTheme="minorHAnsi" w:hAnsiTheme="minorHAnsi" w:cs="Times"/>
          <w:color w:val="00000A"/>
        </w:rPr>
        <w:t xml:space="preserve">be </w:t>
      </w:r>
      <w:r w:rsidRPr="00484A27">
        <w:rPr>
          <w:rFonts w:asciiTheme="minorHAnsi" w:hAnsiTheme="minorHAnsi" w:cs="Times"/>
          <w:color w:val="00000A"/>
        </w:rPr>
        <w:t>attribute</w:t>
      </w:r>
      <w:r>
        <w:rPr>
          <w:rFonts w:asciiTheme="minorHAnsi" w:hAnsiTheme="minorHAnsi" w:cs="Times"/>
          <w:color w:val="00000A"/>
        </w:rPr>
        <w:t>d</w:t>
      </w:r>
      <w:r w:rsidRPr="00484A27">
        <w:rPr>
          <w:rFonts w:asciiTheme="minorHAnsi" w:hAnsiTheme="minorHAnsi" w:cs="Times"/>
          <w:color w:val="00000A"/>
        </w:rPr>
        <w:t xml:space="preserve"> to </w:t>
      </w:r>
      <w:r>
        <w:rPr>
          <w:rFonts w:asciiTheme="minorHAnsi" w:hAnsiTheme="minorHAnsi" w:cs="Times"/>
          <w:color w:val="00000A"/>
        </w:rPr>
        <w:t xml:space="preserve">unspecific </w:t>
      </w:r>
      <w:r w:rsidRPr="00484A27">
        <w:rPr>
          <w:rFonts w:asciiTheme="minorHAnsi" w:hAnsiTheme="minorHAnsi" w:cs="Times"/>
          <w:color w:val="00000A"/>
        </w:rPr>
        <w:t xml:space="preserve">PCR </w:t>
      </w:r>
      <w:r>
        <w:rPr>
          <w:rFonts w:asciiTheme="minorHAnsi" w:hAnsiTheme="minorHAnsi" w:cs="Times"/>
          <w:color w:val="00000A"/>
        </w:rPr>
        <w:t>products</w:t>
      </w:r>
      <w:r w:rsidRPr="00484A27">
        <w:rPr>
          <w:rFonts w:asciiTheme="minorHAnsi" w:hAnsiTheme="minorHAnsi" w:cs="Times"/>
          <w:color w:val="00000A"/>
        </w:rPr>
        <w:t xml:space="preserve">. </w:t>
      </w:r>
      <w:r>
        <w:rPr>
          <w:rFonts w:asciiTheme="minorHAnsi" w:hAnsiTheme="minorHAnsi" w:cs="Times"/>
          <w:color w:val="00000A"/>
        </w:rPr>
        <w:t xml:space="preserve">Demultiplexing of reads allowed the </w:t>
      </w:r>
      <w:r w:rsidRPr="00484A27">
        <w:rPr>
          <w:rFonts w:asciiTheme="minorHAnsi" w:hAnsiTheme="minorHAnsi" w:cs="Times"/>
          <w:color w:val="00000A"/>
        </w:rPr>
        <w:t>assign</w:t>
      </w:r>
      <w:r>
        <w:rPr>
          <w:rFonts w:asciiTheme="minorHAnsi" w:hAnsiTheme="minorHAnsi" w:cs="Times"/>
          <w:color w:val="00000A"/>
        </w:rPr>
        <w:t>ment of</w:t>
      </w:r>
      <w:r w:rsidRPr="00484A27">
        <w:rPr>
          <w:rFonts w:asciiTheme="minorHAnsi" w:hAnsiTheme="minorHAnsi" w:cs="Times"/>
          <w:color w:val="00000A"/>
        </w:rPr>
        <w:t xml:space="preserve"> 87.6</w:t>
      </w:r>
      <w:r>
        <w:rPr>
          <w:rFonts w:asciiTheme="minorHAnsi" w:hAnsiTheme="minorHAnsi" w:cs="Times"/>
          <w:color w:val="00000A"/>
        </w:rPr>
        <w:t>%</w:t>
      </w:r>
      <w:r w:rsidRPr="00484A27">
        <w:rPr>
          <w:rFonts w:asciiTheme="minorHAnsi" w:hAnsiTheme="minorHAnsi" w:cs="Times"/>
          <w:color w:val="00000A"/>
        </w:rPr>
        <w:t xml:space="preserve"> </w:t>
      </w:r>
      <w:r>
        <w:rPr>
          <w:rFonts w:asciiTheme="minorHAnsi" w:hAnsiTheme="minorHAnsi" w:cs="Times"/>
          <w:color w:val="00000A"/>
        </w:rPr>
        <w:t xml:space="preserve">of the reads </w:t>
      </w:r>
      <w:r w:rsidRPr="00484A27">
        <w:rPr>
          <w:rFonts w:asciiTheme="minorHAnsi" w:hAnsiTheme="minorHAnsi" w:cs="Times"/>
          <w:color w:val="00000A"/>
        </w:rPr>
        <w:t>to one of the 10 barcodes</w:t>
      </w:r>
      <w:r>
        <w:rPr>
          <w:rFonts w:asciiTheme="minorHAnsi" w:hAnsiTheme="minorHAnsi" w:cs="Times"/>
          <w:color w:val="00000A"/>
        </w:rPr>
        <w:t>/samples analyzed</w:t>
      </w:r>
      <w:r w:rsidRPr="00484A27">
        <w:rPr>
          <w:rFonts w:asciiTheme="minorHAnsi" w:hAnsiTheme="minorHAnsi" w:cs="Times"/>
          <w:color w:val="00000A"/>
        </w:rPr>
        <w:t xml:space="preserve"> (</w:t>
      </w:r>
      <w:r w:rsidRPr="00C959C8">
        <w:rPr>
          <w:rFonts w:asciiTheme="minorHAnsi" w:hAnsiTheme="minorHAnsi" w:cs="Times"/>
          <w:b/>
          <w:color w:val="00000A"/>
        </w:rPr>
        <w:t>Figure 4</w:t>
      </w:r>
      <w:r w:rsidRPr="00484A27">
        <w:rPr>
          <w:rFonts w:asciiTheme="minorHAnsi" w:hAnsiTheme="minorHAnsi" w:cs="Times"/>
          <w:color w:val="00000A"/>
        </w:rPr>
        <w:t xml:space="preserve">). The </w:t>
      </w:r>
      <w:r>
        <w:rPr>
          <w:rFonts w:asciiTheme="minorHAnsi" w:hAnsiTheme="minorHAnsi" w:cs="Times"/>
          <w:color w:val="00000A"/>
        </w:rPr>
        <w:t>proportion</w:t>
      </w:r>
      <w:r w:rsidRPr="00484A27">
        <w:rPr>
          <w:rFonts w:asciiTheme="minorHAnsi" w:hAnsiTheme="minorHAnsi" w:cs="Times"/>
          <w:color w:val="00000A"/>
        </w:rPr>
        <w:t xml:space="preserve"> of demultiplexed reads </w:t>
      </w:r>
      <w:r>
        <w:rPr>
          <w:rFonts w:asciiTheme="minorHAnsi" w:hAnsiTheme="minorHAnsi" w:cs="Times"/>
          <w:color w:val="00000A"/>
        </w:rPr>
        <w:t xml:space="preserve">for each barcode </w:t>
      </w:r>
      <w:r w:rsidRPr="00484A27">
        <w:rPr>
          <w:rFonts w:asciiTheme="minorHAnsi" w:hAnsiTheme="minorHAnsi" w:cs="Times"/>
          <w:color w:val="00000A"/>
        </w:rPr>
        <w:t>r</w:t>
      </w:r>
      <w:r>
        <w:rPr>
          <w:rFonts w:asciiTheme="minorHAnsi" w:hAnsiTheme="minorHAnsi" w:cs="Times"/>
          <w:color w:val="00000A"/>
        </w:rPr>
        <w:t>anged</w:t>
      </w:r>
      <w:r w:rsidRPr="00484A27">
        <w:rPr>
          <w:rFonts w:asciiTheme="minorHAnsi" w:hAnsiTheme="minorHAnsi" w:cs="Times"/>
          <w:color w:val="00000A"/>
        </w:rPr>
        <w:t xml:space="preserve"> from 3.4</w:t>
      </w:r>
      <w:r>
        <w:rPr>
          <w:rFonts w:asciiTheme="minorHAnsi" w:hAnsiTheme="minorHAnsi" w:cs="Times"/>
          <w:color w:val="00000A"/>
        </w:rPr>
        <w:t>%</w:t>
      </w:r>
      <w:r w:rsidRPr="00484A27">
        <w:rPr>
          <w:rFonts w:asciiTheme="minorHAnsi" w:hAnsiTheme="minorHAnsi" w:cs="Times"/>
          <w:color w:val="00000A"/>
        </w:rPr>
        <w:t xml:space="preserve"> for </w:t>
      </w:r>
      <w:r>
        <w:rPr>
          <w:rFonts w:asciiTheme="minorHAnsi" w:hAnsiTheme="minorHAnsi" w:cs="Times"/>
          <w:color w:val="00000A"/>
        </w:rPr>
        <w:t>barcode</w:t>
      </w:r>
      <w:r w:rsidRPr="00484A27">
        <w:rPr>
          <w:rFonts w:asciiTheme="minorHAnsi" w:hAnsiTheme="minorHAnsi" w:cs="Times"/>
          <w:color w:val="00000A"/>
        </w:rPr>
        <w:t xml:space="preserve"> 1 </w:t>
      </w:r>
      <w:r>
        <w:rPr>
          <w:rFonts w:asciiTheme="minorHAnsi" w:hAnsiTheme="minorHAnsi" w:cs="Times"/>
          <w:color w:val="00000A"/>
        </w:rPr>
        <w:t xml:space="preserve">to </w:t>
      </w:r>
      <w:r w:rsidRPr="00484A27">
        <w:rPr>
          <w:rFonts w:asciiTheme="minorHAnsi" w:hAnsiTheme="minorHAnsi" w:cs="Times"/>
          <w:color w:val="00000A"/>
        </w:rPr>
        <w:t>16.9</w:t>
      </w:r>
      <w:r>
        <w:rPr>
          <w:rFonts w:asciiTheme="minorHAnsi" w:hAnsiTheme="minorHAnsi" w:cs="Times"/>
          <w:color w:val="00000A"/>
        </w:rPr>
        <w:t>%</w:t>
      </w:r>
      <w:r w:rsidRPr="00484A27">
        <w:rPr>
          <w:rFonts w:asciiTheme="minorHAnsi" w:hAnsiTheme="minorHAnsi" w:cs="Times"/>
          <w:color w:val="00000A"/>
        </w:rPr>
        <w:t xml:space="preserve"> for barcode 10</w:t>
      </w:r>
      <w:r>
        <w:rPr>
          <w:rFonts w:asciiTheme="minorHAnsi" w:hAnsiTheme="minorHAnsi" w:cs="Times"/>
          <w:color w:val="00000A"/>
        </w:rPr>
        <w:t>; however, due to the overall large number of reads this still allowed meaningful consensus calling with a high read depth even for these lower abundance barcode datasets. Indeed, mapping of the sorted reads to a reference sequence of NPC1 resulted in between</w:t>
      </w:r>
      <w:r w:rsidRPr="00484A27">
        <w:rPr>
          <w:rFonts w:asciiTheme="minorHAnsi" w:hAnsiTheme="minorHAnsi" w:cs="Times"/>
          <w:color w:val="00000A"/>
        </w:rPr>
        <w:t xml:space="preserve"> 31.7</w:t>
      </w:r>
      <w:r>
        <w:rPr>
          <w:rFonts w:asciiTheme="minorHAnsi" w:hAnsiTheme="minorHAnsi" w:cs="Times"/>
          <w:color w:val="00000A"/>
        </w:rPr>
        <w:t>%</w:t>
      </w:r>
      <w:r w:rsidRPr="00484A27">
        <w:rPr>
          <w:rFonts w:asciiTheme="minorHAnsi" w:hAnsiTheme="minorHAnsi" w:cs="Times"/>
          <w:color w:val="00000A"/>
        </w:rPr>
        <w:t xml:space="preserve"> </w:t>
      </w:r>
      <w:r>
        <w:rPr>
          <w:rFonts w:asciiTheme="minorHAnsi" w:hAnsiTheme="minorHAnsi" w:cs="Times"/>
          <w:color w:val="00000A"/>
        </w:rPr>
        <w:t xml:space="preserve">(barcode 2) and </w:t>
      </w:r>
      <w:r w:rsidRPr="00484A27">
        <w:rPr>
          <w:rFonts w:asciiTheme="minorHAnsi" w:hAnsiTheme="minorHAnsi" w:cs="Times"/>
          <w:color w:val="00000A"/>
        </w:rPr>
        <w:t>100</w:t>
      </w:r>
      <w:r>
        <w:rPr>
          <w:rFonts w:asciiTheme="minorHAnsi" w:hAnsiTheme="minorHAnsi" w:cs="Times"/>
          <w:color w:val="00000A"/>
        </w:rPr>
        <w:t>%</w:t>
      </w:r>
      <w:r w:rsidRPr="00484A27">
        <w:rPr>
          <w:rFonts w:asciiTheme="minorHAnsi" w:hAnsiTheme="minorHAnsi" w:cs="Times"/>
          <w:color w:val="00000A"/>
        </w:rPr>
        <w:t xml:space="preserve"> </w:t>
      </w:r>
      <w:r>
        <w:rPr>
          <w:rFonts w:asciiTheme="minorHAnsi" w:hAnsiTheme="minorHAnsi" w:cs="Times"/>
          <w:color w:val="00000A"/>
        </w:rPr>
        <w:t xml:space="preserve">(barcode 7 and 8) of reads mapping to the reference, giving a read depth of more than </w:t>
      </w:r>
      <w:r w:rsidRPr="00484A27">
        <w:rPr>
          <w:rFonts w:asciiTheme="minorHAnsi" w:hAnsiTheme="minorHAnsi" w:cs="Times"/>
          <w:color w:val="00000A"/>
        </w:rPr>
        <w:t>90 reads</w:t>
      </w:r>
      <w:r>
        <w:rPr>
          <w:rFonts w:asciiTheme="minorHAnsi" w:hAnsiTheme="minorHAnsi" w:cs="Times"/>
          <w:color w:val="00000A"/>
        </w:rPr>
        <w:t xml:space="preserve"> </w:t>
      </w:r>
      <w:r w:rsidRPr="00484A27">
        <w:rPr>
          <w:rFonts w:asciiTheme="minorHAnsi" w:hAnsiTheme="minorHAnsi" w:cs="Times"/>
          <w:color w:val="00000A"/>
        </w:rPr>
        <w:t xml:space="preserve">at any position for each sample. </w:t>
      </w:r>
      <w:r>
        <w:rPr>
          <w:rFonts w:asciiTheme="minorHAnsi" w:hAnsiTheme="minorHAnsi" w:cs="Times"/>
          <w:color w:val="00000A"/>
        </w:rPr>
        <w:t>This is then more than adequate to allow confident consensus base-calling with a negligible error rate.</w:t>
      </w:r>
    </w:p>
    <w:p w:rsidR="0024495B" w:rsidRPr="00686A0F" w:rsidRDefault="0024495B" w:rsidP="001B1519">
      <w:pPr>
        <w:rPr>
          <w:rFonts w:asciiTheme="minorHAnsi" w:hAnsiTheme="minorHAnsi" w:cstheme="minorHAnsi"/>
          <w:color w:val="808080" w:themeColor="background1" w:themeShade="80"/>
        </w:rPr>
      </w:pPr>
    </w:p>
    <w:p w:rsidR="0024495B" w:rsidRPr="001B1519" w:rsidRDefault="0024495B" w:rsidP="001B1519">
      <w:pPr>
        <w:rPr>
          <w:rFonts w:asciiTheme="minorHAnsi" w:hAnsiTheme="minorHAnsi" w:cstheme="minorHAnsi"/>
          <w:bCs/>
          <w:color w:val="808080"/>
        </w:rPr>
      </w:pPr>
      <w:r w:rsidRPr="001B1519">
        <w:rPr>
          <w:rFonts w:asciiTheme="minorHAnsi" w:hAnsiTheme="minorHAnsi" w:cstheme="minorHAnsi"/>
          <w:b/>
        </w:rPr>
        <w:lastRenderedPageBreak/>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rsidR="0024495B" w:rsidRDefault="0024495B" w:rsidP="00575540">
      <w:pPr>
        <w:rPr>
          <w:rFonts w:asciiTheme="minorHAnsi" w:hAnsiTheme="minorHAnsi" w:cstheme="minorHAnsi"/>
          <w:color w:val="808080" w:themeColor="background1" w:themeShade="80"/>
        </w:rPr>
      </w:pPr>
    </w:p>
    <w:p w:rsidR="0024495B" w:rsidRDefault="0024495B" w:rsidP="005C4CCF">
      <w:pPr>
        <w:rPr>
          <w:rFonts w:asciiTheme="minorHAnsi" w:hAnsiTheme="minorHAnsi" w:cstheme="minorHAnsi"/>
          <w:color w:val="auto"/>
        </w:rPr>
      </w:pPr>
      <w:r w:rsidRPr="007014C4">
        <w:rPr>
          <w:rFonts w:asciiTheme="minorHAnsi" w:hAnsiTheme="minorHAnsi" w:cstheme="minorHAnsi"/>
          <w:b/>
          <w:color w:val="auto"/>
        </w:rPr>
        <w:t>Figure 1:</w:t>
      </w:r>
      <w:r>
        <w:rPr>
          <w:rFonts w:asciiTheme="minorHAnsi" w:hAnsiTheme="minorHAnsi" w:cstheme="minorHAnsi"/>
          <w:b/>
          <w:color w:val="auto"/>
        </w:rPr>
        <w:t xml:space="preserve"> Schematic representation of DNA sequencing using nanopore technology. </w:t>
      </w:r>
      <w:r>
        <w:rPr>
          <w:rFonts w:asciiTheme="minorHAnsi" w:hAnsiTheme="minorHAnsi" w:cstheme="minorHAnsi"/>
          <w:color w:val="auto"/>
        </w:rPr>
        <w:t>A single-stranded DNA molecule passes through a nanopore embedded in an electrically resistant membrane, with a helicase regulating the transition speed. An ionic current simultaneously passes through the pore and is continuously measured. Modulations of the current caused by the nucleotides present in the pore are detected and computationally back-translated into the nucleotide sequence of the DNA strand.</w:t>
      </w:r>
    </w:p>
    <w:p w:rsidR="0024495B" w:rsidRDefault="0024495B" w:rsidP="00E97B67">
      <w:pPr>
        <w:rPr>
          <w:rFonts w:asciiTheme="minorHAnsi" w:hAnsiTheme="minorHAnsi" w:cstheme="minorHAnsi"/>
          <w:b/>
          <w:color w:val="auto"/>
        </w:rPr>
      </w:pPr>
    </w:p>
    <w:p w:rsidR="0024495B" w:rsidRDefault="0024495B" w:rsidP="007014C4">
      <w:pPr>
        <w:rPr>
          <w:rFonts w:asciiTheme="minorHAnsi" w:hAnsiTheme="minorHAnsi" w:cstheme="minorHAnsi"/>
          <w:color w:val="auto"/>
        </w:rPr>
      </w:pPr>
      <w:r>
        <w:rPr>
          <w:rFonts w:asciiTheme="minorHAnsi" w:hAnsiTheme="minorHAnsi" w:cstheme="minorHAnsi"/>
          <w:b/>
          <w:color w:val="auto"/>
        </w:rPr>
        <w:t>Figure 2: Amplification of PCR products of Niemann-Pick C1 from mRNA.</w:t>
      </w:r>
      <w:r>
        <w:rPr>
          <w:rFonts w:asciiTheme="minorHAnsi" w:hAnsiTheme="minorHAnsi" w:cstheme="minorHAnsi"/>
          <w:color w:val="auto"/>
        </w:rPr>
        <w:t xml:space="preserve"> mRNA </w:t>
      </w:r>
      <w:r w:rsidRPr="005C4CCF">
        <w:rPr>
          <w:rFonts w:asciiTheme="minorHAnsi" w:hAnsiTheme="minorHAnsi" w:cstheme="minorHAnsi"/>
          <w:color w:val="auto"/>
        </w:rPr>
        <w:t>was isolated from goat (BC01 and 02), sheep (BC03 and 04), swine (BC05 and 06), dog (BC07 and 08), and cattle (BC09 and 10). Nested PCR products were separated in a 0.8% agarose gel in 1x TAE</w:t>
      </w:r>
      <w:r>
        <w:rPr>
          <w:rFonts w:asciiTheme="minorHAnsi" w:hAnsiTheme="minorHAnsi" w:cstheme="minorHAnsi"/>
          <w:color w:val="auto"/>
        </w:rPr>
        <w:t xml:space="preserve"> buffer (prepared from 50x TAE buffer: 242.28</w:t>
      </w:r>
      <w:r w:rsidR="009D2F02" w:rsidRPr="009D2F02">
        <w:rPr>
          <w:rFonts w:asciiTheme="minorHAnsi" w:hAnsiTheme="minorHAnsi" w:cstheme="minorHAnsi"/>
          <w:i/>
          <w:color w:val="auto"/>
        </w:rPr>
        <w:t xml:space="preserve"> </w:t>
      </w:r>
      <w:r w:rsidR="009D2F02" w:rsidRPr="00C959C8">
        <w:rPr>
          <w:rFonts w:asciiTheme="minorHAnsi" w:hAnsiTheme="minorHAnsi" w:cstheme="minorHAnsi"/>
          <w:color w:val="auto"/>
        </w:rPr>
        <w:t xml:space="preserve">g </w:t>
      </w:r>
      <w:r w:rsidR="00C959C8" w:rsidRPr="00C959C8">
        <w:rPr>
          <w:rFonts w:asciiTheme="minorHAnsi" w:hAnsiTheme="minorHAnsi" w:cstheme="minorHAnsi"/>
          <w:color w:val="auto"/>
        </w:rPr>
        <w:t>of</w:t>
      </w:r>
      <w:r w:rsidR="00C959C8">
        <w:rPr>
          <w:rFonts w:asciiTheme="minorHAnsi" w:hAnsiTheme="minorHAnsi" w:cstheme="minorHAnsi"/>
          <w:i/>
          <w:color w:val="auto"/>
        </w:rPr>
        <w:t xml:space="preserve"> </w:t>
      </w:r>
      <w:r>
        <w:rPr>
          <w:rFonts w:asciiTheme="minorHAnsi" w:hAnsiTheme="minorHAnsi" w:cstheme="minorHAnsi"/>
          <w:color w:val="auto"/>
        </w:rPr>
        <w:t xml:space="preserve">Tris base, 57.1 mL </w:t>
      </w:r>
      <w:r w:rsidR="00C959C8" w:rsidRPr="00C959C8">
        <w:rPr>
          <w:rFonts w:asciiTheme="minorHAnsi" w:hAnsiTheme="minorHAnsi" w:cstheme="minorHAnsi"/>
          <w:color w:val="auto"/>
        </w:rPr>
        <w:t>of</w:t>
      </w:r>
      <w:r w:rsidR="00C959C8">
        <w:rPr>
          <w:rFonts w:asciiTheme="minorHAnsi" w:hAnsiTheme="minorHAnsi" w:cstheme="minorHAnsi"/>
          <w:i/>
          <w:color w:val="auto"/>
        </w:rPr>
        <w:t xml:space="preserve"> </w:t>
      </w:r>
      <w:r>
        <w:rPr>
          <w:rFonts w:asciiTheme="minorHAnsi" w:hAnsiTheme="minorHAnsi" w:cstheme="minorHAnsi"/>
          <w:color w:val="auto"/>
        </w:rPr>
        <w:t xml:space="preserve">glacial acetic acid, 100 mL </w:t>
      </w:r>
      <w:r w:rsidR="00C959C8" w:rsidRPr="00C959C8">
        <w:rPr>
          <w:rFonts w:asciiTheme="minorHAnsi" w:hAnsiTheme="minorHAnsi" w:cstheme="minorHAnsi"/>
          <w:color w:val="auto"/>
        </w:rPr>
        <w:t>of</w:t>
      </w:r>
      <w:r w:rsidR="00C959C8">
        <w:rPr>
          <w:rFonts w:asciiTheme="minorHAnsi" w:hAnsiTheme="minorHAnsi" w:cstheme="minorHAnsi"/>
          <w:i/>
          <w:color w:val="auto"/>
        </w:rPr>
        <w:t xml:space="preserve"> </w:t>
      </w:r>
      <w:r>
        <w:rPr>
          <w:rFonts w:asciiTheme="minorHAnsi" w:hAnsiTheme="minorHAnsi" w:cstheme="minorHAnsi"/>
          <w:color w:val="auto"/>
        </w:rPr>
        <w:t>0.5</w:t>
      </w:r>
      <w:r w:rsidR="00C959C8">
        <w:rPr>
          <w:rFonts w:asciiTheme="minorHAnsi" w:hAnsiTheme="minorHAnsi" w:cstheme="minorHAnsi"/>
          <w:color w:val="auto"/>
        </w:rPr>
        <w:t xml:space="preserve"> </w:t>
      </w:r>
      <w:r>
        <w:rPr>
          <w:rFonts w:asciiTheme="minorHAnsi" w:hAnsiTheme="minorHAnsi" w:cstheme="minorHAnsi"/>
          <w:color w:val="auto"/>
        </w:rPr>
        <w:t>M EDTA, dH</w:t>
      </w:r>
      <w:r w:rsidRPr="00C959C8">
        <w:rPr>
          <w:rFonts w:asciiTheme="minorHAnsi" w:hAnsiTheme="minorHAnsi" w:cstheme="minorHAnsi"/>
          <w:color w:val="auto"/>
          <w:vertAlign w:val="subscript"/>
        </w:rPr>
        <w:t>2</w:t>
      </w:r>
      <w:r>
        <w:rPr>
          <w:rFonts w:asciiTheme="minorHAnsi" w:hAnsiTheme="minorHAnsi" w:cstheme="minorHAnsi"/>
          <w:color w:val="auto"/>
        </w:rPr>
        <w:t xml:space="preserve">O </w:t>
      </w:r>
      <w:r w:rsidR="00C959C8">
        <w:rPr>
          <w:rFonts w:asciiTheme="minorHAnsi" w:hAnsiTheme="minorHAnsi" w:cstheme="minorHAnsi"/>
          <w:color w:val="auto"/>
        </w:rPr>
        <w:t>to</w:t>
      </w:r>
      <w:r>
        <w:rPr>
          <w:rFonts w:asciiTheme="minorHAnsi" w:hAnsiTheme="minorHAnsi" w:cstheme="minorHAnsi"/>
          <w:color w:val="auto"/>
        </w:rPr>
        <w:t xml:space="preserve"> 1 L, pH adjusted to 8.0) for 45 min at 100 V and stained with </w:t>
      </w:r>
      <w:proofErr w:type="spellStart"/>
      <w:r>
        <w:rPr>
          <w:rFonts w:asciiTheme="minorHAnsi" w:hAnsiTheme="minorHAnsi" w:cstheme="minorHAnsi"/>
          <w:color w:val="auto"/>
        </w:rPr>
        <w:t>Sybr</w:t>
      </w:r>
      <w:proofErr w:type="spellEnd"/>
      <w:r>
        <w:rPr>
          <w:rFonts w:asciiTheme="minorHAnsi" w:hAnsiTheme="minorHAnsi" w:cstheme="minorHAnsi"/>
          <w:color w:val="auto"/>
        </w:rPr>
        <w:t xml:space="preserve"> Safe. </w:t>
      </w:r>
    </w:p>
    <w:p w:rsidR="0024495B" w:rsidRDefault="0024495B" w:rsidP="00E97B67">
      <w:pPr>
        <w:rPr>
          <w:rFonts w:asciiTheme="minorHAnsi" w:hAnsiTheme="minorHAnsi" w:cstheme="minorHAnsi"/>
          <w:b/>
          <w:color w:val="auto"/>
        </w:rPr>
      </w:pPr>
    </w:p>
    <w:p w:rsidR="0024495B" w:rsidRDefault="0024495B" w:rsidP="00AF5AE9">
      <w:pPr>
        <w:rPr>
          <w:rFonts w:asciiTheme="minorHAnsi" w:hAnsiTheme="minorHAnsi" w:cstheme="minorHAnsi"/>
          <w:color w:val="auto"/>
        </w:rPr>
      </w:pPr>
      <w:r>
        <w:rPr>
          <w:rFonts w:asciiTheme="minorHAnsi" w:hAnsiTheme="minorHAnsi" w:cstheme="minorHAnsi"/>
          <w:b/>
          <w:color w:val="auto"/>
        </w:rPr>
        <w:t>Figure 3: Read-l</w:t>
      </w:r>
      <w:r w:rsidRPr="00AF5AE9">
        <w:rPr>
          <w:rFonts w:asciiTheme="minorHAnsi" w:hAnsiTheme="minorHAnsi" w:cstheme="minorHAnsi"/>
          <w:b/>
          <w:color w:val="auto"/>
        </w:rPr>
        <w:t>ength distribution</w:t>
      </w:r>
      <w:r>
        <w:rPr>
          <w:rFonts w:asciiTheme="minorHAnsi" w:hAnsiTheme="minorHAnsi" w:cstheme="minorHAnsi"/>
          <w:b/>
          <w:color w:val="auto"/>
        </w:rPr>
        <w:t xml:space="preserve"> of 10,000 reads from the representative experiment.</w:t>
      </w:r>
      <w:r>
        <w:rPr>
          <w:rFonts w:asciiTheme="minorHAnsi" w:hAnsiTheme="minorHAnsi" w:cstheme="minorHAnsi"/>
          <w:color w:val="auto"/>
        </w:rPr>
        <w:t xml:space="preserve"> The number of reads obtained having a given read length interval is indicated. </w:t>
      </w:r>
    </w:p>
    <w:p w:rsidR="0024495B" w:rsidRPr="00AF5AE9" w:rsidRDefault="0024495B" w:rsidP="00E97B67">
      <w:pPr>
        <w:rPr>
          <w:rFonts w:asciiTheme="minorHAnsi" w:hAnsiTheme="minorHAnsi" w:cstheme="minorHAnsi"/>
          <w:color w:val="auto"/>
        </w:rPr>
      </w:pPr>
    </w:p>
    <w:p w:rsidR="0024495B" w:rsidRPr="00394F4A" w:rsidRDefault="0024495B" w:rsidP="007014C4">
      <w:pPr>
        <w:rPr>
          <w:rFonts w:asciiTheme="minorHAnsi" w:hAnsiTheme="minorHAnsi" w:cstheme="minorHAnsi"/>
          <w:color w:val="auto"/>
        </w:rPr>
      </w:pPr>
      <w:r>
        <w:rPr>
          <w:rFonts w:asciiTheme="minorHAnsi" w:hAnsiTheme="minorHAnsi" w:cstheme="minorHAnsi"/>
          <w:b/>
          <w:color w:val="auto"/>
        </w:rPr>
        <w:t>Figure 4</w:t>
      </w:r>
      <w:r w:rsidRPr="00394F4A">
        <w:rPr>
          <w:rFonts w:asciiTheme="minorHAnsi" w:hAnsiTheme="minorHAnsi" w:cstheme="minorHAnsi"/>
          <w:b/>
          <w:color w:val="auto"/>
        </w:rPr>
        <w:t>:</w:t>
      </w:r>
      <w:r>
        <w:rPr>
          <w:rFonts w:asciiTheme="minorHAnsi" w:hAnsiTheme="minorHAnsi" w:cstheme="minorHAnsi"/>
          <w:b/>
          <w:color w:val="auto"/>
        </w:rPr>
        <w:t xml:space="preserve"> Distribution of reads after demultiplexing. </w:t>
      </w:r>
      <w:r>
        <w:rPr>
          <w:rFonts w:asciiTheme="minorHAnsi" w:hAnsiTheme="minorHAnsi" w:cstheme="minorHAnsi"/>
          <w:color w:val="auto"/>
        </w:rPr>
        <w:t xml:space="preserve">The number and percentage of demultiplexed (grey) and mapped reads (black) for each barcode are shown. </w:t>
      </w:r>
    </w:p>
    <w:p w:rsidR="0024495B" w:rsidRDefault="0024495B" w:rsidP="00386787">
      <w:pPr>
        <w:rPr>
          <w:rFonts w:asciiTheme="minorHAnsi" w:hAnsiTheme="minorHAnsi" w:cstheme="minorHAnsi"/>
          <w:color w:val="808080" w:themeColor="background1" w:themeShade="80"/>
        </w:rPr>
      </w:pPr>
    </w:p>
    <w:p w:rsidR="0024495B" w:rsidRDefault="0024495B" w:rsidP="007B26CE">
      <w:pPr>
        <w:rPr>
          <w:rFonts w:asciiTheme="minorHAnsi" w:hAnsiTheme="minorHAnsi" w:cstheme="minorHAnsi"/>
          <w:color w:val="auto"/>
        </w:rPr>
      </w:pPr>
      <w:r>
        <w:rPr>
          <w:rFonts w:asciiTheme="minorHAnsi" w:hAnsiTheme="minorHAnsi" w:cstheme="minorHAnsi"/>
          <w:b/>
          <w:color w:val="auto"/>
        </w:rPr>
        <w:t>T</w:t>
      </w:r>
      <w:r w:rsidRPr="00AA10A4">
        <w:rPr>
          <w:rFonts w:asciiTheme="minorHAnsi" w:hAnsiTheme="minorHAnsi" w:cstheme="minorHAnsi"/>
          <w:b/>
          <w:color w:val="auto"/>
        </w:rPr>
        <w:t>able 1</w:t>
      </w:r>
      <w:r>
        <w:rPr>
          <w:rFonts w:asciiTheme="minorHAnsi" w:hAnsiTheme="minorHAnsi" w:cstheme="minorHAnsi"/>
          <w:b/>
          <w:color w:val="auto"/>
        </w:rPr>
        <w:t>: Overview of primer sets</w:t>
      </w:r>
      <w:r w:rsidR="009B66D8">
        <w:rPr>
          <w:rFonts w:asciiTheme="minorHAnsi" w:hAnsiTheme="minorHAnsi" w:cstheme="minorHAnsi"/>
          <w:b/>
          <w:color w:val="auto"/>
        </w:rPr>
        <w:t xml:space="preserve"> used</w:t>
      </w:r>
      <w:r>
        <w:rPr>
          <w:rFonts w:asciiTheme="minorHAnsi" w:hAnsiTheme="minorHAnsi" w:cstheme="minorHAnsi"/>
          <w:b/>
          <w:color w:val="auto"/>
        </w:rPr>
        <w:t>.</w:t>
      </w:r>
      <w:r>
        <w:rPr>
          <w:rFonts w:asciiTheme="minorHAnsi" w:hAnsiTheme="minorHAnsi" w:cstheme="minorHAnsi"/>
          <w:color w:val="auto"/>
        </w:rPr>
        <w:t xml:space="preserve"> Initial amplification of target sequences was performed with Primer Set 1. Primer Set 2 was then used for nested amplification and adapter addition. Adapters are indicated in red.</w:t>
      </w:r>
    </w:p>
    <w:p w:rsidR="0024495B" w:rsidRDefault="0024495B" w:rsidP="007B26CE">
      <w:pPr>
        <w:rPr>
          <w:rFonts w:asciiTheme="minorHAnsi" w:hAnsiTheme="minorHAnsi" w:cstheme="minorHAnsi"/>
          <w:color w:val="auto"/>
        </w:rPr>
      </w:pPr>
    </w:p>
    <w:p w:rsidR="0024495B" w:rsidRDefault="0024495B" w:rsidP="007B26CE">
      <w:pPr>
        <w:rPr>
          <w:rFonts w:asciiTheme="minorHAnsi" w:hAnsiTheme="minorHAnsi" w:cstheme="minorHAnsi"/>
          <w:color w:val="auto"/>
        </w:rPr>
      </w:pPr>
      <w:r>
        <w:rPr>
          <w:rFonts w:asciiTheme="minorHAnsi" w:hAnsiTheme="minorHAnsi" w:cstheme="minorHAnsi"/>
          <w:b/>
          <w:color w:val="auto"/>
        </w:rPr>
        <w:t xml:space="preserve">Table 2: Overview of barcode sequences. </w:t>
      </w:r>
      <w:r>
        <w:rPr>
          <w:rFonts w:asciiTheme="minorHAnsi" w:hAnsiTheme="minorHAnsi" w:cstheme="minorHAnsi"/>
          <w:color w:val="auto"/>
        </w:rPr>
        <w:t xml:space="preserve">Individual barcodes were used to identify each sequenced sample. </w:t>
      </w:r>
    </w:p>
    <w:p w:rsidR="0024495B" w:rsidRPr="00AA10A4" w:rsidRDefault="0024495B" w:rsidP="007B26CE">
      <w:pPr>
        <w:rPr>
          <w:rFonts w:asciiTheme="minorHAnsi" w:hAnsiTheme="minorHAnsi" w:cstheme="minorHAnsi"/>
          <w:color w:val="auto"/>
        </w:rPr>
      </w:pPr>
    </w:p>
    <w:p w:rsidR="0024495B" w:rsidRDefault="0024495B" w:rsidP="007B26CE">
      <w:pPr>
        <w:rPr>
          <w:rFonts w:asciiTheme="minorHAnsi" w:hAnsiTheme="minorHAnsi" w:cstheme="minorHAnsi"/>
          <w:color w:val="auto"/>
        </w:rPr>
      </w:pPr>
      <w:r>
        <w:rPr>
          <w:rFonts w:asciiTheme="minorHAnsi" w:hAnsiTheme="minorHAnsi" w:cstheme="minorHAnsi"/>
          <w:b/>
          <w:color w:val="auto"/>
        </w:rPr>
        <w:t>Table 3: RNA concentrations obtained following extraction from blood samples sequenced in the representative experiment.</w:t>
      </w:r>
      <w:r>
        <w:rPr>
          <w:rFonts w:asciiTheme="minorHAnsi" w:hAnsiTheme="minorHAnsi" w:cstheme="minorHAnsi"/>
          <w:color w:val="auto"/>
        </w:rPr>
        <w:t xml:space="preserve"> The RNA concentrations of two individuals from each of five species are shown, and the ratios of the optical densit</w:t>
      </w:r>
      <w:r w:rsidR="009B66D8">
        <w:rPr>
          <w:rFonts w:asciiTheme="minorHAnsi" w:hAnsiTheme="minorHAnsi" w:cstheme="minorHAnsi"/>
          <w:color w:val="auto"/>
        </w:rPr>
        <w:t>ies</w:t>
      </w:r>
      <w:r>
        <w:rPr>
          <w:rFonts w:asciiTheme="minorHAnsi" w:hAnsiTheme="minorHAnsi" w:cstheme="minorHAnsi"/>
          <w:color w:val="auto"/>
        </w:rPr>
        <w:t xml:space="preserve"> at 260/280 nm and 260/230 nm are indicated.</w:t>
      </w:r>
    </w:p>
    <w:p w:rsidR="0024495B" w:rsidRDefault="0024495B" w:rsidP="007B26CE">
      <w:pPr>
        <w:rPr>
          <w:rFonts w:asciiTheme="minorHAnsi" w:hAnsiTheme="minorHAnsi" w:cstheme="minorHAnsi"/>
          <w:color w:val="auto"/>
        </w:rPr>
      </w:pPr>
    </w:p>
    <w:p w:rsidR="0024495B" w:rsidRPr="00C959C8" w:rsidRDefault="0024495B" w:rsidP="001B1519">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w:t>
      </w:r>
    </w:p>
    <w:p w:rsidR="0024495B" w:rsidRDefault="0024495B" w:rsidP="007A4DD6">
      <w:pPr>
        <w:rPr>
          <w:rFonts w:asciiTheme="minorHAnsi" w:hAnsiTheme="minorHAnsi" w:cstheme="minorHAnsi"/>
          <w:color w:val="auto"/>
        </w:rPr>
      </w:pPr>
      <w:r>
        <w:rPr>
          <w:rFonts w:asciiTheme="minorHAnsi" w:hAnsiTheme="minorHAnsi" w:cstheme="minorHAnsi"/>
          <w:color w:val="auto"/>
        </w:rPr>
        <w:t>Over the last two decades, sequencing of biological samples has become an increasingly important aspect of studies in a wide range of subject areas. The development of second-generation sequencing systems based on the sequencing of a dense array of DNA features using iterative cycles of enzymatic manipulation and image-based data acquisition</w:t>
      </w:r>
      <w:r w:rsidRPr="00F4280F">
        <w:rPr>
          <w:rFonts w:asciiTheme="minorHAnsi" w:hAnsiTheme="minorHAnsi" w:cstheme="minorHAnsi"/>
          <w:noProof/>
          <w:color w:val="auto"/>
          <w:vertAlign w:val="superscript"/>
        </w:rPr>
        <w:t>1</w:t>
      </w:r>
      <w:r>
        <w:rPr>
          <w:rFonts w:asciiTheme="minorHAnsi" w:hAnsiTheme="minorHAnsi" w:cstheme="minorHAnsi"/>
          <w:color w:val="auto"/>
        </w:rPr>
        <w:t xml:space="preserve"> has dramatically increased throughput compared to the traditional Sanger sequencing</w:t>
      </w:r>
      <w:r w:rsidRPr="00067B92">
        <w:rPr>
          <w:rFonts w:asciiTheme="minorHAnsi" w:hAnsiTheme="minorHAnsi" w:cstheme="minorHAnsi"/>
          <w:color w:val="auto"/>
        </w:rPr>
        <w:t xml:space="preserve"> </w:t>
      </w:r>
      <w:proofErr w:type="gramStart"/>
      <w:r>
        <w:rPr>
          <w:rFonts w:asciiTheme="minorHAnsi" w:hAnsiTheme="minorHAnsi" w:cstheme="minorHAnsi"/>
          <w:color w:val="auto"/>
        </w:rPr>
        <w:t>technique, and</w:t>
      </w:r>
      <w:proofErr w:type="gramEnd"/>
      <w:r>
        <w:rPr>
          <w:rFonts w:asciiTheme="minorHAnsi" w:hAnsiTheme="minorHAnsi" w:cstheme="minorHAnsi"/>
          <w:color w:val="auto"/>
        </w:rPr>
        <w:t xml:space="preserve"> allows analysis of multiple samples as well as various nucleic acid species in a given sample in parallel</w:t>
      </w:r>
      <w:r w:rsidRPr="00515BF8">
        <w:rPr>
          <w:rFonts w:asciiTheme="minorHAnsi" w:hAnsiTheme="minorHAnsi" w:cstheme="minorHAnsi"/>
          <w:noProof/>
          <w:color w:val="auto"/>
          <w:vertAlign w:val="superscript"/>
        </w:rPr>
        <w:t>4</w:t>
      </w:r>
      <w:r>
        <w:rPr>
          <w:rFonts w:asciiTheme="minorHAnsi" w:hAnsiTheme="minorHAnsi" w:cstheme="minorHAnsi"/>
          <w:color w:val="auto"/>
        </w:rPr>
        <w:t>. However, for most of the commonly used second-generation systems, only short reads are produced, and all platforms rely on sensitive, bulky, and expensive equipment</w:t>
      </w:r>
      <w:r w:rsidRPr="00515BF8">
        <w:rPr>
          <w:rFonts w:asciiTheme="minorHAnsi" w:hAnsiTheme="minorHAnsi" w:cstheme="minorHAnsi"/>
          <w:noProof/>
          <w:color w:val="auto"/>
          <w:vertAlign w:val="superscript"/>
        </w:rPr>
        <w:t>3,4</w:t>
      </w:r>
      <w:r>
        <w:rPr>
          <w:rFonts w:asciiTheme="minorHAnsi" w:hAnsiTheme="minorHAnsi" w:cstheme="minorHAnsi"/>
          <w:color w:val="auto"/>
        </w:rPr>
        <w:t xml:space="preserve">. </w:t>
      </w:r>
    </w:p>
    <w:p w:rsidR="0024495B" w:rsidRDefault="0024495B" w:rsidP="00990095">
      <w:pPr>
        <w:rPr>
          <w:rFonts w:asciiTheme="minorHAnsi" w:hAnsiTheme="minorHAnsi" w:cstheme="minorHAnsi"/>
          <w:color w:val="auto"/>
        </w:rPr>
      </w:pPr>
    </w:p>
    <w:p w:rsidR="0024495B" w:rsidRDefault="0024495B" w:rsidP="00334586">
      <w:pPr>
        <w:rPr>
          <w:rFonts w:asciiTheme="minorHAnsi" w:hAnsiTheme="minorHAnsi" w:cstheme="minorHAnsi"/>
          <w:color w:val="auto"/>
        </w:rPr>
      </w:pPr>
      <w:r>
        <w:rPr>
          <w:rFonts w:asciiTheme="minorHAnsi" w:hAnsiTheme="minorHAnsi" w:cstheme="minorHAnsi"/>
          <w:color w:val="auto"/>
        </w:rPr>
        <w:t xml:space="preserve">In contrast to second-generation sequencing platforms, the sequencing device used in this protocol is based on nanopore technology. Here a single-stranded nucleic acid molecule passes </w:t>
      </w:r>
      <w:r>
        <w:rPr>
          <w:rFonts w:asciiTheme="minorHAnsi" w:hAnsiTheme="minorHAnsi" w:cstheme="minorHAnsi"/>
          <w:color w:val="auto"/>
        </w:rPr>
        <w:lastRenderedPageBreak/>
        <w:t xml:space="preserve">through a nanopore, resulting in modulation of an ionic current that is also flowing through the same nanopore, and which can be measured and back-translated to infer the sequence of the nucleic acid molecule. This third-generation sequencing approach imparts </w:t>
      </w:r>
      <w:proofErr w:type="gramStart"/>
      <w:r>
        <w:rPr>
          <w:rFonts w:asciiTheme="minorHAnsi" w:hAnsiTheme="minorHAnsi" w:cstheme="minorHAnsi"/>
          <w:color w:val="auto"/>
        </w:rPr>
        <w:t>a number of</w:t>
      </w:r>
      <w:proofErr w:type="gramEnd"/>
      <w:r>
        <w:rPr>
          <w:rFonts w:asciiTheme="minorHAnsi" w:hAnsiTheme="minorHAnsi" w:cstheme="minorHAnsi"/>
          <w:color w:val="auto"/>
        </w:rPr>
        <w:t xml:space="preserve"> advantages over other approaches. The main advantages that are directly related to the unique working principle of this technology are the extremely long read length produced (read lengths of up to 8.8 x 10</w:t>
      </w:r>
      <w:r w:rsidRPr="007924EE">
        <w:rPr>
          <w:rFonts w:asciiTheme="minorHAnsi" w:hAnsiTheme="minorHAnsi" w:cstheme="minorHAnsi"/>
          <w:color w:val="auto"/>
          <w:vertAlign w:val="superscript"/>
        </w:rPr>
        <w:t>5</w:t>
      </w:r>
      <w:r>
        <w:rPr>
          <w:rFonts w:asciiTheme="minorHAnsi" w:hAnsiTheme="minorHAnsi" w:cstheme="minorHAnsi"/>
          <w:color w:val="auto"/>
        </w:rPr>
        <w:t xml:space="preserve"> nucleotides have been reported</w:t>
      </w:r>
      <w:r w:rsidRPr="008D1F87">
        <w:rPr>
          <w:rFonts w:asciiTheme="minorHAnsi" w:hAnsiTheme="minorHAnsi" w:cstheme="minorHAnsi"/>
          <w:noProof/>
          <w:color w:val="auto"/>
          <w:vertAlign w:val="superscript"/>
        </w:rPr>
        <w:t>6</w:t>
      </w:r>
      <w:r>
        <w:rPr>
          <w:rFonts w:asciiTheme="minorHAnsi" w:hAnsiTheme="minorHAnsi" w:cstheme="minorHAnsi"/>
          <w:color w:val="auto"/>
        </w:rPr>
        <w:t>), the ability to sequence not only DNA but also RNA directly, which was recently demonstrated for a complete influenza virus genome</w:t>
      </w:r>
      <w:r w:rsidRPr="005A7ADF">
        <w:rPr>
          <w:rFonts w:asciiTheme="minorHAnsi" w:hAnsiTheme="minorHAnsi" w:cstheme="minorHAnsi"/>
          <w:noProof/>
          <w:color w:val="auto"/>
          <w:vertAlign w:val="superscript"/>
        </w:rPr>
        <w:t>17</w:t>
      </w:r>
      <w:r>
        <w:rPr>
          <w:rFonts w:asciiTheme="minorHAnsi" w:hAnsiTheme="minorHAnsi" w:cstheme="minorHAnsi"/>
          <w:color w:val="auto"/>
        </w:rPr>
        <w:t>, and the ability to analyze data in real-time as they are being generated, which allows rapid metagenomics detection of pathogens within minutes</w:t>
      </w:r>
      <w:r w:rsidRPr="005A7ADF">
        <w:rPr>
          <w:rFonts w:asciiTheme="minorHAnsi" w:hAnsiTheme="minorHAnsi" w:cstheme="minorHAnsi"/>
          <w:noProof/>
          <w:color w:val="auto"/>
          <w:vertAlign w:val="superscript"/>
        </w:rPr>
        <w:t>18</w:t>
      </w:r>
      <w:r>
        <w:rPr>
          <w:rFonts w:asciiTheme="minorHAnsi" w:hAnsiTheme="minorHAnsi" w:cstheme="minorHAnsi"/>
          <w:color w:val="auto"/>
        </w:rPr>
        <w:t>. Additional practical advantages are the extremely small size of the nanopore sequencing device, allowing its use in any laboratory or on field missions to remote locations</w:t>
      </w:r>
      <w:r w:rsidRPr="005A7ADF">
        <w:rPr>
          <w:rFonts w:asciiTheme="minorHAnsi" w:hAnsiTheme="minorHAnsi" w:cstheme="minorHAnsi"/>
          <w:noProof/>
          <w:color w:val="auto"/>
          <w:vertAlign w:val="superscript"/>
        </w:rPr>
        <w:t>19,20</w:t>
      </w:r>
      <w:r>
        <w:rPr>
          <w:rFonts w:asciiTheme="minorHAnsi" w:hAnsiTheme="minorHAnsi" w:cstheme="minorHAnsi"/>
          <w:color w:val="auto"/>
        </w:rPr>
        <w:t xml:space="preserve">, and the low price in comparison to other sequencing platforms. In terms of running costs, currently a new flow cell is required for each sequencing run, which results in costs of about </w:t>
      </w:r>
      <w:r w:rsidR="00C959C8">
        <w:rPr>
          <w:rFonts w:asciiTheme="minorHAnsi" w:hAnsiTheme="minorHAnsi" w:cstheme="minorHAnsi"/>
          <w:color w:val="auto"/>
        </w:rPr>
        <w:t>$</w:t>
      </w:r>
      <w:r>
        <w:rPr>
          <w:rFonts w:asciiTheme="minorHAnsi" w:hAnsiTheme="minorHAnsi" w:cstheme="minorHAnsi"/>
          <w:color w:val="auto"/>
        </w:rPr>
        <w:t>1,100 per run for the flow cell and library preparation reagents. These costs can be reduced in some cases by washing and reusing the flow cell, or by barcoding and sequencing multiple samples in a single run. Also, a novel type of flow cell is currently being beta-tested by a small number of laboratories, which will require the use of a flow cell adaptor (called a “</w:t>
      </w:r>
      <w:proofErr w:type="spellStart"/>
      <w:r>
        <w:rPr>
          <w:rFonts w:asciiTheme="minorHAnsi" w:hAnsiTheme="minorHAnsi" w:cstheme="minorHAnsi"/>
          <w:color w:val="auto"/>
        </w:rPr>
        <w:t>flongle</w:t>
      </w:r>
      <w:proofErr w:type="spellEnd"/>
      <w:r>
        <w:rPr>
          <w:rFonts w:asciiTheme="minorHAnsi" w:hAnsiTheme="minorHAnsi" w:cstheme="minorHAnsi"/>
          <w:color w:val="auto"/>
        </w:rPr>
        <w:t>”</w:t>
      </w:r>
      <w:proofErr w:type="gramStart"/>
      <w:r>
        <w:rPr>
          <w:rFonts w:asciiTheme="minorHAnsi" w:hAnsiTheme="minorHAnsi" w:cstheme="minorHAnsi"/>
          <w:color w:val="auto"/>
        </w:rPr>
        <w:t>), and</w:t>
      </w:r>
      <w:proofErr w:type="gramEnd"/>
      <w:r>
        <w:rPr>
          <w:rFonts w:asciiTheme="minorHAnsi" w:hAnsiTheme="minorHAnsi" w:cstheme="minorHAnsi"/>
          <w:color w:val="auto"/>
        </w:rPr>
        <w:t xml:space="preserve"> should significantly reduce flow cell price and thus running costs. </w:t>
      </w:r>
    </w:p>
    <w:p w:rsidR="0024495B" w:rsidRDefault="0024495B" w:rsidP="008D1F87">
      <w:pPr>
        <w:rPr>
          <w:rFonts w:asciiTheme="minorHAnsi" w:hAnsiTheme="minorHAnsi" w:cstheme="minorHAnsi"/>
          <w:color w:val="auto"/>
        </w:rPr>
      </w:pPr>
    </w:p>
    <w:p w:rsidR="0024495B" w:rsidRDefault="0024495B" w:rsidP="008D1F87">
      <w:pPr>
        <w:rPr>
          <w:rFonts w:asciiTheme="minorHAnsi" w:hAnsiTheme="minorHAnsi" w:cstheme="minorHAnsi"/>
          <w:color w:val="auto"/>
        </w:rPr>
      </w:pPr>
      <w:r>
        <w:rPr>
          <w:rFonts w:asciiTheme="minorHAnsi" w:hAnsiTheme="minorHAnsi" w:cstheme="minorHAnsi"/>
          <w:color w:val="auto"/>
        </w:rPr>
        <w:t xml:space="preserve">The major shortcoming of nanopore sequencing remains </w:t>
      </w:r>
      <w:r w:rsidR="009B66D8">
        <w:rPr>
          <w:rFonts w:asciiTheme="minorHAnsi" w:hAnsiTheme="minorHAnsi" w:cstheme="minorHAnsi"/>
          <w:color w:val="auto"/>
        </w:rPr>
        <w:t xml:space="preserve">its </w:t>
      </w:r>
      <w:r>
        <w:rPr>
          <w:rFonts w:asciiTheme="minorHAnsi" w:hAnsiTheme="minorHAnsi" w:cstheme="minorHAnsi"/>
          <w:color w:val="auto"/>
        </w:rPr>
        <w:t>accuracy, with single read accuracies in the range of 83 to 86% being reported</w:t>
      </w:r>
      <w:r w:rsidRPr="00FC5F17">
        <w:rPr>
          <w:rFonts w:asciiTheme="minorHAnsi" w:hAnsiTheme="minorHAnsi" w:cstheme="minorHAnsi"/>
          <w:noProof/>
          <w:color w:val="auto"/>
          <w:vertAlign w:val="superscript"/>
        </w:rPr>
        <w:t>6,21,22</w:t>
      </w:r>
      <w:r>
        <w:rPr>
          <w:rFonts w:asciiTheme="minorHAnsi" w:hAnsiTheme="minorHAnsi" w:cstheme="minorHAnsi"/>
          <w:color w:val="auto"/>
        </w:rPr>
        <w:t xml:space="preserve">, and most of the </w:t>
      </w:r>
      <w:r w:rsidR="009B66D8">
        <w:rPr>
          <w:rFonts w:asciiTheme="minorHAnsi" w:hAnsiTheme="minorHAnsi" w:cstheme="minorHAnsi"/>
          <w:color w:val="auto"/>
        </w:rPr>
        <w:t>in</w:t>
      </w:r>
      <w:r>
        <w:rPr>
          <w:rFonts w:asciiTheme="minorHAnsi" w:hAnsiTheme="minorHAnsi" w:cstheme="minorHAnsi"/>
          <w:color w:val="auto"/>
        </w:rPr>
        <w:t>accuracies being caused by insertion/deletions (indels)</w:t>
      </w:r>
      <w:r w:rsidRPr="005A7ADF">
        <w:rPr>
          <w:rFonts w:asciiTheme="minorHAnsi" w:hAnsiTheme="minorHAnsi" w:cstheme="minorHAnsi"/>
          <w:noProof/>
          <w:color w:val="auto"/>
          <w:vertAlign w:val="superscript"/>
        </w:rPr>
        <w:t>5,21</w:t>
      </w:r>
      <w:r>
        <w:rPr>
          <w:rFonts w:asciiTheme="minorHAnsi" w:hAnsiTheme="minorHAnsi" w:cstheme="minorHAnsi"/>
          <w:color w:val="auto"/>
        </w:rPr>
        <w:t>. However, high read depth can compensate for these inaccuracies, and a recent study suggested based on theoretical considerations that a read depth of &gt;10 might increase overall accuracy to &gt;99.8%</w:t>
      </w:r>
      <w:r w:rsidRPr="00B35789">
        <w:rPr>
          <w:rFonts w:asciiTheme="minorHAnsi" w:hAnsiTheme="minorHAnsi" w:cstheme="minorHAnsi"/>
          <w:noProof/>
          <w:color w:val="auto"/>
          <w:vertAlign w:val="superscript"/>
        </w:rPr>
        <w:t>21</w:t>
      </w:r>
      <w:r>
        <w:rPr>
          <w:rFonts w:asciiTheme="minorHAnsi" w:hAnsiTheme="minorHAnsi" w:cstheme="minorHAnsi"/>
          <w:color w:val="auto"/>
        </w:rPr>
        <w:t>. Nevertheless, further improvement</w:t>
      </w:r>
      <w:r w:rsidR="009B66D8">
        <w:rPr>
          <w:rFonts w:asciiTheme="minorHAnsi" w:hAnsiTheme="minorHAnsi" w:cstheme="minorHAnsi"/>
          <w:color w:val="auto"/>
        </w:rPr>
        <w:t>s</w:t>
      </w:r>
      <w:r>
        <w:rPr>
          <w:rFonts w:asciiTheme="minorHAnsi" w:hAnsiTheme="minorHAnsi" w:cstheme="minorHAnsi"/>
          <w:color w:val="auto"/>
        </w:rPr>
        <w:t xml:space="preserve"> </w:t>
      </w:r>
      <w:r w:rsidR="009B66D8">
        <w:rPr>
          <w:rFonts w:asciiTheme="minorHAnsi" w:hAnsiTheme="minorHAnsi" w:cstheme="minorHAnsi"/>
          <w:color w:val="auto"/>
        </w:rPr>
        <w:t xml:space="preserve">in </w:t>
      </w:r>
      <w:r>
        <w:rPr>
          <w:rFonts w:asciiTheme="minorHAnsi" w:hAnsiTheme="minorHAnsi" w:cstheme="minorHAnsi"/>
          <w:color w:val="auto"/>
        </w:rPr>
        <w:t xml:space="preserve">accuracy will be needed, particularly if analysis is to be performed on a single molecule level rather than on a consensus sequence level. The use of </w:t>
      </w:r>
      <w:r w:rsidRPr="008A021A">
        <w:rPr>
          <w:rFonts w:asciiTheme="minorHAnsi" w:hAnsiTheme="minorHAnsi" w:cstheme="minorHAnsi"/>
          <w:color w:val="auto"/>
        </w:rPr>
        <w:t>1D</w:t>
      </w:r>
      <w:r w:rsidRPr="008A021A">
        <w:rPr>
          <w:rFonts w:asciiTheme="minorHAnsi" w:hAnsiTheme="minorHAnsi" w:cstheme="minorHAnsi"/>
          <w:color w:val="auto"/>
          <w:vertAlign w:val="superscript"/>
        </w:rPr>
        <w:t>2</w:t>
      </w:r>
      <w:r>
        <w:rPr>
          <w:rFonts w:asciiTheme="minorHAnsi" w:hAnsiTheme="minorHAnsi" w:cstheme="minorHAnsi"/>
          <w:color w:val="auto"/>
        </w:rPr>
        <w:t xml:space="preserve"> technology as described in this protocol, which is based on the addition of the 1D</w:t>
      </w:r>
      <w:r w:rsidRPr="004E5534">
        <w:rPr>
          <w:rFonts w:asciiTheme="minorHAnsi" w:hAnsiTheme="minorHAnsi" w:cstheme="minorHAnsi"/>
          <w:color w:val="auto"/>
          <w:vertAlign w:val="superscript"/>
        </w:rPr>
        <w:t>2</w:t>
      </w:r>
      <w:r>
        <w:rPr>
          <w:rFonts w:asciiTheme="minorHAnsi" w:hAnsiTheme="minorHAnsi" w:cstheme="minorHAnsi"/>
          <w:color w:val="auto"/>
        </w:rPr>
        <w:t xml:space="preserve"> and barcode adapters (cf. section 5.5) that result in both strands of a single DNA molecule being sequenced by the same nanopore, increases read accuracy since information from both DNA strands can be used for sequence determination. Further, a workaround strategy that can be pursued in order to combine the advantages of nanopore sequencing (particularly long read length) with the higher accuracy of other sequencing technologies is to use nanopore sequencing information as a scaffold, which is then polished using sequencing data from other platforms</w:t>
      </w:r>
      <w:r w:rsidRPr="00F3280B">
        <w:rPr>
          <w:rFonts w:asciiTheme="minorHAnsi" w:hAnsiTheme="minorHAnsi" w:cstheme="minorHAnsi"/>
          <w:noProof/>
          <w:color w:val="auto"/>
          <w:vertAlign w:val="superscript"/>
        </w:rPr>
        <w:t>6</w:t>
      </w:r>
      <w:r>
        <w:rPr>
          <w:rFonts w:asciiTheme="minorHAnsi" w:hAnsiTheme="minorHAnsi" w:cstheme="minorHAnsi"/>
          <w:color w:val="auto"/>
        </w:rPr>
        <w:t xml:space="preserve">. </w:t>
      </w:r>
    </w:p>
    <w:p w:rsidR="0024495B" w:rsidRDefault="0024495B" w:rsidP="007A4DD6">
      <w:pPr>
        <w:rPr>
          <w:rFonts w:asciiTheme="minorHAnsi" w:hAnsiTheme="minorHAnsi" w:cstheme="minorHAnsi"/>
          <w:color w:val="auto"/>
        </w:rPr>
      </w:pPr>
    </w:p>
    <w:p w:rsidR="0024495B" w:rsidRDefault="0024495B" w:rsidP="007A4DD6">
      <w:pPr>
        <w:rPr>
          <w:rFonts w:asciiTheme="minorHAnsi" w:hAnsiTheme="minorHAnsi" w:cstheme="minorHAnsi"/>
          <w:color w:val="auto"/>
        </w:rPr>
      </w:pPr>
      <w:r>
        <w:rPr>
          <w:rFonts w:asciiTheme="minorHAnsi" w:hAnsiTheme="minorHAnsi" w:cstheme="minorHAnsi"/>
          <w:color w:val="auto"/>
        </w:rPr>
        <w:t xml:space="preserve">The most critical factor for the success of the protocol presented here is sample quality, and particularly the amount and quality of the extracted RNA. Proper storage and prompt extraction of the RNA help in achieving an adequate RNA yield. The use of appropriate blood collection tubes allows the storage of blood samples for up to one month, but blood clotting can be an issue, particularly when samples are being stored at elevated temperatures, which can be the case under field conditions. The second critical step is the amplification of target sequences, and </w:t>
      </w:r>
      <w:proofErr w:type="gramStart"/>
      <w:r>
        <w:rPr>
          <w:rFonts w:asciiTheme="minorHAnsi" w:hAnsiTheme="minorHAnsi" w:cstheme="minorHAnsi"/>
          <w:color w:val="auto"/>
        </w:rPr>
        <w:t>particular under</w:t>
      </w:r>
      <w:proofErr w:type="gramEnd"/>
      <w:r>
        <w:rPr>
          <w:rFonts w:asciiTheme="minorHAnsi" w:hAnsiTheme="minorHAnsi" w:cstheme="minorHAnsi"/>
          <w:color w:val="auto"/>
        </w:rPr>
        <w:t xml:space="preserve"> field conditions PCR reactions often perform less well than under standard laboratory conditions</w:t>
      </w:r>
      <w:r w:rsidRPr="007E4779">
        <w:rPr>
          <w:rFonts w:asciiTheme="minorHAnsi" w:hAnsiTheme="minorHAnsi" w:cstheme="minorHAnsi"/>
          <w:noProof/>
          <w:color w:val="auto"/>
          <w:vertAlign w:val="superscript"/>
        </w:rPr>
        <w:t>7</w:t>
      </w:r>
      <w:r>
        <w:rPr>
          <w:rFonts w:asciiTheme="minorHAnsi" w:hAnsiTheme="minorHAnsi" w:cstheme="minorHAnsi"/>
          <w:color w:val="auto"/>
        </w:rPr>
        <w:t>. To this end</w:t>
      </w:r>
      <w:r w:rsidR="009B66D8">
        <w:rPr>
          <w:rFonts w:asciiTheme="minorHAnsi" w:hAnsiTheme="minorHAnsi" w:cstheme="minorHAnsi"/>
          <w:color w:val="auto"/>
        </w:rPr>
        <w:t>,</w:t>
      </w:r>
      <w:r>
        <w:rPr>
          <w:rFonts w:asciiTheme="minorHAnsi" w:hAnsiTheme="minorHAnsi" w:cstheme="minorHAnsi"/>
          <w:color w:val="auto"/>
        </w:rPr>
        <w:t xml:space="preserve"> careful primer design and optimization is paramount to achieve robust amplification. Additionally, nested PCR approaches and touchdown PCR, as used in this protocol, can increase both specificity and sensitivity of target gene amplification</w:t>
      </w:r>
      <w:r w:rsidRPr="007E4779">
        <w:rPr>
          <w:rFonts w:asciiTheme="minorHAnsi" w:hAnsiTheme="minorHAnsi" w:cstheme="minorHAnsi"/>
          <w:noProof/>
          <w:color w:val="auto"/>
          <w:vertAlign w:val="superscript"/>
        </w:rPr>
        <w:t>4,7</w:t>
      </w:r>
      <w:r>
        <w:rPr>
          <w:rFonts w:asciiTheme="minorHAnsi" w:hAnsiTheme="minorHAnsi" w:cstheme="minorHAnsi"/>
          <w:color w:val="auto"/>
        </w:rPr>
        <w:t xml:space="preserve">. Indeed, in our experience in Liberia and Guinea with this technology nested protocols were required under field conditions with field samples even for primer sets which allowed </w:t>
      </w:r>
      <w:r>
        <w:rPr>
          <w:rFonts w:asciiTheme="minorHAnsi" w:hAnsiTheme="minorHAnsi" w:cstheme="minorHAnsi"/>
          <w:color w:val="auto"/>
        </w:rPr>
        <w:lastRenderedPageBreak/>
        <w:t>amplification of targets from laboratory samples and under laboratory conditions with a single round of PCR (</w:t>
      </w:r>
      <w:r w:rsidRPr="0063227A">
        <w:rPr>
          <w:rFonts w:asciiTheme="minorHAnsi" w:hAnsiTheme="minorHAnsi" w:cstheme="minorHAnsi"/>
          <w:noProof/>
          <w:color w:val="auto"/>
          <w:vertAlign w:val="superscript"/>
        </w:rPr>
        <w:t>7</w:t>
      </w:r>
      <w:r>
        <w:rPr>
          <w:rFonts w:asciiTheme="minorHAnsi" w:hAnsiTheme="minorHAnsi" w:cstheme="minorHAnsi"/>
          <w:color w:val="auto"/>
        </w:rPr>
        <w:t xml:space="preserve"> and unpublished results). </w:t>
      </w:r>
    </w:p>
    <w:p w:rsidR="0024495B" w:rsidRDefault="0024495B" w:rsidP="007A4DD6">
      <w:pPr>
        <w:rPr>
          <w:rFonts w:asciiTheme="minorHAnsi" w:hAnsiTheme="minorHAnsi" w:cstheme="minorHAnsi"/>
          <w:color w:val="auto"/>
        </w:rPr>
      </w:pPr>
    </w:p>
    <w:p w:rsidR="0024495B" w:rsidRDefault="0024495B" w:rsidP="005227CA">
      <w:pPr>
        <w:rPr>
          <w:rFonts w:asciiTheme="minorHAnsi" w:hAnsiTheme="minorHAnsi" w:cstheme="minorHAnsi"/>
          <w:color w:val="auto"/>
        </w:rPr>
      </w:pPr>
      <w:r>
        <w:rPr>
          <w:rFonts w:asciiTheme="minorHAnsi" w:hAnsiTheme="minorHAnsi" w:cstheme="minorHAnsi"/>
          <w:color w:val="auto"/>
        </w:rPr>
        <w:t xml:space="preserve">In contrast to these more critical steps, library preparation and the sequencing run itself are rather robust procedures. However, under field conditions practical issues such as the availability of certain pieces of equipment can be problematic. For example, a UV spectrophotometer is needed to determine DNA concentrations prior to library preparation of barcoded samples. However, should such a device not be available under field conditions, an equal volume of each sample can simply be combined to make up the 45 µL required for library preparation, with differences in sample input material then usually being mitigated by the large number of reads. Similarly, the need for internet connectivity for the sequencing run can be an issue, even though the base-calling no longer </w:t>
      </w:r>
      <w:proofErr w:type="gramStart"/>
      <w:r>
        <w:rPr>
          <w:rFonts w:asciiTheme="minorHAnsi" w:hAnsiTheme="minorHAnsi" w:cstheme="minorHAnsi"/>
          <w:color w:val="auto"/>
        </w:rPr>
        <w:t>has to</w:t>
      </w:r>
      <w:proofErr w:type="gramEnd"/>
      <w:r>
        <w:rPr>
          <w:rFonts w:asciiTheme="minorHAnsi" w:hAnsiTheme="minorHAnsi" w:cstheme="minorHAnsi"/>
          <w:color w:val="auto"/>
        </w:rPr>
        <w:t xml:space="preserve"> be performed online but can be done locally; however, this necessity can be removed under certain circumstances by the manufacturer if required.</w:t>
      </w:r>
    </w:p>
    <w:p w:rsidR="0024495B" w:rsidRDefault="0024495B" w:rsidP="007A4DD6">
      <w:pPr>
        <w:rPr>
          <w:rFonts w:asciiTheme="minorHAnsi" w:hAnsiTheme="minorHAnsi" w:cstheme="minorHAnsi"/>
          <w:color w:val="auto"/>
        </w:rPr>
      </w:pPr>
    </w:p>
    <w:p w:rsidR="0024495B" w:rsidRPr="00BC0570" w:rsidRDefault="0024495B" w:rsidP="007A4DD6">
      <w:pPr>
        <w:rPr>
          <w:rFonts w:asciiTheme="minorHAnsi" w:hAnsiTheme="minorHAnsi" w:cstheme="minorHAnsi"/>
          <w:color w:val="auto"/>
        </w:rPr>
      </w:pPr>
      <w:r>
        <w:rPr>
          <w:rFonts w:asciiTheme="minorHAnsi" w:hAnsiTheme="minorHAnsi" w:cstheme="minorHAnsi"/>
          <w:color w:val="auto"/>
        </w:rPr>
        <w:t>In summary, the presented protocol allows relatively low-cost sequencing in locations with no access to traditional sequencing equipment, including</w:t>
      </w:r>
      <w:r w:rsidRPr="00270CDC">
        <w:rPr>
          <w:rFonts w:asciiTheme="minorHAnsi" w:hAnsiTheme="minorHAnsi" w:cstheme="minorHAnsi"/>
          <w:color w:val="auto"/>
        </w:rPr>
        <w:t xml:space="preserve"> </w:t>
      </w:r>
      <w:r>
        <w:rPr>
          <w:rFonts w:asciiTheme="minorHAnsi" w:hAnsiTheme="minorHAnsi" w:cstheme="minorHAnsi"/>
          <w:color w:val="auto"/>
        </w:rPr>
        <w:t>in remote locations. It can easily be adapted to any target RNA or DNA, thus allowing researchers to answer numerous biological questions.</w:t>
      </w:r>
    </w:p>
    <w:p w:rsidR="0024495B" w:rsidRPr="001B1519" w:rsidRDefault="0024495B" w:rsidP="001B1519">
      <w:pPr>
        <w:rPr>
          <w:rFonts w:asciiTheme="minorHAnsi" w:hAnsiTheme="minorHAnsi" w:cstheme="minorHAnsi"/>
          <w:color w:val="auto"/>
        </w:rPr>
      </w:pPr>
    </w:p>
    <w:p w:rsidR="0024495B" w:rsidRPr="001B1519" w:rsidRDefault="0024495B"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rsidR="0024495B" w:rsidRPr="001B1519" w:rsidRDefault="0024495B" w:rsidP="007A4DD6">
      <w:pPr>
        <w:rPr>
          <w:rFonts w:asciiTheme="minorHAnsi" w:hAnsiTheme="minorHAnsi" w:cstheme="minorHAnsi"/>
          <w:color w:val="808080" w:themeColor="background1" w:themeShade="80"/>
        </w:rPr>
      </w:pPr>
      <w:r>
        <w:rPr>
          <w:rFonts w:asciiTheme="minorHAnsi" w:hAnsiTheme="minorHAnsi" w:cstheme="minorHAnsi"/>
          <w:color w:val="auto"/>
        </w:rPr>
        <w:t xml:space="preserve">The authors thank Allison </w:t>
      </w:r>
      <w:proofErr w:type="spellStart"/>
      <w:r>
        <w:rPr>
          <w:rFonts w:asciiTheme="minorHAnsi" w:hAnsiTheme="minorHAnsi" w:cstheme="minorHAnsi"/>
          <w:color w:val="auto"/>
        </w:rPr>
        <w:t>Groseth</w:t>
      </w:r>
      <w:proofErr w:type="spellEnd"/>
      <w:r>
        <w:rPr>
          <w:rFonts w:asciiTheme="minorHAnsi" w:hAnsiTheme="minorHAnsi" w:cstheme="minorHAnsi"/>
          <w:color w:val="auto"/>
        </w:rPr>
        <w:t xml:space="preserve"> for critical reading of the manuscript. </w:t>
      </w:r>
      <w:r w:rsidRPr="00484A27">
        <w:rPr>
          <w:rFonts w:asciiTheme="minorHAnsi" w:hAnsiTheme="minorHAnsi" w:cstheme="minorHAnsi"/>
          <w:color w:val="auto"/>
        </w:rPr>
        <w:t xml:space="preserve">This work was financially supported by the German Federal Ministry of Food and Agriculture (BMEL) based on a decision of the Parliament of the Federal Republic of Germany through the </w:t>
      </w:r>
      <w:r w:rsidRPr="005B5688">
        <w:rPr>
          <w:rFonts w:asciiTheme="minorHAnsi" w:hAnsiTheme="minorHAnsi" w:cstheme="minorHAnsi"/>
          <w:color w:val="000000" w:themeColor="text1"/>
        </w:rPr>
        <w:t xml:space="preserve">Federal Office for Agriculture and Food (BLE). </w:t>
      </w:r>
    </w:p>
    <w:p w:rsidR="0024495B" w:rsidRPr="001B1519" w:rsidRDefault="0024495B" w:rsidP="001B1519">
      <w:pPr>
        <w:rPr>
          <w:rFonts w:asciiTheme="minorHAnsi" w:hAnsiTheme="minorHAnsi" w:cstheme="minorHAnsi"/>
          <w:b/>
          <w:bCs/>
        </w:rPr>
      </w:pPr>
    </w:p>
    <w:p w:rsidR="0024495B" w:rsidRPr="001B1519" w:rsidRDefault="0024495B"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rsidR="0024495B" w:rsidRPr="00484A27" w:rsidRDefault="0024495B" w:rsidP="00E85A81">
      <w:pPr>
        <w:rPr>
          <w:rFonts w:asciiTheme="minorHAnsi" w:hAnsiTheme="minorHAnsi" w:cstheme="minorHAnsi"/>
          <w:color w:val="auto"/>
        </w:rPr>
      </w:pPr>
      <w:r w:rsidRPr="00484A27">
        <w:rPr>
          <w:rFonts w:asciiTheme="minorHAnsi" w:hAnsiTheme="minorHAnsi" w:cstheme="minorHAnsi"/>
          <w:color w:val="auto"/>
        </w:rPr>
        <w:t xml:space="preserve">TH participated in the </w:t>
      </w:r>
      <w:r>
        <w:rPr>
          <w:rFonts w:asciiTheme="minorHAnsi" w:hAnsiTheme="minorHAnsi" w:cstheme="minorHAnsi"/>
          <w:color w:val="auto"/>
        </w:rPr>
        <w:t>Oxford Nanopore Technologies (</w:t>
      </w:r>
      <w:r w:rsidRPr="00484A27">
        <w:rPr>
          <w:rFonts w:asciiTheme="minorHAnsi" w:hAnsiTheme="minorHAnsi" w:cstheme="minorHAnsi"/>
          <w:color w:val="auto"/>
        </w:rPr>
        <w:t>ONT</w:t>
      </w:r>
      <w:r>
        <w:rPr>
          <w:rFonts w:asciiTheme="minorHAnsi" w:hAnsiTheme="minorHAnsi" w:cstheme="minorHAnsi"/>
          <w:color w:val="auto"/>
        </w:rPr>
        <w:t>)</w:t>
      </w:r>
      <w:r w:rsidRPr="00484A27">
        <w:rPr>
          <w:rFonts w:asciiTheme="minorHAnsi" w:hAnsiTheme="minorHAnsi" w:cstheme="minorHAnsi"/>
          <w:color w:val="auto"/>
        </w:rPr>
        <w:t xml:space="preserve"> </w:t>
      </w:r>
      <w:proofErr w:type="spellStart"/>
      <w:r w:rsidRPr="00484A27">
        <w:rPr>
          <w:rFonts w:asciiTheme="minorHAnsi" w:hAnsiTheme="minorHAnsi" w:cstheme="minorHAnsi"/>
          <w:color w:val="auto"/>
        </w:rPr>
        <w:t>MinION</w:t>
      </w:r>
      <w:proofErr w:type="spellEnd"/>
      <w:r w:rsidRPr="00484A27">
        <w:rPr>
          <w:rFonts w:asciiTheme="minorHAnsi" w:hAnsiTheme="minorHAnsi" w:cstheme="minorHAnsi"/>
          <w:color w:val="auto"/>
        </w:rPr>
        <w:t xml:space="preserve"> early access program from 2014 to </w:t>
      </w:r>
      <w:proofErr w:type="gramStart"/>
      <w:r w:rsidRPr="00484A27">
        <w:rPr>
          <w:rFonts w:asciiTheme="minorHAnsi" w:hAnsiTheme="minorHAnsi" w:cstheme="minorHAnsi"/>
          <w:color w:val="auto"/>
        </w:rPr>
        <w:t>2015, and</w:t>
      </w:r>
      <w:proofErr w:type="gramEnd"/>
      <w:r w:rsidRPr="00484A27">
        <w:rPr>
          <w:rFonts w:asciiTheme="minorHAnsi" w:hAnsiTheme="minorHAnsi" w:cstheme="minorHAnsi"/>
          <w:color w:val="auto"/>
        </w:rPr>
        <w:t xml:space="preserve"> received </w:t>
      </w:r>
      <w:proofErr w:type="spellStart"/>
      <w:r w:rsidRPr="00484A27">
        <w:rPr>
          <w:rFonts w:asciiTheme="minorHAnsi" w:hAnsiTheme="minorHAnsi" w:cstheme="minorHAnsi"/>
          <w:color w:val="auto"/>
        </w:rPr>
        <w:t>MinION</w:t>
      </w:r>
      <w:proofErr w:type="spellEnd"/>
      <w:r w:rsidRPr="00484A27">
        <w:rPr>
          <w:rFonts w:asciiTheme="minorHAnsi" w:hAnsiTheme="minorHAnsi" w:cstheme="minorHAnsi"/>
          <w:color w:val="auto"/>
        </w:rPr>
        <w:t xml:space="preserve"> devices and flow cells for a previous study </w:t>
      </w:r>
      <w:r w:rsidRPr="007924EE">
        <w:rPr>
          <w:rFonts w:asciiTheme="minorHAnsi" w:hAnsiTheme="minorHAnsi" w:cstheme="minorHAnsi"/>
          <w:noProof/>
          <w:color w:val="auto"/>
          <w:vertAlign w:val="superscript"/>
        </w:rPr>
        <w:t>7</w:t>
      </w:r>
      <w:r>
        <w:rPr>
          <w:rFonts w:asciiTheme="minorHAnsi" w:hAnsiTheme="minorHAnsi" w:cstheme="minorHAnsi"/>
          <w:color w:val="auto"/>
        </w:rPr>
        <w:t xml:space="preserve"> performed by the National Institutes of Health, USA, </w:t>
      </w:r>
      <w:r w:rsidRPr="00484A27">
        <w:rPr>
          <w:rFonts w:asciiTheme="minorHAnsi" w:hAnsiTheme="minorHAnsi" w:cstheme="minorHAnsi"/>
          <w:color w:val="auto"/>
        </w:rPr>
        <w:t xml:space="preserve">free of charge or at reduced costs. He was invited </w:t>
      </w:r>
      <w:r>
        <w:rPr>
          <w:rFonts w:asciiTheme="minorHAnsi" w:hAnsiTheme="minorHAnsi" w:cstheme="minorHAnsi"/>
          <w:color w:val="auto"/>
        </w:rPr>
        <w:t xml:space="preserve">by ONT </w:t>
      </w:r>
      <w:r w:rsidRPr="00484A27">
        <w:rPr>
          <w:rFonts w:asciiTheme="minorHAnsi" w:hAnsiTheme="minorHAnsi" w:cstheme="minorHAnsi"/>
          <w:color w:val="auto"/>
        </w:rPr>
        <w:t>to present part of that work at the London Calling 2015 meeting in London, UK</w:t>
      </w:r>
      <w:r>
        <w:rPr>
          <w:rFonts w:asciiTheme="minorHAnsi" w:hAnsiTheme="minorHAnsi" w:cstheme="minorHAnsi"/>
          <w:color w:val="auto"/>
        </w:rPr>
        <w:t>, and ONT payed for transportation and accommodation</w:t>
      </w:r>
      <w:r w:rsidRPr="00484A27">
        <w:rPr>
          <w:rFonts w:asciiTheme="minorHAnsi" w:hAnsiTheme="minorHAnsi" w:cstheme="minorHAnsi"/>
          <w:color w:val="auto"/>
        </w:rPr>
        <w:t xml:space="preserve">. </w:t>
      </w:r>
      <w:r>
        <w:rPr>
          <w:rFonts w:asciiTheme="minorHAnsi" w:hAnsiTheme="minorHAnsi" w:cstheme="minorHAnsi"/>
          <w:color w:val="auto"/>
        </w:rPr>
        <w:t xml:space="preserve">For the work presented in this manuscript, no benefits (e.g. hardware or reagents at reduced cost, travel reimbursements etc.) were obtained from ONT. AM, KF and RS have nothing to disclose. </w:t>
      </w:r>
    </w:p>
    <w:p w:rsidR="0024495B" w:rsidRPr="001B1519" w:rsidRDefault="0024495B" w:rsidP="001B1519">
      <w:pPr>
        <w:rPr>
          <w:rFonts w:asciiTheme="minorHAnsi" w:hAnsiTheme="minorHAnsi" w:cstheme="minorHAnsi"/>
          <w:color w:val="auto"/>
        </w:rPr>
      </w:pPr>
    </w:p>
    <w:p w:rsidR="0024495B" w:rsidRPr="00A00B27" w:rsidRDefault="0024495B" w:rsidP="00DB4625">
      <w:pPr>
        <w:rPr>
          <w:rFonts w:asciiTheme="minorHAnsi" w:hAnsiTheme="minorHAnsi" w:cstheme="minorHAnsi"/>
          <w:b/>
          <w:color w:val="000000" w:themeColor="text1"/>
        </w:rPr>
      </w:pPr>
      <w:r w:rsidRPr="001B1519">
        <w:rPr>
          <w:rFonts w:asciiTheme="minorHAnsi" w:hAnsiTheme="minorHAnsi" w:cstheme="minorHAnsi"/>
          <w:b/>
          <w:bCs/>
        </w:rPr>
        <w:t>REFERENCES:</w:t>
      </w:r>
    </w:p>
    <w:p w:rsidR="0024495B" w:rsidRPr="00B35789" w:rsidRDefault="0024495B" w:rsidP="00B35789">
      <w:pPr>
        <w:pStyle w:val="EndNoteBibliography"/>
        <w:ind w:left="720" w:hanging="720"/>
      </w:pPr>
      <w:r w:rsidRPr="00B35789">
        <w:t>1</w:t>
      </w:r>
      <w:r w:rsidRPr="00B35789">
        <w:tab/>
        <w:t>Shendure, J.</w:t>
      </w:r>
      <w:r w:rsidR="00A00B27" w:rsidRPr="00A00B27">
        <w:t xml:space="preserve">, </w:t>
      </w:r>
      <w:r w:rsidRPr="00B35789">
        <w:t xml:space="preserve">Ji, H. Next-generation DNA sequencing. </w:t>
      </w:r>
      <w:r w:rsidRPr="00B35789">
        <w:rPr>
          <w:i/>
        </w:rPr>
        <w:t>Nat</w:t>
      </w:r>
      <w:r w:rsidR="00A81953">
        <w:rPr>
          <w:i/>
        </w:rPr>
        <w:t>ure</w:t>
      </w:r>
      <w:r w:rsidRPr="00B35789">
        <w:rPr>
          <w:i/>
        </w:rPr>
        <w:t xml:space="preserve"> Biotechnol</w:t>
      </w:r>
      <w:r w:rsidR="00A81953">
        <w:rPr>
          <w:i/>
        </w:rPr>
        <w:t>ogy</w:t>
      </w:r>
      <w:r w:rsidR="00A00B27">
        <w:rPr>
          <w:i/>
        </w:rPr>
        <w:t>.</w:t>
      </w:r>
      <w:r w:rsidRPr="00B35789">
        <w:t xml:space="preserve"> </w:t>
      </w:r>
      <w:r w:rsidRPr="00B35789">
        <w:rPr>
          <w:b/>
        </w:rPr>
        <w:t>26</w:t>
      </w:r>
      <w:r w:rsidRPr="00B35789">
        <w:t xml:space="preserve"> (10), 1135-1145</w:t>
      </w:r>
      <w:r w:rsidR="00A00B27">
        <w:t xml:space="preserve"> (</w:t>
      </w:r>
      <w:r w:rsidRPr="00B35789">
        <w:t>2008).</w:t>
      </w:r>
    </w:p>
    <w:p w:rsidR="0024495B" w:rsidRPr="00B35789" w:rsidRDefault="0024495B" w:rsidP="00B35789">
      <w:pPr>
        <w:pStyle w:val="EndNoteBibliography"/>
        <w:ind w:left="720" w:hanging="720"/>
      </w:pPr>
      <w:r w:rsidRPr="00B35789">
        <w:t>2</w:t>
      </w:r>
      <w:r w:rsidRPr="00B35789">
        <w:tab/>
        <w:t>Shendure, J.</w:t>
      </w:r>
      <w:r w:rsidR="00A00B27" w:rsidRPr="00A00B27">
        <w:t xml:space="preserve">, </w:t>
      </w:r>
      <w:r w:rsidRPr="00B35789">
        <w:t xml:space="preserve">Lieberman Aiden, E. The expanding scope of DNA sequencing. </w:t>
      </w:r>
      <w:r w:rsidRPr="00B35789">
        <w:rPr>
          <w:i/>
        </w:rPr>
        <w:t>Nat</w:t>
      </w:r>
      <w:r w:rsidR="00A81953">
        <w:rPr>
          <w:i/>
        </w:rPr>
        <w:t>ure</w:t>
      </w:r>
      <w:r w:rsidRPr="00B35789">
        <w:rPr>
          <w:i/>
        </w:rPr>
        <w:t xml:space="preserve"> Biotechnol</w:t>
      </w:r>
      <w:r w:rsidR="00A81953">
        <w:rPr>
          <w:i/>
        </w:rPr>
        <w:t>ogy</w:t>
      </w:r>
      <w:r w:rsidR="00A00B27">
        <w:rPr>
          <w:i/>
        </w:rPr>
        <w:t>.</w:t>
      </w:r>
      <w:r w:rsidRPr="00B35789">
        <w:t xml:space="preserve"> </w:t>
      </w:r>
      <w:r w:rsidRPr="00B35789">
        <w:rPr>
          <w:b/>
        </w:rPr>
        <w:t>30</w:t>
      </w:r>
      <w:r w:rsidRPr="00B35789">
        <w:t xml:space="preserve"> (11), 1084-1094</w:t>
      </w:r>
      <w:r w:rsidR="00A00B27">
        <w:t xml:space="preserve"> (</w:t>
      </w:r>
      <w:r w:rsidRPr="00B35789">
        <w:t>2012).</w:t>
      </w:r>
    </w:p>
    <w:p w:rsidR="0024495B" w:rsidRPr="00B35789" w:rsidRDefault="0024495B" w:rsidP="00B35789">
      <w:pPr>
        <w:pStyle w:val="EndNoteBibliography"/>
        <w:ind w:left="720" w:hanging="720"/>
      </w:pPr>
      <w:r w:rsidRPr="00B35789">
        <w:t>3</w:t>
      </w:r>
      <w:r w:rsidRPr="00B35789">
        <w:tab/>
        <w:t>Liu, L.</w:t>
      </w:r>
      <w:r w:rsidRPr="00B35789">
        <w:rPr>
          <w:i/>
        </w:rPr>
        <w:t xml:space="preserve"> </w:t>
      </w:r>
      <w:r w:rsidR="00A00B27" w:rsidRPr="00A00B27">
        <w:t>et al.</w:t>
      </w:r>
      <w:r w:rsidRPr="00B35789">
        <w:t xml:space="preserve"> Comparison of next-generation seq</w:t>
      </w:r>
      <w:bookmarkStart w:id="1" w:name="_GoBack"/>
      <w:bookmarkEnd w:id="1"/>
      <w:r w:rsidRPr="00B35789">
        <w:t xml:space="preserve">uencing systems. </w:t>
      </w:r>
      <w:r w:rsidRPr="00B35789">
        <w:rPr>
          <w:i/>
        </w:rPr>
        <w:t>J</w:t>
      </w:r>
      <w:r w:rsidR="00A81953">
        <w:rPr>
          <w:i/>
        </w:rPr>
        <w:t>ournal of</w:t>
      </w:r>
      <w:r w:rsidRPr="00B35789">
        <w:rPr>
          <w:i/>
        </w:rPr>
        <w:t xml:space="preserve"> Biomed</w:t>
      </w:r>
      <w:r w:rsidR="00A81953">
        <w:rPr>
          <w:i/>
        </w:rPr>
        <w:t>icin</w:t>
      </w:r>
      <w:r w:rsidR="006A1515">
        <w:rPr>
          <w:i/>
        </w:rPr>
        <w:t>e</w:t>
      </w:r>
      <w:r w:rsidR="00A81953">
        <w:rPr>
          <w:i/>
        </w:rPr>
        <w:t xml:space="preserve"> and</w:t>
      </w:r>
      <w:r w:rsidR="00336ECE">
        <w:rPr>
          <w:i/>
        </w:rPr>
        <w:t xml:space="preserve"> </w:t>
      </w:r>
      <w:r w:rsidRPr="00B35789">
        <w:rPr>
          <w:i/>
        </w:rPr>
        <w:t>Biotechnol</w:t>
      </w:r>
      <w:r w:rsidR="00A81953">
        <w:rPr>
          <w:i/>
        </w:rPr>
        <w:t>ogy</w:t>
      </w:r>
      <w:r w:rsidR="00A00B27">
        <w:rPr>
          <w:i/>
        </w:rPr>
        <w:t>.</w:t>
      </w:r>
      <w:r w:rsidRPr="00B35789">
        <w:t xml:space="preserve"> </w:t>
      </w:r>
      <w:r w:rsidRPr="00B35789">
        <w:rPr>
          <w:b/>
        </w:rPr>
        <w:t>2012</w:t>
      </w:r>
      <w:r w:rsidR="00A00B27" w:rsidRPr="00A00B27">
        <w:t xml:space="preserve">, </w:t>
      </w:r>
      <w:r w:rsidRPr="00B35789">
        <w:t xml:space="preserve"> 251364</w:t>
      </w:r>
      <w:r w:rsidR="00A00B27">
        <w:t xml:space="preserve"> (</w:t>
      </w:r>
      <w:r w:rsidRPr="00B35789">
        <w:t>2012).</w:t>
      </w:r>
    </w:p>
    <w:p w:rsidR="0024495B" w:rsidRPr="00B35789" w:rsidRDefault="0024495B" w:rsidP="00B35789">
      <w:pPr>
        <w:pStyle w:val="EndNoteBibliography"/>
        <w:ind w:left="720" w:hanging="720"/>
      </w:pPr>
      <w:r w:rsidRPr="00B35789">
        <w:t>4</w:t>
      </w:r>
      <w:r w:rsidRPr="00B35789">
        <w:tab/>
        <w:t>Levy, S. E.</w:t>
      </w:r>
      <w:r w:rsidR="00A00B27" w:rsidRPr="00A00B27">
        <w:t xml:space="preserve">, </w:t>
      </w:r>
      <w:r w:rsidRPr="00B35789">
        <w:t xml:space="preserve">Myers, R. M. Advancements in Next-Generation Sequencing. </w:t>
      </w:r>
      <w:r w:rsidRPr="00B35789">
        <w:rPr>
          <w:i/>
        </w:rPr>
        <w:t>Annu</w:t>
      </w:r>
      <w:r w:rsidR="00AE2A94">
        <w:rPr>
          <w:i/>
        </w:rPr>
        <w:t>al</w:t>
      </w:r>
      <w:r w:rsidRPr="00B35789">
        <w:rPr>
          <w:i/>
        </w:rPr>
        <w:t xml:space="preserve"> Rev</w:t>
      </w:r>
      <w:r w:rsidR="00AE2A94">
        <w:rPr>
          <w:i/>
        </w:rPr>
        <w:t>iew of</w:t>
      </w:r>
      <w:r w:rsidRPr="00B35789">
        <w:rPr>
          <w:i/>
        </w:rPr>
        <w:t xml:space="preserve"> Genomics</w:t>
      </w:r>
      <w:r w:rsidR="00AE2A94">
        <w:rPr>
          <w:i/>
        </w:rPr>
        <w:t xml:space="preserve"> and</w:t>
      </w:r>
      <w:r w:rsidRPr="00B35789">
        <w:rPr>
          <w:i/>
        </w:rPr>
        <w:t xml:space="preserve"> Hum</w:t>
      </w:r>
      <w:r w:rsidR="00AE2A94">
        <w:rPr>
          <w:i/>
        </w:rPr>
        <w:t>an</w:t>
      </w:r>
      <w:r w:rsidRPr="00B35789">
        <w:rPr>
          <w:i/>
        </w:rPr>
        <w:t xml:space="preserve"> Genet</w:t>
      </w:r>
      <w:r w:rsidR="00AE2A94">
        <w:rPr>
          <w:i/>
        </w:rPr>
        <w:t>ics</w:t>
      </w:r>
      <w:r w:rsidR="00A00B27">
        <w:rPr>
          <w:i/>
        </w:rPr>
        <w:t>.</w:t>
      </w:r>
      <w:r w:rsidRPr="00B35789">
        <w:t xml:space="preserve"> </w:t>
      </w:r>
      <w:r w:rsidRPr="00B35789">
        <w:rPr>
          <w:b/>
        </w:rPr>
        <w:t>17</w:t>
      </w:r>
      <w:r w:rsidR="00A00B27" w:rsidRPr="00A00B27">
        <w:t xml:space="preserve">, </w:t>
      </w:r>
      <w:r w:rsidRPr="00B35789">
        <w:t xml:space="preserve"> 95-115</w:t>
      </w:r>
      <w:r w:rsidR="00A00B27">
        <w:t xml:space="preserve"> (</w:t>
      </w:r>
      <w:r w:rsidRPr="00B35789">
        <w:t>2016).</w:t>
      </w:r>
    </w:p>
    <w:p w:rsidR="0024495B" w:rsidRPr="00B35789" w:rsidRDefault="0024495B" w:rsidP="00B35789">
      <w:pPr>
        <w:pStyle w:val="EndNoteBibliography"/>
        <w:ind w:left="720" w:hanging="720"/>
      </w:pPr>
      <w:r w:rsidRPr="00B35789">
        <w:t>5</w:t>
      </w:r>
      <w:r w:rsidRPr="00B35789">
        <w:tab/>
        <w:t>Lu, H., Giordano, F.</w:t>
      </w:r>
      <w:r w:rsidR="00A00B27" w:rsidRPr="00A00B27">
        <w:t xml:space="preserve">, </w:t>
      </w:r>
      <w:r w:rsidRPr="00B35789">
        <w:t xml:space="preserve">Ning, Z. Oxford Nanopore MinION Sequencing and Genome Assembly. </w:t>
      </w:r>
      <w:r w:rsidRPr="00B35789">
        <w:rPr>
          <w:i/>
        </w:rPr>
        <w:t>Genomics</w:t>
      </w:r>
      <w:r w:rsidR="006A1515">
        <w:rPr>
          <w:i/>
        </w:rPr>
        <w:t>,</w:t>
      </w:r>
      <w:r w:rsidRPr="00B35789">
        <w:rPr>
          <w:i/>
        </w:rPr>
        <w:t xml:space="preserve"> Proteomics </w:t>
      </w:r>
      <w:r w:rsidR="006A1515">
        <w:rPr>
          <w:i/>
        </w:rPr>
        <w:t xml:space="preserve">&amp; </w:t>
      </w:r>
      <w:r w:rsidRPr="00B35789">
        <w:rPr>
          <w:i/>
        </w:rPr>
        <w:t>Bioinformatics</w:t>
      </w:r>
      <w:r w:rsidR="00A00B27">
        <w:rPr>
          <w:i/>
        </w:rPr>
        <w:t>.</w:t>
      </w:r>
      <w:r w:rsidRPr="00B35789">
        <w:t xml:space="preserve"> </w:t>
      </w:r>
      <w:r w:rsidRPr="00B35789">
        <w:rPr>
          <w:b/>
        </w:rPr>
        <w:t>14</w:t>
      </w:r>
      <w:r w:rsidRPr="00B35789">
        <w:t xml:space="preserve"> (5), 265-279</w:t>
      </w:r>
      <w:r w:rsidR="00A00B27">
        <w:t xml:space="preserve"> (</w:t>
      </w:r>
      <w:r w:rsidRPr="00B35789">
        <w:t>2016).</w:t>
      </w:r>
    </w:p>
    <w:p w:rsidR="0024495B" w:rsidRPr="00B35789" w:rsidRDefault="0024495B" w:rsidP="00B35789">
      <w:pPr>
        <w:pStyle w:val="EndNoteBibliography"/>
        <w:ind w:left="720" w:hanging="720"/>
      </w:pPr>
      <w:r w:rsidRPr="00B35789">
        <w:lastRenderedPageBreak/>
        <w:t>6</w:t>
      </w:r>
      <w:r w:rsidRPr="00B35789">
        <w:tab/>
        <w:t>Jain, M.</w:t>
      </w:r>
      <w:r w:rsidRPr="00B35789">
        <w:rPr>
          <w:i/>
        </w:rPr>
        <w:t xml:space="preserve"> </w:t>
      </w:r>
      <w:r w:rsidR="00A00B27" w:rsidRPr="00A00B27">
        <w:t>et al.</w:t>
      </w:r>
      <w:r w:rsidRPr="00B35789">
        <w:t xml:space="preserve"> Nanopore sequencing and assembly of a human genome with ultra-long reads. </w:t>
      </w:r>
      <w:r w:rsidRPr="00B35789">
        <w:rPr>
          <w:i/>
        </w:rPr>
        <w:t>Nat</w:t>
      </w:r>
      <w:r w:rsidR="00AE2A94">
        <w:rPr>
          <w:i/>
        </w:rPr>
        <w:t>ure</w:t>
      </w:r>
      <w:r w:rsidRPr="00B35789">
        <w:rPr>
          <w:i/>
        </w:rPr>
        <w:t xml:space="preserve"> Biotechnol</w:t>
      </w:r>
      <w:r w:rsidR="00AE2A94">
        <w:rPr>
          <w:i/>
        </w:rPr>
        <w:t>ogy</w:t>
      </w:r>
      <w:r w:rsidR="00A00B27">
        <w:rPr>
          <w:i/>
        </w:rPr>
        <w:t>.</w:t>
      </w:r>
      <w:r w:rsidRPr="00B35789">
        <w:t xml:space="preserve"> </w:t>
      </w:r>
      <w:r w:rsidRPr="00B35789">
        <w:rPr>
          <w:b/>
        </w:rPr>
        <w:t>36</w:t>
      </w:r>
      <w:r w:rsidRPr="00B35789">
        <w:t xml:space="preserve"> (4), 338-345</w:t>
      </w:r>
      <w:r w:rsidR="00A00B27">
        <w:t xml:space="preserve"> (</w:t>
      </w:r>
      <w:r w:rsidRPr="00B35789">
        <w:t>2018).</w:t>
      </w:r>
    </w:p>
    <w:p w:rsidR="0024495B" w:rsidRPr="00B35789" w:rsidRDefault="0024495B" w:rsidP="00B35789">
      <w:pPr>
        <w:pStyle w:val="EndNoteBibliography"/>
        <w:ind w:left="720" w:hanging="720"/>
      </w:pPr>
      <w:r w:rsidRPr="00B35789">
        <w:t>7</w:t>
      </w:r>
      <w:r w:rsidRPr="00B35789">
        <w:tab/>
        <w:t>Hoenen, T.</w:t>
      </w:r>
      <w:r w:rsidRPr="00B35789">
        <w:rPr>
          <w:i/>
        </w:rPr>
        <w:t xml:space="preserve"> </w:t>
      </w:r>
      <w:r w:rsidR="00A00B27" w:rsidRPr="00A00B27">
        <w:t>et al.</w:t>
      </w:r>
      <w:r w:rsidRPr="00B35789">
        <w:t xml:space="preserve"> Nanopore Sequencing as a Rapidly Deployable Ebola Outbreak Tool. </w:t>
      </w:r>
      <w:r w:rsidRPr="00B35789">
        <w:rPr>
          <w:i/>
        </w:rPr>
        <w:t>Emerg</w:t>
      </w:r>
      <w:r w:rsidR="00AE2A94">
        <w:rPr>
          <w:i/>
        </w:rPr>
        <w:t>ing</w:t>
      </w:r>
      <w:r w:rsidRPr="00B35789">
        <w:rPr>
          <w:i/>
        </w:rPr>
        <w:t xml:space="preserve"> Infect</w:t>
      </w:r>
      <w:r w:rsidR="00AE2A94">
        <w:rPr>
          <w:i/>
        </w:rPr>
        <w:t>ious</w:t>
      </w:r>
      <w:r w:rsidRPr="00B35789">
        <w:rPr>
          <w:i/>
        </w:rPr>
        <w:t xml:space="preserve"> Dis</w:t>
      </w:r>
      <w:r w:rsidR="00AE2A94">
        <w:rPr>
          <w:i/>
        </w:rPr>
        <w:t>eases</w:t>
      </w:r>
      <w:r w:rsidR="00A00B27">
        <w:rPr>
          <w:i/>
        </w:rPr>
        <w:t>.</w:t>
      </w:r>
      <w:r w:rsidRPr="00B35789">
        <w:t xml:space="preserve"> </w:t>
      </w:r>
      <w:r w:rsidRPr="00B35789">
        <w:rPr>
          <w:b/>
        </w:rPr>
        <w:t>22</w:t>
      </w:r>
      <w:r w:rsidRPr="00B35789">
        <w:t xml:space="preserve"> (2), 331-334</w:t>
      </w:r>
      <w:r w:rsidR="00A00B27">
        <w:t xml:space="preserve"> (</w:t>
      </w:r>
      <w:r w:rsidRPr="00B35789">
        <w:t>2016).</w:t>
      </w:r>
    </w:p>
    <w:p w:rsidR="0024495B" w:rsidRPr="00B35789" w:rsidRDefault="0024495B" w:rsidP="00B35789">
      <w:pPr>
        <w:pStyle w:val="EndNoteBibliography"/>
        <w:ind w:left="720" w:hanging="720"/>
      </w:pPr>
      <w:r w:rsidRPr="00B35789">
        <w:t>8</w:t>
      </w:r>
      <w:r w:rsidRPr="00B35789">
        <w:tab/>
        <w:t>Quick, J.</w:t>
      </w:r>
      <w:r w:rsidRPr="00B35789">
        <w:rPr>
          <w:i/>
        </w:rPr>
        <w:t xml:space="preserve"> </w:t>
      </w:r>
      <w:r w:rsidR="00A00B27" w:rsidRPr="00A00B27">
        <w:t>et al.</w:t>
      </w:r>
      <w:r w:rsidRPr="00B35789">
        <w:t xml:space="preserve"> Real-time, portable genome sequencing for Ebola surveillance. </w:t>
      </w:r>
      <w:r w:rsidRPr="00B35789">
        <w:rPr>
          <w:i/>
        </w:rPr>
        <w:t>Nature</w:t>
      </w:r>
      <w:r w:rsidR="00A00B27">
        <w:rPr>
          <w:i/>
        </w:rPr>
        <w:t>.</w:t>
      </w:r>
      <w:r w:rsidRPr="00B35789">
        <w:t xml:space="preserve"> </w:t>
      </w:r>
      <w:r w:rsidRPr="00B35789">
        <w:rPr>
          <w:b/>
        </w:rPr>
        <w:t>530</w:t>
      </w:r>
      <w:r w:rsidRPr="00B35789">
        <w:t xml:space="preserve"> (7589), 228-232</w:t>
      </w:r>
      <w:r w:rsidR="00A00B27">
        <w:t xml:space="preserve"> (</w:t>
      </w:r>
      <w:r w:rsidRPr="00B35789">
        <w:t>2016).</w:t>
      </w:r>
    </w:p>
    <w:p w:rsidR="0024495B" w:rsidRPr="00B35789" w:rsidRDefault="0024495B" w:rsidP="00B35789">
      <w:pPr>
        <w:pStyle w:val="EndNoteBibliography"/>
        <w:ind w:left="720" w:hanging="720"/>
      </w:pPr>
      <w:r w:rsidRPr="00B35789">
        <w:t>9</w:t>
      </w:r>
      <w:r w:rsidRPr="00B35789">
        <w:tab/>
        <w:t>Carette, J. E.</w:t>
      </w:r>
      <w:r w:rsidRPr="00B35789">
        <w:rPr>
          <w:i/>
        </w:rPr>
        <w:t xml:space="preserve"> </w:t>
      </w:r>
      <w:r w:rsidR="00A00B27" w:rsidRPr="00A00B27">
        <w:t>et al.</w:t>
      </w:r>
      <w:r w:rsidRPr="00B35789">
        <w:t xml:space="preserve"> Ebola virus entry requires the cholesterol transporter Niemann-Pick C1. </w:t>
      </w:r>
      <w:r w:rsidRPr="00B35789">
        <w:rPr>
          <w:i/>
        </w:rPr>
        <w:t>Nature</w:t>
      </w:r>
      <w:r w:rsidR="00A00B27">
        <w:rPr>
          <w:i/>
        </w:rPr>
        <w:t>.</w:t>
      </w:r>
      <w:r w:rsidRPr="00B35789">
        <w:t xml:space="preserve"> </w:t>
      </w:r>
      <w:r w:rsidRPr="00B35789">
        <w:rPr>
          <w:b/>
        </w:rPr>
        <w:t>477</w:t>
      </w:r>
      <w:r w:rsidRPr="00B35789">
        <w:t xml:space="preserve"> (7364), 340-343</w:t>
      </w:r>
      <w:r w:rsidR="00A00B27">
        <w:t xml:space="preserve"> (</w:t>
      </w:r>
      <w:r w:rsidRPr="00B35789">
        <w:t>2011).</w:t>
      </w:r>
    </w:p>
    <w:p w:rsidR="0024495B" w:rsidRPr="00B35789" w:rsidRDefault="0024495B" w:rsidP="00B35789">
      <w:pPr>
        <w:pStyle w:val="EndNoteBibliography"/>
        <w:ind w:left="720" w:hanging="720"/>
      </w:pPr>
      <w:r w:rsidRPr="00B35789">
        <w:t>10</w:t>
      </w:r>
      <w:r w:rsidRPr="00B35789">
        <w:tab/>
        <w:t>Ndungo, E.</w:t>
      </w:r>
      <w:r w:rsidRPr="00B35789">
        <w:rPr>
          <w:i/>
        </w:rPr>
        <w:t xml:space="preserve"> </w:t>
      </w:r>
      <w:r w:rsidR="00A00B27" w:rsidRPr="00A00B27">
        <w:t>et al.</w:t>
      </w:r>
      <w:r w:rsidRPr="00B35789">
        <w:t xml:space="preserve"> A Single Residue in Ebola Virus Receptor NPC1 Influences Cellular Host Range in Reptiles. </w:t>
      </w:r>
      <w:r w:rsidRPr="00B35789">
        <w:rPr>
          <w:i/>
        </w:rPr>
        <w:t>mSphere</w:t>
      </w:r>
      <w:r w:rsidR="00A00B27">
        <w:rPr>
          <w:i/>
        </w:rPr>
        <w:t>.</w:t>
      </w:r>
      <w:r w:rsidRPr="00B35789">
        <w:t xml:space="preserve"> </w:t>
      </w:r>
      <w:r w:rsidRPr="00B35789">
        <w:rPr>
          <w:b/>
        </w:rPr>
        <w:t>1</w:t>
      </w:r>
      <w:r w:rsidRPr="00B35789">
        <w:t xml:space="preserve"> (2)</w:t>
      </w:r>
      <w:r w:rsidR="00A00B27">
        <w:t xml:space="preserve"> (</w:t>
      </w:r>
      <w:r w:rsidRPr="00B35789">
        <w:t>2016).</w:t>
      </w:r>
    </w:p>
    <w:p w:rsidR="0024495B" w:rsidRPr="00B35789" w:rsidRDefault="0024495B" w:rsidP="00B35789">
      <w:pPr>
        <w:pStyle w:val="EndNoteBibliography"/>
        <w:ind w:left="720" w:hanging="720"/>
      </w:pPr>
      <w:r w:rsidRPr="00B35789">
        <w:t>11</w:t>
      </w:r>
      <w:r w:rsidRPr="00B35789">
        <w:tab/>
        <w:t>Martin, S.</w:t>
      </w:r>
      <w:r w:rsidRPr="00B35789">
        <w:rPr>
          <w:i/>
        </w:rPr>
        <w:t xml:space="preserve"> </w:t>
      </w:r>
      <w:r w:rsidR="00A00B27" w:rsidRPr="00A00B27">
        <w:t>et al.</w:t>
      </w:r>
      <w:r w:rsidRPr="00B35789">
        <w:t xml:space="preserve"> A genome-wide siRNA screen identifies a druggable host pathway essential for the Ebola virus life cycle. </w:t>
      </w:r>
      <w:r w:rsidRPr="00B35789">
        <w:rPr>
          <w:i/>
        </w:rPr>
        <w:t>Genome Med</w:t>
      </w:r>
      <w:r w:rsidR="006F5598">
        <w:rPr>
          <w:i/>
        </w:rPr>
        <w:t>icine</w:t>
      </w:r>
      <w:r w:rsidR="00A00B27">
        <w:rPr>
          <w:i/>
        </w:rPr>
        <w:t>.</w:t>
      </w:r>
      <w:r w:rsidRPr="00B35789">
        <w:t xml:space="preserve"> </w:t>
      </w:r>
      <w:r w:rsidRPr="00B35789">
        <w:rPr>
          <w:b/>
        </w:rPr>
        <w:t>10</w:t>
      </w:r>
      <w:r w:rsidRPr="00B35789">
        <w:t xml:space="preserve"> (1), 58</w:t>
      </w:r>
      <w:r w:rsidR="00A00B27">
        <w:t xml:space="preserve"> (</w:t>
      </w:r>
      <w:r w:rsidRPr="00B35789">
        <w:t>2018).</w:t>
      </w:r>
    </w:p>
    <w:p w:rsidR="0024495B" w:rsidRPr="00B35789" w:rsidRDefault="0024495B" w:rsidP="00B35789">
      <w:pPr>
        <w:pStyle w:val="EndNoteBibliography"/>
        <w:ind w:left="720" w:hanging="720"/>
      </w:pPr>
      <w:r w:rsidRPr="00B35789">
        <w:t>12</w:t>
      </w:r>
      <w:r w:rsidRPr="00B35789">
        <w:tab/>
        <w:t>Roehr, J. T., Dieterich, C.</w:t>
      </w:r>
      <w:r w:rsidR="00A00B27" w:rsidRPr="00A00B27">
        <w:t xml:space="preserve">, </w:t>
      </w:r>
      <w:r w:rsidRPr="00B35789">
        <w:t xml:space="preserve">Reinert, K. Flexbar 3.0 - SIMD and multicore parallelization. </w:t>
      </w:r>
      <w:r w:rsidRPr="00B35789">
        <w:rPr>
          <w:i/>
        </w:rPr>
        <w:t>Bioinformatics</w:t>
      </w:r>
      <w:r w:rsidR="00A00B27">
        <w:rPr>
          <w:i/>
        </w:rPr>
        <w:t>.</w:t>
      </w:r>
      <w:r w:rsidRPr="00B35789">
        <w:t xml:space="preserve"> </w:t>
      </w:r>
      <w:r w:rsidRPr="00B35789">
        <w:rPr>
          <w:b/>
        </w:rPr>
        <w:t>33</w:t>
      </w:r>
      <w:r w:rsidRPr="00B35789">
        <w:t xml:space="preserve"> (18), 2941-2942</w:t>
      </w:r>
      <w:r w:rsidR="00A00B27">
        <w:t xml:space="preserve"> (</w:t>
      </w:r>
      <w:r w:rsidRPr="00B35789">
        <w:t>2017).</w:t>
      </w:r>
    </w:p>
    <w:p w:rsidR="0024495B" w:rsidRPr="00B35789" w:rsidRDefault="0024495B" w:rsidP="00B35789">
      <w:pPr>
        <w:pStyle w:val="EndNoteBibliography"/>
        <w:ind w:left="720" w:hanging="720"/>
      </w:pPr>
      <w:r w:rsidRPr="00B35789">
        <w:t>13</w:t>
      </w:r>
      <w:r w:rsidRPr="00B35789">
        <w:tab/>
        <w:t>Li, H.</w:t>
      </w:r>
      <w:r w:rsidRPr="00B35789">
        <w:rPr>
          <w:i/>
        </w:rPr>
        <w:t xml:space="preserve"> </w:t>
      </w:r>
      <w:r w:rsidR="00A00B27" w:rsidRPr="00A00B27">
        <w:t>et al.</w:t>
      </w:r>
      <w:r w:rsidRPr="00B35789">
        <w:t xml:space="preserve"> The Sequence Alignment/Map format and SAMtools. </w:t>
      </w:r>
      <w:r w:rsidRPr="00B35789">
        <w:rPr>
          <w:i/>
        </w:rPr>
        <w:t>Bioinformatics</w:t>
      </w:r>
      <w:r w:rsidR="00A00B27">
        <w:rPr>
          <w:i/>
        </w:rPr>
        <w:t>.</w:t>
      </w:r>
      <w:r w:rsidRPr="00B35789">
        <w:t xml:space="preserve"> </w:t>
      </w:r>
      <w:r w:rsidRPr="00B35789">
        <w:rPr>
          <w:b/>
        </w:rPr>
        <w:t>25</w:t>
      </w:r>
      <w:r w:rsidRPr="00B35789">
        <w:t xml:space="preserve"> (16), 2078-2079</w:t>
      </w:r>
      <w:r w:rsidR="00A00B27">
        <w:t xml:space="preserve"> (</w:t>
      </w:r>
      <w:r w:rsidRPr="00B35789">
        <w:t>2009).</w:t>
      </w:r>
    </w:p>
    <w:p w:rsidR="0024495B" w:rsidRPr="00B35789" w:rsidRDefault="0024495B" w:rsidP="00B35789">
      <w:pPr>
        <w:pStyle w:val="EndNoteBibliography"/>
        <w:ind w:left="720" w:hanging="720"/>
      </w:pPr>
      <w:r w:rsidRPr="00B35789">
        <w:t>14</w:t>
      </w:r>
      <w:r w:rsidRPr="00B35789">
        <w:tab/>
        <w:t>Kielbasa, S. M., Wan, R., Sato, K., Horton, P.</w:t>
      </w:r>
      <w:r w:rsidR="00A00B27" w:rsidRPr="00A00B27">
        <w:t xml:space="preserve">, </w:t>
      </w:r>
      <w:r w:rsidRPr="00B35789">
        <w:t xml:space="preserve">Frith, M. C. Adaptive seeds tame genomic sequence comparison. </w:t>
      </w:r>
      <w:r w:rsidRPr="00B35789">
        <w:rPr>
          <w:i/>
        </w:rPr>
        <w:t>Genome Res</w:t>
      </w:r>
      <w:r w:rsidR="004E7790">
        <w:rPr>
          <w:i/>
        </w:rPr>
        <w:t>earch</w:t>
      </w:r>
      <w:r w:rsidR="00A00B27">
        <w:rPr>
          <w:i/>
        </w:rPr>
        <w:t>.</w:t>
      </w:r>
      <w:r w:rsidRPr="00B35789">
        <w:t xml:space="preserve"> </w:t>
      </w:r>
      <w:r w:rsidRPr="00B35789">
        <w:rPr>
          <w:b/>
        </w:rPr>
        <w:t>21</w:t>
      </w:r>
      <w:r w:rsidRPr="00B35789">
        <w:t xml:space="preserve"> (3), 487-493</w:t>
      </w:r>
      <w:r w:rsidR="00A00B27">
        <w:t xml:space="preserve"> (</w:t>
      </w:r>
      <w:r w:rsidRPr="00B35789">
        <w:t>2011).</w:t>
      </w:r>
    </w:p>
    <w:p w:rsidR="0024495B" w:rsidRPr="00B35789" w:rsidRDefault="0024495B" w:rsidP="00B35789">
      <w:pPr>
        <w:pStyle w:val="EndNoteBibliography"/>
        <w:ind w:left="720" w:hanging="720"/>
      </w:pPr>
      <w:r w:rsidRPr="00B35789">
        <w:t>15</w:t>
      </w:r>
      <w:r w:rsidRPr="00B35789">
        <w:tab/>
        <w:t>Don, R. H., Cox, P. T., Wainwright, B. J., Baker, K.</w:t>
      </w:r>
      <w:r w:rsidR="00A00B27" w:rsidRPr="00A00B27">
        <w:t xml:space="preserve">, </w:t>
      </w:r>
      <w:r w:rsidRPr="00B35789">
        <w:t xml:space="preserve">Mattick, J. S. 'Touchdown' PCR to circumvent spurious priming during gene amplification. </w:t>
      </w:r>
      <w:r w:rsidRPr="00B35789">
        <w:rPr>
          <w:i/>
        </w:rPr>
        <w:t>Nucleic Acids Res</w:t>
      </w:r>
      <w:r w:rsidR="004E7790">
        <w:rPr>
          <w:i/>
        </w:rPr>
        <w:t>earch</w:t>
      </w:r>
      <w:r w:rsidR="00A00B27">
        <w:rPr>
          <w:i/>
        </w:rPr>
        <w:t>.</w:t>
      </w:r>
      <w:r w:rsidRPr="00B35789">
        <w:t xml:space="preserve"> </w:t>
      </w:r>
      <w:r w:rsidRPr="00B35789">
        <w:rPr>
          <w:b/>
        </w:rPr>
        <w:t>19</w:t>
      </w:r>
      <w:r w:rsidRPr="00B35789">
        <w:t xml:space="preserve"> (14), 4008</w:t>
      </w:r>
      <w:r w:rsidR="00A00B27">
        <w:t xml:space="preserve"> (</w:t>
      </w:r>
      <w:r w:rsidRPr="00B35789">
        <w:t>1991).</w:t>
      </w:r>
    </w:p>
    <w:p w:rsidR="0024495B" w:rsidRPr="00B35789" w:rsidRDefault="0024495B" w:rsidP="00B35789">
      <w:pPr>
        <w:pStyle w:val="EndNoteBibliography"/>
        <w:ind w:left="720" w:hanging="720"/>
      </w:pPr>
      <w:r w:rsidRPr="00B35789">
        <w:t>16</w:t>
      </w:r>
      <w:r w:rsidRPr="00B35789">
        <w:tab/>
        <w:t>Korbie, D. J.</w:t>
      </w:r>
      <w:r w:rsidR="00A00B27" w:rsidRPr="00A00B27">
        <w:t xml:space="preserve">, </w:t>
      </w:r>
      <w:r w:rsidRPr="00B35789">
        <w:t xml:space="preserve">Mattick, J. S. Touchdown PCR for increased specificity and sensitivity in PCR amplification. </w:t>
      </w:r>
      <w:r w:rsidRPr="00B35789">
        <w:rPr>
          <w:i/>
        </w:rPr>
        <w:t>Nat</w:t>
      </w:r>
      <w:r w:rsidR="004E7790">
        <w:rPr>
          <w:i/>
        </w:rPr>
        <w:t>ure</w:t>
      </w:r>
      <w:r w:rsidRPr="00B35789">
        <w:rPr>
          <w:i/>
        </w:rPr>
        <w:t xml:space="preserve"> Protoc</w:t>
      </w:r>
      <w:r w:rsidR="004E7790">
        <w:rPr>
          <w:i/>
        </w:rPr>
        <w:t>ols</w:t>
      </w:r>
      <w:r w:rsidR="00A00B27">
        <w:rPr>
          <w:i/>
        </w:rPr>
        <w:t>.</w:t>
      </w:r>
      <w:r w:rsidRPr="00B35789">
        <w:t xml:space="preserve"> </w:t>
      </w:r>
      <w:r w:rsidRPr="00B35789">
        <w:rPr>
          <w:b/>
        </w:rPr>
        <w:t>3</w:t>
      </w:r>
      <w:r w:rsidRPr="00B35789">
        <w:t xml:space="preserve"> (9), 1452-1456</w:t>
      </w:r>
      <w:r w:rsidR="00A00B27">
        <w:t xml:space="preserve"> (</w:t>
      </w:r>
      <w:r w:rsidRPr="00B35789">
        <w:t>2008).</w:t>
      </w:r>
    </w:p>
    <w:p w:rsidR="0024495B" w:rsidRPr="00B35789" w:rsidRDefault="0024495B" w:rsidP="00B35789">
      <w:pPr>
        <w:pStyle w:val="EndNoteBibliography"/>
        <w:ind w:left="720" w:hanging="720"/>
      </w:pPr>
      <w:r w:rsidRPr="00B35789">
        <w:t>17</w:t>
      </w:r>
      <w:r w:rsidRPr="00B35789">
        <w:tab/>
        <w:t>Keller, M. W.</w:t>
      </w:r>
      <w:r w:rsidRPr="00B35789">
        <w:rPr>
          <w:i/>
        </w:rPr>
        <w:t xml:space="preserve"> </w:t>
      </w:r>
      <w:r w:rsidR="00A00B27" w:rsidRPr="00A00B27">
        <w:t>et al.</w:t>
      </w:r>
      <w:r w:rsidRPr="00B35789">
        <w:t xml:space="preserve"> Direct RNA Sequencing of the Coding Complete Influenza A Virus Genome. </w:t>
      </w:r>
      <w:r w:rsidRPr="00B35789">
        <w:rPr>
          <w:i/>
        </w:rPr>
        <w:t>Sci</w:t>
      </w:r>
      <w:r w:rsidR="004E7790">
        <w:rPr>
          <w:i/>
        </w:rPr>
        <w:t>entific</w:t>
      </w:r>
      <w:r w:rsidRPr="00B35789">
        <w:rPr>
          <w:i/>
        </w:rPr>
        <w:t xml:space="preserve"> Rep</w:t>
      </w:r>
      <w:r w:rsidR="004E7790">
        <w:rPr>
          <w:i/>
        </w:rPr>
        <w:t>orts</w:t>
      </w:r>
      <w:r w:rsidR="00A00B27">
        <w:rPr>
          <w:i/>
        </w:rPr>
        <w:t>.</w:t>
      </w:r>
      <w:r w:rsidRPr="00B35789">
        <w:t xml:space="preserve"> </w:t>
      </w:r>
      <w:r w:rsidRPr="00B35789">
        <w:rPr>
          <w:b/>
        </w:rPr>
        <w:t>8</w:t>
      </w:r>
      <w:r w:rsidRPr="00B35789">
        <w:t xml:space="preserve"> (1), 14408</w:t>
      </w:r>
      <w:r w:rsidR="00A00B27">
        <w:t xml:space="preserve"> (</w:t>
      </w:r>
      <w:r w:rsidRPr="00B35789">
        <w:t>2018).</w:t>
      </w:r>
    </w:p>
    <w:p w:rsidR="0024495B" w:rsidRPr="00B35789" w:rsidRDefault="0024495B" w:rsidP="00B35789">
      <w:pPr>
        <w:pStyle w:val="EndNoteBibliography"/>
        <w:ind w:left="720" w:hanging="720"/>
      </w:pPr>
      <w:r w:rsidRPr="00B35789">
        <w:t>18</w:t>
      </w:r>
      <w:r w:rsidRPr="00B35789">
        <w:tab/>
        <w:t>Greninger, A. L.</w:t>
      </w:r>
      <w:r w:rsidRPr="00B35789">
        <w:rPr>
          <w:i/>
        </w:rPr>
        <w:t xml:space="preserve"> </w:t>
      </w:r>
      <w:r w:rsidR="00A00B27" w:rsidRPr="00A00B27">
        <w:t>et al.</w:t>
      </w:r>
      <w:r w:rsidRPr="00B35789">
        <w:t xml:space="preserve"> Rapid metagenomic identification of viral pathogens in clinical samples by real-time nanopore sequencing analysis. </w:t>
      </w:r>
      <w:r w:rsidRPr="00B35789">
        <w:rPr>
          <w:i/>
        </w:rPr>
        <w:t>Genome Med</w:t>
      </w:r>
      <w:r w:rsidR="004E7790">
        <w:rPr>
          <w:i/>
        </w:rPr>
        <w:t>icine</w:t>
      </w:r>
      <w:r w:rsidR="00A00B27">
        <w:rPr>
          <w:i/>
        </w:rPr>
        <w:t>.</w:t>
      </w:r>
      <w:r w:rsidRPr="00B35789">
        <w:t xml:space="preserve"> </w:t>
      </w:r>
      <w:r w:rsidRPr="00B35789">
        <w:rPr>
          <w:b/>
        </w:rPr>
        <w:t>7</w:t>
      </w:r>
      <w:r w:rsidR="00A00B27" w:rsidRPr="00A00B27">
        <w:t>,</w:t>
      </w:r>
      <w:r w:rsidRPr="00A00B27">
        <w:t xml:space="preserve"> </w:t>
      </w:r>
      <w:r w:rsidRPr="00B35789">
        <w:t>99</w:t>
      </w:r>
      <w:r w:rsidR="00A00B27">
        <w:t xml:space="preserve"> (</w:t>
      </w:r>
      <w:r w:rsidRPr="00B35789">
        <w:t>2015).</w:t>
      </w:r>
    </w:p>
    <w:p w:rsidR="0024495B" w:rsidRPr="00B35789" w:rsidRDefault="0024495B" w:rsidP="00B35789">
      <w:pPr>
        <w:pStyle w:val="EndNoteBibliography"/>
        <w:ind w:left="720" w:hanging="720"/>
      </w:pPr>
      <w:r w:rsidRPr="00B35789">
        <w:t>19</w:t>
      </w:r>
      <w:r w:rsidRPr="00B35789">
        <w:tab/>
        <w:t>Castro-Wallace, S. L.</w:t>
      </w:r>
      <w:r w:rsidRPr="00B35789">
        <w:rPr>
          <w:i/>
        </w:rPr>
        <w:t xml:space="preserve"> </w:t>
      </w:r>
      <w:r w:rsidR="00A00B27" w:rsidRPr="00A00B27">
        <w:t>et al.</w:t>
      </w:r>
      <w:r w:rsidRPr="00B35789">
        <w:t xml:space="preserve"> Nanopore DNA Sequencing and Genome Assembly on the International Space Station. </w:t>
      </w:r>
      <w:r w:rsidRPr="00B35789">
        <w:rPr>
          <w:i/>
        </w:rPr>
        <w:t>Sci</w:t>
      </w:r>
      <w:r w:rsidR="004E7790">
        <w:rPr>
          <w:i/>
        </w:rPr>
        <w:t>entific</w:t>
      </w:r>
      <w:r w:rsidRPr="00B35789">
        <w:rPr>
          <w:i/>
        </w:rPr>
        <w:t xml:space="preserve"> Rep</w:t>
      </w:r>
      <w:r w:rsidR="004E7790">
        <w:rPr>
          <w:i/>
        </w:rPr>
        <w:t>orts</w:t>
      </w:r>
      <w:r w:rsidR="00A00B27">
        <w:rPr>
          <w:i/>
        </w:rPr>
        <w:t>.</w:t>
      </w:r>
      <w:r w:rsidRPr="00B35789">
        <w:t xml:space="preserve"> </w:t>
      </w:r>
      <w:r w:rsidRPr="00B35789">
        <w:rPr>
          <w:b/>
        </w:rPr>
        <w:t>7</w:t>
      </w:r>
      <w:r w:rsidRPr="00B35789">
        <w:t xml:space="preserve"> (1), 18022</w:t>
      </w:r>
      <w:r w:rsidR="00A00B27">
        <w:t xml:space="preserve"> (</w:t>
      </w:r>
      <w:r w:rsidRPr="00B35789">
        <w:t>2017).</w:t>
      </w:r>
    </w:p>
    <w:p w:rsidR="0024495B" w:rsidRPr="00B35789" w:rsidRDefault="0024495B" w:rsidP="00B35789">
      <w:pPr>
        <w:pStyle w:val="EndNoteBibliography"/>
        <w:ind w:left="720" w:hanging="720"/>
      </w:pPr>
      <w:r w:rsidRPr="00B35789">
        <w:t>20</w:t>
      </w:r>
      <w:r w:rsidRPr="00B35789">
        <w:tab/>
        <w:t>Goordial, J.</w:t>
      </w:r>
      <w:r w:rsidRPr="00B35789">
        <w:rPr>
          <w:i/>
        </w:rPr>
        <w:t xml:space="preserve"> </w:t>
      </w:r>
      <w:r w:rsidR="00A00B27" w:rsidRPr="00A00B27">
        <w:t>et al.</w:t>
      </w:r>
      <w:r w:rsidRPr="00B35789">
        <w:t xml:space="preserve"> In Situ Field Sequencing and Life Detection in Remote (79 degrees 26'N) Canadian High Arctic Permafrost Ice Wedge Microbial Communities. </w:t>
      </w:r>
      <w:r w:rsidRPr="00B35789">
        <w:rPr>
          <w:i/>
        </w:rPr>
        <w:t>Front</w:t>
      </w:r>
      <w:r w:rsidR="004E7790">
        <w:rPr>
          <w:i/>
        </w:rPr>
        <w:t>iers</w:t>
      </w:r>
      <w:r w:rsidRPr="00B35789">
        <w:rPr>
          <w:i/>
        </w:rPr>
        <w:t xml:space="preserve"> </w:t>
      </w:r>
      <w:r w:rsidR="006A1515">
        <w:rPr>
          <w:i/>
        </w:rPr>
        <w:t xml:space="preserve">in </w:t>
      </w:r>
      <w:r w:rsidRPr="00B35789">
        <w:rPr>
          <w:i/>
        </w:rPr>
        <w:t>Microbiol</w:t>
      </w:r>
      <w:r w:rsidR="004E7790">
        <w:rPr>
          <w:i/>
        </w:rPr>
        <w:t>ogy</w:t>
      </w:r>
      <w:r w:rsidR="00A00B27">
        <w:rPr>
          <w:i/>
        </w:rPr>
        <w:t>.</w:t>
      </w:r>
      <w:r w:rsidRPr="00B35789">
        <w:t xml:space="preserve"> </w:t>
      </w:r>
      <w:r w:rsidRPr="00B35789">
        <w:rPr>
          <w:b/>
        </w:rPr>
        <w:t>8</w:t>
      </w:r>
      <w:r w:rsidR="00A00B27" w:rsidRPr="00A00B27">
        <w:t xml:space="preserve">, </w:t>
      </w:r>
      <w:r w:rsidRPr="00B35789">
        <w:t xml:space="preserve"> 2594</w:t>
      </w:r>
      <w:r w:rsidR="00A00B27">
        <w:t xml:space="preserve"> (</w:t>
      </w:r>
      <w:r w:rsidRPr="00B35789">
        <w:t>2017).</w:t>
      </w:r>
    </w:p>
    <w:p w:rsidR="0024495B" w:rsidRPr="00B35789" w:rsidRDefault="0024495B" w:rsidP="00B35789">
      <w:pPr>
        <w:pStyle w:val="EndNoteBibliography"/>
        <w:ind w:left="720" w:hanging="720"/>
      </w:pPr>
      <w:r w:rsidRPr="00B35789">
        <w:t>21</w:t>
      </w:r>
      <w:r w:rsidRPr="00B35789">
        <w:tab/>
        <w:t>Runtuwene, L. R.</w:t>
      </w:r>
      <w:r w:rsidRPr="00B35789">
        <w:rPr>
          <w:i/>
        </w:rPr>
        <w:t xml:space="preserve"> </w:t>
      </w:r>
      <w:r w:rsidR="00A00B27" w:rsidRPr="00A00B27">
        <w:t>et al.</w:t>
      </w:r>
      <w:r w:rsidRPr="00B35789">
        <w:t xml:space="preserve"> Nanopore sequencing of drug-resistance-associated genes in malaria parasites, Plasmodium falciparum. </w:t>
      </w:r>
      <w:r w:rsidRPr="00B35789">
        <w:rPr>
          <w:i/>
        </w:rPr>
        <w:t>Sci</w:t>
      </w:r>
      <w:r w:rsidR="00677F0C">
        <w:rPr>
          <w:i/>
        </w:rPr>
        <w:t>entific</w:t>
      </w:r>
      <w:r w:rsidRPr="00B35789">
        <w:rPr>
          <w:i/>
        </w:rPr>
        <w:t xml:space="preserve"> Rep</w:t>
      </w:r>
      <w:r w:rsidR="00677F0C">
        <w:rPr>
          <w:i/>
        </w:rPr>
        <w:t>orts</w:t>
      </w:r>
      <w:r w:rsidR="00A00B27">
        <w:rPr>
          <w:i/>
        </w:rPr>
        <w:t>.</w:t>
      </w:r>
      <w:r w:rsidRPr="00B35789">
        <w:t xml:space="preserve"> </w:t>
      </w:r>
      <w:r w:rsidRPr="00B35789">
        <w:rPr>
          <w:b/>
        </w:rPr>
        <w:t>8</w:t>
      </w:r>
      <w:r w:rsidRPr="00B35789">
        <w:t xml:space="preserve"> (1), 8286</w:t>
      </w:r>
      <w:r w:rsidR="00A00B27">
        <w:t xml:space="preserve"> (</w:t>
      </w:r>
      <w:r w:rsidRPr="00B35789">
        <w:t>2018).</w:t>
      </w:r>
    </w:p>
    <w:p w:rsidR="0024495B" w:rsidRPr="00B35789" w:rsidRDefault="0024495B" w:rsidP="00B35789">
      <w:pPr>
        <w:pStyle w:val="EndNoteBibliography"/>
        <w:ind w:left="720" w:hanging="720"/>
      </w:pPr>
      <w:r w:rsidRPr="00B35789">
        <w:t>22</w:t>
      </w:r>
      <w:r w:rsidRPr="00B35789">
        <w:tab/>
        <w:t>Rang, F. J., Kloosterman, W. P.</w:t>
      </w:r>
      <w:r w:rsidR="00A00B27" w:rsidRPr="00A00B27">
        <w:t xml:space="preserve">, </w:t>
      </w:r>
      <w:r w:rsidRPr="00B35789">
        <w:t xml:space="preserve">de Ridder, J. From squiggle to basepair: computational approaches for improving nanopore sequencing read accuracy. </w:t>
      </w:r>
      <w:r w:rsidRPr="00B35789">
        <w:rPr>
          <w:i/>
        </w:rPr>
        <w:t>Genome Biol</w:t>
      </w:r>
      <w:r w:rsidR="00677F0C">
        <w:rPr>
          <w:i/>
        </w:rPr>
        <w:t>ogy</w:t>
      </w:r>
      <w:r w:rsidR="00A00B27">
        <w:rPr>
          <w:i/>
        </w:rPr>
        <w:t>.</w:t>
      </w:r>
      <w:r w:rsidRPr="00B35789">
        <w:t xml:space="preserve"> </w:t>
      </w:r>
      <w:r w:rsidRPr="00B35789">
        <w:rPr>
          <w:b/>
        </w:rPr>
        <w:t>19</w:t>
      </w:r>
      <w:r w:rsidRPr="00B35789">
        <w:t xml:space="preserve"> (1), 90</w:t>
      </w:r>
      <w:r w:rsidR="00A00B27">
        <w:t xml:space="preserve"> (</w:t>
      </w:r>
      <w:r w:rsidRPr="00B35789">
        <w:t>2018).</w:t>
      </w:r>
    </w:p>
    <w:p w:rsidR="0024495B" w:rsidRPr="00962E71" w:rsidRDefault="0024495B" w:rsidP="00F3781F">
      <w:pPr>
        <w:rPr>
          <w:rFonts w:asciiTheme="minorHAnsi" w:hAnsiTheme="minorHAnsi" w:cstheme="minorHAnsi"/>
          <w:color w:val="808080" w:themeColor="background1" w:themeShade="80"/>
        </w:rPr>
      </w:pPr>
    </w:p>
    <w:p w:rsidR="00342274" w:rsidRDefault="00342274"/>
    <w:sectPr w:rsidR="00342274" w:rsidSect="00450C58">
      <w:headerReference w:type="default" r:id="rId11"/>
      <w:footerReference w:type="default" r:id="rId12"/>
      <w:headerReference w:type="first" r:id="rId13"/>
      <w:footerReference w:type="first" r:id="rId14"/>
      <w:pgSz w:w="12240" w:h="15840"/>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73E" w:rsidRDefault="0061073E" w:rsidP="0024495B">
      <w:r>
        <w:separator/>
      </w:r>
    </w:p>
  </w:endnote>
  <w:endnote w:type="continuationSeparator" w:id="0">
    <w:p w:rsidR="0061073E" w:rsidRDefault="0061073E" w:rsidP="0024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533" w:rsidRPr="00494F77" w:rsidRDefault="0061073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533" w:rsidRDefault="0024495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73E" w:rsidRDefault="0061073E" w:rsidP="0024495B">
      <w:r>
        <w:separator/>
      </w:r>
    </w:p>
  </w:footnote>
  <w:footnote w:type="continuationSeparator" w:id="0">
    <w:p w:rsidR="0061073E" w:rsidRDefault="0061073E" w:rsidP="00244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533" w:rsidRPr="006F06E4" w:rsidRDefault="0024495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533" w:rsidRPr="006F06E4" w:rsidRDefault="0024495B" w:rsidP="006F06E4">
    <w:pPr>
      <w:pStyle w:val="Header"/>
      <w:jc w:val="right"/>
      <w:rPr>
        <w:b/>
        <w:color w:val="1F497D"/>
        <w:sz w:val="32"/>
        <w:szCs w:val="32"/>
      </w:rPr>
    </w:pPr>
    <w:r>
      <w:rPr>
        <w:b/>
        <w:noProof/>
        <w:color w:val="1F497D"/>
        <w:sz w:val="32"/>
        <w:szCs w:val="32"/>
        <w:lang w:val="de-DE" w:eastAsia="de-DE"/>
      </w:rPr>
      <w:drawing>
        <wp:anchor distT="0" distB="0" distL="114300" distR="114300" simplePos="0" relativeHeight="251659264"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F3AFC"/>
    <w:multiLevelType w:val="multilevel"/>
    <w:tmpl w:val="1436B236"/>
    <w:lvl w:ilvl="0">
      <w:start w:val="5"/>
      <w:numFmt w:val="decimal"/>
      <w:lvlText w:val="%1."/>
      <w:lvlJc w:val="left"/>
      <w:pPr>
        <w:ind w:left="360" w:hanging="360"/>
      </w:pPr>
      <w:rPr>
        <w:rFonts w:asciiTheme="minorHAnsi" w:hAnsiTheme="minorHAnsi" w:cstheme="minorHAnsi" w:hint="default"/>
        <w:color w:val="000000" w:themeColor="text1"/>
      </w:rPr>
    </w:lvl>
    <w:lvl w:ilvl="1">
      <w:start w:val="1"/>
      <w:numFmt w:val="decimal"/>
      <w:lvlText w:val="%1.%2."/>
      <w:lvlJc w:val="left"/>
      <w:pPr>
        <w:ind w:left="4755" w:hanging="360"/>
      </w:pPr>
      <w:rPr>
        <w:rFonts w:asciiTheme="minorHAnsi" w:hAnsiTheme="minorHAnsi" w:cstheme="minorHAnsi" w:hint="default"/>
        <w:color w:val="000000" w:themeColor="text1"/>
      </w:rPr>
    </w:lvl>
    <w:lvl w:ilvl="2">
      <w:start w:val="1"/>
      <w:numFmt w:val="decimal"/>
      <w:lvlText w:val="%1.%2.%3."/>
      <w:lvlJc w:val="left"/>
      <w:pPr>
        <w:ind w:left="6391" w:hanging="720"/>
      </w:pPr>
      <w:rPr>
        <w:rFonts w:asciiTheme="minorHAnsi" w:hAnsiTheme="minorHAnsi" w:cstheme="minorHAnsi" w:hint="default"/>
        <w:color w:val="000000" w:themeColor="text1"/>
      </w:rPr>
    </w:lvl>
    <w:lvl w:ilvl="3">
      <w:start w:val="1"/>
      <w:numFmt w:val="decimal"/>
      <w:lvlText w:val="%1.%2.%3.%4."/>
      <w:lvlJc w:val="left"/>
      <w:pPr>
        <w:ind w:left="1800" w:hanging="720"/>
      </w:pPr>
      <w:rPr>
        <w:rFonts w:asciiTheme="minorHAnsi" w:hAnsiTheme="minorHAnsi" w:cstheme="minorHAnsi" w:hint="default"/>
        <w:color w:val="000000" w:themeColor="text1"/>
      </w:rPr>
    </w:lvl>
    <w:lvl w:ilvl="4">
      <w:start w:val="1"/>
      <w:numFmt w:val="decimal"/>
      <w:lvlText w:val="%1.%2.%3.%4.%5."/>
      <w:lvlJc w:val="left"/>
      <w:pPr>
        <w:ind w:left="2520" w:hanging="1080"/>
      </w:pPr>
      <w:rPr>
        <w:rFonts w:asciiTheme="minorHAnsi" w:hAnsiTheme="minorHAnsi" w:cstheme="minorHAnsi" w:hint="default"/>
        <w:color w:val="000000" w:themeColor="text1"/>
      </w:rPr>
    </w:lvl>
    <w:lvl w:ilvl="5">
      <w:start w:val="1"/>
      <w:numFmt w:val="decimal"/>
      <w:lvlText w:val="%1.%2.%3.%4.%5.%6."/>
      <w:lvlJc w:val="left"/>
      <w:pPr>
        <w:ind w:left="2880" w:hanging="1080"/>
      </w:pPr>
      <w:rPr>
        <w:rFonts w:asciiTheme="minorHAnsi" w:hAnsiTheme="minorHAnsi" w:cstheme="minorHAnsi" w:hint="default"/>
        <w:color w:val="000000" w:themeColor="text1"/>
      </w:rPr>
    </w:lvl>
    <w:lvl w:ilvl="6">
      <w:start w:val="1"/>
      <w:numFmt w:val="decimal"/>
      <w:lvlText w:val="%1.%2.%3.%4.%5.%6.%7."/>
      <w:lvlJc w:val="left"/>
      <w:pPr>
        <w:ind w:left="3600" w:hanging="1440"/>
      </w:pPr>
      <w:rPr>
        <w:rFonts w:asciiTheme="minorHAnsi" w:hAnsiTheme="minorHAnsi" w:cstheme="minorHAnsi" w:hint="default"/>
        <w:color w:val="000000" w:themeColor="text1"/>
      </w:rPr>
    </w:lvl>
    <w:lvl w:ilvl="7">
      <w:start w:val="1"/>
      <w:numFmt w:val="decimal"/>
      <w:lvlText w:val="%1.%2.%3.%4.%5.%6.%7.%8."/>
      <w:lvlJc w:val="left"/>
      <w:pPr>
        <w:ind w:left="3960" w:hanging="1440"/>
      </w:pPr>
      <w:rPr>
        <w:rFonts w:asciiTheme="minorHAnsi" w:hAnsiTheme="minorHAnsi" w:cstheme="minorHAnsi" w:hint="default"/>
        <w:color w:val="000000" w:themeColor="text1"/>
      </w:rPr>
    </w:lvl>
    <w:lvl w:ilvl="8">
      <w:start w:val="1"/>
      <w:numFmt w:val="decimal"/>
      <w:lvlText w:val="%1.%2.%3.%4.%5.%6.%7.%8.%9."/>
      <w:lvlJc w:val="left"/>
      <w:pPr>
        <w:ind w:left="4680" w:hanging="1800"/>
      </w:pPr>
      <w:rPr>
        <w:rFonts w:asciiTheme="minorHAnsi" w:hAnsiTheme="minorHAnsi" w:cstheme="minorHAnsi" w:hint="default"/>
        <w:color w:val="000000" w:themeColor="text1"/>
      </w:rPr>
    </w:lvl>
  </w:abstractNum>
  <w:abstractNum w:abstractNumId="5" w15:restartNumberingAfterBreak="0">
    <w:nsid w:val="2DE571C6"/>
    <w:multiLevelType w:val="multilevel"/>
    <w:tmpl w:val="1722E4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947916"/>
    <w:multiLevelType w:val="hybridMultilevel"/>
    <w:tmpl w:val="988004F2"/>
    <w:lvl w:ilvl="0" w:tplc="15B6520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CD3C8B"/>
    <w:multiLevelType w:val="multilevel"/>
    <w:tmpl w:val="86E47E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1009A"/>
    <w:multiLevelType w:val="multilevel"/>
    <w:tmpl w:val="A3CC6F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F662F54"/>
    <w:multiLevelType w:val="multilevel"/>
    <w:tmpl w:val="ED521C3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0A35322"/>
    <w:multiLevelType w:val="hybridMultilevel"/>
    <w:tmpl w:val="02944C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47754"/>
    <w:multiLevelType w:val="multilevel"/>
    <w:tmpl w:val="322C48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A40F0"/>
    <w:multiLevelType w:val="multilevel"/>
    <w:tmpl w:val="05B0915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FF2CC1"/>
    <w:multiLevelType w:val="multilevel"/>
    <w:tmpl w:val="390C04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0"/>
  </w:num>
  <w:num w:numId="3">
    <w:abstractNumId w:val="2"/>
  </w:num>
  <w:num w:numId="4">
    <w:abstractNumId w:val="18"/>
  </w:num>
  <w:num w:numId="5">
    <w:abstractNumId w:val="9"/>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1"/>
  </w:num>
  <w:num w:numId="13">
    <w:abstractNumId w:val="13"/>
  </w:num>
  <w:num w:numId="14">
    <w:abstractNumId w:val="8"/>
  </w:num>
  <w:num w:numId="15">
    <w:abstractNumId w:val="22"/>
  </w:num>
  <w:num w:numId="16">
    <w:abstractNumId w:val="14"/>
  </w:num>
  <w:num w:numId="17">
    <w:abstractNumId w:val="24"/>
  </w:num>
  <w:num w:numId="18">
    <w:abstractNumId w:val="7"/>
  </w:num>
  <w:num w:numId="19">
    <w:abstractNumId w:val="4"/>
  </w:num>
  <w:num w:numId="20">
    <w:abstractNumId w:val="10"/>
  </w:num>
  <w:num w:numId="21">
    <w:abstractNumId w:val="21"/>
  </w:num>
  <w:num w:numId="22">
    <w:abstractNumId w:val="25"/>
  </w:num>
  <w:num w:numId="23">
    <w:abstractNumId w:val="26"/>
  </w:num>
  <w:num w:numId="24">
    <w:abstractNumId w:val="15"/>
  </w:num>
  <w:num w:numId="25">
    <w:abstractNumId w:val="5"/>
  </w:num>
  <w:num w:numId="26">
    <w:abstractNumId w:val="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4495B"/>
    <w:rsid w:val="00155A8A"/>
    <w:rsid w:val="001D4A1F"/>
    <w:rsid w:val="0024495B"/>
    <w:rsid w:val="003115DB"/>
    <w:rsid w:val="00336ECE"/>
    <w:rsid w:val="00342274"/>
    <w:rsid w:val="00450C58"/>
    <w:rsid w:val="004E7790"/>
    <w:rsid w:val="005A4ADB"/>
    <w:rsid w:val="0061073E"/>
    <w:rsid w:val="00677F0C"/>
    <w:rsid w:val="006A1515"/>
    <w:rsid w:val="006F5598"/>
    <w:rsid w:val="009B66D8"/>
    <w:rsid w:val="009D2F02"/>
    <w:rsid w:val="00A00B27"/>
    <w:rsid w:val="00A81953"/>
    <w:rsid w:val="00AE2A94"/>
    <w:rsid w:val="00C71EAA"/>
    <w:rsid w:val="00C959C8"/>
    <w:rsid w:val="00CC4AF9"/>
    <w:rsid w:val="00F1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63B70"/>
  <w14:defaultImageDpi w14:val="330"/>
  <w15:chartTrackingRefBased/>
  <w15:docId w15:val="{F3DCD920-BD0D-4933-9E15-22CF39EF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95B"/>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24495B"/>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4495B"/>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4495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4495B"/>
    <w:rPr>
      <w:rFonts w:ascii="Calibri" w:eastAsia="Times New Roman" w:hAnsi="Calibri" w:cs="Times New Roman"/>
      <w:b/>
      <w:bCs/>
      <w:color w:val="000000"/>
      <w:kern w:val="32"/>
      <w:sz w:val="28"/>
      <w:szCs w:val="32"/>
    </w:rPr>
  </w:style>
  <w:style w:type="character" w:customStyle="1" w:styleId="Heading2Char">
    <w:name w:val="Heading 2 Char"/>
    <w:link w:val="Heading2"/>
    <w:rsid w:val="0024495B"/>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24495B"/>
    <w:rPr>
      <w:rFonts w:asciiTheme="majorHAnsi" w:eastAsiaTheme="majorEastAsia" w:hAnsiTheme="majorHAnsi" w:cstheme="majorBidi"/>
      <w:b/>
      <w:bCs/>
      <w:color w:val="4F81BD" w:themeColor="accent1"/>
      <w:sz w:val="24"/>
      <w:szCs w:val="24"/>
    </w:rPr>
  </w:style>
  <w:style w:type="paragraph" w:styleId="NormalWeb">
    <w:name w:val="Normal (Web)"/>
    <w:basedOn w:val="Normal"/>
    <w:rsid w:val="0024495B"/>
    <w:pPr>
      <w:spacing w:before="100" w:beforeAutospacing="1" w:after="100" w:afterAutospacing="1"/>
    </w:pPr>
  </w:style>
  <w:style w:type="character" w:styleId="Hyperlink">
    <w:name w:val="Hyperlink"/>
    <w:uiPriority w:val="99"/>
    <w:rsid w:val="0024495B"/>
    <w:rPr>
      <w:color w:val="0000FF"/>
      <w:u w:val="single"/>
    </w:rPr>
  </w:style>
  <w:style w:type="paragraph" w:styleId="Header">
    <w:name w:val="header"/>
    <w:basedOn w:val="Normal"/>
    <w:link w:val="HeaderChar"/>
    <w:rsid w:val="0024495B"/>
    <w:pPr>
      <w:tabs>
        <w:tab w:val="center" w:pos="4680"/>
        <w:tab w:val="right" w:pos="9360"/>
      </w:tabs>
    </w:pPr>
  </w:style>
  <w:style w:type="character" w:customStyle="1" w:styleId="HeaderChar">
    <w:name w:val="Header Char"/>
    <w:link w:val="Header"/>
    <w:rsid w:val="0024495B"/>
    <w:rPr>
      <w:rFonts w:ascii="Calibri" w:eastAsia="Times New Roman" w:hAnsi="Calibri" w:cs="Calibri"/>
      <w:color w:val="000000"/>
      <w:sz w:val="24"/>
      <w:szCs w:val="24"/>
    </w:rPr>
  </w:style>
  <w:style w:type="paragraph" w:styleId="Footer">
    <w:name w:val="footer"/>
    <w:basedOn w:val="Normal"/>
    <w:link w:val="FooterChar"/>
    <w:uiPriority w:val="99"/>
    <w:rsid w:val="0024495B"/>
    <w:pPr>
      <w:tabs>
        <w:tab w:val="center" w:pos="4680"/>
        <w:tab w:val="right" w:pos="9360"/>
      </w:tabs>
    </w:pPr>
  </w:style>
  <w:style w:type="character" w:customStyle="1" w:styleId="FooterChar">
    <w:name w:val="Footer Char"/>
    <w:link w:val="Footer"/>
    <w:uiPriority w:val="99"/>
    <w:rsid w:val="0024495B"/>
    <w:rPr>
      <w:rFonts w:ascii="Calibri" w:eastAsia="Times New Roman" w:hAnsi="Calibri" w:cs="Calibri"/>
      <w:color w:val="000000"/>
      <w:sz w:val="24"/>
      <w:szCs w:val="24"/>
    </w:rPr>
  </w:style>
  <w:style w:type="character" w:styleId="CommentReference">
    <w:name w:val="annotation reference"/>
    <w:rsid w:val="0024495B"/>
    <w:rPr>
      <w:sz w:val="18"/>
      <w:szCs w:val="18"/>
    </w:rPr>
  </w:style>
  <w:style w:type="paragraph" w:styleId="CommentText">
    <w:name w:val="annotation text"/>
    <w:basedOn w:val="Normal"/>
    <w:link w:val="CommentTextChar"/>
    <w:rsid w:val="0024495B"/>
  </w:style>
  <w:style w:type="character" w:customStyle="1" w:styleId="CommentTextChar">
    <w:name w:val="Comment Text Char"/>
    <w:link w:val="CommentText"/>
    <w:rsid w:val="0024495B"/>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24495B"/>
    <w:rPr>
      <w:b/>
      <w:bCs/>
      <w:sz w:val="20"/>
      <w:szCs w:val="20"/>
    </w:rPr>
  </w:style>
  <w:style w:type="character" w:customStyle="1" w:styleId="CommentSubjectChar">
    <w:name w:val="Comment Subject Char"/>
    <w:link w:val="CommentSubject"/>
    <w:rsid w:val="0024495B"/>
    <w:rPr>
      <w:rFonts w:ascii="Calibri" w:eastAsia="Times New Roman" w:hAnsi="Calibri" w:cs="Calibri"/>
      <w:b/>
      <w:bCs/>
      <w:color w:val="000000"/>
      <w:sz w:val="20"/>
      <w:szCs w:val="20"/>
    </w:rPr>
  </w:style>
  <w:style w:type="paragraph" w:styleId="BalloonText">
    <w:name w:val="Balloon Text"/>
    <w:basedOn w:val="Normal"/>
    <w:link w:val="BalloonTextChar"/>
    <w:rsid w:val="0024495B"/>
    <w:rPr>
      <w:rFonts w:ascii="Lucida Grande" w:hAnsi="Lucida Grande"/>
      <w:sz w:val="18"/>
      <w:szCs w:val="18"/>
    </w:rPr>
  </w:style>
  <w:style w:type="character" w:customStyle="1" w:styleId="BalloonTextChar">
    <w:name w:val="Balloon Text Char"/>
    <w:link w:val="BalloonText"/>
    <w:rsid w:val="0024495B"/>
    <w:rPr>
      <w:rFonts w:ascii="Lucida Grande" w:eastAsia="Times New Roman" w:hAnsi="Lucida Grande" w:cs="Calibri"/>
      <w:color w:val="000000"/>
      <w:sz w:val="18"/>
      <w:szCs w:val="18"/>
    </w:rPr>
  </w:style>
  <w:style w:type="character" w:styleId="PageNumber">
    <w:name w:val="page number"/>
    <w:basedOn w:val="DefaultParagraphFont"/>
    <w:rsid w:val="0024495B"/>
  </w:style>
  <w:style w:type="character" w:styleId="FollowedHyperlink">
    <w:name w:val="FollowedHyperlink"/>
    <w:rsid w:val="0024495B"/>
    <w:rPr>
      <w:color w:val="800080"/>
      <w:u w:val="single"/>
    </w:rPr>
  </w:style>
  <w:style w:type="character" w:customStyle="1" w:styleId="apple-converted-space">
    <w:name w:val="apple-converted-space"/>
    <w:basedOn w:val="DefaultParagraphFont"/>
    <w:rsid w:val="0024495B"/>
  </w:style>
  <w:style w:type="character" w:styleId="IntenseEmphasis">
    <w:name w:val="Intense Emphasis"/>
    <w:qFormat/>
    <w:rsid w:val="0024495B"/>
    <w:rPr>
      <w:b/>
      <w:bCs/>
      <w:i/>
      <w:iCs/>
      <w:color w:val="4F81BD"/>
    </w:rPr>
  </w:style>
  <w:style w:type="paragraph" w:customStyle="1" w:styleId="Exampletext">
    <w:name w:val="Example text"/>
    <w:basedOn w:val="Normal"/>
    <w:link w:val="ExampletextChar"/>
    <w:qFormat/>
    <w:rsid w:val="0024495B"/>
    <w:pPr>
      <w:spacing w:after="240"/>
    </w:pPr>
    <w:rPr>
      <w:color w:val="7F7F7F"/>
    </w:rPr>
  </w:style>
  <w:style w:type="character" w:customStyle="1" w:styleId="ExampletextChar">
    <w:name w:val="Example text Char"/>
    <w:link w:val="Exampletext"/>
    <w:rsid w:val="0024495B"/>
    <w:rPr>
      <w:rFonts w:ascii="Calibri" w:eastAsia="Times New Roman" w:hAnsi="Calibri" w:cs="Calibri"/>
      <w:color w:val="7F7F7F"/>
      <w:sz w:val="24"/>
      <w:szCs w:val="24"/>
    </w:rPr>
  </w:style>
  <w:style w:type="paragraph" w:styleId="ListParagraph">
    <w:name w:val="List Paragraph"/>
    <w:basedOn w:val="Normal"/>
    <w:link w:val="ListParagraphChar"/>
    <w:uiPriority w:val="34"/>
    <w:qFormat/>
    <w:rsid w:val="0024495B"/>
    <w:pPr>
      <w:ind w:left="720"/>
      <w:contextualSpacing/>
    </w:pPr>
  </w:style>
  <w:style w:type="paragraph" w:styleId="Revision">
    <w:name w:val="Revision"/>
    <w:hidden/>
    <w:uiPriority w:val="99"/>
    <w:semiHidden/>
    <w:rsid w:val="0024495B"/>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24495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24495B"/>
    <w:rPr>
      <w:rFonts w:ascii="Calibri" w:eastAsia="Calibri" w:hAnsi="Calibri" w:cs="Calibri"/>
      <w:sz w:val="24"/>
      <w:szCs w:val="24"/>
    </w:rPr>
  </w:style>
  <w:style w:type="character" w:styleId="Strong">
    <w:name w:val="Strong"/>
    <w:basedOn w:val="DefaultParagraphFont"/>
    <w:uiPriority w:val="22"/>
    <w:qFormat/>
    <w:rsid w:val="0024495B"/>
    <w:rPr>
      <w:b/>
      <w:bCs/>
    </w:rPr>
  </w:style>
  <w:style w:type="character" w:styleId="Emphasis">
    <w:name w:val="Emphasis"/>
    <w:basedOn w:val="DefaultParagraphFont"/>
    <w:uiPriority w:val="20"/>
    <w:qFormat/>
    <w:rsid w:val="0024495B"/>
    <w:rPr>
      <w:i/>
      <w:iCs/>
    </w:rPr>
  </w:style>
  <w:style w:type="character" w:styleId="LineNumber">
    <w:name w:val="line number"/>
    <w:basedOn w:val="DefaultParagraphFont"/>
    <w:uiPriority w:val="99"/>
    <w:semiHidden/>
    <w:unhideWhenUsed/>
    <w:rsid w:val="0024495B"/>
  </w:style>
  <w:style w:type="character" w:customStyle="1" w:styleId="NichtaufgelsteErwhnung1">
    <w:name w:val="Nicht aufgelöste Erwähnung1"/>
    <w:basedOn w:val="DefaultParagraphFont"/>
    <w:uiPriority w:val="99"/>
    <w:semiHidden/>
    <w:unhideWhenUsed/>
    <w:rsid w:val="0024495B"/>
    <w:rPr>
      <w:color w:val="808080"/>
      <w:shd w:val="clear" w:color="auto" w:fill="E6E6E6"/>
    </w:rPr>
  </w:style>
  <w:style w:type="paragraph" w:customStyle="1" w:styleId="EndNoteBibliographyTitle">
    <w:name w:val="EndNote Bibliography Title"/>
    <w:basedOn w:val="Normal"/>
    <w:link w:val="EndNoteBibliographyTitleZchn"/>
    <w:rsid w:val="0024495B"/>
    <w:pPr>
      <w:jc w:val="center"/>
    </w:pPr>
    <w:rPr>
      <w:noProof/>
    </w:rPr>
  </w:style>
  <w:style w:type="character" w:customStyle="1" w:styleId="ListParagraphChar">
    <w:name w:val="List Paragraph Char"/>
    <w:basedOn w:val="DefaultParagraphFont"/>
    <w:link w:val="ListParagraph"/>
    <w:uiPriority w:val="34"/>
    <w:rsid w:val="0024495B"/>
    <w:rPr>
      <w:rFonts w:ascii="Calibri" w:eastAsia="Times New Roman" w:hAnsi="Calibri" w:cs="Calibri"/>
      <w:color w:val="000000"/>
      <w:sz w:val="24"/>
      <w:szCs w:val="24"/>
    </w:rPr>
  </w:style>
  <w:style w:type="character" w:customStyle="1" w:styleId="EndNoteBibliographyTitleZchn">
    <w:name w:val="EndNote Bibliography Title Zchn"/>
    <w:basedOn w:val="ListParagraphChar"/>
    <w:link w:val="EndNoteBibliographyTitle"/>
    <w:rsid w:val="0024495B"/>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Zchn"/>
    <w:rsid w:val="0024495B"/>
    <w:rPr>
      <w:noProof/>
    </w:rPr>
  </w:style>
  <w:style w:type="character" w:customStyle="1" w:styleId="EndNoteBibliographyZchn">
    <w:name w:val="EndNote Bibliography Zchn"/>
    <w:basedOn w:val="ListParagraphChar"/>
    <w:link w:val="EndNoteBibliography"/>
    <w:rsid w:val="0024495B"/>
    <w:rPr>
      <w:rFonts w:ascii="Calibri" w:eastAsia="Times New Roman" w:hAnsi="Calibri" w:cs="Calibri"/>
      <w:noProof/>
      <w:color w:val="000000"/>
      <w:sz w:val="24"/>
      <w:szCs w:val="24"/>
    </w:rPr>
  </w:style>
  <w:style w:type="table" w:styleId="TableGrid">
    <w:name w:val="Table Grid"/>
    <w:basedOn w:val="TableNormal"/>
    <w:uiPriority w:val="59"/>
    <w:rsid w:val="002449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41">
    <w:name w:val="Gitternetztabelle 41"/>
    <w:basedOn w:val="TableNormal"/>
    <w:uiPriority w:val="49"/>
    <w:rsid w:val="002449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hoenen@fli.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yasulukuroland2710@gmail.com" TargetMode="External"/><Relationship Id="rId4" Type="http://schemas.openxmlformats.org/officeDocument/2006/relationships/webSettings" Target="webSettings.xml"/><Relationship Id="rId9" Type="http://schemas.openxmlformats.org/officeDocument/2006/relationships/hyperlink" Target="mailto:andreas.mueller@fli.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5113</Words>
  <Characters>29146</Characters>
  <Application>Microsoft Office Word</Application>
  <DocSecurity>0</DocSecurity>
  <Lines>242</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Friedrich-Loeffler-Institut</Company>
  <LinksUpToDate>false</LinksUpToDate>
  <CharactersWithSpaces>34191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Hoenen</dc:creator>
  <cp:keywords/>
  <dc:description/>
  <cp:lastModifiedBy>Nam Nguyen</cp:lastModifiedBy>
  <cp:revision>6</cp:revision>
  <cp:lastPrinted>2019-02-11T15:50:00Z</cp:lastPrinted>
  <dcterms:created xsi:type="dcterms:W3CDTF">2019-02-11T15:51:00Z</dcterms:created>
  <dcterms:modified xsi:type="dcterms:W3CDTF">2019-02-11T20:04:00Z</dcterms:modified>
</cp:coreProperties>
</file>