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5BD4A5C" w:rsidR="006305D7" w:rsidRPr="004521EA" w:rsidRDefault="006305D7" w:rsidP="008337F6">
      <w:pPr>
        <w:pStyle w:val="NormalWeb"/>
        <w:widowControl/>
        <w:spacing w:before="0" w:beforeAutospacing="0" w:after="0" w:afterAutospacing="0"/>
      </w:pPr>
      <w:r w:rsidRPr="004521EA">
        <w:rPr>
          <w:b/>
          <w:bCs/>
        </w:rPr>
        <w:t>TITLE:</w:t>
      </w:r>
      <w:r w:rsidRPr="004521EA">
        <w:t xml:space="preserve"> </w:t>
      </w:r>
    </w:p>
    <w:p w14:paraId="0C76090E" w14:textId="01452F4B" w:rsidR="007A4DD6" w:rsidRPr="004521EA" w:rsidRDefault="00985A36" w:rsidP="008337F6">
      <w:pPr>
        <w:widowControl/>
        <w:rPr>
          <w:color w:val="auto"/>
        </w:rPr>
      </w:pPr>
      <w:r w:rsidRPr="004521EA">
        <w:rPr>
          <w:color w:val="auto"/>
        </w:rPr>
        <w:t xml:space="preserve">A </w:t>
      </w:r>
      <w:r w:rsidR="008463A4" w:rsidRPr="004521EA">
        <w:rPr>
          <w:color w:val="auto"/>
        </w:rPr>
        <w:t xml:space="preserve">Practical Guide </w:t>
      </w:r>
      <w:r w:rsidR="00494B7E">
        <w:rPr>
          <w:color w:val="auto"/>
        </w:rPr>
        <w:t>for</w:t>
      </w:r>
      <w:r w:rsidRPr="004521EA">
        <w:rPr>
          <w:color w:val="auto"/>
        </w:rPr>
        <w:t xml:space="preserve"> </w:t>
      </w:r>
      <w:r w:rsidR="008463A4">
        <w:rPr>
          <w:color w:val="auto"/>
        </w:rPr>
        <w:t xml:space="preserve">the </w:t>
      </w:r>
      <w:r w:rsidR="008463A4" w:rsidRPr="004521EA">
        <w:rPr>
          <w:color w:val="auto"/>
        </w:rPr>
        <w:t>Production</w:t>
      </w:r>
      <w:r w:rsidRPr="004521EA">
        <w:rPr>
          <w:color w:val="auto"/>
        </w:rPr>
        <w:t xml:space="preserve"> and </w:t>
      </w:r>
      <w:r w:rsidR="00AE5F95" w:rsidRPr="004521EA">
        <w:rPr>
          <w:color w:val="auto"/>
        </w:rPr>
        <w:t>PET/CT</w:t>
      </w:r>
      <w:r w:rsidRPr="004521EA">
        <w:rPr>
          <w:color w:val="auto"/>
        </w:rPr>
        <w:t xml:space="preserve"> </w:t>
      </w:r>
      <w:r w:rsidR="008463A4" w:rsidRPr="004521EA">
        <w:rPr>
          <w:color w:val="auto"/>
        </w:rPr>
        <w:t>Imaging</w:t>
      </w:r>
      <w:r w:rsidRPr="004521EA">
        <w:rPr>
          <w:color w:val="auto"/>
        </w:rPr>
        <w:t xml:space="preserve"> of </w:t>
      </w:r>
      <w:r w:rsidRPr="004521EA">
        <w:rPr>
          <w:color w:val="auto"/>
          <w:vertAlign w:val="superscript"/>
        </w:rPr>
        <w:t>68</w:t>
      </w:r>
      <w:r w:rsidRPr="004521EA">
        <w:rPr>
          <w:color w:val="auto"/>
        </w:rPr>
        <w:t>Ga-DOTATATE</w:t>
      </w:r>
      <w:r w:rsidR="00EE4F4F" w:rsidRPr="004521EA">
        <w:rPr>
          <w:color w:val="auto"/>
        </w:rPr>
        <w:t xml:space="preserve"> for </w:t>
      </w:r>
      <w:r w:rsidR="008463A4" w:rsidRPr="004521EA">
        <w:rPr>
          <w:color w:val="auto"/>
        </w:rPr>
        <w:t xml:space="preserve">Neuroendocrine Tumors </w:t>
      </w:r>
      <w:r w:rsidRPr="004521EA">
        <w:rPr>
          <w:color w:val="auto"/>
        </w:rPr>
        <w:t xml:space="preserve">in </w:t>
      </w:r>
      <w:r w:rsidR="008463A4" w:rsidRPr="004521EA">
        <w:rPr>
          <w:color w:val="auto"/>
        </w:rPr>
        <w:t>Daily Clinical Practice</w:t>
      </w:r>
    </w:p>
    <w:p w14:paraId="2E300B21" w14:textId="77777777" w:rsidR="007A4DD6" w:rsidRPr="004521EA" w:rsidRDefault="007A4DD6" w:rsidP="008337F6">
      <w:pPr>
        <w:widowControl/>
        <w:rPr>
          <w:b/>
          <w:bCs/>
        </w:rPr>
      </w:pPr>
    </w:p>
    <w:p w14:paraId="3D080DA3" w14:textId="19DA6F89" w:rsidR="006305D7" w:rsidRPr="004521EA" w:rsidRDefault="006305D7" w:rsidP="008337F6">
      <w:pPr>
        <w:widowControl/>
        <w:rPr>
          <w:color w:val="808080" w:themeColor="background1" w:themeShade="80"/>
        </w:rPr>
      </w:pPr>
      <w:r w:rsidRPr="004521EA">
        <w:rPr>
          <w:b/>
          <w:bCs/>
        </w:rPr>
        <w:t>AUTHORS</w:t>
      </w:r>
      <w:r w:rsidR="000B662E" w:rsidRPr="004521EA">
        <w:rPr>
          <w:b/>
          <w:bCs/>
        </w:rPr>
        <w:t xml:space="preserve"> &amp; AFFILIATIONS</w:t>
      </w:r>
      <w:r w:rsidRPr="004521EA">
        <w:rPr>
          <w:b/>
          <w:bCs/>
        </w:rPr>
        <w:t xml:space="preserve">: </w:t>
      </w:r>
    </w:p>
    <w:p w14:paraId="3F77E0BD" w14:textId="04D59BDA" w:rsidR="00985A36" w:rsidRPr="004521EA" w:rsidRDefault="00985A36" w:rsidP="008337F6">
      <w:pPr>
        <w:widowControl/>
        <w:rPr>
          <w:bCs/>
          <w:color w:val="auto"/>
          <w:vertAlign w:val="superscript"/>
        </w:rPr>
      </w:pPr>
      <w:r w:rsidRPr="004521EA">
        <w:rPr>
          <w:bCs/>
          <w:color w:val="auto"/>
        </w:rPr>
        <w:t>Else A</w:t>
      </w:r>
      <w:r w:rsidR="008463A4">
        <w:rPr>
          <w:bCs/>
          <w:color w:val="auto"/>
        </w:rPr>
        <w:t>.</w:t>
      </w:r>
      <w:r w:rsidRPr="004521EA">
        <w:rPr>
          <w:bCs/>
          <w:color w:val="auto"/>
        </w:rPr>
        <w:t xml:space="preserve"> Aalbersberg</w:t>
      </w:r>
      <w:r w:rsidRPr="004521EA">
        <w:rPr>
          <w:bCs/>
          <w:color w:val="auto"/>
          <w:vertAlign w:val="superscript"/>
        </w:rPr>
        <w:t>1</w:t>
      </w:r>
      <w:r w:rsidRPr="004521EA">
        <w:rPr>
          <w:bCs/>
          <w:color w:val="auto"/>
        </w:rPr>
        <w:t>, Martine M</w:t>
      </w:r>
      <w:r w:rsidR="008463A4">
        <w:rPr>
          <w:bCs/>
          <w:color w:val="auto"/>
        </w:rPr>
        <w:t>.</w:t>
      </w:r>
      <w:r w:rsidRPr="004521EA">
        <w:rPr>
          <w:bCs/>
          <w:color w:val="auto"/>
        </w:rPr>
        <w:t xml:space="preserve"> Geluk-Jonker</w:t>
      </w:r>
      <w:r w:rsidRPr="004521EA">
        <w:rPr>
          <w:bCs/>
          <w:color w:val="auto"/>
          <w:vertAlign w:val="superscript"/>
        </w:rPr>
        <w:t>1</w:t>
      </w:r>
      <w:r w:rsidRPr="004521EA">
        <w:rPr>
          <w:bCs/>
          <w:color w:val="auto"/>
        </w:rPr>
        <w:t>, Chelvi Young-Mylvaganan</w:t>
      </w:r>
      <w:r w:rsidRPr="004521EA">
        <w:rPr>
          <w:bCs/>
          <w:color w:val="auto"/>
          <w:vertAlign w:val="superscript"/>
        </w:rPr>
        <w:t>1</w:t>
      </w:r>
      <w:r w:rsidRPr="004521EA">
        <w:rPr>
          <w:bCs/>
          <w:color w:val="auto"/>
        </w:rPr>
        <w:t>, Linda J</w:t>
      </w:r>
      <w:r w:rsidR="008463A4">
        <w:rPr>
          <w:bCs/>
          <w:color w:val="auto"/>
        </w:rPr>
        <w:t>.</w:t>
      </w:r>
      <w:r w:rsidRPr="004521EA">
        <w:rPr>
          <w:bCs/>
          <w:color w:val="auto"/>
        </w:rPr>
        <w:t xml:space="preserve"> de Wit-van der Veen</w:t>
      </w:r>
      <w:r w:rsidRPr="004521EA">
        <w:rPr>
          <w:bCs/>
          <w:color w:val="auto"/>
          <w:vertAlign w:val="superscript"/>
        </w:rPr>
        <w:t>1</w:t>
      </w:r>
      <w:r w:rsidRPr="004521EA">
        <w:rPr>
          <w:bCs/>
          <w:color w:val="auto"/>
        </w:rPr>
        <w:t>, Marcel P</w:t>
      </w:r>
      <w:r w:rsidR="008463A4">
        <w:rPr>
          <w:bCs/>
          <w:color w:val="auto"/>
        </w:rPr>
        <w:t>.</w:t>
      </w:r>
      <w:r w:rsidRPr="004521EA">
        <w:rPr>
          <w:bCs/>
          <w:color w:val="auto"/>
        </w:rPr>
        <w:t>M</w:t>
      </w:r>
      <w:r w:rsidR="008463A4">
        <w:rPr>
          <w:bCs/>
          <w:color w:val="auto"/>
        </w:rPr>
        <w:t>.</w:t>
      </w:r>
      <w:r w:rsidRPr="004521EA">
        <w:rPr>
          <w:bCs/>
          <w:color w:val="auto"/>
        </w:rPr>
        <w:t xml:space="preserve"> Stokkel</w:t>
      </w:r>
      <w:r w:rsidRPr="004521EA">
        <w:rPr>
          <w:bCs/>
          <w:color w:val="auto"/>
          <w:vertAlign w:val="superscript"/>
        </w:rPr>
        <w:t>1</w:t>
      </w:r>
    </w:p>
    <w:p w14:paraId="36B07DAD" w14:textId="77777777" w:rsidR="005267DE" w:rsidRPr="00DE3B43" w:rsidRDefault="005267DE" w:rsidP="008337F6">
      <w:pPr>
        <w:widowControl/>
        <w:rPr>
          <w:bCs/>
          <w:color w:val="auto"/>
          <w:vertAlign w:val="superscript"/>
        </w:rPr>
      </w:pPr>
    </w:p>
    <w:p w14:paraId="74F57C89" w14:textId="5633F496" w:rsidR="00985A36" w:rsidRPr="00B26C89" w:rsidRDefault="00985A36" w:rsidP="008337F6">
      <w:pPr>
        <w:widowControl/>
        <w:rPr>
          <w:bCs/>
          <w:color w:val="auto"/>
        </w:rPr>
      </w:pPr>
      <w:r w:rsidRPr="00DE3B43">
        <w:rPr>
          <w:bCs/>
          <w:color w:val="auto"/>
          <w:vertAlign w:val="superscript"/>
        </w:rPr>
        <w:t>1</w:t>
      </w:r>
      <w:r w:rsidRPr="00B26C89">
        <w:rPr>
          <w:bCs/>
          <w:color w:val="auto"/>
        </w:rPr>
        <w:t xml:space="preserve">Department of Nuclear Medicine, Netherlands Cancer Institute, Amsterdam, </w:t>
      </w:r>
      <w:r w:rsidR="008463A4">
        <w:rPr>
          <w:bCs/>
          <w:color w:val="auto"/>
        </w:rPr>
        <w:t>T</w:t>
      </w:r>
      <w:r w:rsidRPr="00B26C89">
        <w:rPr>
          <w:bCs/>
          <w:color w:val="auto"/>
        </w:rPr>
        <w:t>he Netherlands</w:t>
      </w:r>
    </w:p>
    <w:p w14:paraId="064442BE" w14:textId="77777777" w:rsidR="00985A36" w:rsidRPr="00DE3B43" w:rsidRDefault="00985A36" w:rsidP="008337F6">
      <w:pPr>
        <w:widowControl/>
        <w:rPr>
          <w:bCs/>
          <w:color w:val="auto"/>
        </w:rPr>
      </w:pPr>
    </w:p>
    <w:p w14:paraId="03C11EC9" w14:textId="223AFC02" w:rsidR="00985A36" w:rsidRPr="0098792F" w:rsidRDefault="00985A36" w:rsidP="008337F6">
      <w:pPr>
        <w:widowControl/>
        <w:rPr>
          <w:bCs/>
          <w:color w:val="auto"/>
        </w:rPr>
      </w:pPr>
      <w:r w:rsidRPr="0098792F">
        <w:rPr>
          <w:bCs/>
          <w:color w:val="auto"/>
        </w:rPr>
        <w:t xml:space="preserve">Corresponding Author: </w:t>
      </w:r>
    </w:p>
    <w:p w14:paraId="3D13ACA3" w14:textId="4D155978" w:rsidR="00985A36" w:rsidRPr="00B26C89" w:rsidRDefault="00985A36" w:rsidP="008337F6">
      <w:pPr>
        <w:widowControl/>
        <w:rPr>
          <w:bCs/>
          <w:color w:val="auto"/>
        </w:rPr>
      </w:pPr>
      <w:r w:rsidRPr="00B26C89">
        <w:rPr>
          <w:bCs/>
          <w:color w:val="auto"/>
        </w:rPr>
        <w:t>Else A</w:t>
      </w:r>
      <w:r w:rsidR="008463A4">
        <w:rPr>
          <w:bCs/>
          <w:color w:val="auto"/>
        </w:rPr>
        <w:t>.</w:t>
      </w:r>
      <w:r w:rsidRPr="00B26C89">
        <w:rPr>
          <w:bCs/>
          <w:color w:val="auto"/>
        </w:rPr>
        <w:t xml:space="preserve"> Aalbersberg</w:t>
      </w:r>
      <w:r w:rsidR="008463A4">
        <w:rPr>
          <w:bCs/>
          <w:color w:val="auto"/>
        </w:rPr>
        <w:tab/>
      </w:r>
      <w:r w:rsidR="008463A4">
        <w:rPr>
          <w:bCs/>
          <w:color w:val="auto"/>
        </w:rPr>
        <w:tab/>
        <w:t>(</w:t>
      </w:r>
      <w:r w:rsidRPr="00B26C89">
        <w:rPr>
          <w:bCs/>
          <w:color w:val="auto"/>
        </w:rPr>
        <w:t>e.aalbersberg@nki.nl</w:t>
      </w:r>
      <w:r w:rsidR="008463A4">
        <w:rPr>
          <w:bCs/>
          <w:color w:val="auto"/>
        </w:rPr>
        <w:t>)</w:t>
      </w:r>
    </w:p>
    <w:p w14:paraId="36D2B737" w14:textId="55366637" w:rsidR="00985A36" w:rsidRPr="00B26C89" w:rsidRDefault="00985A36" w:rsidP="008337F6">
      <w:pPr>
        <w:widowControl/>
        <w:rPr>
          <w:bCs/>
          <w:color w:val="auto"/>
        </w:rPr>
      </w:pPr>
      <w:r w:rsidRPr="00B26C89">
        <w:rPr>
          <w:bCs/>
          <w:color w:val="auto"/>
        </w:rPr>
        <w:t>Tel: +31-20-512-2281</w:t>
      </w:r>
    </w:p>
    <w:p w14:paraId="4CCB9631" w14:textId="77777777" w:rsidR="00985A36" w:rsidRPr="00B26C89" w:rsidRDefault="00985A36" w:rsidP="008337F6">
      <w:pPr>
        <w:widowControl/>
        <w:rPr>
          <w:bCs/>
          <w:color w:val="auto"/>
        </w:rPr>
      </w:pPr>
    </w:p>
    <w:p w14:paraId="394DAE24" w14:textId="3ED094A0" w:rsidR="00985A36" w:rsidRPr="001A0200" w:rsidRDefault="00985A36" w:rsidP="008337F6">
      <w:pPr>
        <w:pStyle w:val="NormalWeb"/>
        <w:widowControl/>
        <w:spacing w:before="0" w:beforeAutospacing="0" w:after="0" w:afterAutospacing="0"/>
        <w:rPr>
          <w:bCs/>
          <w:color w:val="auto"/>
        </w:rPr>
      </w:pPr>
      <w:r w:rsidRPr="00DE3B43">
        <w:rPr>
          <w:bCs/>
          <w:color w:val="auto"/>
        </w:rPr>
        <w:t>Email Addresses of Co-autho</w:t>
      </w:r>
      <w:r w:rsidRPr="00DC744D">
        <w:rPr>
          <w:bCs/>
          <w:color w:val="auto"/>
        </w:rPr>
        <w:t>rs</w:t>
      </w:r>
      <w:r w:rsidRPr="00DC744D">
        <w:rPr>
          <w:b/>
          <w:bCs/>
          <w:color w:val="auto"/>
        </w:rPr>
        <w:t>:</w:t>
      </w:r>
    </w:p>
    <w:p w14:paraId="741E7AD5" w14:textId="1AA237D5" w:rsidR="00985A36" w:rsidRPr="00B26C89" w:rsidRDefault="00985A36" w:rsidP="008337F6">
      <w:pPr>
        <w:pStyle w:val="NormalWeb"/>
        <w:widowControl/>
        <w:spacing w:before="0" w:beforeAutospacing="0" w:after="0" w:afterAutospacing="0"/>
        <w:rPr>
          <w:bCs/>
          <w:color w:val="auto"/>
        </w:rPr>
      </w:pPr>
      <w:r w:rsidRPr="00B26C89">
        <w:rPr>
          <w:bCs/>
          <w:color w:val="auto"/>
        </w:rPr>
        <w:t>Martine M</w:t>
      </w:r>
      <w:r w:rsidR="008463A4">
        <w:rPr>
          <w:bCs/>
          <w:color w:val="auto"/>
        </w:rPr>
        <w:t>.</w:t>
      </w:r>
      <w:r w:rsidRPr="00B26C89">
        <w:rPr>
          <w:bCs/>
          <w:color w:val="auto"/>
        </w:rPr>
        <w:t xml:space="preserve"> Geluk-Jonker</w:t>
      </w:r>
      <w:r w:rsidRPr="00B26C89">
        <w:rPr>
          <w:bCs/>
          <w:color w:val="auto"/>
        </w:rPr>
        <w:tab/>
        <w:t>(</w:t>
      </w:r>
      <w:r w:rsidRPr="00B26C89">
        <w:rPr>
          <w:rStyle w:val="Hyperlink"/>
          <w:bCs/>
          <w:color w:val="auto"/>
          <w:u w:val="none"/>
        </w:rPr>
        <w:t>mm.jonker@nki.nl</w:t>
      </w:r>
      <w:r w:rsidRPr="00B26C89">
        <w:rPr>
          <w:bCs/>
          <w:color w:val="auto"/>
        </w:rPr>
        <w:t>)</w:t>
      </w:r>
    </w:p>
    <w:p w14:paraId="7BE9C470" w14:textId="18F20878" w:rsidR="00985A36" w:rsidRPr="00B26C89" w:rsidRDefault="00985A36" w:rsidP="008337F6">
      <w:pPr>
        <w:pStyle w:val="NormalWeb"/>
        <w:widowControl/>
        <w:spacing w:before="0" w:beforeAutospacing="0" w:after="0" w:afterAutospacing="0"/>
        <w:rPr>
          <w:bCs/>
          <w:color w:val="auto"/>
        </w:rPr>
      </w:pPr>
      <w:r w:rsidRPr="00B26C89">
        <w:rPr>
          <w:bCs/>
          <w:color w:val="auto"/>
        </w:rPr>
        <w:t>Chelvi Young-Mylvaganan</w:t>
      </w:r>
      <w:r w:rsidRPr="00B26C89">
        <w:rPr>
          <w:bCs/>
          <w:color w:val="auto"/>
        </w:rPr>
        <w:tab/>
        <w:t>(</w:t>
      </w:r>
      <w:r w:rsidR="00F40A8A" w:rsidRPr="00B26C89">
        <w:rPr>
          <w:bCs/>
          <w:color w:val="auto"/>
        </w:rPr>
        <w:t>c.mylvaganan@nki.nl)</w:t>
      </w:r>
    </w:p>
    <w:p w14:paraId="4DEF78FE" w14:textId="6E93175D" w:rsidR="00F40A8A" w:rsidRPr="00B26C89" w:rsidRDefault="00F40A8A" w:rsidP="008337F6">
      <w:pPr>
        <w:pStyle w:val="NormalWeb"/>
        <w:widowControl/>
        <w:spacing w:before="0" w:beforeAutospacing="0" w:after="0" w:afterAutospacing="0"/>
        <w:rPr>
          <w:bCs/>
          <w:color w:val="auto"/>
        </w:rPr>
      </w:pPr>
      <w:r w:rsidRPr="00B26C89">
        <w:rPr>
          <w:bCs/>
          <w:color w:val="auto"/>
        </w:rPr>
        <w:t>Linda J</w:t>
      </w:r>
      <w:r w:rsidR="008463A4">
        <w:rPr>
          <w:bCs/>
          <w:color w:val="auto"/>
        </w:rPr>
        <w:t>.</w:t>
      </w:r>
      <w:r w:rsidRPr="00B26C89">
        <w:rPr>
          <w:bCs/>
          <w:color w:val="auto"/>
        </w:rPr>
        <w:t xml:space="preserve"> de Wit-van der Veen</w:t>
      </w:r>
      <w:r w:rsidRPr="00B26C89">
        <w:rPr>
          <w:bCs/>
          <w:color w:val="auto"/>
        </w:rPr>
        <w:tab/>
        <w:t>(l.vd.veen@nki.nl)</w:t>
      </w:r>
    </w:p>
    <w:p w14:paraId="3E7EE0C8" w14:textId="1DD90728" w:rsidR="00F40A8A" w:rsidRPr="00B26C89" w:rsidRDefault="00F40A8A" w:rsidP="008337F6">
      <w:pPr>
        <w:pStyle w:val="NormalWeb"/>
        <w:widowControl/>
        <w:spacing w:before="0" w:beforeAutospacing="0" w:after="0" w:afterAutospacing="0"/>
        <w:rPr>
          <w:bCs/>
          <w:color w:val="auto"/>
        </w:rPr>
      </w:pPr>
      <w:r w:rsidRPr="00B26C89">
        <w:rPr>
          <w:bCs/>
          <w:color w:val="auto"/>
        </w:rPr>
        <w:t>Marcel P</w:t>
      </w:r>
      <w:r w:rsidR="008463A4">
        <w:rPr>
          <w:bCs/>
          <w:color w:val="auto"/>
        </w:rPr>
        <w:t>.</w:t>
      </w:r>
      <w:r w:rsidRPr="00B26C89">
        <w:rPr>
          <w:bCs/>
          <w:color w:val="auto"/>
        </w:rPr>
        <w:t>M</w:t>
      </w:r>
      <w:r w:rsidR="008463A4">
        <w:rPr>
          <w:bCs/>
          <w:color w:val="auto"/>
        </w:rPr>
        <w:t>.</w:t>
      </w:r>
      <w:r w:rsidRPr="00B26C89">
        <w:rPr>
          <w:bCs/>
          <w:color w:val="auto"/>
        </w:rPr>
        <w:t xml:space="preserve"> Stokkel</w:t>
      </w:r>
      <w:r w:rsidRPr="00B26C89">
        <w:rPr>
          <w:bCs/>
          <w:color w:val="auto"/>
        </w:rPr>
        <w:tab/>
      </w:r>
      <w:r w:rsidRPr="00B26C89">
        <w:rPr>
          <w:bCs/>
          <w:color w:val="auto"/>
        </w:rPr>
        <w:tab/>
        <w:t>(m.stokkel@nki.nl)</w:t>
      </w:r>
    </w:p>
    <w:p w14:paraId="60FCB589" w14:textId="42D11221" w:rsidR="00D04A95" w:rsidRPr="00DE3B43" w:rsidRDefault="00D04A95" w:rsidP="008337F6">
      <w:pPr>
        <w:widowControl/>
        <w:rPr>
          <w:bCs/>
          <w:color w:val="808080" w:themeColor="background1" w:themeShade="80"/>
        </w:rPr>
      </w:pPr>
    </w:p>
    <w:p w14:paraId="71B79AC9" w14:textId="77E35467" w:rsidR="006305D7" w:rsidRPr="004521EA" w:rsidRDefault="006305D7" w:rsidP="008337F6">
      <w:pPr>
        <w:pStyle w:val="NormalWeb"/>
        <w:widowControl/>
        <w:spacing w:before="0" w:beforeAutospacing="0" w:after="0" w:afterAutospacing="0"/>
      </w:pPr>
      <w:r w:rsidRPr="004521EA">
        <w:rPr>
          <w:b/>
          <w:bCs/>
        </w:rPr>
        <w:t>KEYWORDS:</w:t>
      </w:r>
      <w:r w:rsidR="00AE3BC5" w:rsidRPr="004521EA">
        <w:rPr>
          <w:b/>
          <w:bCs/>
        </w:rPr>
        <w:t xml:space="preserve"> </w:t>
      </w:r>
    </w:p>
    <w:p w14:paraId="6797EC93" w14:textId="47162078" w:rsidR="00E27C65" w:rsidRPr="004521EA" w:rsidRDefault="00E27C65" w:rsidP="008337F6">
      <w:pPr>
        <w:widowControl/>
        <w:rPr>
          <w:color w:val="auto"/>
        </w:rPr>
      </w:pPr>
      <w:r w:rsidRPr="004521EA">
        <w:rPr>
          <w:color w:val="auto"/>
        </w:rPr>
        <w:t>Medicine, imaging, neuroendocrine tumor</w:t>
      </w:r>
      <w:r w:rsidR="00F773CC" w:rsidRPr="004521EA">
        <w:rPr>
          <w:color w:val="auto"/>
        </w:rPr>
        <w:t xml:space="preserve"> (NET)</w:t>
      </w:r>
      <w:r w:rsidRPr="004521EA">
        <w:rPr>
          <w:color w:val="auto"/>
        </w:rPr>
        <w:t xml:space="preserve">, </w:t>
      </w:r>
      <w:r w:rsidR="008463A4">
        <w:rPr>
          <w:color w:val="auto"/>
        </w:rPr>
        <w:t>p</w:t>
      </w:r>
      <w:r w:rsidRPr="004521EA">
        <w:rPr>
          <w:color w:val="auto"/>
        </w:rPr>
        <w:t>ositron emission tomography</w:t>
      </w:r>
      <w:r w:rsidR="00F773CC" w:rsidRPr="004521EA">
        <w:rPr>
          <w:color w:val="auto"/>
        </w:rPr>
        <w:t xml:space="preserve"> (PET)</w:t>
      </w:r>
      <w:r w:rsidRPr="004521EA">
        <w:rPr>
          <w:color w:val="auto"/>
        </w:rPr>
        <w:t>, computed tomography</w:t>
      </w:r>
      <w:r w:rsidR="00F773CC" w:rsidRPr="004521EA">
        <w:rPr>
          <w:color w:val="auto"/>
        </w:rPr>
        <w:t xml:space="preserve"> (CT)</w:t>
      </w:r>
      <w:r w:rsidRPr="004521EA">
        <w:rPr>
          <w:color w:val="auto"/>
        </w:rPr>
        <w:t>, labeling, gallium-68</w:t>
      </w:r>
      <w:r w:rsidR="001E7B34" w:rsidRPr="004521EA">
        <w:rPr>
          <w:color w:val="auto"/>
        </w:rPr>
        <w:t xml:space="preserve"> (</w:t>
      </w:r>
      <w:r w:rsidR="001E7B34" w:rsidRPr="004521EA">
        <w:rPr>
          <w:color w:val="auto"/>
          <w:vertAlign w:val="superscript"/>
        </w:rPr>
        <w:t>68</w:t>
      </w:r>
      <w:r w:rsidR="001E7B34" w:rsidRPr="004521EA">
        <w:rPr>
          <w:color w:val="auto"/>
        </w:rPr>
        <w:t>Ga)</w:t>
      </w:r>
      <w:r w:rsidRPr="004521EA">
        <w:rPr>
          <w:color w:val="auto"/>
        </w:rPr>
        <w:t>, DOTATATE</w:t>
      </w:r>
    </w:p>
    <w:p w14:paraId="4A5BA3C3" w14:textId="77777777" w:rsidR="00E27C65" w:rsidRPr="004521EA" w:rsidRDefault="00E27C65" w:rsidP="008337F6">
      <w:pPr>
        <w:pStyle w:val="NormalWeb"/>
        <w:widowControl/>
        <w:spacing w:before="0" w:beforeAutospacing="0" w:after="0" w:afterAutospacing="0"/>
      </w:pPr>
    </w:p>
    <w:p w14:paraId="628AC4B5" w14:textId="36E86733" w:rsidR="006305D7" w:rsidRPr="004521EA" w:rsidRDefault="008463A4" w:rsidP="008337F6">
      <w:pPr>
        <w:widowControl/>
      </w:pPr>
      <w:r>
        <w:rPr>
          <w:b/>
          <w:bCs/>
        </w:rPr>
        <w:t>SUMMARY:</w:t>
      </w:r>
      <w:r w:rsidR="006305D7" w:rsidRPr="004521EA">
        <w:t xml:space="preserve"> </w:t>
      </w:r>
    </w:p>
    <w:p w14:paraId="32798D51" w14:textId="0CCBCD92" w:rsidR="007A4DD6" w:rsidRPr="004521EA" w:rsidRDefault="0059020C" w:rsidP="008337F6">
      <w:pPr>
        <w:widowControl/>
        <w:rPr>
          <w:color w:val="auto"/>
        </w:rPr>
      </w:pPr>
      <w:r w:rsidRPr="004521EA">
        <w:rPr>
          <w:color w:val="auto"/>
        </w:rPr>
        <w:t>Well-differentiated n</w:t>
      </w:r>
      <w:r w:rsidR="00FE3E1A" w:rsidRPr="004521EA">
        <w:rPr>
          <w:color w:val="auto"/>
        </w:rPr>
        <w:t xml:space="preserve">euroendocrine tumors </w:t>
      </w:r>
      <w:r w:rsidRPr="004521EA">
        <w:rPr>
          <w:color w:val="auto"/>
        </w:rPr>
        <w:t>over</w:t>
      </w:r>
      <w:r w:rsidR="00FE3E1A" w:rsidRPr="004521EA">
        <w:rPr>
          <w:color w:val="auto"/>
        </w:rPr>
        <w:t>express somatostatin receptor</w:t>
      </w:r>
      <w:r w:rsidRPr="004521EA">
        <w:rPr>
          <w:color w:val="auto"/>
        </w:rPr>
        <w:t>s</w:t>
      </w:r>
      <w:r w:rsidR="00FE3E1A" w:rsidRPr="004521EA">
        <w:rPr>
          <w:color w:val="auto"/>
        </w:rPr>
        <w:t xml:space="preserve"> which can be utilized for </w:t>
      </w:r>
      <w:r w:rsidR="00134069" w:rsidRPr="004521EA">
        <w:rPr>
          <w:color w:val="auto"/>
        </w:rPr>
        <w:t xml:space="preserve">diagnostic </w:t>
      </w:r>
      <w:r w:rsidR="00FE3E1A" w:rsidRPr="004521EA">
        <w:rPr>
          <w:color w:val="auto"/>
        </w:rPr>
        <w:t xml:space="preserve">imaging with the radiolabeled somatostatin analog </w:t>
      </w:r>
      <w:r w:rsidR="00FE3E1A" w:rsidRPr="004521EA">
        <w:rPr>
          <w:color w:val="auto"/>
          <w:vertAlign w:val="superscript"/>
        </w:rPr>
        <w:t>68</w:t>
      </w:r>
      <w:r w:rsidR="00FE3E1A" w:rsidRPr="004521EA">
        <w:rPr>
          <w:color w:val="auto"/>
        </w:rPr>
        <w:t xml:space="preserve">Ga-DOTATATE. </w:t>
      </w:r>
      <w:r w:rsidR="00750F29" w:rsidRPr="004521EA">
        <w:rPr>
          <w:color w:val="auto"/>
        </w:rPr>
        <w:t xml:space="preserve">This protocol details the radiolabeling of </w:t>
      </w:r>
      <w:r w:rsidR="00750F29" w:rsidRPr="004521EA">
        <w:rPr>
          <w:color w:val="auto"/>
          <w:vertAlign w:val="superscript"/>
        </w:rPr>
        <w:t>68</w:t>
      </w:r>
      <w:r w:rsidR="00750F29" w:rsidRPr="004521EA">
        <w:rPr>
          <w:color w:val="auto"/>
        </w:rPr>
        <w:t>Ga-DOTATATE,</w:t>
      </w:r>
      <w:r w:rsidR="00134069" w:rsidRPr="004521EA">
        <w:rPr>
          <w:color w:val="auto"/>
        </w:rPr>
        <w:t xml:space="preserve"> quality control,</w:t>
      </w:r>
      <w:r w:rsidR="00750F29" w:rsidRPr="004521EA">
        <w:rPr>
          <w:color w:val="auto"/>
        </w:rPr>
        <w:t xml:space="preserve"> patient preparation, and subsequent PET/CT imaging. </w:t>
      </w:r>
      <w:r w:rsidR="00E15443" w:rsidRPr="004521EA">
        <w:rPr>
          <w:color w:val="auto"/>
        </w:rPr>
        <w:t xml:space="preserve">Radiation safety and time constrictions due to the short half-life of </w:t>
      </w:r>
      <w:r w:rsidR="00E15443" w:rsidRPr="004521EA">
        <w:rPr>
          <w:color w:val="auto"/>
          <w:vertAlign w:val="superscript"/>
        </w:rPr>
        <w:t>68</w:t>
      </w:r>
      <w:r w:rsidR="00E15443" w:rsidRPr="004521EA">
        <w:rPr>
          <w:color w:val="auto"/>
        </w:rPr>
        <w:t>Ga are taken into account.</w:t>
      </w:r>
    </w:p>
    <w:p w14:paraId="761028D6" w14:textId="77777777" w:rsidR="006305D7" w:rsidRPr="004521EA" w:rsidRDefault="006305D7" w:rsidP="008337F6">
      <w:pPr>
        <w:widowControl/>
      </w:pPr>
    </w:p>
    <w:p w14:paraId="64FB8590" w14:textId="019A1CCE" w:rsidR="006305D7" w:rsidRPr="004521EA" w:rsidRDefault="006305D7" w:rsidP="008337F6">
      <w:pPr>
        <w:widowControl/>
        <w:rPr>
          <w:color w:val="808080"/>
        </w:rPr>
      </w:pPr>
      <w:r w:rsidRPr="004521EA">
        <w:rPr>
          <w:b/>
          <w:bCs/>
        </w:rPr>
        <w:t>ABSTRACT:</w:t>
      </w:r>
      <w:r w:rsidRPr="004521EA">
        <w:t xml:space="preserve"> </w:t>
      </w:r>
    </w:p>
    <w:p w14:paraId="7B248D4F" w14:textId="104FB83F" w:rsidR="00FD0F5B" w:rsidRPr="004521EA" w:rsidRDefault="001379B1" w:rsidP="008337F6">
      <w:pPr>
        <w:widowControl/>
        <w:rPr>
          <w:color w:val="auto"/>
        </w:rPr>
      </w:pPr>
      <w:r w:rsidRPr="004521EA">
        <w:rPr>
          <w:color w:val="auto"/>
        </w:rPr>
        <w:t xml:space="preserve">Neuroendocrine tumors are a rare form of cancer that arise from neuroendocrine cells and can </w:t>
      </w:r>
      <w:r w:rsidR="008463A4">
        <w:rPr>
          <w:color w:val="auto"/>
        </w:rPr>
        <w:t xml:space="preserve">be </w:t>
      </w:r>
      <w:r w:rsidRPr="004521EA">
        <w:rPr>
          <w:color w:val="auto"/>
        </w:rPr>
        <w:t xml:space="preserve">present at almost any location throughout the body. </w:t>
      </w:r>
      <w:r w:rsidR="00953169" w:rsidRPr="004521EA">
        <w:rPr>
          <w:color w:val="auto"/>
        </w:rPr>
        <w:t xml:space="preserve">Although heterogeneous in presentation, a common denominator among these tumors is the </w:t>
      </w:r>
      <w:r w:rsidR="0059020C" w:rsidRPr="004521EA">
        <w:rPr>
          <w:color w:val="auto"/>
        </w:rPr>
        <w:t>over</w:t>
      </w:r>
      <w:r w:rsidR="00953169" w:rsidRPr="004521EA">
        <w:rPr>
          <w:color w:val="auto"/>
        </w:rPr>
        <w:t>expression of somatostatin receptor</w:t>
      </w:r>
      <w:r w:rsidR="0059020C" w:rsidRPr="004521EA">
        <w:rPr>
          <w:color w:val="auto"/>
        </w:rPr>
        <w:t>s</w:t>
      </w:r>
      <w:r w:rsidR="00953169" w:rsidRPr="004521EA">
        <w:rPr>
          <w:color w:val="auto"/>
        </w:rPr>
        <w:t xml:space="preserve">. </w:t>
      </w:r>
      <w:r w:rsidR="00D24676" w:rsidRPr="004521EA">
        <w:rPr>
          <w:color w:val="auto"/>
          <w:vertAlign w:val="superscript"/>
        </w:rPr>
        <w:t>68</w:t>
      </w:r>
      <w:r w:rsidR="00D24676" w:rsidRPr="004521EA">
        <w:rPr>
          <w:color w:val="auto"/>
        </w:rPr>
        <w:t>Ga-DOTATATE is a somatostatin analog labeled with the positron emitter gallium-68</w:t>
      </w:r>
      <w:r w:rsidR="008463A4">
        <w:rPr>
          <w:color w:val="auto"/>
        </w:rPr>
        <w:t xml:space="preserve"> (</w:t>
      </w:r>
      <w:r w:rsidR="008463A4" w:rsidRPr="00B26C89">
        <w:rPr>
          <w:color w:val="auto"/>
          <w:vertAlign w:val="superscript"/>
        </w:rPr>
        <w:t>68</w:t>
      </w:r>
      <w:r w:rsidR="008463A4">
        <w:rPr>
          <w:color w:val="auto"/>
        </w:rPr>
        <w:t>Ga)</w:t>
      </w:r>
      <w:r w:rsidR="00FD0F5B" w:rsidRPr="004521EA">
        <w:rPr>
          <w:color w:val="auto"/>
        </w:rPr>
        <w:t>. For</w:t>
      </w:r>
      <w:r w:rsidR="0059020C" w:rsidRPr="004521EA">
        <w:rPr>
          <w:color w:val="auto"/>
        </w:rPr>
        <w:t xml:space="preserve"> well-differentiated</w:t>
      </w:r>
      <w:r w:rsidR="00FD0F5B" w:rsidRPr="004521EA">
        <w:rPr>
          <w:color w:val="auto"/>
        </w:rPr>
        <w:t xml:space="preserve"> neuroendocrine tumors, </w:t>
      </w:r>
      <w:r w:rsidR="00FD0F5B" w:rsidRPr="004521EA">
        <w:rPr>
          <w:color w:val="auto"/>
          <w:vertAlign w:val="superscript"/>
        </w:rPr>
        <w:t>68</w:t>
      </w:r>
      <w:r w:rsidR="00FD0F5B" w:rsidRPr="004521EA">
        <w:rPr>
          <w:color w:val="auto"/>
        </w:rPr>
        <w:t xml:space="preserve">Ga-DOTATATE </w:t>
      </w:r>
      <w:r w:rsidR="008463A4">
        <w:rPr>
          <w:color w:val="auto"/>
        </w:rPr>
        <w:t>p</w:t>
      </w:r>
      <w:r w:rsidR="008463A4" w:rsidRPr="004521EA">
        <w:rPr>
          <w:color w:val="auto"/>
        </w:rPr>
        <w:t xml:space="preserve">ositron emission tomography </w:t>
      </w:r>
      <w:r w:rsidR="008463A4">
        <w:rPr>
          <w:color w:val="auto"/>
        </w:rPr>
        <w:t>(</w:t>
      </w:r>
      <w:r w:rsidR="00FD0F5B" w:rsidRPr="004521EA">
        <w:rPr>
          <w:color w:val="auto"/>
        </w:rPr>
        <w:t>PET</w:t>
      </w:r>
      <w:r w:rsidR="008463A4">
        <w:rPr>
          <w:color w:val="auto"/>
        </w:rPr>
        <w:t>)</w:t>
      </w:r>
      <w:r w:rsidR="00FD0F5B" w:rsidRPr="004521EA">
        <w:rPr>
          <w:color w:val="auto"/>
        </w:rPr>
        <w:t>/</w:t>
      </w:r>
      <w:r w:rsidR="008463A4" w:rsidRPr="004521EA">
        <w:rPr>
          <w:color w:val="auto"/>
        </w:rPr>
        <w:t xml:space="preserve">computed tomography </w:t>
      </w:r>
      <w:r w:rsidR="008463A4">
        <w:rPr>
          <w:color w:val="auto"/>
        </w:rPr>
        <w:t>(</w:t>
      </w:r>
      <w:r w:rsidR="00FD0F5B" w:rsidRPr="004521EA">
        <w:rPr>
          <w:color w:val="auto"/>
        </w:rPr>
        <w:t>CT</w:t>
      </w:r>
      <w:r w:rsidR="008463A4">
        <w:rPr>
          <w:color w:val="auto"/>
        </w:rPr>
        <w:t>)</w:t>
      </w:r>
      <w:r w:rsidR="00FD0F5B" w:rsidRPr="004521EA">
        <w:rPr>
          <w:color w:val="auto"/>
        </w:rPr>
        <w:t xml:space="preserve"> imaging is used for diagnosis, determination of disease burden, and therapy selection. </w:t>
      </w:r>
    </w:p>
    <w:p w14:paraId="55596566" w14:textId="77777777" w:rsidR="00B63758" w:rsidRPr="004521EA" w:rsidRDefault="00B63758" w:rsidP="008337F6">
      <w:pPr>
        <w:widowControl/>
        <w:rPr>
          <w:color w:val="auto"/>
        </w:rPr>
      </w:pPr>
    </w:p>
    <w:p w14:paraId="19479B25" w14:textId="06EE4EDA" w:rsidR="006F6DFC" w:rsidRPr="004521EA" w:rsidRDefault="00730ED8" w:rsidP="008337F6">
      <w:pPr>
        <w:widowControl/>
        <w:rPr>
          <w:color w:val="auto"/>
        </w:rPr>
      </w:pPr>
      <w:r w:rsidRPr="004521EA">
        <w:rPr>
          <w:color w:val="auto"/>
        </w:rPr>
        <w:t xml:space="preserve">This protocol details the radiolabeling of </w:t>
      </w:r>
      <w:r w:rsidRPr="004521EA">
        <w:rPr>
          <w:color w:val="auto"/>
          <w:vertAlign w:val="superscript"/>
        </w:rPr>
        <w:t>68</w:t>
      </w:r>
      <w:r w:rsidRPr="004521EA">
        <w:rPr>
          <w:color w:val="auto"/>
        </w:rPr>
        <w:t xml:space="preserve">Ga-DOTATATE, quality control, patient preparation, and subsequent PET/CT </w:t>
      </w:r>
      <w:r w:rsidR="00E15443" w:rsidRPr="004521EA">
        <w:rPr>
          <w:color w:val="auto"/>
        </w:rPr>
        <w:t>imaging</w:t>
      </w:r>
      <w:r w:rsidRPr="004521EA">
        <w:rPr>
          <w:color w:val="auto"/>
        </w:rPr>
        <w:t xml:space="preserve">. Radiolabeling of </w:t>
      </w:r>
      <w:r w:rsidRPr="004521EA">
        <w:rPr>
          <w:color w:val="auto"/>
          <w:vertAlign w:val="superscript"/>
        </w:rPr>
        <w:t>68</w:t>
      </w:r>
      <w:r w:rsidRPr="004521EA">
        <w:rPr>
          <w:color w:val="auto"/>
        </w:rPr>
        <w:t xml:space="preserve">Ga-DOTATATE is performed with a fully automated labeling module coupled to a </w:t>
      </w:r>
      <w:r w:rsidR="008463A4">
        <w:rPr>
          <w:color w:val="auto"/>
        </w:rPr>
        <w:t>g</w:t>
      </w:r>
      <w:r w:rsidR="008463A4" w:rsidRPr="008463A4">
        <w:rPr>
          <w:color w:val="auto"/>
        </w:rPr>
        <w:t xml:space="preserve">ermanium-68 </w:t>
      </w:r>
      <w:r w:rsidR="008463A4">
        <w:rPr>
          <w:color w:val="auto"/>
        </w:rPr>
        <w:t>(</w:t>
      </w:r>
      <w:r w:rsidRPr="004521EA">
        <w:rPr>
          <w:color w:val="auto"/>
          <w:vertAlign w:val="superscript"/>
        </w:rPr>
        <w:t>68</w:t>
      </w:r>
      <w:r w:rsidRPr="004521EA">
        <w:rPr>
          <w:color w:val="auto"/>
        </w:rPr>
        <w:t>Ge</w:t>
      </w:r>
      <w:r w:rsidR="008463A4">
        <w:rPr>
          <w:color w:val="auto"/>
        </w:rPr>
        <w:t>)</w:t>
      </w:r>
      <w:r w:rsidRPr="004521EA">
        <w:rPr>
          <w:color w:val="auto"/>
        </w:rPr>
        <w:t>/</w:t>
      </w:r>
      <w:r w:rsidRPr="004521EA">
        <w:rPr>
          <w:color w:val="auto"/>
          <w:vertAlign w:val="superscript"/>
        </w:rPr>
        <w:t>68</w:t>
      </w:r>
      <w:r w:rsidRPr="004521EA">
        <w:rPr>
          <w:color w:val="auto"/>
        </w:rPr>
        <w:t xml:space="preserve">Ga generator. </w:t>
      </w:r>
      <w:r w:rsidR="002E09E5" w:rsidRPr="004521EA">
        <w:rPr>
          <w:color w:val="auto"/>
        </w:rPr>
        <w:t xml:space="preserve">Quality control of the final product evaluates radiochemical purity with instant thin-layer chromatography and </w:t>
      </w:r>
      <w:r w:rsidR="002E09E5" w:rsidRPr="004521EA">
        <w:rPr>
          <w:color w:val="auto"/>
        </w:rPr>
        <w:lastRenderedPageBreak/>
        <w:t>solid</w:t>
      </w:r>
      <w:r w:rsidR="008463A4">
        <w:rPr>
          <w:color w:val="auto"/>
        </w:rPr>
        <w:t>-</w:t>
      </w:r>
      <w:r w:rsidR="002E09E5" w:rsidRPr="004521EA">
        <w:rPr>
          <w:color w:val="auto"/>
        </w:rPr>
        <w:t xml:space="preserve">phase chromatography, </w:t>
      </w:r>
      <w:r w:rsidR="006956F9" w:rsidRPr="004521EA">
        <w:rPr>
          <w:color w:val="auto"/>
        </w:rPr>
        <w:t xml:space="preserve">and pH </w:t>
      </w:r>
      <w:r w:rsidR="002E09E5" w:rsidRPr="004521EA">
        <w:rPr>
          <w:color w:val="auto"/>
        </w:rPr>
        <w:t>prior to patient injection. Periodi</w:t>
      </w:r>
      <w:r w:rsidR="00B63758" w:rsidRPr="004521EA">
        <w:rPr>
          <w:color w:val="auto"/>
        </w:rPr>
        <w:t>c</w:t>
      </w:r>
      <w:r w:rsidR="002E09E5" w:rsidRPr="004521EA">
        <w:rPr>
          <w:color w:val="auto"/>
        </w:rPr>
        <w:t xml:space="preserve"> quality control is performed to determine </w:t>
      </w:r>
      <w:r w:rsidR="002E09E5" w:rsidRPr="004521EA">
        <w:rPr>
          <w:color w:val="auto"/>
          <w:vertAlign w:val="superscript"/>
        </w:rPr>
        <w:t>68</w:t>
      </w:r>
      <w:r w:rsidR="002E09E5" w:rsidRPr="004521EA">
        <w:rPr>
          <w:color w:val="auto"/>
        </w:rPr>
        <w:t>Ge breakthrough, sterility, and</w:t>
      </w:r>
      <w:r w:rsidR="00B26C89">
        <w:rPr>
          <w:color w:val="auto"/>
        </w:rPr>
        <w:t xml:space="preserve"> </w:t>
      </w:r>
      <w:r w:rsidR="00B26C89" w:rsidRPr="00B26C89">
        <w:rPr>
          <w:color w:val="auto"/>
        </w:rPr>
        <w:t>(4-(2-hydroxyethyl)-1-piperazineethanesulfonic acid</w:t>
      </w:r>
      <w:r w:rsidR="00B26C89">
        <w:rPr>
          <w:color w:val="auto"/>
        </w:rPr>
        <w:t xml:space="preserve"> (</w:t>
      </w:r>
      <w:r w:rsidR="002E09E5" w:rsidRPr="004521EA">
        <w:rPr>
          <w:color w:val="auto"/>
        </w:rPr>
        <w:t>HEPES</w:t>
      </w:r>
      <w:r w:rsidR="00B26C89">
        <w:rPr>
          <w:color w:val="auto"/>
        </w:rPr>
        <w:t>)</w:t>
      </w:r>
      <w:r w:rsidR="002E09E5" w:rsidRPr="004521EA">
        <w:rPr>
          <w:color w:val="auto"/>
        </w:rPr>
        <w:t xml:space="preserve"> content.</w:t>
      </w:r>
      <w:r w:rsidR="00E02564" w:rsidRPr="004521EA">
        <w:rPr>
          <w:color w:val="auto"/>
        </w:rPr>
        <w:t xml:space="preserve"> </w:t>
      </w:r>
      <w:r w:rsidR="00B54E80" w:rsidRPr="004521EA">
        <w:rPr>
          <w:color w:val="auto"/>
        </w:rPr>
        <w:t xml:space="preserve">Patient preparation includes patient instructions, </w:t>
      </w:r>
      <w:r w:rsidR="008463A4">
        <w:rPr>
          <w:color w:val="auto"/>
        </w:rPr>
        <w:t xml:space="preserve">a </w:t>
      </w:r>
      <w:r w:rsidR="00B54E80" w:rsidRPr="004521EA">
        <w:rPr>
          <w:color w:val="auto"/>
        </w:rPr>
        <w:t xml:space="preserve">protocol for </w:t>
      </w:r>
      <w:r w:rsidR="00B54E80" w:rsidRPr="004521EA">
        <w:rPr>
          <w:color w:val="auto"/>
          <w:vertAlign w:val="superscript"/>
        </w:rPr>
        <w:t>68</w:t>
      </w:r>
      <w:r w:rsidR="00B54E80" w:rsidRPr="004521EA">
        <w:rPr>
          <w:color w:val="auto"/>
        </w:rPr>
        <w:t xml:space="preserve">Ga-DOTATATE during treatment with somatostatin analogs, </w:t>
      </w:r>
      <w:r w:rsidR="002D4DB1" w:rsidRPr="004521EA">
        <w:rPr>
          <w:color w:val="auto"/>
        </w:rPr>
        <w:t>and intravenous administration of the radiopharmaceutical.</w:t>
      </w:r>
      <w:r w:rsidR="00D1009A" w:rsidRPr="004521EA">
        <w:rPr>
          <w:color w:val="auto"/>
        </w:rPr>
        <w:t xml:space="preserve"> For</w:t>
      </w:r>
      <w:r w:rsidR="002D4DB1" w:rsidRPr="004521EA">
        <w:rPr>
          <w:color w:val="auto"/>
        </w:rPr>
        <w:t xml:space="preserve"> </w:t>
      </w:r>
      <w:r w:rsidR="00D1009A" w:rsidRPr="004521EA">
        <w:rPr>
          <w:color w:val="auto"/>
        </w:rPr>
        <w:t>PET/CT imaging</w:t>
      </w:r>
      <w:r w:rsidR="008463A4">
        <w:rPr>
          <w:color w:val="auto"/>
        </w:rPr>
        <w:t>,</w:t>
      </w:r>
      <w:r w:rsidR="00D1009A" w:rsidRPr="004521EA">
        <w:rPr>
          <w:color w:val="auto"/>
        </w:rPr>
        <w:t xml:space="preserve"> the acquisition and </w:t>
      </w:r>
      <w:r w:rsidR="00A21B2C" w:rsidRPr="004521EA">
        <w:rPr>
          <w:color w:val="auto"/>
        </w:rPr>
        <w:t xml:space="preserve">reconstruction settings are described. </w:t>
      </w:r>
      <w:r w:rsidR="00C5568D" w:rsidRPr="004521EA">
        <w:rPr>
          <w:color w:val="auto"/>
        </w:rPr>
        <w:t>For each step</w:t>
      </w:r>
      <w:r w:rsidR="008463A4">
        <w:rPr>
          <w:color w:val="auto"/>
        </w:rPr>
        <w:t>,</w:t>
      </w:r>
      <w:r w:rsidR="00C5568D" w:rsidRPr="004521EA">
        <w:rPr>
          <w:color w:val="auto"/>
        </w:rPr>
        <w:t xml:space="preserve"> radiation safety will be highlighted, as well as </w:t>
      </w:r>
      <w:r w:rsidR="00492ECF" w:rsidRPr="004521EA">
        <w:rPr>
          <w:color w:val="auto"/>
        </w:rPr>
        <w:t xml:space="preserve">time constrictions due to the short half-life of </w:t>
      </w:r>
      <w:r w:rsidR="00492ECF" w:rsidRPr="004521EA">
        <w:rPr>
          <w:color w:val="auto"/>
          <w:vertAlign w:val="superscript"/>
        </w:rPr>
        <w:t>68</w:t>
      </w:r>
      <w:r w:rsidR="00492ECF" w:rsidRPr="004521EA">
        <w:rPr>
          <w:color w:val="auto"/>
        </w:rPr>
        <w:t xml:space="preserve">Ga. </w:t>
      </w:r>
    </w:p>
    <w:p w14:paraId="2F1CE337" w14:textId="77777777" w:rsidR="00B63758" w:rsidRPr="004521EA" w:rsidRDefault="00B63758" w:rsidP="008337F6">
      <w:pPr>
        <w:widowControl/>
        <w:rPr>
          <w:color w:val="auto"/>
        </w:rPr>
      </w:pPr>
    </w:p>
    <w:p w14:paraId="41F1FAFB" w14:textId="7407CC95" w:rsidR="00730ED8" w:rsidRPr="004521EA" w:rsidRDefault="007A12BC" w:rsidP="008337F6">
      <w:pPr>
        <w:widowControl/>
        <w:rPr>
          <w:color w:val="auto"/>
        </w:rPr>
      </w:pPr>
      <w:r w:rsidRPr="004521EA">
        <w:rPr>
          <w:color w:val="auto"/>
        </w:rPr>
        <w:t xml:space="preserve">Fully automated in-house production and quality control of </w:t>
      </w:r>
      <w:r w:rsidRPr="004521EA">
        <w:rPr>
          <w:color w:val="auto"/>
          <w:vertAlign w:val="superscript"/>
        </w:rPr>
        <w:t>68</w:t>
      </w:r>
      <w:r w:rsidRPr="004521EA">
        <w:rPr>
          <w:color w:val="auto"/>
        </w:rPr>
        <w:t>Ga-DOTATATE leads to very high success rates (</w:t>
      </w:r>
      <w:r w:rsidR="00C97C9D" w:rsidRPr="004521EA">
        <w:rPr>
          <w:color w:val="auto"/>
        </w:rPr>
        <w:t>95</w:t>
      </w:r>
      <w:r w:rsidRPr="004521EA">
        <w:rPr>
          <w:color w:val="auto"/>
        </w:rPr>
        <w:t xml:space="preserve">%) and produces </w:t>
      </w:r>
      <w:r w:rsidR="008463A4">
        <w:rPr>
          <w:color w:val="auto"/>
        </w:rPr>
        <w:t>two to four</w:t>
      </w:r>
      <w:r w:rsidRPr="004521EA">
        <w:rPr>
          <w:color w:val="auto"/>
        </w:rPr>
        <w:t xml:space="preserve"> patient dosages per batch</w:t>
      </w:r>
      <w:r w:rsidR="008463A4">
        <w:rPr>
          <w:color w:val="auto"/>
        </w:rPr>
        <w:t>,</w:t>
      </w:r>
      <w:r w:rsidRPr="004521EA">
        <w:rPr>
          <w:color w:val="auto"/>
        </w:rPr>
        <w:t xml:space="preserve"> depending on the yield of the generator. In conclusion,</w:t>
      </w:r>
      <w:r w:rsidRPr="004521EA">
        <w:rPr>
          <w:color w:val="auto"/>
          <w:vertAlign w:val="superscript"/>
        </w:rPr>
        <w:t xml:space="preserve"> </w:t>
      </w:r>
      <w:r w:rsidR="00200309" w:rsidRPr="004521EA">
        <w:rPr>
          <w:color w:val="auto"/>
          <w:vertAlign w:val="superscript"/>
        </w:rPr>
        <w:t>68</w:t>
      </w:r>
      <w:r w:rsidR="00200309" w:rsidRPr="004521EA">
        <w:rPr>
          <w:color w:val="auto"/>
        </w:rPr>
        <w:t xml:space="preserve">Ga-DOTATATE PET/CT imaging is a noninvasive and fast method </w:t>
      </w:r>
      <w:r w:rsidR="00095F83">
        <w:rPr>
          <w:color w:val="auto"/>
        </w:rPr>
        <w:t xml:space="preserve">of </w:t>
      </w:r>
      <w:r w:rsidR="00200309" w:rsidRPr="004521EA">
        <w:rPr>
          <w:color w:val="auto"/>
        </w:rPr>
        <w:t xml:space="preserve">providing information on </w:t>
      </w:r>
      <w:r w:rsidR="008463A4">
        <w:rPr>
          <w:color w:val="auto"/>
        </w:rPr>
        <w:t xml:space="preserve">the </w:t>
      </w:r>
      <w:r w:rsidR="00200309" w:rsidRPr="004521EA">
        <w:rPr>
          <w:color w:val="auto"/>
        </w:rPr>
        <w:t xml:space="preserve">tumor burden of </w:t>
      </w:r>
      <w:r w:rsidR="008463A4">
        <w:rPr>
          <w:color w:val="auto"/>
        </w:rPr>
        <w:t>neuroendocrine tumors (</w:t>
      </w:r>
      <w:r w:rsidR="00200309" w:rsidRPr="004521EA">
        <w:rPr>
          <w:color w:val="auto"/>
        </w:rPr>
        <w:t>NET</w:t>
      </w:r>
      <w:r w:rsidR="008463A4">
        <w:rPr>
          <w:color w:val="auto"/>
        </w:rPr>
        <w:t>s)</w:t>
      </w:r>
      <w:r w:rsidR="00200309" w:rsidRPr="004521EA">
        <w:rPr>
          <w:color w:val="auto"/>
        </w:rPr>
        <w:t xml:space="preserve"> while </w:t>
      </w:r>
      <w:r w:rsidR="00C820E3" w:rsidRPr="004521EA">
        <w:rPr>
          <w:color w:val="auto"/>
        </w:rPr>
        <w:t xml:space="preserve">also assisting in diagnosis and </w:t>
      </w:r>
      <w:r w:rsidR="00200309" w:rsidRPr="004521EA">
        <w:rPr>
          <w:color w:val="auto"/>
        </w:rPr>
        <w:t xml:space="preserve">therapy selection. </w:t>
      </w:r>
    </w:p>
    <w:p w14:paraId="7B364DAA" w14:textId="77777777" w:rsidR="00730ED8" w:rsidRPr="004521EA" w:rsidRDefault="00730ED8" w:rsidP="008337F6">
      <w:pPr>
        <w:widowControl/>
        <w:rPr>
          <w:color w:val="808080" w:themeColor="background1" w:themeShade="80"/>
        </w:rPr>
      </w:pPr>
    </w:p>
    <w:p w14:paraId="28463BFF" w14:textId="5955334A" w:rsidR="00E7754F" w:rsidRPr="004521EA" w:rsidRDefault="006305D7" w:rsidP="008337F6">
      <w:pPr>
        <w:widowControl/>
        <w:rPr>
          <w:i/>
          <w:color w:val="808080"/>
        </w:rPr>
      </w:pPr>
      <w:r w:rsidRPr="004521EA">
        <w:rPr>
          <w:b/>
        </w:rPr>
        <w:t>INTRODUCTION</w:t>
      </w:r>
      <w:r w:rsidRPr="004521EA">
        <w:rPr>
          <w:b/>
          <w:bCs/>
        </w:rPr>
        <w:t>:</w:t>
      </w:r>
      <w:r w:rsidRPr="004521EA">
        <w:rPr>
          <w:color w:val="808080"/>
        </w:rPr>
        <w:t xml:space="preserve"> </w:t>
      </w:r>
    </w:p>
    <w:p w14:paraId="647702FF" w14:textId="2882868C" w:rsidR="00B74CD2" w:rsidRPr="004521EA" w:rsidRDefault="00E7754F" w:rsidP="008337F6">
      <w:pPr>
        <w:widowControl/>
        <w:rPr>
          <w:color w:val="auto"/>
        </w:rPr>
      </w:pPr>
      <w:r w:rsidRPr="004521EA">
        <w:rPr>
          <w:color w:val="auto"/>
        </w:rPr>
        <w:t>NETs are a heterogeneous group of tumors that arise</w:t>
      </w:r>
      <w:r w:rsidR="00095F83">
        <w:rPr>
          <w:color w:val="auto"/>
        </w:rPr>
        <w:t>s</w:t>
      </w:r>
      <w:r w:rsidRPr="004521EA">
        <w:rPr>
          <w:color w:val="auto"/>
        </w:rPr>
        <w:t xml:space="preserve"> from neuroendocrine cells. They can occur at almost any location in the body but are most common in the gastrointestinal tract, p</w:t>
      </w:r>
      <w:r w:rsidR="00DA7555" w:rsidRPr="004521EA">
        <w:rPr>
          <w:color w:val="auto"/>
        </w:rPr>
        <w:t>ancreas, and lung</w:t>
      </w:r>
      <w:r w:rsidR="00DA7555" w:rsidRPr="004521EA">
        <w:rPr>
          <w:color w:val="auto"/>
          <w:vertAlign w:val="superscript"/>
        </w:rPr>
        <w:t>1</w:t>
      </w:r>
      <w:r w:rsidR="008463A4" w:rsidRPr="004521EA">
        <w:rPr>
          <w:color w:val="auto"/>
        </w:rPr>
        <w:t>.</w:t>
      </w:r>
      <w:r w:rsidRPr="004521EA">
        <w:rPr>
          <w:color w:val="auto"/>
        </w:rPr>
        <w:t xml:space="preserve"> Although NET</w:t>
      </w:r>
      <w:r w:rsidR="008463A4">
        <w:rPr>
          <w:color w:val="auto"/>
        </w:rPr>
        <w:t>s</w:t>
      </w:r>
      <w:r w:rsidRPr="004521EA">
        <w:rPr>
          <w:color w:val="auto"/>
        </w:rPr>
        <w:t xml:space="preserve"> </w:t>
      </w:r>
      <w:r w:rsidR="008463A4">
        <w:rPr>
          <w:color w:val="auto"/>
        </w:rPr>
        <w:t>are</w:t>
      </w:r>
      <w:r w:rsidRPr="004521EA">
        <w:rPr>
          <w:color w:val="auto"/>
        </w:rPr>
        <w:t xml:space="preserve"> a rare disease, the</w:t>
      </w:r>
      <w:r w:rsidR="00A31449">
        <w:rPr>
          <w:color w:val="auto"/>
        </w:rPr>
        <w:t>ir</w:t>
      </w:r>
      <w:r w:rsidRPr="004521EA">
        <w:rPr>
          <w:color w:val="auto"/>
        </w:rPr>
        <w:t xml:space="preserve"> incidence in the United States </w:t>
      </w:r>
      <w:r w:rsidR="00A31449">
        <w:rPr>
          <w:color w:val="auto"/>
        </w:rPr>
        <w:t>has</w:t>
      </w:r>
      <w:r w:rsidRPr="004521EA">
        <w:rPr>
          <w:color w:val="auto"/>
        </w:rPr>
        <w:t xml:space="preserve"> </w:t>
      </w:r>
      <w:r w:rsidR="00A31449">
        <w:rPr>
          <w:color w:val="auto"/>
        </w:rPr>
        <w:t>risen</w:t>
      </w:r>
      <w:r w:rsidRPr="004521EA">
        <w:rPr>
          <w:color w:val="auto"/>
        </w:rPr>
        <w:t xml:space="preserve"> from 1.09 per 100</w:t>
      </w:r>
      <w:r w:rsidR="00A31449">
        <w:rPr>
          <w:color w:val="auto"/>
        </w:rPr>
        <w:t>,</w:t>
      </w:r>
      <w:r w:rsidRPr="004521EA">
        <w:rPr>
          <w:color w:val="auto"/>
        </w:rPr>
        <w:t xml:space="preserve">000 </w:t>
      </w:r>
      <w:r w:rsidR="00A31449">
        <w:rPr>
          <w:color w:val="auto"/>
        </w:rPr>
        <w:t>people</w:t>
      </w:r>
      <w:r w:rsidRPr="004521EA">
        <w:rPr>
          <w:color w:val="auto"/>
        </w:rPr>
        <w:t xml:space="preserve"> in 1973 to 6.98 per 100</w:t>
      </w:r>
      <w:r w:rsidR="00A31449">
        <w:rPr>
          <w:color w:val="auto"/>
        </w:rPr>
        <w:t>,</w:t>
      </w:r>
      <w:r w:rsidRPr="004521EA">
        <w:rPr>
          <w:color w:val="auto"/>
        </w:rPr>
        <w:t xml:space="preserve">000 </w:t>
      </w:r>
      <w:r w:rsidR="00A31449">
        <w:rPr>
          <w:color w:val="auto"/>
        </w:rPr>
        <w:t>people</w:t>
      </w:r>
      <w:r w:rsidR="00DA7555" w:rsidRPr="004521EA">
        <w:rPr>
          <w:color w:val="auto"/>
        </w:rPr>
        <w:t xml:space="preserve"> in 2012</w:t>
      </w:r>
      <w:r w:rsidR="00DA7555" w:rsidRPr="004521EA">
        <w:rPr>
          <w:color w:val="auto"/>
          <w:vertAlign w:val="superscript"/>
        </w:rPr>
        <w:t>2</w:t>
      </w:r>
      <w:r w:rsidR="00A31449" w:rsidRPr="004521EA">
        <w:rPr>
          <w:color w:val="auto"/>
        </w:rPr>
        <w:t>.</w:t>
      </w:r>
      <w:r w:rsidRPr="004521EA">
        <w:rPr>
          <w:color w:val="auto"/>
        </w:rPr>
        <w:t xml:space="preserve"> </w:t>
      </w:r>
      <w:r w:rsidR="00B74CD2" w:rsidRPr="004521EA">
        <w:rPr>
          <w:color w:val="auto"/>
        </w:rPr>
        <w:t xml:space="preserve">For </w:t>
      </w:r>
      <w:r w:rsidR="00A31449">
        <w:rPr>
          <w:color w:val="auto"/>
        </w:rPr>
        <w:t xml:space="preserve">an </w:t>
      </w:r>
      <w:r w:rsidR="00B74CD2" w:rsidRPr="004521EA">
        <w:rPr>
          <w:color w:val="auto"/>
        </w:rPr>
        <w:t xml:space="preserve">accurate diagnosis and staging of </w:t>
      </w:r>
      <w:r w:rsidR="00A31449">
        <w:rPr>
          <w:color w:val="auto"/>
        </w:rPr>
        <w:t xml:space="preserve">a </w:t>
      </w:r>
      <w:r w:rsidR="00B74CD2" w:rsidRPr="004521EA">
        <w:rPr>
          <w:color w:val="auto"/>
        </w:rPr>
        <w:t xml:space="preserve">NET, </w:t>
      </w:r>
      <w:r w:rsidR="00B74CD2" w:rsidRPr="004521EA">
        <w:rPr>
          <w:color w:val="auto"/>
          <w:vertAlign w:val="superscript"/>
        </w:rPr>
        <w:t>68</w:t>
      </w:r>
      <w:r w:rsidR="00B74CD2" w:rsidRPr="004521EA">
        <w:rPr>
          <w:color w:val="auto"/>
        </w:rPr>
        <w:t>Ga-DOTATATE PET/CT is</w:t>
      </w:r>
      <w:r w:rsidR="00B63758" w:rsidRPr="004521EA">
        <w:rPr>
          <w:color w:val="auto"/>
        </w:rPr>
        <w:t xml:space="preserve"> the</w:t>
      </w:r>
      <w:r w:rsidR="00B74CD2" w:rsidRPr="004521EA">
        <w:rPr>
          <w:color w:val="auto"/>
        </w:rPr>
        <w:t xml:space="preserve"> </w:t>
      </w:r>
      <w:r w:rsidR="00A33F02" w:rsidRPr="004521EA">
        <w:rPr>
          <w:color w:val="auto"/>
        </w:rPr>
        <w:t>standard of care</w:t>
      </w:r>
      <w:r w:rsidR="00B74CD2" w:rsidRPr="004521EA">
        <w:rPr>
          <w:color w:val="auto"/>
        </w:rPr>
        <w:t xml:space="preserve">. This protocol describes the production and quality control of </w:t>
      </w:r>
      <w:r w:rsidR="00B74CD2" w:rsidRPr="004521EA">
        <w:rPr>
          <w:color w:val="auto"/>
          <w:vertAlign w:val="superscript"/>
        </w:rPr>
        <w:t>68</w:t>
      </w:r>
      <w:r w:rsidR="00B74CD2" w:rsidRPr="004521EA">
        <w:rPr>
          <w:color w:val="auto"/>
        </w:rPr>
        <w:t>Ga-DOTATATE</w:t>
      </w:r>
      <w:r w:rsidR="00A31449">
        <w:rPr>
          <w:color w:val="auto"/>
        </w:rPr>
        <w:t>,</w:t>
      </w:r>
      <w:r w:rsidR="00B74CD2" w:rsidRPr="004521EA">
        <w:rPr>
          <w:color w:val="auto"/>
        </w:rPr>
        <w:t xml:space="preserve"> as well as patient preparation and </w:t>
      </w:r>
      <w:r w:rsidR="00A31449">
        <w:rPr>
          <w:color w:val="auto"/>
        </w:rPr>
        <w:t xml:space="preserve">the </w:t>
      </w:r>
      <w:r w:rsidR="00B74CD2" w:rsidRPr="004521EA">
        <w:rPr>
          <w:color w:val="auto"/>
        </w:rPr>
        <w:t xml:space="preserve">acquisition of PET/CT images. </w:t>
      </w:r>
    </w:p>
    <w:p w14:paraId="59C4D9A3" w14:textId="77777777" w:rsidR="00F91A44" w:rsidRPr="004521EA" w:rsidRDefault="00F91A44" w:rsidP="008337F6">
      <w:pPr>
        <w:widowControl/>
        <w:rPr>
          <w:color w:val="auto"/>
        </w:rPr>
      </w:pPr>
    </w:p>
    <w:p w14:paraId="4D8ED523" w14:textId="24E008AD" w:rsidR="00B74CD2" w:rsidRPr="004521EA" w:rsidRDefault="0059020C" w:rsidP="008337F6">
      <w:pPr>
        <w:widowControl/>
        <w:rPr>
          <w:color w:val="auto"/>
          <w:vertAlign w:val="superscript"/>
        </w:rPr>
      </w:pPr>
      <w:r w:rsidRPr="004521EA">
        <w:rPr>
          <w:color w:val="auto"/>
        </w:rPr>
        <w:t xml:space="preserve">Well-differentiated </w:t>
      </w:r>
      <w:r w:rsidR="00A31449">
        <w:rPr>
          <w:color w:val="auto"/>
        </w:rPr>
        <w:t>NETs</w:t>
      </w:r>
      <w:r w:rsidR="00F91A44" w:rsidRPr="004521EA">
        <w:rPr>
          <w:color w:val="auto"/>
        </w:rPr>
        <w:t xml:space="preserve"> are characterized by an overexpression of somatostatin receptor</w:t>
      </w:r>
      <w:r w:rsidRPr="004521EA">
        <w:rPr>
          <w:color w:val="auto"/>
        </w:rPr>
        <w:t>s</w:t>
      </w:r>
      <w:r w:rsidR="00B26C89" w:rsidRPr="00B26C89">
        <w:rPr>
          <w:color w:val="auto"/>
          <w:vertAlign w:val="superscript"/>
        </w:rPr>
        <w:t>1</w:t>
      </w:r>
      <w:r w:rsidR="00F91A44" w:rsidRPr="004521EA">
        <w:rPr>
          <w:color w:val="auto"/>
        </w:rPr>
        <w:t xml:space="preserve">. </w:t>
      </w:r>
      <w:r w:rsidR="00FD1C69" w:rsidRPr="004521EA">
        <w:rPr>
          <w:color w:val="auto"/>
        </w:rPr>
        <w:t xml:space="preserve">Somatostatin analogs </w:t>
      </w:r>
      <w:r w:rsidR="00785247" w:rsidRPr="004521EA">
        <w:rPr>
          <w:color w:val="auto"/>
        </w:rPr>
        <w:t xml:space="preserve">that bind to this receptor can be labeled with a radioactive isotope to allow for nuclear medicine imaging. </w:t>
      </w:r>
      <w:r w:rsidR="00DE4FF2" w:rsidRPr="004521EA">
        <w:rPr>
          <w:color w:val="auto"/>
        </w:rPr>
        <w:t>At first</w:t>
      </w:r>
      <w:r w:rsidR="00A31449">
        <w:rPr>
          <w:color w:val="auto"/>
        </w:rPr>
        <w:t>,</w:t>
      </w:r>
      <w:r w:rsidR="00DE4FF2" w:rsidRPr="004521EA">
        <w:rPr>
          <w:color w:val="auto"/>
        </w:rPr>
        <w:t xml:space="preserve"> </w:t>
      </w:r>
      <w:r w:rsidR="00A31449">
        <w:rPr>
          <w:color w:val="auto"/>
        </w:rPr>
        <w:t>i</w:t>
      </w:r>
      <w:r w:rsidR="00DE4FF2" w:rsidRPr="004521EA">
        <w:rPr>
          <w:color w:val="auto"/>
        </w:rPr>
        <w:t>odine-123 was used with gamma camera imaging</w:t>
      </w:r>
      <w:r w:rsidR="00A31449">
        <w:rPr>
          <w:color w:val="auto"/>
        </w:rPr>
        <w:t>,</w:t>
      </w:r>
      <w:r w:rsidR="00DE4FF2" w:rsidRPr="004521EA">
        <w:rPr>
          <w:color w:val="auto"/>
        </w:rPr>
        <w:t xml:space="preserve"> which was soon replaced by </w:t>
      </w:r>
      <w:r w:rsidR="00A31449">
        <w:rPr>
          <w:color w:val="auto"/>
        </w:rPr>
        <w:t>i</w:t>
      </w:r>
      <w:r w:rsidR="00DE4FF2" w:rsidRPr="004521EA">
        <w:rPr>
          <w:color w:val="auto"/>
        </w:rPr>
        <w:t>ndium-111</w:t>
      </w:r>
      <w:r w:rsidR="00B218D9" w:rsidRPr="004521EA">
        <w:rPr>
          <w:color w:val="auto"/>
        </w:rPr>
        <w:t xml:space="preserve"> </w:t>
      </w:r>
      <w:r w:rsidR="00647979" w:rsidRPr="004521EA">
        <w:rPr>
          <w:color w:val="auto"/>
        </w:rPr>
        <w:t>(</w:t>
      </w:r>
      <w:r w:rsidR="00647979" w:rsidRPr="004521EA">
        <w:rPr>
          <w:color w:val="auto"/>
          <w:vertAlign w:val="superscript"/>
        </w:rPr>
        <w:t>111</w:t>
      </w:r>
      <w:r w:rsidR="00DA7555" w:rsidRPr="004521EA">
        <w:rPr>
          <w:color w:val="auto"/>
        </w:rPr>
        <w:t>In)</w:t>
      </w:r>
      <w:r w:rsidR="00DA7555" w:rsidRPr="004521EA">
        <w:rPr>
          <w:color w:val="auto"/>
          <w:vertAlign w:val="superscript"/>
        </w:rPr>
        <w:t>3</w:t>
      </w:r>
      <w:r w:rsidR="00A31449">
        <w:rPr>
          <w:color w:val="auto"/>
          <w:vertAlign w:val="superscript"/>
        </w:rPr>
        <w:t>–</w:t>
      </w:r>
      <w:r w:rsidR="00DA7555" w:rsidRPr="004521EA">
        <w:rPr>
          <w:color w:val="auto"/>
          <w:vertAlign w:val="superscript"/>
        </w:rPr>
        <w:t>4</w:t>
      </w:r>
      <w:r w:rsidR="00A31449" w:rsidRPr="004521EA">
        <w:rPr>
          <w:color w:val="auto"/>
        </w:rPr>
        <w:t>.</w:t>
      </w:r>
      <w:r w:rsidR="00B218D9" w:rsidRPr="004521EA">
        <w:rPr>
          <w:color w:val="auto"/>
        </w:rPr>
        <w:t xml:space="preserve"> </w:t>
      </w:r>
      <w:r w:rsidR="00647979" w:rsidRPr="004521EA">
        <w:rPr>
          <w:color w:val="auto"/>
          <w:vertAlign w:val="superscript"/>
        </w:rPr>
        <w:t>111</w:t>
      </w:r>
      <w:r w:rsidR="00647979" w:rsidRPr="004521EA">
        <w:rPr>
          <w:color w:val="auto"/>
        </w:rPr>
        <w:t xml:space="preserve">In-octreotide scintigraphy was the golden standard for </w:t>
      </w:r>
      <w:r w:rsidR="00935A72" w:rsidRPr="004521EA">
        <w:rPr>
          <w:color w:val="auto"/>
        </w:rPr>
        <w:t xml:space="preserve">nuclear medicine </w:t>
      </w:r>
      <w:r w:rsidR="00DA7555" w:rsidRPr="004521EA">
        <w:rPr>
          <w:color w:val="auto"/>
        </w:rPr>
        <w:t>NET imaging for over a decade</w:t>
      </w:r>
      <w:r w:rsidR="00DA7555" w:rsidRPr="004521EA">
        <w:rPr>
          <w:color w:val="auto"/>
          <w:vertAlign w:val="superscript"/>
        </w:rPr>
        <w:t>5</w:t>
      </w:r>
      <w:r w:rsidR="00A31449" w:rsidRPr="004521EA">
        <w:rPr>
          <w:color w:val="auto"/>
        </w:rPr>
        <w:t>.</w:t>
      </w:r>
      <w:r w:rsidR="00DA7555" w:rsidRPr="004521EA">
        <w:rPr>
          <w:color w:val="auto"/>
        </w:rPr>
        <w:t xml:space="preserve"> </w:t>
      </w:r>
      <w:r w:rsidR="000164FD" w:rsidRPr="004521EA">
        <w:rPr>
          <w:color w:val="auto"/>
        </w:rPr>
        <w:t>Meanwhile, technical advances were made in</w:t>
      </w:r>
      <w:r w:rsidR="00D379B0" w:rsidRPr="004521EA">
        <w:rPr>
          <w:color w:val="auto"/>
        </w:rPr>
        <w:t xml:space="preserve"> PET</w:t>
      </w:r>
      <w:r w:rsidR="000164FD" w:rsidRPr="004521EA">
        <w:rPr>
          <w:color w:val="auto"/>
        </w:rPr>
        <w:t xml:space="preserve">, which has a higher sensitivity and resolution than gamma camera imaging. </w:t>
      </w:r>
      <w:r w:rsidR="0092097B" w:rsidRPr="004521EA">
        <w:rPr>
          <w:color w:val="auto"/>
        </w:rPr>
        <w:t>For NET</w:t>
      </w:r>
      <w:r w:rsidR="00A31449">
        <w:rPr>
          <w:color w:val="auto"/>
        </w:rPr>
        <w:t>s</w:t>
      </w:r>
      <w:r w:rsidR="0092097B" w:rsidRPr="004521EA">
        <w:rPr>
          <w:color w:val="auto"/>
        </w:rPr>
        <w:t xml:space="preserve">, somatostatin analogs coupled to the positron emitter </w:t>
      </w:r>
      <w:r w:rsidR="0092097B" w:rsidRPr="004521EA">
        <w:rPr>
          <w:color w:val="auto"/>
          <w:vertAlign w:val="superscript"/>
        </w:rPr>
        <w:t>68</w:t>
      </w:r>
      <w:r w:rsidR="0092097B" w:rsidRPr="004521EA">
        <w:rPr>
          <w:color w:val="auto"/>
        </w:rPr>
        <w:t>Ga</w:t>
      </w:r>
      <w:r w:rsidR="00A31449">
        <w:rPr>
          <w:color w:val="auto"/>
        </w:rPr>
        <w:t>,</w:t>
      </w:r>
      <w:r w:rsidR="0092097B" w:rsidRPr="004521EA">
        <w:rPr>
          <w:color w:val="auto"/>
        </w:rPr>
        <w:t xml:space="preserve"> such as </w:t>
      </w:r>
      <w:r w:rsidR="0092097B" w:rsidRPr="004521EA">
        <w:rPr>
          <w:color w:val="auto"/>
          <w:vertAlign w:val="superscript"/>
        </w:rPr>
        <w:t>68</w:t>
      </w:r>
      <w:r w:rsidR="0092097B" w:rsidRPr="004521EA">
        <w:rPr>
          <w:color w:val="auto"/>
        </w:rPr>
        <w:t>Ga-DOTATATE</w:t>
      </w:r>
      <w:r w:rsidR="00A31449">
        <w:rPr>
          <w:color w:val="auto"/>
        </w:rPr>
        <w:t>,</w:t>
      </w:r>
      <w:r w:rsidR="0092097B" w:rsidRPr="004521EA">
        <w:rPr>
          <w:color w:val="auto"/>
        </w:rPr>
        <w:t xml:space="preserve"> were developed</w:t>
      </w:r>
      <w:r w:rsidR="00DA7555" w:rsidRPr="004521EA">
        <w:rPr>
          <w:color w:val="auto"/>
          <w:vertAlign w:val="superscript"/>
        </w:rPr>
        <w:t>6</w:t>
      </w:r>
      <w:r w:rsidR="00A31449" w:rsidRPr="004521EA">
        <w:rPr>
          <w:color w:val="auto"/>
        </w:rPr>
        <w:t>.</w:t>
      </w:r>
    </w:p>
    <w:p w14:paraId="7B9384DD" w14:textId="77777777" w:rsidR="00B74CD2" w:rsidRPr="004521EA" w:rsidRDefault="00B74CD2" w:rsidP="008337F6">
      <w:pPr>
        <w:widowControl/>
        <w:rPr>
          <w:color w:val="auto"/>
        </w:rPr>
      </w:pPr>
    </w:p>
    <w:p w14:paraId="45FFBA19" w14:textId="39AE8436" w:rsidR="007A4DD6" w:rsidRPr="004521EA" w:rsidRDefault="00DA7F04" w:rsidP="008337F6">
      <w:pPr>
        <w:widowControl/>
        <w:rPr>
          <w:color w:val="auto"/>
        </w:rPr>
      </w:pPr>
      <w:r w:rsidRPr="004521EA">
        <w:rPr>
          <w:color w:val="auto"/>
          <w:vertAlign w:val="superscript"/>
        </w:rPr>
        <w:t>68</w:t>
      </w:r>
      <w:r w:rsidRPr="004521EA">
        <w:rPr>
          <w:color w:val="auto"/>
        </w:rPr>
        <w:t>Ga-somatostatin receptor (</w:t>
      </w:r>
      <w:r w:rsidRPr="004521EA">
        <w:rPr>
          <w:color w:val="auto"/>
          <w:vertAlign w:val="superscript"/>
        </w:rPr>
        <w:t>68</w:t>
      </w:r>
      <w:r w:rsidRPr="004521EA">
        <w:rPr>
          <w:color w:val="auto"/>
        </w:rPr>
        <w:t>Ga-SRS) PET/CT is the current modality of choice in nuclear medicine imaging</w:t>
      </w:r>
      <w:r w:rsidR="0059020C" w:rsidRPr="004521EA">
        <w:rPr>
          <w:color w:val="auto"/>
        </w:rPr>
        <w:t xml:space="preserve"> of well-differentiated </w:t>
      </w:r>
      <w:r w:rsidR="00A31449">
        <w:rPr>
          <w:color w:val="auto"/>
        </w:rPr>
        <w:t>NETS</w:t>
      </w:r>
      <w:r w:rsidRPr="004521EA">
        <w:rPr>
          <w:color w:val="auto"/>
        </w:rPr>
        <w:t xml:space="preserve">. </w:t>
      </w:r>
      <w:r w:rsidR="00E155B5" w:rsidRPr="004521EA">
        <w:rPr>
          <w:color w:val="auto"/>
        </w:rPr>
        <w:t xml:space="preserve">The superiority of </w:t>
      </w:r>
      <w:r w:rsidR="00E155B5" w:rsidRPr="004521EA">
        <w:rPr>
          <w:color w:val="auto"/>
          <w:vertAlign w:val="superscript"/>
        </w:rPr>
        <w:t>68</w:t>
      </w:r>
      <w:r w:rsidR="00E155B5" w:rsidRPr="004521EA">
        <w:rPr>
          <w:color w:val="auto"/>
        </w:rPr>
        <w:t xml:space="preserve">Ga-SRS PET/CT over </w:t>
      </w:r>
      <w:r w:rsidR="00E155B5" w:rsidRPr="004521EA">
        <w:rPr>
          <w:color w:val="auto"/>
          <w:vertAlign w:val="superscript"/>
        </w:rPr>
        <w:t>111</w:t>
      </w:r>
      <w:r w:rsidR="00E155B5" w:rsidRPr="004521EA">
        <w:rPr>
          <w:color w:val="auto"/>
        </w:rPr>
        <w:t>In-octreotide has been demonstrated in several studies</w:t>
      </w:r>
      <w:r w:rsidR="00DA7555" w:rsidRPr="004521EA">
        <w:rPr>
          <w:color w:val="auto"/>
          <w:vertAlign w:val="superscript"/>
        </w:rPr>
        <w:t>7</w:t>
      </w:r>
      <w:r w:rsidR="00A31449">
        <w:rPr>
          <w:color w:val="auto"/>
          <w:vertAlign w:val="superscript"/>
        </w:rPr>
        <w:t>–</w:t>
      </w:r>
      <w:r w:rsidR="00DA7555" w:rsidRPr="004521EA">
        <w:rPr>
          <w:color w:val="auto"/>
          <w:vertAlign w:val="superscript"/>
        </w:rPr>
        <w:t>8</w:t>
      </w:r>
      <w:r w:rsidR="00A31449" w:rsidRPr="004521EA">
        <w:rPr>
          <w:color w:val="auto"/>
        </w:rPr>
        <w:t>.</w:t>
      </w:r>
      <w:r w:rsidR="00DA7555" w:rsidRPr="004521EA">
        <w:rPr>
          <w:color w:val="auto"/>
        </w:rPr>
        <w:t xml:space="preserve"> </w:t>
      </w:r>
      <w:r w:rsidRPr="004521EA">
        <w:rPr>
          <w:color w:val="auto"/>
        </w:rPr>
        <w:t xml:space="preserve">The reported sensitivity and specificity lie around </w:t>
      </w:r>
      <w:r w:rsidR="00DA7555" w:rsidRPr="004521EA">
        <w:rPr>
          <w:color w:val="auto"/>
        </w:rPr>
        <w:t>90</w:t>
      </w:r>
      <w:r w:rsidR="00A31449">
        <w:rPr>
          <w:color w:val="auto"/>
        </w:rPr>
        <w:t>%–</w:t>
      </w:r>
      <w:r w:rsidR="00DA7555" w:rsidRPr="004521EA">
        <w:rPr>
          <w:color w:val="auto"/>
        </w:rPr>
        <w:t>95% and 85</w:t>
      </w:r>
      <w:r w:rsidR="00A31449">
        <w:rPr>
          <w:color w:val="auto"/>
        </w:rPr>
        <w:t>%–</w:t>
      </w:r>
      <w:r w:rsidR="00DA7555" w:rsidRPr="004521EA">
        <w:rPr>
          <w:color w:val="auto"/>
        </w:rPr>
        <w:t>100%</w:t>
      </w:r>
      <w:r w:rsidR="00A31449">
        <w:rPr>
          <w:color w:val="auto"/>
        </w:rPr>
        <w:t>,</w:t>
      </w:r>
      <w:r w:rsidR="00DA7555" w:rsidRPr="004521EA">
        <w:rPr>
          <w:color w:val="auto"/>
        </w:rPr>
        <w:t xml:space="preserve"> respectively</w:t>
      </w:r>
      <w:r w:rsidR="00DA7555" w:rsidRPr="004521EA">
        <w:rPr>
          <w:color w:val="auto"/>
          <w:vertAlign w:val="superscript"/>
        </w:rPr>
        <w:t>9</w:t>
      </w:r>
      <w:r w:rsidR="00A31449">
        <w:rPr>
          <w:color w:val="auto"/>
          <w:vertAlign w:val="superscript"/>
        </w:rPr>
        <w:t>–</w:t>
      </w:r>
      <w:r w:rsidR="00DA7555" w:rsidRPr="004521EA">
        <w:rPr>
          <w:color w:val="auto"/>
          <w:vertAlign w:val="superscript"/>
        </w:rPr>
        <w:t>10</w:t>
      </w:r>
      <w:r w:rsidR="00A31449" w:rsidRPr="004521EA">
        <w:rPr>
          <w:color w:val="auto"/>
        </w:rPr>
        <w:t>.</w:t>
      </w:r>
      <w:r w:rsidR="00DA7555" w:rsidRPr="004521EA">
        <w:rPr>
          <w:color w:val="auto"/>
          <w:vertAlign w:val="superscript"/>
        </w:rPr>
        <w:t xml:space="preserve"> </w:t>
      </w:r>
      <w:r w:rsidR="006C0BD6" w:rsidRPr="004521EA">
        <w:rPr>
          <w:color w:val="auto"/>
        </w:rPr>
        <w:t>A meta-analysis has shown that</w:t>
      </w:r>
      <w:r w:rsidRPr="004521EA">
        <w:rPr>
          <w:color w:val="auto"/>
        </w:rPr>
        <w:t xml:space="preserve"> </w:t>
      </w:r>
      <w:r w:rsidR="006C0BD6" w:rsidRPr="004521EA">
        <w:rPr>
          <w:color w:val="auto"/>
          <w:vertAlign w:val="superscript"/>
        </w:rPr>
        <w:t>68</w:t>
      </w:r>
      <w:r w:rsidR="006C0BD6" w:rsidRPr="004521EA">
        <w:rPr>
          <w:color w:val="auto"/>
        </w:rPr>
        <w:t>Ga-SRS PET/CT leads to a change i</w:t>
      </w:r>
      <w:r w:rsidR="00236E9F" w:rsidRPr="004521EA">
        <w:rPr>
          <w:color w:val="auto"/>
        </w:rPr>
        <w:t>n</w:t>
      </w:r>
      <w:r w:rsidR="006C0BD6" w:rsidRPr="004521EA">
        <w:rPr>
          <w:color w:val="auto"/>
        </w:rPr>
        <w:t xml:space="preserve"> management in 44% of cases, even if preceded by </w:t>
      </w:r>
      <w:r w:rsidR="00B067F8" w:rsidRPr="004521EA">
        <w:rPr>
          <w:color w:val="auto"/>
          <w:vertAlign w:val="superscript"/>
        </w:rPr>
        <w:t>111</w:t>
      </w:r>
      <w:r w:rsidR="00DA7555" w:rsidRPr="004521EA">
        <w:rPr>
          <w:color w:val="auto"/>
        </w:rPr>
        <w:t>In-octreotide scintigraphy</w:t>
      </w:r>
      <w:r w:rsidR="00DA7555" w:rsidRPr="004521EA">
        <w:rPr>
          <w:color w:val="auto"/>
          <w:vertAlign w:val="superscript"/>
        </w:rPr>
        <w:t>11</w:t>
      </w:r>
      <w:r w:rsidR="00A31449" w:rsidRPr="004521EA">
        <w:rPr>
          <w:color w:val="auto"/>
        </w:rPr>
        <w:t>.</w:t>
      </w:r>
      <w:r w:rsidR="000E2251" w:rsidRPr="004521EA">
        <w:rPr>
          <w:color w:val="auto"/>
          <w:vertAlign w:val="superscript"/>
        </w:rPr>
        <w:t xml:space="preserve"> </w:t>
      </w:r>
      <w:r w:rsidR="00A31449" w:rsidRPr="00B26C89">
        <w:rPr>
          <w:color w:val="auto"/>
        </w:rPr>
        <w:t xml:space="preserve">In guidelines, </w:t>
      </w:r>
      <w:r w:rsidR="000E2251" w:rsidRPr="004521EA">
        <w:rPr>
          <w:color w:val="auto"/>
          <w:vertAlign w:val="superscript"/>
        </w:rPr>
        <w:t>68</w:t>
      </w:r>
      <w:r w:rsidR="000E2251" w:rsidRPr="004521EA">
        <w:rPr>
          <w:color w:val="auto"/>
        </w:rPr>
        <w:t>Ga-SRS PET/CT</w:t>
      </w:r>
      <w:r w:rsidR="006C0BD6" w:rsidRPr="004521EA">
        <w:rPr>
          <w:color w:val="auto"/>
        </w:rPr>
        <w:t xml:space="preserve"> </w:t>
      </w:r>
      <w:r w:rsidR="00B067F8" w:rsidRPr="004521EA">
        <w:rPr>
          <w:color w:val="auto"/>
        </w:rPr>
        <w:t xml:space="preserve">is now recommended over </w:t>
      </w:r>
      <w:r w:rsidR="00B067F8" w:rsidRPr="004521EA">
        <w:rPr>
          <w:color w:val="auto"/>
          <w:vertAlign w:val="superscript"/>
        </w:rPr>
        <w:t>111</w:t>
      </w:r>
      <w:r w:rsidR="00B067F8" w:rsidRPr="004521EA">
        <w:rPr>
          <w:color w:val="auto"/>
        </w:rPr>
        <w:t>In-octreotide scintigraphy</w:t>
      </w:r>
      <w:r w:rsidR="000E2251" w:rsidRPr="004521EA">
        <w:rPr>
          <w:color w:val="auto"/>
        </w:rPr>
        <w:t xml:space="preserve"> for NET imaging</w:t>
      </w:r>
      <w:r w:rsidR="00A31449">
        <w:rPr>
          <w:color w:val="auto"/>
        </w:rPr>
        <w:t>,</w:t>
      </w:r>
      <w:r w:rsidR="00B067F8" w:rsidRPr="004521EA">
        <w:rPr>
          <w:color w:val="auto"/>
        </w:rPr>
        <w:t xml:space="preserve"> and </w:t>
      </w:r>
      <w:r w:rsidR="00A31449">
        <w:rPr>
          <w:color w:val="auto"/>
        </w:rPr>
        <w:t xml:space="preserve">it is also </w:t>
      </w:r>
      <w:r w:rsidR="00B067F8" w:rsidRPr="004521EA">
        <w:rPr>
          <w:color w:val="auto"/>
        </w:rPr>
        <w:t>approved by the F</w:t>
      </w:r>
      <w:r w:rsidR="00B26C89">
        <w:rPr>
          <w:color w:val="auto"/>
        </w:rPr>
        <w:t xml:space="preserve">ood and </w:t>
      </w:r>
      <w:r w:rsidR="00B067F8" w:rsidRPr="004521EA">
        <w:rPr>
          <w:color w:val="auto"/>
        </w:rPr>
        <w:t>D</w:t>
      </w:r>
      <w:r w:rsidR="00B26C89">
        <w:rPr>
          <w:color w:val="auto"/>
        </w:rPr>
        <w:t xml:space="preserve">rug </w:t>
      </w:r>
      <w:r w:rsidR="00B067F8" w:rsidRPr="004521EA">
        <w:rPr>
          <w:color w:val="auto"/>
        </w:rPr>
        <w:t>A</w:t>
      </w:r>
      <w:r w:rsidR="00B26C89">
        <w:rPr>
          <w:color w:val="auto"/>
        </w:rPr>
        <w:t>dministration</w:t>
      </w:r>
      <w:r w:rsidR="00B067F8" w:rsidRPr="004521EA">
        <w:rPr>
          <w:color w:val="auto"/>
        </w:rPr>
        <w:t xml:space="preserve"> and E</w:t>
      </w:r>
      <w:r w:rsidR="00B26C89">
        <w:rPr>
          <w:color w:val="auto"/>
        </w:rPr>
        <w:t xml:space="preserve">uropean </w:t>
      </w:r>
      <w:r w:rsidR="00B067F8" w:rsidRPr="004521EA">
        <w:rPr>
          <w:color w:val="auto"/>
        </w:rPr>
        <w:t>M</w:t>
      </w:r>
      <w:r w:rsidR="00B26C89">
        <w:rPr>
          <w:color w:val="auto"/>
        </w:rPr>
        <w:t xml:space="preserve">edicines </w:t>
      </w:r>
      <w:r w:rsidR="00B067F8" w:rsidRPr="004521EA">
        <w:rPr>
          <w:color w:val="auto"/>
        </w:rPr>
        <w:t>A</w:t>
      </w:r>
      <w:r w:rsidR="00B26C89">
        <w:rPr>
          <w:color w:val="auto"/>
        </w:rPr>
        <w:t>gency</w:t>
      </w:r>
      <w:r w:rsidR="00DA7555" w:rsidRPr="004521EA">
        <w:rPr>
          <w:color w:val="auto"/>
          <w:vertAlign w:val="superscript"/>
        </w:rPr>
        <w:t>12</w:t>
      </w:r>
      <w:r w:rsidR="00A31449" w:rsidRPr="004521EA">
        <w:rPr>
          <w:color w:val="auto"/>
        </w:rPr>
        <w:t>.</w:t>
      </w:r>
      <w:r w:rsidR="00B067F8" w:rsidRPr="004521EA">
        <w:rPr>
          <w:color w:val="auto"/>
        </w:rPr>
        <w:t xml:space="preserve"> </w:t>
      </w:r>
      <w:r w:rsidR="00D24E31" w:rsidRPr="004521EA">
        <w:rPr>
          <w:color w:val="auto"/>
        </w:rPr>
        <w:t xml:space="preserve">A guideline for tumor imaging with </w:t>
      </w:r>
      <w:r w:rsidR="00D24E31" w:rsidRPr="004521EA">
        <w:rPr>
          <w:color w:val="auto"/>
          <w:vertAlign w:val="superscript"/>
        </w:rPr>
        <w:t>68</w:t>
      </w:r>
      <w:r w:rsidR="00D24E31" w:rsidRPr="004521EA">
        <w:rPr>
          <w:color w:val="auto"/>
        </w:rPr>
        <w:t>Ga-conjugated peptides is also available</w:t>
      </w:r>
      <w:r w:rsidR="00D24E31" w:rsidRPr="004521EA">
        <w:rPr>
          <w:color w:val="auto"/>
          <w:vertAlign w:val="superscript"/>
        </w:rPr>
        <w:t>13</w:t>
      </w:r>
      <w:r w:rsidR="00A31449" w:rsidRPr="004521EA">
        <w:rPr>
          <w:color w:val="auto"/>
        </w:rPr>
        <w:t>.</w:t>
      </w:r>
    </w:p>
    <w:p w14:paraId="63ABE427" w14:textId="77777777" w:rsidR="00135C84" w:rsidRPr="004521EA" w:rsidRDefault="00135C84" w:rsidP="008337F6">
      <w:pPr>
        <w:widowControl/>
        <w:rPr>
          <w:color w:val="auto"/>
        </w:rPr>
      </w:pPr>
    </w:p>
    <w:p w14:paraId="085D8842" w14:textId="2B8C2495" w:rsidR="00135C84" w:rsidRPr="004521EA" w:rsidRDefault="00135C84" w:rsidP="008337F6">
      <w:pPr>
        <w:widowControl/>
        <w:rPr>
          <w:color w:val="auto"/>
        </w:rPr>
      </w:pPr>
      <w:r w:rsidRPr="004521EA">
        <w:rPr>
          <w:color w:val="auto"/>
        </w:rPr>
        <w:t xml:space="preserve">This protocol details the radiolabeling of </w:t>
      </w:r>
      <w:r w:rsidRPr="004521EA">
        <w:rPr>
          <w:color w:val="auto"/>
          <w:vertAlign w:val="superscript"/>
        </w:rPr>
        <w:t>68</w:t>
      </w:r>
      <w:r w:rsidRPr="004521EA">
        <w:rPr>
          <w:color w:val="auto"/>
        </w:rPr>
        <w:t xml:space="preserve">Ga-DOTATATE </w:t>
      </w:r>
      <w:r w:rsidR="00A31449">
        <w:rPr>
          <w:color w:val="auto"/>
        </w:rPr>
        <w:t xml:space="preserve">(conform the </w:t>
      </w:r>
      <w:r w:rsidRPr="004521EA">
        <w:rPr>
          <w:color w:val="auto"/>
        </w:rPr>
        <w:t>quality control</w:t>
      </w:r>
      <w:r w:rsidR="00BC0768" w:rsidRPr="004521EA">
        <w:rPr>
          <w:color w:val="auto"/>
        </w:rPr>
        <w:t xml:space="preserve"> </w:t>
      </w:r>
      <w:r w:rsidR="00A31449">
        <w:rPr>
          <w:color w:val="auto"/>
        </w:rPr>
        <w:t>requirements of</w:t>
      </w:r>
      <w:r w:rsidR="00BC0768" w:rsidRPr="004521EA">
        <w:rPr>
          <w:color w:val="auto"/>
        </w:rPr>
        <w:t xml:space="preserve"> the European Pharmacopoeia</w:t>
      </w:r>
      <w:r w:rsidR="00850724" w:rsidRPr="004521EA">
        <w:rPr>
          <w:color w:val="auto"/>
          <w:vertAlign w:val="superscript"/>
        </w:rPr>
        <w:t>14</w:t>
      </w:r>
      <w:r w:rsidR="00A31449" w:rsidRPr="00B26C89">
        <w:rPr>
          <w:color w:val="auto"/>
        </w:rPr>
        <w:t>)</w:t>
      </w:r>
      <w:r w:rsidRPr="004521EA">
        <w:rPr>
          <w:color w:val="auto"/>
        </w:rPr>
        <w:t xml:space="preserve">, patient preparation, and subsequent PET/CT </w:t>
      </w:r>
      <w:r w:rsidRPr="004521EA">
        <w:rPr>
          <w:color w:val="auto"/>
        </w:rPr>
        <w:lastRenderedPageBreak/>
        <w:t xml:space="preserve">imaging. Radiation safety and time constrictions due to the short half-life of </w:t>
      </w:r>
      <w:r w:rsidRPr="004521EA">
        <w:rPr>
          <w:color w:val="auto"/>
          <w:vertAlign w:val="superscript"/>
        </w:rPr>
        <w:t>68</w:t>
      </w:r>
      <w:r w:rsidRPr="004521EA">
        <w:rPr>
          <w:color w:val="auto"/>
        </w:rPr>
        <w:t>Ga are taken into account.</w:t>
      </w:r>
    </w:p>
    <w:p w14:paraId="237AD7DD" w14:textId="77777777" w:rsidR="00D15131" w:rsidRPr="004521EA" w:rsidRDefault="00D15131" w:rsidP="008337F6">
      <w:pPr>
        <w:widowControl/>
        <w:rPr>
          <w:b/>
        </w:rPr>
      </w:pPr>
    </w:p>
    <w:p w14:paraId="3D4CD2F3" w14:textId="4702B130" w:rsidR="006305D7" w:rsidRPr="004521EA" w:rsidRDefault="006305D7" w:rsidP="008337F6">
      <w:pPr>
        <w:widowControl/>
        <w:rPr>
          <w:color w:val="808080" w:themeColor="background1" w:themeShade="80"/>
        </w:rPr>
      </w:pPr>
      <w:r w:rsidRPr="004521EA">
        <w:rPr>
          <w:b/>
        </w:rPr>
        <w:t>PROTOCOL:</w:t>
      </w:r>
      <w:r w:rsidRPr="004521EA">
        <w:t xml:space="preserve"> </w:t>
      </w:r>
    </w:p>
    <w:p w14:paraId="0BF8E95F" w14:textId="77777777" w:rsidR="00941610" w:rsidRPr="004521EA" w:rsidRDefault="00941610" w:rsidP="008337F6">
      <w:pPr>
        <w:widowControl/>
        <w:rPr>
          <w:color w:val="808080"/>
        </w:rPr>
      </w:pPr>
    </w:p>
    <w:p w14:paraId="2D4FD8A9" w14:textId="547CCD08" w:rsidR="00AE5F95" w:rsidRPr="004521EA" w:rsidRDefault="00AE5F95" w:rsidP="008337F6">
      <w:pPr>
        <w:pStyle w:val="ListParagraph"/>
        <w:widowControl/>
        <w:numPr>
          <w:ilvl w:val="0"/>
          <w:numId w:val="26"/>
        </w:numPr>
        <w:rPr>
          <w:b/>
          <w:color w:val="auto"/>
        </w:rPr>
      </w:pPr>
      <w:bookmarkStart w:id="0" w:name="_Hlk535159844"/>
      <w:r w:rsidRPr="004521EA">
        <w:rPr>
          <w:b/>
          <w:color w:val="auto"/>
        </w:rPr>
        <w:t>General radiation</w:t>
      </w:r>
      <w:r w:rsidR="00941610" w:rsidRPr="004521EA">
        <w:rPr>
          <w:b/>
          <w:color w:val="auto"/>
        </w:rPr>
        <w:t xml:space="preserve"> and radiopharmaceutical</w:t>
      </w:r>
      <w:r w:rsidR="00687BAE" w:rsidRPr="004521EA">
        <w:rPr>
          <w:b/>
          <w:color w:val="auto"/>
        </w:rPr>
        <w:t xml:space="preserve"> </w:t>
      </w:r>
      <w:r w:rsidRPr="004521EA">
        <w:rPr>
          <w:b/>
          <w:color w:val="auto"/>
        </w:rPr>
        <w:t>safety</w:t>
      </w:r>
    </w:p>
    <w:p w14:paraId="7DBC2CB4" w14:textId="77777777" w:rsidR="004978C9" w:rsidRPr="004521EA" w:rsidRDefault="004978C9" w:rsidP="008337F6">
      <w:pPr>
        <w:pStyle w:val="ListParagraph"/>
        <w:widowControl/>
        <w:ind w:left="0"/>
        <w:rPr>
          <w:color w:val="auto"/>
        </w:rPr>
      </w:pPr>
    </w:p>
    <w:p w14:paraId="5FDE8054" w14:textId="08CB52DB" w:rsidR="00687BAE" w:rsidRPr="004521EA" w:rsidRDefault="00236E9F" w:rsidP="008337F6">
      <w:pPr>
        <w:pStyle w:val="ListParagraph"/>
        <w:widowControl/>
        <w:numPr>
          <w:ilvl w:val="1"/>
          <w:numId w:val="28"/>
        </w:numPr>
        <w:rPr>
          <w:color w:val="auto"/>
        </w:rPr>
      </w:pPr>
      <w:r w:rsidRPr="004521EA">
        <w:rPr>
          <w:color w:val="auto"/>
        </w:rPr>
        <w:t xml:space="preserve">Ensure that </w:t>
      </w:r>
      <w:r w:rsidR="0050779A">
        <w:rPr>
          <w:color w:val="auto"/>
        </w:rPr>
        <w:t xml:space="preserve">radioactive materials are only </w:t>
      </w:r>
      <w:r w:rsidRPr="004521EA">
        <w:rPr>
          <w:color w:val="auto"/>
        </w:rPr>
        <w:t>w</w:t>
      </w:r>
      <w:r w:rsidR="00043CD9" w:rsidRPr="004521EA">
        <w:rPr>
          <w:color w:val="auto"/>
        </w:rPr>
        <w:t>ork</w:t>
      </w:r>
      <w:r w:rsidR="0050779A">
        <w:rPr>
          <w:color w:val="auto"/>
        </w:rPr>
        <w:t>ed</w:t>
      </w:r>
      <w:r w:rsidR="00043CD9" w:rsidRPr="004521EA">
        <w:rPr>
          <w:color w:val="auto"/>
        </w:rPr>
        <w:t xml:space="preserve"> with and handl</w:t>
      </w:r>
      <w:r w:rsidR="0050779A">
        <w:rPr>
          <w:color w:val="auto"/>
        </w:rPr>
        <w:t>ed</w:t>
      </w:r>
      <w:r w:rsidR="00043CD9" w:rsidRPr="004521EA">
        <w:rPr>
          <w:color w:val="auto"/>
        </w:rPr>
        <w:t xml:space="preserve"> </w:t>
      </w:r>
      <w:r w:rsidR="0050779A">
        <w:rPr>
          <w:color w:val="auto"/>
        </w:rPr>
        <w:t>by</w:t>
      </w:r>
      <w:r w:rsidR="00043CD9" w:rsidRPr="004521EA">
        <w:rPr>
          <w:color w:val="auto"/>
        </w:rPr>
        <w:t xml:space="preserve"> </w:t>
      </w:r>
      <w:r w:rsidR="004978C9" w:rsidRPr="004521EA">
        <w:rPr>
          <w:color w:val="auto"/>
        </w:rPr>
        <w:t xml:space="preserve">trained personnel. The dose to </w:t>
      </w:r>
      <w:r w:rsidR="00694689" w:rsidRPr="004521EA">
        <w:rPr>
          <w:color w:val="auto"/>
        </w:rPr>
        <w:t xml:space="preserve">hospital </w:t>
      </w:r>
      <w:r w:rsidR="004978C9" w:rsidRPr="004521EA">
        <w:rPr>
          <w:color w:val="auto"/>
        </w:rPr>
        <w:t>staff, patients</w:t>
      </w:r>
      <w:r w:rsidR="0050779A">
        <w:rPr>
          <w:color w:val="auto"/>
        </w:rPr>
        <w:t>,</w:t>
      </w:r>
      <w:r w:rsidR="004978C9" w:rsidRPr="004521EA">
        <w:rPr>
          <w:color w:val="auto"/>
        </w:rPr>
        <w:t xml:space="preserve"> and </w:t>
      </w:r>
      <w:r w:rsidR="0050779A">
        <w:rPr>
          <w:color w:val="auto"/>
        </w:rPr>
        <w:t>everyone else present</w:t>
      </w:r>
      <w:r w:rsidR="004978C9" w:rsidRPr="004521EA">
        <w:rPr>
          <w:color w:val="auto"/>
        </w:rPr>
        <w:t xml:space="preserve"> should always be kept as low as reasonably achievable (ALARA). </w:t>
      </w:r>
    </w:p>
    <w:p w14:paraId="34EE8171" w14:textId="77777777" w:rsidR="00941610" w:rsidRPr="004521EA" w:rsidRDefault="00941610" w:rsidP="008337F6">
      <w:pPr>
        <w:pStyle w:val="ListParagraph"/>
        <w:widowControl/>
        <w:ind w:left="0"/>
        <w:rPr>
          <w:color w:val="auto"/>
        </w:rPr>
      </w:pPr>
    </w:p>
    <w:p w14:paraId="42BBC61B" w14:textId="6B4117EF" w:rsidR="00941610" w:rsidRPr="004521EA" w:rsidRDefault="0050779A" w:rsidP="008337F6">
      <w:pPr>
        <w:pStyle w:val="ListParagraph"/>
        <w:widowControl/>
        <w:numPr>
          <w:ilvl w:val="1"/>
          <w:numId w:val="28"/>
        </w:numPr>
        <w:rPr>
          <w:color w:val="auto"/>
        </w:rPr>
      </w:pPr>
      <w:r>
        <w:rPr>
          <w:color w:val="auto"/>
        </w:rPr>
        <w:t>R</w:t>
      </w:r>
      <w:r w:rsidRPr="004521EA">
        <w:rPr>
          <w:color w:val="auto"/>
        </w:rPr>
        <w:t>egarding the preparation of radiopharmaceuticals</w:t>
      </w:r>
      <w:r>
        <w:rPr>
          <w:color w:val="auto"/>
        </w:rPr>
        <w:t>,</w:t>
      </w:r>
      <w:r w:rsidRPr="004521EA">
        <w:rPr>
          <w:color w:val="auto"/>
        </w:rPr>
        <w:t xml:space="preserve"> </w:t>
      </w:r>
      <w:r>
        <w:rPr>
          <w:color w:val="auto"/>
        </w:rPr>
        <w:t>a</w:t>
      </w:r>
      <w:r w:rsidR="00941610" w:rsidRPr="004521EA">
        <w:rPr>
          <w:color w:val="auto"/>
        </w:rPr>
        <w:t>dhere to national laws, regulations, and guidelines</w:t>
      </w:r>
      <w:r>
        <w:rPr>
          <w:color w:val="auto"/>
        </w:rPr>
        <w:t>,</w:t>
      </w:r>
      <w:r w:rsidR="00941610" w:rsidRPr="004521EA">
        <w:rPr>
          <w:color w:val="auto"/>
        </w:rPr>
        <w:t xml:space="preserve"> such as Good Manufacturing Practice (GMP).</w:t>
      </w:r>
    </w:p>
    <w:p w14:paraId="4386405C" w14:textId="77777777" w:rsidR="00F8378B" w:rsidRPr="004521EA" w:rsidRDefault="00F8378B" w:rsidP="008337F6">
      <w:pPr>
        <w:pStyle w:val="ListParagraph"/>
        <w:widowControl/>
        <w:ind w:left="0"/>
        <w:rPr>
          <w:color w:val="auto"/>
        </w:rPr>
      </w:pPr>
    </w:p>
    <w:p w14:paraId="0B43CFC4" w14:textId="1C4F600A" w:rsidR="00F8378B" w:rsidRPr="004521EA" w:rsidRDefault="0050779A" w:rsidP="00B26C89">
      <w:pPr>
        <w:pStyle w:val="ListParagraph"/>
        <w:widowControl/>
        <w:ind w:left="0"/>
        <w:rPr>
          <w:color w:val="auto"/>
        </w:rPr>
      </w:pPr>
      <w:r>
        <w:rPr>
          <w:color w:val="auto"/>
        </w:rPr>
        <w:t xml:space="preserve">CAUTION: </w:t>
      </w:r>
      <w:r w:rsidR="00F8378B" w:rsidRPr="004521EA">
        <w:rPr>
          <w:color w:val="auto"/>
        </w:rPr>
        <w:t xml:space="preserve">The following protocol is for </w:t>
      </w:r>
      <w:r>
        <w:rPr>
          <w:color w:val="auto"/>
        </w:rPr>
        <w:t xml:space="preserve">the </w:t>
      </w:r>
      <w:r w:rsidR="00F8378B" w:rsidRPr="004521EA">
        <w:rPr>
          <w:color w:val="auto"/>
          <w:vertAlign w:val="superscript"/>
        </w:rPr>
        <w:t>68</w:t>
      </w:r>
      <w:r w:rsidR="00F8378B" w:rsidRPr="004521EA">
        <w:rPr>
          <w:color w:val="auto"/>
        </w:rPr>
        <w:t xml:space="preserve">Ga-DOTATATE PET/CT imaging of adults only and </w:t>
      </w:r>
      <w:r w:rsidR="009C6CB0" w:rsidRPr="004521EA">
        <w:rPr>
          <w:color w:val="auto"/>
        </w:rPr>
        <w:t xml:space="preserve">is </w:t>
      </w:r>
      <w:r w:rsidR="00F8378B" w:rsidRPr="004521EA">
        <w:rPr>
          <w:color w:val="auto"/>
        </w:rPr>
        <w:t xml:space="preserve">not </w:t>
      </w:r>
      <w:r w:rsidR="009C6CB0" w:rsidRPr="004521EA">
        <w:rPr>
          <w:color w:val="auto"/>
        </w:rPr>
        <w:t xml:space="preserve">suitable </w:t>
      </w:r>
      <w:r w:rsidR="00F8378B" w:rsidRPr="004521EA">
        <w:rPr>
          <w:color w:val="auto"/>
        </w:rPr>
        <w:t xml:space="preserve">for children or pregnant women. </w:t>
      </w:r>
    </w:p>
    <w:p w14:paraId="45867515" w14:textId="77777777" w:rsidR="00687BAE" w:rsidRPr="004521EA" w:rsidRDefault="00687BAE" w:rsidP="008337F6">
      <w:pPr>
        <w:pStyle w:val="ListParagraph"/>
        <w:widowControl/>
        <w:ind w:left="0"/>
        <w:rPr>
          <w:color w:val="auto"/>
        </w:rPr>
      </w:pPr>
    </w:p>
    <w:p w14:paraId="6B379AD1" w14:textId="3B401BFE" w:rsidR="00AE5F95" w:rsidRPr="004521EA" w:rsidRDefault="0081719B" w:rsidP="008337F6">
      <w:pPr>
        <w:pStyle w:val="ListParagraph"/>
        <w:widowControl/>
        <w:numPr>
          <w:ilvl w:val="0"/>
          <w:numId w:val="28"/>
        </w:numPr>
        <w:rPr>
          <w:b/>
          <w:color w:val="auto"/>
        </w:rPr>
      </w:pPr>
      <w:r w:rsidRPr="004521EA">
        <w:rPr>
          <w:b/>
          <w:color w:val="auto"/>
        </w:rPr>
        <w:t xml:space="preserve">Preparations required prior to </w:t>
      </w:r>
      <w:r w:rsidR="00C27CCF">
        <w:rPr>
          <w:b/>
          <w:color w:val="auto"/>
        </w:rPr>
        <w:t>the l</w:t>
      </w:r>
      <w:r w:rsidRPr="004521EA">
        <w:rPr>
          <w:b/>
          <w:color w:val="auto"/>
        </w:rPr>
        <w:t xml:space="preserve">abeling of </w:t>
      </w:r>
      <w:r w:rsidRPr="004521EA">
        <w:rPr>
          <w:b/>
          <w:color w:val="auto"/>
          <w:vertAlign w:val="superscript"/>
        </w:rPr>
        <w:t>68</w:t>
      </w:r>
      <w:r w:rsidRPr="004521EA">
        <w:rPr>
          <w:b/>
          <w:color w:val="auto"/>
        </w:rPr>
        <w:t>Ga-DOTATATE</w:t>
      </w:r>
    </w:p>
    <w:p w14:paraId="42B290EC" w14:textId="77777777" w:rsidR="00B560F0" w:rsidRPr="004521EA" w:rsidRDefault="00B560F0" w:rsidP="008337F6">
      <w:pPr>
        <w:widowControl/>
        <w:rPr>
          <w:color w:val="auto"/>
        </w:rPr>
      </w:pPr>
    </w:p>
    <w:p w14:paraId="087D3005" w14:textId="6041FB75" w:rsidR="00687BAE" w:rsidRPr="004521EA" w:rsidRDefault="00533CBE" w:rsidP="008337F6">
      <w:pPr>
        <w:pStyle w:val="ListParagraph"/>
        <w:widowControl/>
        <w:numPr>
          <w:ilvl w:val="1"/>
          <w:numId w:val="28"/>
        </w:numPr>
        <w:rPr>
          <w:color w:val="auto"/>
        </w:rPr>
      </w:pPr>
      <w:r w:rsidRPr="004521EA">
        <w:rPr>
          <w:color w:val="auto"/>
        </w:rPr>
        <w:t xml:space="preserve">Elute the </w:t>
      </w:r>
      <w:r w:rsidRPr="004521EA">
        <w:rPr>
          <w:color w:val="auto"/>
          <w:vertAlign w:val="superscript"/>
        </w:rPr>
        <w:t>68</w:t>
      </w:r>
      <w:r w:rsidRPr="004521EA">
        <w:rPr>
          <w:color w:val="auto"/>
        </w:rPr>
        <w:t>Ge/</w:t>
      </w:r>
      <w:r w:rsidRPr="004521EA">
        <w:rPr>
          <w:color w:val="auto"/>
          <w:vertAlign w:val="superscript"/>
        </w:rPr>
        <w:t>68</w:t>
      </w:r>
      <w:r w:rsidRPr="004521EA">
        <w:rPr>
          <w:color w:val="auto"/>
        </w:rPr>
        <w:t xml:space="preserve">Ga generator </w:t>
      </w:r>
      <w:r w:rsidR="0050779A" w:rsidRPr="004521EA">
        <w:rPr>
          <w:color w:val="auto"/>
        </w:rPr>
        <w:t>with hydrochloric acid (HCl)</w:t>
      </w:r>
      <w:r w:rsidR="00494B7E" w:rsidRPr="00494B7E">
        <w:rPr>
          <w:color w:val="auto"/>
        </w:rPr>
        <w:t xml:space="preserve"> </w:t>
      </w:r>
      <w:r w:rsidR="00494B7E" w:rsidRPr="004521EA">
        <w:rPr>
          <w:color w:val="auto"/>
        </w:rPr>
        <w:t>according to the manufacturer</w:t>
      </w:r>
      <w:r w:rsidR="00494B7E">
        <w:rPr>
          <w:color w:val="auto"/>
        </w:rPr>
        <w:t>’</w:t>
      </w:r>
      <w:r w:rsidR="00494B7E" w:rsidRPr="004521EA">
        <w:rPr>
          <w:color w:val="auto"/>
        </w:rPr>
        <w:t>s specifications</w:t>
      </w:r>
      <w:r w:rsidR="0050779A">
        <w:rPr>
          <w:color w:val="auto"/>
        </w:rPr>
        <w:t xml:space="preserve">, </w:t>
      </w:r>
      <w:r w:rsidRPr="004521EA">
        <w:rPr>
          <w:color w:val="auto"/>
        </w:rPr>
        <w:t xml:space="preserve">between </w:t>
      </w:r>
      <w:r w:rsidR="0081719B" w:rsidRPr="004521EA">
        <w:rPr>
          <w:color w:val="auto"/>
        </w:rPr>
        <w:t>4</w:t>
      </w:r>
      <w:r w:rsidRPr="004521EA">
        <w:rPr>
          <w:color w:val="auto"/>
        </w:rPr>
        <w:t xml:space="preserve"> and 24 h prior to the start of labeling </w:t>
      </w:r>
      <w:r w:rsidRPr="004521EA">
        <w:rPr>
          <w:color w:val="auto"/>
          <w:vertAlign w:val="superscript"/>
        </w:rPr>
        <w:t>68</w:t>
      </w:r>
      <w:r w:rsidRPr="004521EA">
        <w:rPr>
          <w:color w:val="auto"/>
        </w:rPr>
        <w:t>Ga-DOTATATE</w:t>
      </w:r>
      <w:r w:rsidR="0081719B" w:rsidRPr="004521EA">
        <w:rPr>
          <w:color w:val="auto"/>
        </w:rPr>
        <w:t>.</w:t>
      </w:r>
      <w:r w:rsidR="00B560F0" w:rsidRPr="004521EA">
        <w:rPr>
          <w:color w:val="auto"/>
        </w:rPr>
        <w:t xml:space="preserve"> </w:t>
      </w:r>
    </w:p>
    <w:p w14:paraId="60B1AD4F" w14:textId="77777777" w:rsidR="00687BAE" w:rsidRPr="004521EA" w:rsidRDefault="00687BAE" w:rsidP="008337F6">
      <w:pPr>
        <w:widowControl/>
        <w:rPr>
          <w:color w:val="auto"/>
        </w:rPr>
      </w:pPr>
    </w:p>
    <w:p w14:paraId="6EAC928E" w14:textId="77777777" w:rsidR="0081719B" w:rsidRPr="004521EA" w:rsidRDefault="0081719B" w:rsidP="008337F6">
      <w:pPr>
        <w:pStyle w:val="ListParagraph"/>
        <w:widowControl/>
        <w:numPr>
          <w:ilvl w:val="0"/>
          <w:numId w:val="28"/>
        </w:numPr>
        <w:rPr>
          <w:b/>
          <w:color w:val="auto"/>
        </w:rPr>
      </w:pPr>
      <w:r w:rsidRPr="004521EA">
        <w:rPr>
          <w:b/>
          <w:color w:val="auto"/>
          <w:highlight w:val="yellow"/>
        </w:rPr>
        <w:t xml:space="preserve">Labeling of </w:t>
      </w:r>
      <w:r w:rsidRPr="004521EA">
        <w:rPr>
          <w:b/>
          <w:color w:val="auto"/>
          <w:highlight w:val="yellow"/>
          <w:vertAlign w:val="superscript"/>
        </w:rPr>
        <w:t>68</w:t>
      </w:r>
      <w:r w:rsidRPr="004521EA">
        <w:rPr>
          <w:b/>
          <w:color w:val="auto"/>
          <w:highlight w:val="yellow"/>
        </w:rPr>
        <w:t>Ga-DOTATATE</w:t>
      </w:r>
    </w:p>
    <w:p w14:paraId="51FFE4C0" w14:textId="77777777" w:rsidR="00CA2A66" w:rsidRPr="004521EA" w:rsidRDefault="00CA2A66" w:rsidP="008337F6">
      <w:pPr>
        <w:pStyle w:val="ListParagraph"/>
        <w:widowControl/>
        <w:ind w:left="0"/>
        <w:rPr>
          <w:color w:val="auto"/>
        </w:rPr>
      </w:pPr>
    </w:p>
    <w:p w14:paraId="2BE81557" w14:textId="67F65B50" w:rsidR="00877810" w:rsidRPr="004521EA" w:rsidRDefault="00C27CCF" w:rsidP="008337F6">
      <w:pPr>
        <w:widowControl/>
        <w:rPr>
          <w:color w:val="auto"/>
        </w:rPr>
      </w:pPr>
      <w:r>
        <w:rPr>
          <w:color w:val="auto"/>
        </w:rPr>
        <w:t>NOTE:</w:t>
      </w:r>
      <w:r w:rsidR="00FD1EF9" w:rsidRPr="004521EA">
        <w:rPr>
          <w:color w:val="auto"/>
        </w:rPr>
        <w:t xml:space="preserve"> The preparation for and labeling of </w:t>
      </w:r>
      <w:r w:rsidR="00FD1EF9" w:rsidRPr="004521EA">
        <w:rPr>
          <w:color w:val="auto"/>
          <w:vertAlign w:val="superscript"/>
        </w:rPr>
        <w:t>68</w:t>
      </w:r>
      <w:r w:rsidR="006956F9" w:rsidRPr="004521EA">
        <w:rPr>
          <w:color w:val="auto"/>
        </w:rPr>
        <w:t xml:space="preserve">Ga-DOTATATE takes </w:t>
      </w:r>
      <w:r w:rsidR="0050779A">
        <w:rPr>
          <w:color w:val="auto"/>
        </w:rPr>
        <w:t>90 min</w:t>
      </w:r>
      <w:r w:rsidR="00FD1EF9" w:rsidRPr="004521EA">
        <w:rPr>
          <w:color w:val="auto"/>
        </w:rPr>
        <w:t xml:space="preserve"> and should be started 2 h prior to patient administration</w:t>
      </w:r>
      <w:r w:rsidR="0050779A">
        <w:rPr>
          <w:color w:val="auto"/>
        </w:rPr>
        <w:t>,</w:t>
      </w:r>
      <w:r w:rsidR="006956F9" w:rsidRPr="004521EA">
        <w:rPr>
          <w:color w:val="auto"/>
        </w:rPr>
        <w:t xml:space="preserve"> to allow for quality control</w:t>
      </w:r>
      <w:r w:rsidR="00FD1EF9" w:rsidRPr="004521EA">
        <w:rPr>
          <w:color w:val="auto"/>
        </w:rPr>
        <w:t xml:space="preserve">. </w:t>
      </w:r>
      <w:r w:rsidR="00CA2A66" w:rsidRPr="004521EA">
        <w:rPr>
          <w:color w:val="auto"/>
        </w:rPr>
        <w:t xml:space="preserve">The labeling module should be placed in a lead shielding that can be closed during the labeling process to ensure radiation protection of personnel. </w:t>
      </w:r>
      <w:r w:rsidR="00877810" w:rsidRPr="004521EA">
        <w:rPr>
          <w:color w:val="auto"/>
        </w:rPr>
        <w:t xml:space="preserve">If a registered kit is used, then the summary of </w:t>
      </w:r>
      <w:r w:rsidR="0050779A">
        <w:rPr>
          <w:color w:val="auto"/>
        </w:rPr>
        <w:t xml:space="preserve">the </w:t>
      </w:r>
      <w:r w:rsidR="00877810" w:rsidRPr="004521EA">
        <w:rPr>
          <w:color w:val="auto"/>
        </w:rPr>
        <w:t xml:space="preserve">product characteristics (SMPC) must be followed or cross-validated locally with the presented protocol. </w:t>
      </w:r>
    </w:p>
    <w:p w14:paraId="17809C26" w14:textId="77777777" w:rsidR="000B1829" w:rsidRPr="004521EA" w:rsidRDefault="000B1829" w:rsidP="008337F6">
      <w:pPr>
        <w:pStyle w:val="ListParagraph"/>
        <w:widowControl/>
        <w:ind w:left="0"/>
        <w:rPr>
          <w:color w:val="auto"/>
        </w:rPr>
      </w:pPr>
    </w:p>
    <w:p w14:paraId="24C296F2" w14:textId="04425F6F" w:rsidR="000B1829" w:rsidRPr="004521EA" w:rsidRDefault="000B1829" w:rsidP="008337F6">
      <w:pPr>
        <w:pStyle w:val="ListParagraph"/>
        <w:widowControl/>
        <w:numPr>
          <w:ilvl w:val="1"/>
          <w:numId w:val="28"/>
        </w:numPr>
        <w:rPr>
          <w:color w:val="auto"/>
          <w:highlight w:val="yellow"/>
        </w:rPr>
      </w:pPr>
      <w:r w:rsidRPr="004521EA">
        <w:rPr>
          <w:color w:val="auto"/>
          <w:highlight w:val="yellow"/>
        </w:rPr>
        <w:t xml:space="preserve">Place the </w:t>
      </w:r>
      <w:r w:rsidRPr="004521EA">
        <w:rPr>
          <w:color w:val="auto"/>
          <w:highlight w:val="yellow"/>
          <w:vertAlign w:val="superscript"/>
        </w:rPr>
        <w:t>68</w:t>
      </w:r>
      <w:r w:rsidRPr="004521EA">
        <w:rPr>
          <w:color w:val="auto"/>
          <w:highlight w:val="yellow"/>
        </w:rPr>
        <w:t>Ga labeling kit on the labeling module according to the manufacturer</w:t>
      </w:r>
      <w:r w:rsidR="00236E9F" w:rsidRPr="004521EA">
        <w:rPr>
          <w:color w:val="auto"/>
          <w:highlight w:val="yellow"/>
        </w:rPr>
        <w:t>’</w:t>
      </w:r>
      <w:r w:rsidRPr="004521EA">
        <w:rPr>
          <w:color w:val="auto"/>
          <w:highlight w:val="yellow"/>
        </w:rPr>
        <w:t>s specifications.</w:t>
      </w:r>
      <w:r w:rsidR="00136833" w:rsidRPr="004521EA">
        <w:rPr>
          <w:color w:val="auto"/>
          <w:highlight w:val="yellow"/>
        </w:rPr>
        <w:t xml:space="preserve"> Place the three manifolds on the corresponding module units. Attach the solutions provided in the </w:t>
      </w:r>
      <w:r w:rsidR="00136833" w:rsidRPr="004521EA">
        <w:rPr>
          <w:color w:val="auto"/>
          <w:highlight w:val="yellow"/>
          <w:vertAlign w:val="superscript"/>
        </w:rPr>
        <w:t>68</w:t>
      </w:r>
      <w:r w:rsidR="00136833" w:rsidRPr="004521EA">
        <w:rPr>
          <w:color w:val="auto"/>
          <w:highlight w:val="yellow"/>
        </w:rPr>
        <w:t xml:space="preserve">Ga labeling kit to the manifolds. </w:t>
      </w:r>
    </w:p>
    <w:p w14:paraId="6966A50C" w14:textId="77777777" w:rsidR="000B1829" w:rsidRPr="004521EA" w:rsidRDefault="000B1829" w:rsidP="008337F6">
      <w:pPr>
        <w:pStyle w:val="ListParagraph"/>
        <w:widowControl/>
        <w:ind w:left="0"/>
        <w:rPr>
          <w:color w:val="auto"/>
        </w:rPr>
      </w:pPr>
    </w:p>
    <w:p w14:paraId="56992275" w14:textId="711A0D3C" w:rsidR="00C66B74" w:rsidRPr="004521EA" w:rsidRDefault="000B1829" w:rsidP="008337F6">
      <w:pPr>
        <w:pStyle w:val="ListParagraph"/>
        <w:widowControl/>
        <w:numPr>
          <w:ilvl w:val="1"/>
          <w:numId w:val="28"/>
        </w:numPr>
        <w:rPr>
          <w:color w:val="auto"/>
          <w:highlight w:val="yellow"/>
        </w:rPr>
      </w:pPr>
      <w:r w:rsidRPr="004521EA">
        <w:rPr>
          <w:color w:val="auto"/>
          <w:highlight w:val="yellow"/>
        </w:rPr>
        <w:t>Prepare the final vial in a sterile environment</w:t>
      </w:r>
      <w:r w:rsidR="0050779A">
        <w:rPr>
          <w:color w:val="auto"/>
          <w:highlight w:val="yellow"/>
        </w:rPr>
        <w:t>,</w:t>
      </w:r>
      <w:r w:rsidRPr="004521EA">
        <w:rPr>
          <w:color w:val="auto"/>
          <w:highlight w:val="yellow"/>
        </w:rPr>
        <w:t xml:space="preserve"> such as a downflow unit or laminar flow cabinet.</w:t>
      </w:r>
    </w:p>
    <w:p w14:paraId="241CB511" w14:textId="77777777" w:rsidR="00C66B74" w:rsidRPr="004521EA" w:rsidRDefault="00C66B74" w:rsidP="008337F6">
      <w:pPr>
        <w:pStyle w:val="ListParagraph"/>
        <w:widowControl/>
        <w:ind w:left="0"/>
        <w:rPr>
          <w:color w:val="auto"/>
          <w:highlight w:val="yellow"/>
        </w:rPr>
      </w:pPr>
    </w:p>
    <w:p w14:paraId="4D7926B3" w14:textId="72A5C2EA" w:rsidR="000B1829" w:rsidRPr="004521EA" w:rsidRDefault="000B1829" w:rsidP="008337F6">
      <w:pPr>
        <w:pStyle w:val="ListParagraph"/>
        <w:widowControl/>
        <w:numPr>
          <w:ilvl w:val="1"/>
          <w:numId w:val="28"/>
        </w:numPr>
        <w:rPr>
          <w:color w:val="auto"/>
          <w:highlight w:val="yellow"/>
        </w:rPr>
      </w:pPr>
      <w:r w:rsidRPr="004521EA">
        <w:rPr>
          <w:color w:val="auto"/>
        </w:rPr>
        <w:t xml:space="preserve">Place a </w:t>
      </w:r>
      <w:r w:rsidR="003B06DF" w:rsidRPr="004521EA">
        <w:rPr>
          <w:color w:val="auto"/>
        </w:rPr>
        <w:t>nonvented</w:t>
      </w:r>
      <w:r w:rsidRPr="004521EA">
        <w:rPr>
          <w:color w:val="auto"/>
        </w:rPr>
        <w:t xml:space="preserve"> 0.22 µm filter underneath a </w:t>
      </w:r>
      <w:r w:rsidR="00ED7436" w:rsidRPr="004521EA">
        <w:rPr>
          <w:color w:val="auto"/>
        </w:rPr>
        <w:t xml:space="preserve">vented </w:t>
      </w:r>
      <w:r w:rsidR="00F15DD9" w:rsidRPr="004521EA">
        <w:rPr>
          <w:color w:val="auto"/>
        </w:rPr>
        <w:t xml:space="preserve">0.22 µm </w:t>
      </w:r>
      <w:r w:rsidRPr="004521EA">
        <w:rPr>
          <w:color w:val="auto"/>
        </w:rPr>
        <w:t>filter and attach</w:t>
      </w:r>
      <w:r w:rsidR="003B06DF" w:rsidRPr="004521EA">
        <w:rPr>
          <w:color w:val="auto"/>
        </w:rPr>
        <w:t xml:space="preserve"> the nonvented filter</w:t>
      </w:r>
      <w:r w:rsidRPr="004521EA">
        <w:rPr>
          <w:color w:val="auto"/>
        </w:rPr>
        <w:t xml:space="preserve"> to a sterile needle</w:t>
      </w:r>
      <w:r w:rsidR="00135C84" w:rsidRPr="004521EA">
        <w:rPr>
          <w:color w:val="auto"/>
        </w:rPr>
        <w:t xml:space="preserve"> (20</w:t>
      </w:r>
      <w:r w:rsidR="0050779A">
        <w:rPr>
          <w:color w:val="auto"/>
        </w:rPr>
        <w:t xml:space="preserve"> </w:t>
      </w:r>
      <w:r w:rsidR="00135C84" w:rsidRPr="004521EA">
        <w:rPr>
          <w:color w:val="auto"/>
        </w:rPr>
        <w:t>G)</w:t>
      </w:r>
      <w:r w:rsidRPr="004521EA">
        <w:rPr>
          <w:color w:val="auto"/>
        </w:rPr>
        <w:t xml:space="preserve">. Place the needle with the two filters attached in </w:t>
      </w:r>
      <w:r w:rsidR="00ED7436" w:rsidRPr="004521EA">
        <w:rPr>
          <w:color w:val="auto"/>
        </w:rPr>
        <w:t xml:space="preserve">a </w:t>
      </w:r>
      <w:r w:rsidR="00135C84" w:rsidRPr="004521EA">
        <w:rPr>
          <w:color w:val="auto"/>
        </w:rPr>
        <w:t xml:space="preserve">30 mL </w:t>
      </w:r>
      <w:r w:rsidR="00ED7436" w:rsidRPr="004521EA">
        <w:rPr>
          <w:color w:val="auto"/>
        </w:rPr>
        <w:t>sterile vial</w:t>
      </w:r>
      <w:r w:rsidRPr="004521EA">
        <w:rPr>
          <w:color w:val="auto"/>
        </w:rPr>
        <w:t xml:space="preserve">. Place a </w:t>
      </w:r>
      <w:r w:rsidR="003B06DF" w:rsidRPr="004521EA">
        <w:rPr>
          <w:color w:val="auto"/>
        </w:rPr>
        <w:t>vented</w:t>
      </w:r>
      <w:r w:rsidR="00F15DD9" w:rsidRPr="004521EA">
        <w:rPr>
          <w:color w:val="auto"/>
        </w:rPr>
        <w:t xml:space="preserve"> 0.2 µm bent</w:t>
      </w:r>
      <w:r w:rsidRPr="004521EA">
        <w:rPr>
          <w:color w:val="auto"/>
        </w:rPr>
        <w:t xml:space="preserve"> filter with a needle</w:t>
      </w:r>
      <w:r w:rsidR="00136833" w:rsidRPr="004521EA">
        <w:rPr>
          <w:color w:val="auto"/>
        </w:rPr>
        <w:t xml:space="preserve"> (22</w:t>
      </w:r>
      <w:r w:rsidR="0050779A">
        <w:rPr>
          <w:color w:val="auto"/>
        </w:rPr>
        <w:t xml:space="preserve"> </w:t>
      </w:r>
      <w:r w:rsidR="00136833" w:rsidRPr="004521EA">
        <w:rPr>
          <w:color w:val="auto"/>
        </w:rPr>
        <w:t>G)</w:t>
      </w:r>
      <w:r w:rsidRPr="004521EA">
        <w:rPr>
          <w:color w:val="auto"/>
        </w:rPr>
        <w:t xml:space="preserve"> in the</w:t>
      </w:r>
      <w:r w:rsidR="00ED7436" w:rsidRPr="004521EA">
        <w:rPr>
          <w:color w:val="auto"/>
        </w:rPr>
        <w:t xml:space="preserve"> same</w:t>
      </w:r>
      <w:r w:rsidRPr="004521EA">
        <w:rPr>
          <w:color w:val="auto"/>
        </w:rPr>
        <w:t xml:space="preserve"> </w:t>
      </w:r>
      <w:r w:rsidR="00ED7436" w:rsidRPr="004521EA">
        <w:rPr>
          <w:color w:val="auto"/>
        </w:rPr>
        <w:t>sterile</w:t>
      </w:r>
      <w:r w:rsidRPr="004521EA">
        <w:rPr>
          <w:color w:val="auto"/>
        </w:rPr>
        <w:t xml:space="preserve"> vial</w:t>
      </w:r>
      <w:r w:rsidR="00136833" w:rsidRPr="004521EA">
        <w:rPr>
          <w:color w:val="auto"/>
        </w:rPr>
        <w:t xml:space="preserve"> as</w:t>
      </w:r>
      <w:r w:rsidR="00B26C89">
        <w:rPr>
          <w:color w:val="auto"/>
        </w:rPr>
        <w:t xml:space="preserve"> per</w:t>
      </w:r>
      <w:r w:rsidR="00136833" w:rsidRPr="004521EA">
        <w:rPr>
          <w:color w:val="auto"/>
        </w:rPr>
        <w:t xml:space="preserve"> </w:t>
      </w:r>
      <w:r w:rsidR="00B26C89">
        <w:rPr>
          <w:color w:val="auto"/>
        </w:rPr>
        <w:t xml:space="preserve">step </w:t>
      </w:r>
      <w:r w:rsidR="00136833" w:rsidRPr="004521EA">
        <w:rPr>
          <w:color w:val="auto"/>
        </w:rPr>
        <w:t>3.2</w:t>
      </w:r>
      <w:r w:rsidR="00B850AB" w:rsidRPr="004521EA">
        <w:rPr>
          <w:color w:val="auto"/>
        </w:rPr>
        <w:t xml:space="preserve"> to </w:t>
      </w:r>
      <w:r w:rsidR="00F15DD9" w:rsidRPr="004521EA">
        <w:rPr>
          <w:color w:val="auto"/>
        </w:rPr>
        <w:t>allow venting</w:t>
      </w:r>
      <w:r w:rsidRPr="004521EA">
        <w:rPr>
          <w:color w:val="auto"/>
        </w:rPr>
        <w:t>.</w:t>
      </w:r>
    </w:p>
    <w:p w14:paraId="75D9AECF" w14:textId="77777777" w:rsidR="000B1829" w:rsidRPr="004521EA" w:rsidRDefault="000B1829" w:rsidP="008337F6">
      <w:pPr>
        <w:widowControl/>
        <w:rPr>
          <w:color w:val="auto"/>
        </w:rPr>
      </w:pPr>
    </w:p>
    <w:p w14:paraId="6DD6DFB7" w14:textId="5C338B6F" w:rsidR="000B1829" w:rsidRPr="004521EA" w:rsidRDefault="000B1829" w:rsidP="008337F6">
      <w:pPr>
        <w:pStyle w:val="ListParagraph"/>
        <w:widowControl/>
        <w:numPr>
          <w:ilvl w:val="1"/>
          <w:numId w:val="28"/>
        </w:numPr>
        <w:rPr>
          <w:color w:val="auto"/>
          <w:highlight w:val="yellow"/>
        </w:rPr>
      </w:pPr>
      <w:r w:rsidRPr="004521EA">
        <w:rPr>
          <w:color w:val="auto"/>
          <w:highlight w:val="yellow"/>
        </w:rPr>
        <w:t xml:space="preserve">Attach the </w:t>
      </w:r>
      <w:r w:rsidR="00B850AB" w:rsidRPr="004521EA">
        <w:rPr>
          <w:color w:val="auto"/>
          <w:highlight w:val="yellow"/>
        </w:rPr>
        <w:t>sterile</w:t>
      </w:r>
      <w:r w:rsidRPr="004521EA">
        <w:rPr>
          <w:color w:val="auto"/>
          <w:highlight w:val="yellow"/>
        </w:rPr>
        <w:t xml:space="preserve"> vial</w:t>
      </w:r>
      <w:r w:rsidR="00B850AB" w:rsidRPr="004521EA">
        <w:rPr>
          <w:color w:val="auto"/>
          <w:highlight w:val="yellow"/>
        </w:rPr>
        <w:t xml:space="preserve"> with the </w:t>
      </w:r>
      <w:r w:rsidR="0059509C" w:rsidRPr="004521EA">
        <w:rPr>
          <w:color w:val="auto"/>
          <w:highlight w:val="yellow"/>
        </w:rPr>
        <w:t>nonvented</w:t>
      </w:r>
      <w:r w:rsidR="00B850AB" w:rsidRPr="004521EA">
        <w:rPr>
          <w:color w:val="auto"/>
          <w:highlight w:val="yellow"/>
        </w:rPr>
        <w:t xml:space="preserve"> filter</w:t>
      </w:r>
      <w:r w:rsidRPr="004521EA">
        <w:rPr>
          <w:color w:val="auto"/>
          <w:highlight w:val="yellow"/>
        </w:rPr>
        <w:t xml:space="preserve"> to the output of the labeling module and place the vial in </w:t>
      </w:r>
      <w:r w:rsidR="0050779A">
        <w:rPr>
          <w:color w:val="auto"/>
          <w:highlight w:val="yellow"/>
        </w:rPr>
        <w:t xml:space="preserve">the </w:t>
      </w:r>
      <w:r w:rsidRPr="004521EA">
        <w:rPr>
          <w:color w:val="auto"/>
          <w:highlight w:val="yellow"/>
        </w:rPr>
        <w:t xml:space="preserve">lead shielding sufficient for positron emitters. </w:t>
      </w:r>
    </w:p>
    <w:p w14:paraId="25DC59E6" w14:textId="77777777" w:rsidR="000B1829" w:rsidRPr="004521EA" w:rsidRDefault="000B1829" w:rsidP="008337F6">
      <w:pPr>
        <w:pStyle w:val="ListParagraph"/>
        <w:widowControl/>
        <w:ind w:left="0"/>
        <w:rPr>
          <w:color w:val="auto"/>
          <w:highlight w:val="yellow"/>
        </w:rPr>
      </w:pPr>
    </w:p>
    <w:p w14:paraId="08269F14" w14:textId="74CD5DA3" w:rsidR="000B1829" w:rsidRPr="004521EA" w:rsidRDefault="000B1829" w:rsidP="008337F6">
      <w:pPr>
        <w:pStyle w:val="ListParagraph"/>
        <w:widowControl/>
        <w:numPr>
          <w:ilvl w:val="1"/>
          <w:numId w:val="28"/>
        </w:numPr>
        <w:rPr>
          <w:color w:val="auto"/>
          <w:highlight w:val="yellow"/>
        </w:rPr>
      </w:pPr>
      <w:r w:rsidRPr="004521EA">
        <w:rPr>
          <w:color w:val="auto"/>
          <w:highlight w:val="yellow"/>
        </w:rPr>
        <w:t xml:space="preserve">Attach the output of the </w:t>
      </w:r>
      <w:r w:rsidRPr="004521EA">
        <w:rPr>
          <w:color w:val="auto"/>
          <w:highlight w:val="yellow"/>
          <w:vertAlign w:val="superscript"/>
        </w:rPr>
        <w:t>68</w:t>
      </w:r>
      <w:r w:rsidRPr="004521EA">
        <w:rPr>
          <w:color w:val="auto"/>
          <w:highlight w:val="yellow"/>
        </w:rPr>
        <w:t>Ga/</w:t>
      </w:r>
      <w:r w:rsidRPr="004521EA">
        <w:rPr>
          <w:color w:val="auto"/>
          <w:highlight w:val="yellow"/>
          <w:vertAlign w:val="superscript"/>
        </w:rPr>
        <w:t>68</w:t>
      </w:r>
      <w:r w:rsidRPr="004521EA">
        <w:rPr>
          <w:color w:val="auto"/>
          <w:highlight w:val="yellow"/>
        </w:rPr>
        <w:t>Ge generator to the input of the labeling module.</w:t>
      </w:r>
    </w:p>
    <w:p w14:paraId="11719F34" w14:textId="77777777" w:rsidR="000B1829" w:rsidRPr="004521EA" w:rsidRDefault="000B1829" w:rsidP="008337F6">
      <w:pPr>
        <w:widowControl/>
        <w:rPr>
          <w:color w:val="auto"/>
          <w:highlight w:val="yellow"/>
        </w:rPr>
      </w:pPr>
    </w:p>
    <w:p w14:paraId="4B5EA32E" w14:textId="1F38CA78" w:rsidR="00687BAE" w:rsidRPr="004521EA" w:rsidRDefault="000B1829" w:rsidP="008337F6">
      <w:pPr>
        <w:pStyle w:val="ListParagraph"/>
        <w:widowControl/>
        <w:numPr>
          <w:ilvl w:val="1"/>
          <w:numId w:val="28"/>
        </w:numPr>
        <w:rPr>
          <w:color w:val="auto"/>
          <w:highlight w:val="yellow"/>
        </w:rPr>
      </w:pPr>
      <w:r w:rsidRPr="004521EA">
        <w:rPr>
          <w:color w:val="auto"/>
          <w:highlight w:val="yellow"/>
        </w:rPr>
        <w:t xml:space="preserve">Dissolve 50 </w:t>
      </w:r>
      <w:r w:rsidR="00135C84" w:rsidRPr="004521EA">
        <w:rPr>
          <w:color w:val="auto"/>
          <w:highlight w:val="yellow"/>
        </w:rPr>
        <w:t>µ</w:t>
      </w:r>
      <w:r w:rsidRPr="004521EA">
        <w:rPr>
          <w:color w:val="auto"/>
          <w:highlight w:val="yellow"/>
        </w:rPr>
        <w:t>g of HA-DOTATATE</w:t>
      </w:r>
      <w:r w:rsidR="003255BC" w:rsidRPr="004521EA">
        <w:rPr>
          <w:color w:val="auto"/>
          <w:highlight w:val="yellow"/>
        </w:rPr>
        <w:t xml:space="preserve"> (DOTA-3-iodo-Tyr3-octreotate)</w:t>
      </w:r>
      <w:r w:rsidRPr="004521EA">
        <w:rPr>
          <w:color w:val="auto"/>
          <w:highlight w:val="yellow"/>
        </w:rPr>
        <w:t xml:space="preserve"> </w:t>
      </w:r>
      <w:r w:rsidR="00E63E3F" w:rsidRPr="004521EA">
        <w:rPr>
          <w:color w:val="auto"/>
          <w:highlight w:val="yellow"/>
        </w:rPr>
        <w:t xml:space="preserve">or 20 µg </w:t>
      </w:r>
      <w:r w:rsidR="004406E7">
        <w:rPr>
          <w:color w:val="auto"/>
          <w:highlight w:val="yellow"/>
        </w:rPr>
        <w:t xml:space="preserve">of </w:t>
      </w:r>
      <w:r w:rsidR="00E63E3F" w:rsidRPr="004521EA">
        <w:rPr>
          <w:color w:val="auto"/>
          <w:highlight w:val="yellow"/>
        </w:rPr>
        <w:t>DOTATATE</w:t>
      </w:r>
      <w:r w:rsidR="003255BC" w:rsidRPr="004521EA">
        <w:rPr>
          <w:color w:val="auto"/>
          <w:highlight w:val="yellow"/>
        </w:rPr>
        <w:t xml:space="preserve"> (DOTA-0-Tyr3-octreotate)</w:t>
      </w:r>
      <w:r w:rsidR="00E63E3F" w:rsidRPr="004521EA">
        <w:rPr>
          <w:color w:val="auto"/>
          <w:highlight w:val="yellow"/>
        </w:rPr>
        <w:t xml:space="preserve"> </w:t>
      </w:r>
      <w:r w:rsidRPr="004521EA">
        <w:rPr>
          <w:color w:val="auto"/>
          <w:highlight w:val="yellow"/>
        </w:rPr>
        <w:t>peptide in</w:t>
      </w:r>
      <w:r w:rsidR="00CA2A66" w:rsidRPr="004521EA">
        <w:rPr>
          <w:color w:val="auto"/>
          <w:highlight w:val="yellow"/>
        </w:rPr>
        <w:t xml:space="preserve"> 1.</w:t>
      </w:r>
      <w:r w:rsidRPr="004521EA">
        <w:rPr>
          <w:color w:val="auto"/>
          <w:highlight w:val="yellow"/>
        </w:rPr>
        <w:t>5 m</w:t>
      </w:r>
      <w:r w:rsidR="00135C84" w:rsidRPr="004521EA">
        <w:rPr>
          <w:color w:val="auto"/>
          <w:highlight w:val="yellow"/>
        </w:rPr>
        <w:t>L</w:t>
      </w:r>
      <w:r w:rsidR="00C66B74" w:rsidRPr="004521EA">
        <w:rPr>
          <w:color w:val="auto"/>
          <w:highlight w:val="yellow"/>
        </w:rPr>
        <w:t xml:space="preserve"> of</w:t>
      </w:r>
      <w:r w:rsidRPr="004521EA">
        <w:rPr>
          <w:color w:val="auto"/>
          <w:highlight w:val="yellow"/>
        </w:rPr>
        <w:t xml:space="preserve"> </w:t>
      </w:r>
      <w:r w:rsidR="005C1EF4" w:rsidRPr="004521EA">
        <w:rPr>
          <w:color w:val="auto"/>
          <w:highlight w:val="yellow"/>
        </w:rPr>
        <w:t>1.5</w:t>
      </w:r>
      <w:r w:rsidRPr="004521EA">
        <w:rPr>
          <w:color w:val="auto"/>
          <w:highlight w:val="yellow"/>
        </w:rPr>
        <w:t xml:space="preserve"> M HEPES buffer solution</w:t>
      </w:r>
      <w:r w:rsidR="00E918FD" w:rsidRPr="004521EA">
        <w:rPr>
          <w:color w:val="auto"/>
          <w:highlight w:val="yellow"/>
        </w:rPr>
        <w:t xml:space="preserve"> provided in the kit</w:t>
      </w:r>
      <w:r w:rsidRPr="004521EA">
        <w:rPr>
          <w:color w:val="auto"/>
          <w:highlight w:val="yellow"/>
        </w:rPr>
        <w:t xml:space="preserve"> and place </w:t>
      </w:r>
      <w:r w:rsidR="004406E7">
        <w:rPr>
          <w:color w:val="auto"/>
          <w:highlight w:val="yellow"/>
        </w:rPr>
        <w:t xml:space="preserve">it </w:t>
      </w:r>
      <w:r w:rsidRPr="004521EA">
        <w:rPr>
          <w:color w:val="auto"/>
          <w:highlight w:val="yellow"/>
        </w:rPr>
        <w:t xml:space="preserve">in the reaction vial. </w:t>
      </w:r>
    </w:p>
    <w:p w14:paraId="7280AA4E" w14:textId="77777777" w:rsidR="00CA2A66" w:rsidRPr="004521EA" w:rsidRDefault="00CA2A66" w:rsidP="008337F6">
      <w:pPr>
        <w:pStyle w:val="ListParagraph"/>
        <w:widowControl/>
        <w:ind w:left="0"/>
        <w:rPr>
          <w:color w:val="auto"/>
          <w:highlight w:val="yellow"/>
        </w:rPr>
      </w:pPr>
    </w:p>
    <w:p w14:paraId="18CFD5EB" w14:textId="18A1E3DC" w:rsidR="00CA2A66" w:rsidRPr="004521EA" w:rsidRDefault="00CA2A66" w:rsidP="008337F6">
      <w:pPr>
        <w:pStyle w:val="ListParagraph"/>
        <w:widowControl/>
        <w:numPr>
          <w:ilvl w:val="1"/>
          <w:numId w:val="28"/>
        </w:numPr>
        <w:rPr>
          <w:color w:val="auto"/>
          <w:highlight w:val="yellow"/>
        </w:rPr>
      </w:pPr>
      <w:r w:rsidRPr="004521EA">
        <w:rPr>
          <w:color w:val="auto"/>
          <w:highlight w:val="yellow"/>
        </w:rPr>
        <w:t xml:space="preserve">Close the lead shielding around the labeling module and start the production of </w:t>
      </w:r>
      <w:r w:rsidRPr="004521EA">
        <w:rPr>
          <w:color w:val="auto"/>
          <w:highlight w:val="yellow"/>
          <w:vertAlign w:val="superscript"/>
        </w:rPr>
        <w:t>68</w:t>
      </w:r>
      <w:r w:rsidRPr="004521EA">
        <w:rPr>
          <w:color w:val="auto"/>
          <w:highlight w:val="yellow"/>
        </w:rPr>
        <w:t>Ga-DOTATATE</w:t>
      </w:r>
      <w:r w:rsidR="00136833" w:rsidRPr="004521EA">
        <w:rPr>
          <w:color w:val="auto"/>
          <w:highlight w:val="yellow"/>
        </w:rPr>
        <w:t xml:space="preserve"> via the tablet </w:t>
      </w:r>
      <w:r w:rsidR="00B26C89">
        <w:rPr>
          <w:color w:val="auto"/>
          <w:highlight w:val="yellow"/>
        </w:rPr>
        <w:t xml:space="preserve">computer </w:t>
      </w:r>
      <w:r w:rsidR="00136833" w:rsidRPr="004521EA">
        <w:rPr>
          <w:color w:val="auto"/>
          <w:highlight w:val="yellow"/>
        </w:rPr>
        <w:t>attached to the labeling module</w:t>
      </w:r>
      <w:r w:rsidRPr="004521EA">
        <w:rPr>
          <w:color w:val="auto"/>
          <w:highlight w:val="yellow"/>
        </w:rPr>
        <w:t xml:space="preserve">. </w:t>
      </w:r>
    </w:p>
    <w:p w14:paraId="5796B985" w14:textId="77777777" w:rsidR="00136833" w:rsidRPr="004521EA" w:rsidRDefault="00136833" w:rsidP="008337F6">
      <w:pPr>
        <w:pStyle w:val="ListParagraph"/>
        <w:widowControl/>
        <w:ind w:left="0"/>
        <w:rPr>
          <w:color w:val="auto"/>
          <w:highlight w:val="yellow"/>
        </w:rPr>
      </w:pPr>
    </w:p>
    <w:p w14:paraId="3B3ABDF8" w14:textId="4079080D" w:rsidR="00136833" w:rsidRPr="004521EA" w:rsidRDefault="00136833" w:rsidP="008337F6">
      <w:pPr>
        <w:pStyle w:val="ListParagraph"/>
        <w:widowControl/>
        <w:numPr>
          <w:ilvl w:val="1"/>
          <w:numId w:val="28"/>
        </w:numPr>
        <w:rPr>
          <w:color w:val="auto"/>
          <w:highlight w:val="yellow"/>
        </w:rPr>
      </w:pPr>
      <w:r w:rsidRPr="004521EA">
        <w:rPr>
          <w:color w:val="auto"/>
          <w:highlight w:val="yellow"/>
        </w:rPr>
        <w:t xml:space="preserve">Wait until the synthesis of </w:t>
      </w:r>
      <w:r w:rsidRPr="004521EA">
        <w:rPr>
          <w:color w:val="auto"/>
          <w:highlight w:val="yellow"/>
          <w:vertAlign w:val="superscript"/>
        </w:rPr>
        <w:t>68</w:t>
      </w:r>
      <w:r w:rsidRPr="004521EA">
        <w:rPr>
          <w:color w:val="auto"/>
          <w:highlight w:val="yellow"/>
        </w:rPr>
        <w:t>Ga-DOTATATE is finished (</w:t>
      </w:r>
      <w:r w:rsidR="00F776F9" w:rsidRPr="004521EA">
        <w:rPr>
          <w:color w:val="auto"/>
          <w:highlight w:val="yellow"/>
        </w:rPr>
        <w:t>~</w:t>
      </w:r>
      <w:r w:rsidRPr="004521EA">
        <w:rPr>
          <w:color w:val="auto"/>
          <w:highlight w:val="yellow"/>
        </w:rPr>
        <w:t>36 min)</w:t>
      </w:r>
      <w:r w:rsidR="001F091A" w:rsidRPr="004521EA">
        <w:rPr>
          <w:color w:val="auto"/>
          <w:highlight w:val="yellow"/>
        </w:rPr>
        <w:t>.</w:t>
      </w:r>
    </w:p>
    <w:p w14:paraId="68F570DB" w14:textId="77777777" w:rsidR="00CA2A66" w:rsidRPr="004521EA" w:rsidRDefault="00CA2A66" w:rsidP="008337F6">
      <w:pPr>
        <w:pStyle w:val="ListParagraph"/>
        <w:widowControl/>
        <w:ind w:left="0"/>
        <w:rPr>
          <w:color w:val="auto"/>
          <w:highlight w:val="yellow"/>
        </w:rPr>
      </w:pPr>
    </w:p>
    <w:p w14:paraId="4B3C7230" w14:textId="2B99BB8E" w:rsidR="00CA2A66" w:rsidRPr="004521EA" w:rsidRDefault="00CA2A66" w:rsidP="008337F6">
      <w:pPr>
        <w:pStyle w:val="ListParagraph"/>
        <w:widowControl/>
        <w:numPr>
          <w:ilvl w:val="1"/>
          <w:numId w:val="28"/>
        </w:numPr>
        <w:rPr>
          <w:color w:val="auto"/>
          <w:highlight w:val="yellow"/>
        </w:rPr>
      </w:pPr>
      <w:r w:rsidRPr="004521EA">
        <w:rPr>
          <w:color w:val="auto"/>
          <w:highlight w:val="yellow"/>
        </w:rPr>
        <w:t>After labeling, remove the needles with filters from the glass vial and close the lead shielding around the vial.</w:t>
      </w:r>
    </w:p>
    <w:p w14:paraId="4926492C" w14:textId="77777777" w:rsidR="00CA2A66" w:rsidRPr="004521EA" w:rsidRDefault="00CA2A66" w:rsidP="008337F6">
      <w:pPr>
        <w:pStyle w:val="ListParagraph"/>
        <w:widowControl/>
        <w:ind w:left="0"/>
        <w:rPr>
          <w:color w:val="auto"/>
        </w:rPr>
      </w:pPr>
    </w:p>
    <w:p w14:paraId="737ACD63" w14:textId="7E36B5AF" w:rsidR="00CA2A66" w:rsidRPr="004521EA" w:rsidRDefault="00CA2A66" w:rsidP="008337F6">
      <w:pPr>
        <w:pStyle w:val="ListParagraph"/>
        <w:widowControl/>
        <w:numPr>
          <w:ilvl w:val="1"/>
          <w:numId w:val="28"/>
        </w:numPr>
        <w:rPr>
          <w:color w:val="auto"/>
        </w:rPr>
      </w:pPr>
      <w:r w:rsidRPr="004521EA">
        <w:rPr>
          <w:color w:val="auto"/>
        </w:rPr>
        <w:t xml:space="preserve">Test the integrity of the </w:t>
      </w:r>
      <w:r w:rsidR="0059509C" w:rsidRPr="004521EA">
        <w:rPr>
          <w:color w:val="auto"/>
        </w:rPr>
        <w:t>nonvented</w:t>
      </w:r>
      <w:r w:rsidRPr="004521EA">
        <w:rPr>
          <w:color w:val="auto"/>
        </w:rPr>
        <w:t xml:space="preserve"> 0.22 µm filter</w:t>
      </w:r>
      <w:r w:rsidR="00C66B74" w:rsidRPr="004521EA">
        <w:rPr>
          <w:color w:val="auto"/>
        </w:rPr>
        <w:t xml:space="preserve"> as follows</w:t>
      </w:r>
      <w:r w:rsidRPr="004521EA">
        <w:rPr>
          <w:color w:val="auto"/>
        </w:rPr>
        <w:t>.</w:t>
      </w:r>
    </w:p>
    <w:p w14:paraId="11F8104B" w14:textId="77777777" w:rsidR="00CA2A66" w:rsidRPr="004521EA" w:rsidRDefault="00CA2A66" w:rsidP="008337F6">
      <w:pPr>
        <w:pStyle w:val="ListParagraph"/>
        <w:widowControl/>
        <w:ind w:left="0"/>
        <w:rPr>
          <w:color w:val="auto"/>
        </w:rPr>
      </w:pPr>
    </w:p>
    <w:p w14:paraId="1B17B894" w14:textId="56E755C7" w:rsidR="00CA2A66" w:rsidRPr="004521EA" w:rsidRDefault="00CA2A66" w:rsidP="008337F6">
      <w:pPr>
        <w:pStyle w:val="ListParagraph"/>
        <w:widowControl/>
        <w:numPr>
          <w:ilvl w:val="2"/>
          <w:numId w:val="28"/>
        </w:numPr>
        <w:rPr>
          <w:color w:val="auto"/>
        </w:rPr>
      </w:pPr>
      <w:r w:rsidRPr="004521EA">
        <w:rPr>
          <w:color w:val="auto"/>
        </w:rPr>
        <w:t>Fill a syringe</w:t>
      </w:r>
      <w:r w:rsidR="00136833" w:rsidRPr="004521EA">
        <w:rPr>
          <w:color w:val="auto"/>
        </w:rPr>
        <w:t xml:space="preserve"> (10 mL)</w:t>
      </w:r>
      <w:r w:rsidRPr="004521EA">
        <w:rPr>
          <w:color w:val="auto"/>
        </w:rPr>
        <w:t xml:space="preserve"> with air and place the syringe on top of the filter. Place the needle attached to the filter in a tube filled with water.</w:t>
      </w:r>
    </w:p>
    <w:p w14:paraId="27BCF827" w14:textId="77777777" w:rsidR="00CA2A66" w:rsidRPr="004521EA" w:rsidRDefault="00CA2A66" w:rsidP="008337F6">
      <w:pPr>
        <w:widowControl/>
        <w:rPr>
          <w:color w:val="auto"/>
        </w:rPr>
      </w:pPr>
    </w:p>
    <w:p w14:paraId="7810D018" w14:textId="4072715A" w:rsidR="00CA2A66" w:rsidRPr="004521EA" w:rsidRDefault="00CA2A66" w:rsidP="008337F6">
      <w:pPr>
        <w:pStyle w:val="ListParagraph"/>
        <w:widowControl/>
        <w:numPr>
          <w:ilvl w:val="2"/>
          <w:numId w:val="28"/>
        </w:numPr>
        <w:rPr>
          <w:color w:val="auto"/>
        </w:rPr>
      </w:pPr>
      <w:r w:rsidRPr="004521EA">
        <w:rPr>
          <w:color w:val="auto"/>
        </w:rPr>
        <w:t xml:space="preserve">Force the air through the filter and needle and determine when bubbles begin to form. </w:t>
      </w:r>
      <w:r w:rsidR="00ED7436" w:rsidRPr="004521EA">
        <w:rPr>
          <w:color w:val="auto"/>
        </w:rPr>
        <w:t xml:space="preserve">The air should be compressed to &lt;20% of the original volume. </w:t>
      </w:r>
    </w:p>
    <w:p w14:paraId="30BBD226" w14:textId="77777777" w:rsidR="00B513A1" w:rsidRPr="004521EA" w:rsidRDefault="00B513A1" w:rsidP="008337F6">
      <w:pPr>
        <w:pStyle w:val="ListParagraph"/>
        <w:widowControl/>
        <w:ind w:left="0"/>
        <w:rPr>
          <w:color w:val="auto"/>
        </w:rPr>
      </w:pPr>
    </w:p>
    <w:p w14:paraId="56E1D52C" w14:textId="43DD9852" w:rsidR="00B513A1" w:rsidRPr="004521EA" w:rsidRDefault="00B513A1" w:rsidP="008337F6">
      <w:pPr>
        <w:pStyle w:val="ListParagraph"/>
        <w:widowControl/>
        <w:numPr>
          <w:ilvl w:val="1"/>
          <w:numId w:val="28"/>
        </w:numPr>
        <w:rPr>
          <w:color w:val="auto"/>
          <w:highlight w:val="yellow"/>
        </w:rPr>
      </w:pPr>
      <w:r w:rsidRPr="004521EA">
        <w:rPr>
          <w:color w:val="auto"/>
          <w:highlight w:val="yellow"/>
        </w:rPr>
        <w:t xml:space="preserve">Measure the activity of </w:t>
      </w:r>
      <w:r w:rsidRPr="004521EA">
        <w:rPr>
          <w:color w:val="auto"/>
          <w:highlight w:val="yellow"/>
          <w:vertAlign w:val="superscript"/>
        </w:rPr>
        <w:t>68</w:t>
      </w:r>
      <w:r w:rsidRPr="004521EA">
        <w:rPr>
          <w:color w:val="auto"/>
          <w:highlight w:val="yellow"/>
        </w:rPr>
        <w:t xml:space="preserve">Ga-DOTATATE produced </w:t>
      </w:r>
      <w:r w:rsidR="00136833" w:rsidRPr="004521EA">
        <w:rPr>
          <w:color w:val="auto"/>
          <w:highlight w:val="yellow"/>
        </w:rPr>
        <w:t xml:space="preserve">by placing the vial in </w:t>
      </w:r>
      <w:r w:rsidRPr="004521EA">
        <w:rPr>
          <w:color w:val="auto"/>
          <w:highlight w:val="yellow"/>
        </w:rPr>
        <w:t xml:space="preserve">a dose calibrator and note the activity reference time (ART). </w:t>
      </w:r>
    </w:p>
    <w:p w14:paraId="43BD0E8D" w14:textId="77777777" w:rsidR="00CA2A66" w:rsidRPr="004521EA" w:rsidRDefault="00CA2A66" w:rsidP="008337F6">
      <w:pPr>
        <w:pStyle w:val="ListParagraph"/>
        <w:widowControl/>
        <w:ind w:left="0"/>
        <w:rPr>
          <w:color w:val="auto"/>
          <w:highlight w:val="yellow"/>
        </w:rPr>
      </w:pPr>
    </w:p>
    <w:p w14:paraId="36490D8D" w14:textId="0945A2A4" w:rsidR="00CA2A66" w:rsidRPr="004521EA" w:rsidRDefault="00CA2A66" w:rsidP="008337F6">
      <w:pPr>
        <w:pStyle w:val="ListParagraph"/>
        <w:widowControl/>
        <w:numPr>
          <w:ilvl w:val="1"/>
          <w:numId w:val="28"/>
        </w:numPr>
        <w:rPr>
          <w:color w:val="auto"/>
          <w:highlight w:val="yellow"/>
        </w:rPr>
      </w:pPr>
      <w:r w:rsidRPr="004521EA">
        <w:rPr>
          <w:color w:val="auto"/>
          <w:highlight w:val="yellow"/>
        </w:rPr>
        <w:t>In a sterile environment such as a laminar flow cabinet</w:t>
      </w:r>
      <w:r w:rsidR="00250B4E">
        <w:rPr>
          <w:color w:val="auto"/>
          <w:highlight w:val="yellow"/>
        </w:rPr>
        <w:t>,</w:t>
      </w:r>
      <w:r w:rsidRPr="004521EA">
        <w:rPr>
          <w:color w:val="auto"/>
          <w:highlight w:val="yellow"/>
        </w:rPr>
        <w:t xml:space="preserve"> remove 0.5 m</w:t>
      </w:r>
      <w:r w:rsidR="00992333" w:rsidRPr="004521EA">
        <w:rPr>
          <w:color w:val="auto"/>
          <w:highlight w:val="yellow"/>
        </w:rPr>
        <w:t>L</w:t>
      </w:r>
      <w:r w:rsidRPr="004521EA">
        <w:rPr>
          <w:color w:val="auto"/>
          <w:highlight w:val="yellow"/>
        </w:rPr>
        <w:t xml:space="preserve"> of </w:t>
      </w:r>
      <w:r w:rsidRPr="004521EA">
        <w:rPr>
          <w:color w:val="auto"/>
          <w:highlight w:val="yellow"/>
          <w:vertAlign w:val="superscript"/>
        </w:rPr>
        <w:t>68</w:t>
      </w:r>
      <w:r w:rsidRPr="004521EA">
        <w:rPr>
          <w:color w:val="auto"/>
          <w:highlight w:val="yellow"/>
        </w:rPr>
        <w:t>Ga-DOTATATE from the vial for quality control</w:t>
      </w:r>
      <w:r w:rsidR="00DE2D27" w:rsidRPr="004521EA">
        <w:rPr>
          <w:color w:val="auto"/>
          <w:highlight w:val="yellow"/>
        </w:rPr>
        <w:t xml:space="preserve"> and prepare syringes for patient administration</w:t>
      </w:r>
      <w:r w:rsidRPr="004521EA">
        <w:rPr>
          <w:color w:val="auto"/>
          <w:highlight w:val="yellow"/>
        </w:rPr>
        <w:t>.</w:t>
      </w:r>
    </w:p>
    <w:p w14:paraId="2D15A71F" w14:textId="77777777" w:rsidR="00C66B74" w:rsidRPr="004521EA" w:rsidRDefault="00C66B74" w:rsidP="008337F6">
      <w:pPr>
        <w:pStyle w:val="ListParagraph"/>
        <w:widowControl/>
        <w:ind w:left="0"/>
        <w:rPr>
          <w:color w:val="auto"/>
          <w:highlight w:val="yellow"/>
        </w:rPr>
      </w:pPr>
    </w:p>
    <w:p w14:paraId="08A6F7CD" w14:textId="13E4E80C" w:rsidR="00687BAE" w:rsidRPr="004521EA" w:rsidRDefault="00C27CCF" w:rsidP="008337F6">
      <w:pPr>
        <w:widowControl/>
        <w:rPr>
          <w:color w:val="auto"/>
        </w:rPr>
      </w:pPr>
      <w:r>
        <w:rPr>
          <w:color w:val="auto"/>
        </w:rPr>
        <w:t>NOTE:</w:t>
      </w:r>
      <w:r w:rsidR="00C66B74" w:rsidRPr="004521EA">
        <w:rPr>
          <w:color w:val="auto"/>
        </w:rPr>
        <w:t xml:space="preserve"> Place the solution with </w:t>
      </w:r>
      <w:r w:rsidR="00C66B74" w:rsidRPr="004521EA">
        <w:rPr>
          <w:color w:val="auto"/>
          <w:vertAlign w:val="superscript"/>
        </w:rPr>
        <w:t>68</w:t>
      </w:r>
      <w:r w:rsidR="00C66B74" w:rsidRPr="004521EA">
        <w:rPr>
          <w:color w:val="auto"/>
        </w:rPr>
        <w:t>Ga-DOTATATE in lead shielding. In this protocol, the diluted solution do</w:t>
      </w:r>
      <w:r w:rsidR="00250B4E">
        <w:rPr>
          <w:color w:val="auto"/>
        </w:rPr>
        <w:t>es</w:t>
      </w:r>
      <w:r w:rsidR="00C66B74" w:rsidRPr="004521EA">
        <w:rPr>
          <w:color w:val="auto"/>
        </w:rPr>
        <w:t xml:space="preserve"> not have to be shielded due to the low levels of activity and short exposure time. However, a radiation risk assessment should be performed prior to performing quality control of </w:t>
      </w:r>
      <w:r w:rsidR="00250B4E">
        <w:rPr>
          <w:color w:val="auto"/>
        </w:rPr>
        <w:t xml:space="preserve">the </w:t>
      </w:r>
      <w:r w:rsidR="00C66B74" w:rsidRPr="004521EA">
        <w:rPr>
          <w:color w:val="auto"/>
          <w:vertAlign w:val="superscript"/>
        </w:rPr>
        <w:t>68</w:t>
      </w:r>
      <w:r w:rsidR="00C66B74" w:rsidRPr="004521EA">
        <w:rPr>
          <w:color w:val="auto"/>
        </w:rPr>
        <w:t>Ga-DOTATATE.</w:t>
      </w:r>
    </w:p>
    <w:p w14:paraId="0D0403B5" w14:textId="77777777" w:rsidR="00C66B74" w:rsidRPr="004521EA" w:rsidRDefault="00C66B74" w:rsidP="008337F6">
      <w:pPr>
        <w:widowControl/>
        <w:rPr>
          <w:color w:val="auto"/>
        </w:rPr>
      </w:pPr>
    </w:p>
    <w:p w14:paraId="73E65500" w14:textId="3435E6C7" w:rsidR="00C63B10" w:rsidRPr="004521EA" w:rsidRDefault="00C63B10" w:rsidP="008337F6">
      <w:pPr>
        <w:pStyle w:val="ListParagraph"/>
        <w:widowControl/>
        <w:numPr>
          <w:ilvl w:val="0"/>
          <w:numId w:val="28"/>
        </w:numPr>
        <w:rPr>
          <w:b/>
          <w:color w:val="auto"/>
        </w:rPr>
      </w:pPr>
      <w:r w:rsidRPr="004521EA">
        <w:rPr>
          <w:b/>
          <w:color w:val="auto"/>
        </w:rPr>
        <w:t xml:space="preserve">Quality control of </w:t>
      </w:r>
      <w:bookmarkStart w:id="1" w:name="_Hlk535157383"/>
      <w:r w:rsidRPr="004521EA">
        <w:rPr>
          <w:b/>
          <w:color w:val="auto"/>
          <w:vertAlign w:val="superscript"/>
        </w:rPr>
        <w:t>68</w:t>
      </w:r>
      <w:r w:rsidRPr="004521EA">
        <w:rPr>
          <w:b/>
          <w:color w:val="auto"/>
        </w:rPr>
        <w:t>Ga-DOTATATE</w:t>
      </w:r>
      <w:r w:rsidR="00B560F0" w:rsidRPr="004521EA">
        <w:rPr>
          <w:b/>
          <w:color w:val="auto"/>
        </w:rPr>
        <w:t xml:space="preserve"> </w:t>
      </w:r>
      <w:bookmarkEnd w:id="1"/>
      <w:r w:rsidR="00B560F0" w:rsidRPr="004521EA">
        <w:rPr>
          <w:b/>
          <w:color w:val="auto"/>
        </w:rPr>
        <w:t>prior to patient administration</w:t>
      </w:r>
    </w:p>
    <w:p w14:paraId="2F98015B" w14:textId="77777777" w:rsidR="00CA2A66" w:rsidRPr="004521EA" w:rsidRDefault="00CA2A66" w:rsidP="008337F6">
      <w:pPr>
        <w:widowControl/>
        <w:rPr>
          <w:color w:val="auto"/>
        </w:rPr>
      </w:pPr>
    </w:p>
    <w:p w14:paraId="5108EA00" w14:textId="5BBC4C6B" w:rsidR="00CA2A66" w:rsidRPr="004521EA" w:rsidRDefault="00C27CCF" w:rsidP="008337F6">
      <w:pPr>
        <w:widowControl/>
        <w:rPr>
          <w:color w:val="auto"/>
        </w:rPr>
      </w:pPr>
      <w:r>
        <w:rPr>
          <w:color w:val="auto"/>
        </w:rPr>
        <w:t>NOTE:</w:t>
      </w:r>
      <w:r w:rsidR="00FD1EF9" w:rsidRPr="004521EA">
        <w:rPr>
          <w:color w:val="auto"/>
        </w:rPr>
        <w:t xml:space="preserve"> The quality control of </w:t>
      </w:r>
      <w:r w:rsidR="00FD1EF9" w:rsidRPr="004521EA">
        <w:rPr>
          <w:color w:val="auto"/>
          <w:vertAlign w:val="superscript"/>
        </w:rPr>
        <w:t>68</w:t>
      </w:r>
      <w:r w:rsidR="00FD1EF9" w:rsidRPr="004521EA">
        <w:rPr>
          <w:color w:val="auto"/>
        </w:rPr>
        <w:t xml:space="preserve">Ga-DOTATATE takes 30 min and should be started </w:t>
      </w:r>
      <w:r w:rsidR="00A601A5">
        <w:rPr>
          <w:color w:val="auto"/>
        </w:rPr>
        <w:t>30 min</w:t>
      </w:r>
      <w:r w:rsidR="00FD1EF9" w:rsidRPr="004521EA">
        <w:rPr>
          <w:color w:val="auto"/>
        </w:rPr>
        <w:t xml:space="preserve"> prior to patient administration</w:t>
      </w:r>
      <w:r w:rsidR="00CA2A66" w:rsidRPr="004521EA">
        <w:rPr>
          <w:color w:val="auto"/>
        </w:rPr>
        <w:t>.</w:t>
      </w:r>
      <w:r w:rsidR="00C66B74" w:rsidRPr="004521EA">
        <w:rPr>
          <w:color w:val="auto"/>
        </w:rPr>
        <w:t xml:space="preserve"> </w:t>
      </w:r>
      <w:r w:rsidR="00C37C3C" w:rsidRPr="004521EA">
        <w:rPr>
          <w:color w:val="auto"/>
        </w:rPr>
        <w:t xml:space="preserve">The described dilutions for stock solutions lead to &lt;5% dead time in the measurement equipment. This can vary between different equipment and should be tested prior to performing quality control of </w:t>
      </w:r>
      <w:r w:rsidR="00A601A5">
        <w:rPr>
          <w:color w:val="auto"/>
        </w:rPr>
        <w:t xml:space="preserve">the </w:t>
      </w:r>
      <w:r w:rsidR="00C37C3C" w:rsidRPr="004521EA">
        <w:rPr>
          <w:color w:val="auto"/>
          <w:vertAlign w:val="superscript"/>
        </w:rPr>
        <w:t>68</w:t>
      </w:r>
      <w:r w:rsidR="00C37C3C" w:rsidRPr="004521EA">
        <w:rPr>
          <w:color w:val="auto"/>
        </w:rPr>
        <w:t xml:space="preserve">Ga-DOTATATE. </w:t>
      </w:r>
      <w:r w:rsidR="00F602B0" w:rsidRPr="004521EA">
        <w:rPr>
          <w:color w:val="auto"/>
        </w:rPr>
        <w:t xml:space="preserve">The European Pharmacopoeia describes </w:t>
      </w:r>
      <w:r w:rsidR="00A601A5">
        <w:rPr>
          <w:color w:val="auto"/>
        </w:rPr>
        <w:t xml:space="preserve">the </w:t>
      </w:r>
      <w:r w:rsidR="00F602B0" w:rsidRPr="004521EA">
        <w:rPr>
          <w:color w:val="auto"/>
        </w:rPr>
        <w:t>quality control of gallium edotreotide injection</w:t>
      </w:r>
      <w:r w:rsidR="00A601A5">
        <w:rPr>
          <w:color w:val="auto"/>
        </w:rPr>
        <w:t>s</w:t>
      </w:r>
      <w:r w:rsidR="00F602B0" w:rsidRPr="004521EA">
        <w:rPr>
          <w:color w:val="auto"/>
        </w:rPr>
        <w:t xml:space="preserve"> based on the following release criteria: </w:t>
      </w:r>
      <w:r w:rsidR="00105C2D" w:rsidRPr="004521EA">
        <w:rPr>
          <w:color w:val="auto"/>
        </w:rPr>
        <w:t>appearance</w:t>
      </w:r>
      <w:r w:rsidR="00A601A5">
        <w:rPr>
          <w:color w:val="auto"/>
        </w:rPr>
        <w:t xml:space="preserve"> =</w:t>
      </w:r>
      <w:r w:rsidR="00105C2D" w:rsidRPr="004521EA">
        <w:rPr>
          <w:color w:val="auto"/>
        </w:rPr>
        <w:t xml:space="preserve"> clear and colorless</w:t>
      </w:r>
      <w:r w:rsidR="00A601A5">
        <w:rPr>
          <w:color w:val="auto"/>
        </w:rPr>
        <w:t>;</w:t>
      </w:r>
      <w:r w:rsidR="00105C2D" w:rsidRPr="004521EA">
        <w:rPr>
          <w:color w:val="auto"/>
        </w:rPr>
        <w:t xml:space="preserve"> </w:t>
      </w:r>
      <w:r w:rsidR="00F602B0" w:rsidRPr="004521EA">
        <w:rPr>
          <w:color w:val="auto"/>
        </w:rPr>
        <w:t xml:space="preserve">pH </w:t>
      </w:r>
      <w:r w:rsidR="00A601A5">
        <w:rPr>
          <w:color w:val="auto"/>
        </w:rPr>
        <w:t xml:space="preserve">= </w:t>
      </w:r>
      <w:r w:rsidR="00F602B0" w:rsidRPr="004521EA">
        <w:rPr>
          <w:color w:val="auto"/>
        </w:rPr>
        <w:t>4.0</w:t>
      </w:r>
      <w:r w:rsidR="00A601A5">
        <w:rPr>
          <w:color w:val="auto"/>
        </w:rPr>
        <w:t>–</w:t>
      </w:r>
      <w:r w:rsidR="00F602B0" w:rsidRPr="004521EA">
        <w:rPr>
          <w:color w:val="auto"/>
        </w:rPr>
        <w:t>8.0</w:t>
      </w:r>
      <w:r w:rsidR="00A601A5">
        <w:rPr>
          <w:color w:val="auto"/>
        </w:rPr>
        <w:t>;</w:t>
      </w:r>
      <w:r w:rsidR="00F602B0" w:rsidRPr="004521EA">
        <w:rPr>
          <w:color w:val="auto"/>
        </w:rPr>
        <w:t xml:space="preserve"> sterility</w:t>
      </w:r>
      <w:r w:rsidR="00A601A5">
        <w:rPr>
          <w:color w:val="auto"/>
        </w:rPr>
        <w:t>;</w:t>
      </w:r>
      <w:r w:rsidR="00FB1B00" w:rsidRPr="004521EA">
        <w:rPr>
          <w:color w:val="auto"/>
        </w:rPr>
        <w:t xml:space="preserve"> endotoxins &lt;175 IU per administered volume</w:t>
      </w:r>
      <w:r w:rsidR="00A601A5">
        <w:rPr>
          <w:color w:val="auto"/>
        </w:rPr>
        <w:t>;</w:t>
      </w:r>
      <w:r w:rsidR="00F602B0" w:rsidRPr="004521EA">
        <w:rPr>
          <w:color w:val="auto"/>
        </w:rPr>
        <w:t xml:space="preserve"> ethanol &lt;10% v/v</w:t>
      </w:r>
      <w:r w:rsidR="00A601A5">
        <w:rPr>
          <w:color w:val="auto"/>
        </w:rPr>
        <w:t>;</w:t>
      </w:r>
      <w:r w:rsidR="00F602B0" w:rsidRPr="004521EA">
        <w:rPr>
          <w:color w:val="auto"/>
        </w:rPr>
        <w:t xml:space="preserve"> radionuclide purity &gt;99.9% of total activity</w:t>
      </w:r>
      <w:r w:rsidR="00A601A5">
        <w:rPr>
          <w:color w:val="auto"/>
        </w:rPr>
        <w:t>;</w:t>
      </w:r>
      <w:r w:rsidR="00FB1B00" w:rsidRPr="004521EA">
        <w:rPr>
          <w:color w:val="auto"/>
        </w:rPr>
        <w:t xml:space="preserve"> radiochemical purity &gt;91% of total activity</w:t>
      </w:r>
      <w:r w:rsidR="00A601A5">
        <w:rPr>
          <w:color w:val="auto"/>
        </w:rPr>
        <w:t>;</w:t>
      </w:r>
      <w:r w:rsidR="00FB1B00" w:rsidRPr="004521EA">
        <w:rPr>
          <w:color w:val="auto"/>
        </w:rPr>
        <w:t xml:space="preserve"> absence of other impurities</w:t>
      </w:r>
      <w:r w:rsidR="00A601A5">
        <w:rPr>
          <w:color w:val="auto"/>
        </w:rPr>
        <w:t>;</w:t>
      </w:r>
      <w:r w:rsidR="00FB1B00" w:rsidRPr="004521EA">
        <w:rPr>
          <w:color w:val="auto"/>
        </w:rPr>
        <w:t xml:space="preserve"> HEPES &lt;200 µg per administered volume</w:t>
      </w:r>
      <w:r w:rsidR="00413791" w:rsidRPr="004521EA">
        <w:rPr>
          <w:color w:val="auto"/>
          <w:vertAlign w:val="superscript"/>
        </w:rPr>
        <w:t>14</w:t>
      </w:r>
      <w:r w:rsidR="00A601A5" w:rsidRPr="004521EA">
        <w:rPr>
          <w:color w:val="auto"/>
        </w:rPr>
        <w:t>.</w:t>
      </w:r>
      <w:r w:rsidR="00FB1B00" w:rsidRPr="004521EA">
        <w:rPr>
          <w:color w:val="auto"/>
        </w:rPr>
        <w:t xml:space="preserve"> </w:t>
      </w:r>
      <w:r w:rsidR="00105C2D" w:rsidRPr="004521EA">
        <w:rPr>
          <w:color w:val="auto"/>
        </w:rPr>
        <w:lastRenderedPageBreak/>
        <w:t xml:space="preserve">All tests have been evaluated during </w:t>
      </w:r>
      <w:r w:rsidR="00A601A5">
        <w:rPr>
          <w:color w:val="auto"/>
        </w:rPr>
        <w:t xml:space="preserve">the </w:t>
      </w:r>
      <w:r w:rsidR="00105C2D" w:rsidRPr="004521EA">
        <w:rPr>
          <w:color w:val="auto"/>
        </w:rPr>
        <w:t>validation of the preparation method. For routine quality control</w:t>
      </w:r>
      <w:r w:rsidR="00A601A5">
        <w:rPr>
          <w:color w:val="auto"/>
        </w:rPr>
        <w:t>,</w:t>
      </w:r>
      <w:r w:rsidR="00105C2D" w:rsidRPr="004521EA">
        <w:rPr>
          <w:color w:val="auto"/>
        </w:rPr>
        <w:t xml:space="preserve"> a selected subset of tests</w:t>
      </w:r>
      <w:r w:rsidR="00936E7A" w:rsidRPr="004521EA">
        <w:rPr>
          <w:color w:val="auto"/>
        </w:rPr>
        <w:t xml:space="preserve"> (based on trend monitoring)</w:t>
      </w:r>
      <w:r w:rsidR="00105C2D" w:rsidRPr="004521EA">
        <w:rPr>
          <w:color w:val="auto"/>
        </w:rPr>
        <w:t xml:space="preserve"> is performed and described below.</w:t>
      </w:r>
      <w:r w:rsidR="004608B6" w:rsidRPr="004521EA">
        <w:rPr>
          <w:color w:val="auto"/>
        </w:rPr>
        <w:t xml:space="preserve"> T</w:t>
      </w:r>
      <w:r w:rsidR="00FB1B00" w:rsidRPr="004521EA">
        <w:rPr>
          <w:color w:val="auto"/>
        </w:rPr>
        <w:t>h</w:t>
      </w:r>
      <w:r w:rsidR="00F602B0" w:rsidRPr="004521EA">
        <w:rPr>
          <w:color w:val="auto"/>
        </w:rPr>
        <w:t xml:space="preserve">e </w:t>
      </w:r>
      <w:r w:rsidR="00FB1B00" w:rsidRPr="004521EA">
        <w:rPr>
          <w:color w:val="auto"/>
        </w:rPr>
        <w:t>solid</w:t>
      </w:r>
      <w:r w:rsidR="00A601A5">
        <w:rPr>
          <w:color w:val="auto"/>
        </w:rPr>
        <w:t>-</w:t>
      </w:r>
      <w:r w:rsidR="00FB1B00" w:rsidRPr="004521EA">
        <w:rPr>
          <w:color w:val="auto"/>
        </w:rPr>
        <w:t>phase extraction in this</w:t>
      </w:r>
      <w:r w:rsidR="00F602B0" w:rsidRPr="004521EA">
        <w:rPr>
          <w:color w:val="auto"/>
        </w:rPr>
        <w:t xml:space="preserve"> protocol has been cross-validated with and obtains the same results as the </w:t>
      </w:r>
      <w:r w:rsidR="00FB1B00" w:rsidRPr="004521EA">
        <w:rPr>
          <w:color w:val="auto"/>
        </w:rPr>
        <w:t>high</w:t>
      </w:r>
      <w:r w:rsidR="00A601A5">
        <w:rPr>
          <w:color w:val="auto"/>
        </w:rPr>
        <w:t>-</w:t>
      </w:r>
      <w:r w:rsidR="00FB1B00" w:rsidRPr="004521EA">
        <w:rPr>
          <w:color w:val="auto"/>
        </w:rPr>
        <w:t xml:space="preserve">performance liquid chromatography </w:t>
      </w:r>
      <w:r w:rsidR="00F602B0" w:rsidRPr="004521EA">
        <w:rPr>
          <w:color w:val="auto"/>
        </w:rPr>
        <w:t xml:space="preserve">method described in the European Pharmacopoeia. </w:t>
      </w:r>
      <w:r w:rsidR="004608B6" w:rsidRPr="004521EA">
        <w:rPr>
          <w:color w:val="auto"/>
        </w:rPr>
        <w:t>This was</w:t>
      </w:r>
      <w:r w:rsidR="008C751A" w:rsidRPr="004521EA">
        <w:rPr>
          <w:color w:val="auto"/>
        </w:rPr>
        <w:t xml:space="preserve"> performed</w:t>
      </w:r>
      <w:r w:rsidR="004608B6" w:rsidRPr="004521EA">
        <w:rPr>
          <w:color w:val="auto"/>
        </w:rPr>
        <w:t xml:space="preserve"> based on GMP. </w:t>
      </w:r>
    </w:p>
    <w:p w14:paraId="4B4C7F71" w14:textId="77777777" w:rsidR="001F091A" w:rsidRPr="004521EA" w:rsidRDefault="001F091A" w:rsidP="008337F6">
      <w:pPr>
        <w:widowControl/>
        <w:rPr>
          <w:color w:val="auto"/>
        </w:rPr>
      </w:pPr>
    </w:p>
    <w:p w14:paraId="5E05ED72" w14:textId="573E69A1" w:rsidR="00CA2A66" w:rsidRPr="004521EA" w:rsidRDefault="00C66B74" w:rsidP="008337F6">
      <w:pPr>
        <w:pStyle w:val="ListParagraph"/>
        <w:widowControl/>
        <w:numPr>
          <w:ilvl w:val="1"/>
          <w:numId w:val="28"/>
        </w:numPr>
        <w:rPr>
          <w:color w:val="auto"/>
        </w:rPr>
      </w:pPr>
      <w:r w:rsidRPr="004521EA">
        <w:rPr>
          <w:color w:val="auto"/>
        </w:rPr>
        <w:t>Prepare t</w:t>
      </w:r>
      <w:r w:rsidR="00CA2A66" w:rsidRPr="004521EA">
        <w:rPr>
          <w:color w:val="auto"/>
        </w:rPr>
        <w:t>he following solutions in advance</w:t>
      </w:r>
      <w:r w:rsidRPr="004521EA">
        <w:rPr>
          <w:color w:val="auto"/>
        </w:rPr>
        <w:t>.</w:t>
      </w:r>
    </w:p>
    <w:p w14:paraId="6B85E90A" w14:textId="77777777" w:rsidR="00CA2A66" w:rsidRPr="004521EA" w:rsidRDefault="00CA2A66" w:rsidP="008337F6">
      <w:pPr>
        <w:pStyle w:val="ListParagraph"/>
        <w:widowControl/>
        <w:ind w:left="0"/>
        <w:rPr>
          <w:color w:val="auto"/>
        </w:rPr>
      </w:pPr>
    </w:p>
    <w:p w14:paraId="5BDE387F" w14:textId="0BE4DF76" w:rsidR="00CA2A66" w:rsidRPr="004521EA" w:rsidRDefault="00C66B74" w:rsidP="008337F6">
      <w:pPr>
        <w:pStyle w:val="ListParagraph"/>
        <w:widowControl/>
        <w:numPr>
          <w:ilvl w:val="2"/>
          <w:numId w:val="28"/>
        </w:numPr>
        <w:rPr>
          <w:color w:val="auto"/>
        </w:rPr>
      </w:pPr>
      <w:r w:rsidRPr="004521EA">
        <w:rPr>
          <w:color w:val="auto"/>
        </w:rPr>
        <w:t xml:space="preserve">Prepare </w:t>
      </w:r>
      <w:r w:rsidR="00A601A5">
        <w:rPr>
          <w:color w:val="auto"/>
        </w:rPr>
        <w:t xml:space="preserve">a </w:t>
      </w:r>
      <w:r w:rsidR="00CA2A66" w:rsidRPr="004521EA">
        <w:rPr>
          <w:color w:val="auto"/>
        </w:rPr>
        <w:t>1</w:t>
      </w:r>
      <w:r w:rsidRPr="004521EA">
        <w:rPr>
          <w:color w:val="auto"/>
        </w:rPr>
        <w:t xml:space="preserve"> </w:t>
      </w:r>
      <w:r w:rsidR="00CA2A66" w:rsidRPr="004521EA">
        <w:rPr>
          <w:color w:val="auto"/>
        </w:rPr>
        <w:t>M ammonium acetate solution</w:t>
      </w:r>
      <w:r w:rsidRPr="004521EA">
        <w:rPr>
          <w:color w:val="auto"/>
        </w:rPr>
        <w:t xml:space="preserve"> by</w:t>
      </w:r>
      <w:r w:rsidR="00CA2A66" w:rsidRPr="004521EA">
        <w:rPr>
          <w:color w:val="auto"/>
        </w:rPr>
        <w:t xml:space="preserve"> </w:t>
      </w:r>
      <w:r w:rsidRPr="004521EA">
        <w:rPr>
          <w:color w:val="auto"/>
        </w:rPr>
        <w:t>d</w:t>
      </w:r>
      <w:r w:rsidR="00CA2A66" w:rsidRPr="004521EA">
        <w:rPr>
          <w:color w:val="auto"/>
        </w:rPr>
        <w:t>issolv</w:t>
      </w:r>
      <w:r w:rsidRPr="004521EA">
        <w:rPr>
          <w:color w:val="auto"/>
        </w:rPr>
        <w:t>ing</w:t>
      </w:r>
      <w:r w:rsidR="00CA2A66" w:rsidRPr="004521EA">
        <w:rPr>
          <w:color w:val="auto"/>
        </w:rPr>
        <w:t xml:space="preserve"> 3.9 g of ammonium acetate in 50 m</w:t>
      </w:r>
      <w:r w:rsidR="00135C84" w:rsidRPr="004521EA">
        <w:rPr>
          <w:color w:val="auto"/>
        </w:rPr>
        <w:t>L</w:t>
      </w:r>
      <w:r w:rsidR="00CA2A66" w:rsidRPr="004521EA">
        <w:rPr>
          <w:color w:val="auto"/>
        </w:rPr>
        <w:t xml:space="preserve"> of water. The solution can be stored at room temperature </w:t>
      </w:r>
      <w:r w:rsidRPr="004521EA">
        <w:rPr>
          <w:color w:val="auto"/>
        </w:rPr>
        <w:t xml:space="preserve">for </w:t>
      </w:r>
      <w:r w:rsidR="00CA2A66" w:rsidRPr="004521EA">
        <w:rPr>
          <w:color w:val="auto"/>
        </w:rPr>
        <w:t>up to 2 weeks.</w:t>
      </w:r>
    </w:p>
    <w:p w14:paraId="13FA387B" w14:textId="77777777" w:rsidR="00CA2A66" w:rsidRPr="004521EA" w:rsidRDefault="00CA2A66" w:rsidP="008337F6">
      <w:pPr>
        <w:widowControl/>
        <w:rPr>
          <w:color w:val="auto"/>
        </w:rPr>
      </w:pPr>
    </w:p>
    <w:p w14:paraId="32D66122" w14:textId="6E803CBE" w:rsidR="00CA2A66" w:rsidRPr="004521EA" w:rsidRDefault="00C66B74" w:rsidP="008337F6">
      <w:pPr>
        <w:pStyle w:val="ListParagraph"/>
        <w:widowControl/>
        <w:numPr>
          <w:ilvl w:val="2"/>
          <w:numId w:val="28"/>
        </w:numPr>
        <w:rPr>
          <w:color w:val="auto"/>
        </w:rPr>
      </w:pPr>
      <w:r w:rsidRPr="004521EA">
        <w:rPr>
          <w:color w:val="auto"/>
        </w:rPr>
        <w:t xml:space="preserve">Prepare </w:t>
      </w:r>
      <w:r w:rsidR="00CA2A66" w:rsidRPr="004521EA">
        <w:rPr>
          <w:color w:val="auto"/>
        </w:rPr>
        <w:t xml:space="preserve">5 mM </w:t>
      </w:r>
      <w:r w:rsidR="00B26C89">
        <w:rPr>
          <w:color w:val="auto"/>
        </w:rPr>
        <w:t>e</w:t>
      </w:r>
      <w:r w:rsidR="00B26C89" w:rsidRPr="00B26C89">
        <w:rPr>
          <w:color w:val="auto"/>
        </w:rPr>
        <w:t>thylenediaminetetraacetic acid</w:t>
      </w:r>
      <w:r w:rsidR="00B26C89">
        <w:rPr>
          <w:color w:val="auto"/>
        </w:rPr>
        <w:t xml:space="preserve"> (</w:t>
      </w:r>
      <w:r w:rsidR="00CA2A66" w:rsidRPr="004521EA">
        <w:rPr>
          <w:color w:val="auto"/>
        </w:rPr>
        <w:t>EDTA</w:t>
      </w:r>
      <w:r w:rsidR="00B26C89">
        <w:rPr>
          <w:color w:val="auto"/>
        </w:rPr>
        <w:t>)</w:t>
      </w:r>
      <w:r w:rsidRPr="004521EA">
        <w:rPr>
          <w:color w:val="auto"/>
        </w:rPr>
        <w:t xml:space="preserve"> by</w:t>
      </w:r>
      <w:r w:rsidR="00CA2A66" w:rsidRPr="004521EA">
        <w:rPr>
          <w:color w:val="auto"/>
        </w:rPr>
        <w:t xml:space="preserve"> </w:t>
      </w:r>
      <w:r w:rsidRPr="004521EA">
        <w:rPr>
          <w:color w:val="auto"/>
        </w:rPr>
        <w:t>d</w:t>
      </w:r>
      <w:r w:rsidR="00CA2A66" w:rsidRPr="004521EA">
        <w:rPr>
          <w:color w:val="auto"/>
        </w:rPr>
        <w:t>issolv</w:t>
      </w:r>
      <w:r w:rsidRPr="004521EA">
        <w:rPr>
          <w:color w:val="auto"/>
        </w:rPr>
        <w:t>ing</w:t>
      </w:r>
      <w:r w:rsidR="00CA2A66" w:rsidRPr="004521EA">
        <w:rPr>
          <w:color w:val="auto"/>
        </w:rPr>
        <w:t xml:space="preserve"> 0.1 g of EDTA in 50 m</w:t>
      </w:r>
      <w:r w:rsidR="00135C84" w:rsidRPr="004521EA">
        <w:rPr>
          <w:color w:val="auto"/>
        </w:rPr>
        <w:t>L</w:t>
      </w:r>
      <w:r w:rsidR="00CA2A66" w:rsidRPr="004521EA">
        <w:rPr>
          <w:color w:val="auto"/>
        </w:rPr>
        <w:t xml:space="preserve"> of water. The solution can be stored at room temperature </w:t>
      </w:r>
      <w:r w:rsidR="00A601A5">
        <w:rPr>
          <w:color w:val="auto"/>
        </w:rPr>
        <w:t xml:space="preserve">for </w:t>
      </w:r>
      <w:r w:rsidR="00CA2A66" w:rsidRPr="004521EA">
        <w:rPr>
          <w:color w:val="auto"/>
        </w:rPr>
        <w:t>up to 1 year.</w:t>
      </w:r>
    </w:p>
    <w:p w14:paraId="75F50772" w14:textId="77777777" w:rsidR="00400939" w:rsidRPr="004521EA" w:rsidRDefault="00400939" w:rsidP="008337F6">
      <w:pPr>
        <w:pStyle w:val="ListParagraph"/>
        <w:widowControl/>
        <w:ind w:left="0"/>
        <w:rPr>
          <w:color w:val="auto"/>
        </w:rPr>
      </w:pPr>
    </w:p>
    <w:p w14:paraId="70EAACD3" w14:textId="0D281E73" w:rsidR="00400939" w:rsidRPr="004521EA" w:rsidRDefault="00C66B74" w:rsidP="008337F6">
      <w:pPr>
        <w:pStyle w:val="ListParagraph"/>
        <w:widowControl/>
        <w:numPr>
          <w:ilvl w:val="2"/>
          <w:numId w:val="28"/>
        </w:numPr>
        <w:rPr>
          <w:color w:val="auto"/>
        </w:rPr>
      </w:pPr>
      <w:r w:rsidRPr="004521EA">
        <w:rPr>
          <w:color w:val="auto"/>
        </w:rPr>
        <w:t xml:space="preserve">Prepare </w:t>
      </w:r>
      <w:r w:rsidR="00400939" w:rsidRPr="004521EA">
        <w:rPr>
          <w:color w:val="auto"/>
        </w:rPr>
        <w:t xml:space="preserve">50:50 </w:t>
      </w:r>
      <w:r w:rsidR="00A601A5">
        <w:rPr>
          <w:color w:val="auto"/>
        </w:rPr>
        <w:t>m</w:t>
      </w:r>
      <w:r w:rsidR="00400939" w:rsidRPr="004521EA">
        <w:rPr>
          <w:color w:val="auto"/>
        </w:rPr>
        <w:t>ethanol</w:t>
      </w:r>
      <w:r w:rsidR="00A601A5">
        <w:rPr>
          <w:color w:val="auto"/>
        </w:rPr>
        <w:t>:</w:t>
      </w:r>
      <w:r w:rsidR="00400939" w:rsidRPr="004521EA">
        <w:rPr>
          <w:color w:val="auto"/>
        </w:rPr>
        <w:t xml:space="preserve">1 M ammonium acetate. The solution can be stored at room temperature </w:t>
      </w:r>
      <w:r w:rsidR="00A601A5">
        <w:rPr>
          <w:color w:val="auto"/>
        </w:rPr>
        <w:t xml:space="preserve">for </w:t>
      </w:r>
      <w:r w:rsidR="00400939" w:rsidRPr="004521EA">
        <w:rPr>
          <w:color w:val="auto"/>
        </w:rPr>
        <w:t>up to 24 h.</w:t>
      </w:r>
    </w:p>
    <w:p w14:paraId="24731A63" w14:textId="77777777" w:rsidR="00CA2A66" w:rsidRPr="004521EA" w:rsidRDefault="00CA2A66" w:rsidP="008337F6">
      <w:pPr>
        <w:widowControl/>
        <w:rPr>
          <w:color w:val="auto"/>
        </w:rPr>
      </w:pPr>
    </w:p>
    <w:p w14:paraId="7534C43A" w14:textId="594EC120" w:rsidR="00CA2A66" w:rsidRPr="004521EA" w:rsidRDefault="00B560F0" w:rsidP="008337F6">
      <w:pPr>
        <w:pStyle w:val="ListParagraph"/>
        <w:widowControl/>
        <w:numPr>
          <w:ilvl w:val="1"/>
          <w:numId w:val="28"/>
        </w:numPr>
        <w:rPr>
          <w:color w:val="auto"/>
        </w:rPr>
      </w:pPr>
      <w:r w:rsidRPr="004521EA">
        <w:rPr>
          <w:color w:val="auto"/>
          <w:highlight w:val="yellow"/>
        </w:rPr>
        <w:t>Visual</w:t>
      </w:r>
      <w:r w:rsidR="00C66B74" w:rsidRPr="004521EA">
        <w:rPr>
          <w:color w:val="auto"/>
          <w:highlight w:val="yellow"/>
        </w:rPr>
        <w:t>ly</w:t>
      </w:r>
      <w:r w:rsidRPr="004521EA">
        <w:rPr>
          <w:color w:val="auto"/>
          <w:highlight w:val="yellow"/>
        </w:rPr>
        <w:t xml:space="preserve"> inspect</w:t>
      </w:r>
      <w:r w:rsidR="00C66B74" w:rsidRPr="004521EA">
        <w:rPr>
          <w:color w:val="auto"/>
          <w:highlight w:val="yellow"/>
        </w:rPr>
        <w:t xml:space="preserve"> </w:t>
      </w:r>
      <w:r w:rsidR="00CA2A66" w:rsidRPr="004521EA">
        <w:rPr>
          <w:color w:val="auto"/>
          <w:highlight w:val="yellow"/>
        </w:rPr>
        <w:t xml:space="preserve">the final </w:t>
      </w:r>
      <w:r w:rsidR="00C66B74" w:rsidRPr="004521EA">
        <w:rPr>
          <w:color w:val="auto"/>
          <w:highlight w:val="yellow"/>
          <w:vertAlign w:val="superscript"/>
        </w:rPr>
        <w:t>68</w:t>
      </w:r>
      <w:r w:rsidR="00C66B74" w:rsidRPr="004521EA">
        <w:rPr>
          <w:color w:val="auto"/>
          <w:highlight w:val="yellow"/>
        </w:rPr>
        <w:t xml:space="preserve">Ga-DOTATATE </w:t>
      </w:r>
      <w:r w:rsidR="00CA2A66" w:rsidRPr="004521EA">
        <w:rPr>
          <w:color w:val="auto"/>
          <w:highlight w:val="yellow"/>
        </w:rPr>
        <w:t xml:space="preserve">product to ensure that it is a colorless liquid without any particles. </w:t>
      </w:r>
    </w:p>
    <w:p w14:paraId="6921B263" w14:textId="77777777" w:rsidR="00B560F0" w:rsidRPr="004521EA" w:rsidRDefault="00B560F0" w:rsidP="008337F6">
      <w:pPr>
        <w:pStyle w:val="ListParagraph"/>
        <w:widowControl/>
        <w:ind w:left="0"/>
        <w:rPr>
          <w:color w:val="auto"/>
        </w:rPr>
      </w:pPr>
    </w:p>
    <w:p w14:paraId="46564C67" w14:textId="02BE4688" w:rsidR="00CA2A66" w:rsidRPr="004521EA" w:rsidRDefault="00CA2A66" w:rsidP="008337F6">
      <w:pPr>
        <w:pStyle w:val="ListParagraph"/>
        <w:widowControl/>
        <w:numPr>
          <w:ilvl w:val="1"/>
          <w:numId w:val="28"/>
        </w:numPr>
        <w:rPr>
          <w:color w:val="auto"/>
        </w:rPr>
      </w:pPr>
      <w:r w:rsidRPr="004521EA">
        <w:rPr>
          <w:color w:val="auto"/>
          <w:highlight w:val="yellow"/>
        </w:rPr>
        <w:t xml:space="preserve">Measure the pH of the </w:t>
      </w:r>
      <w:r w:rsidRPr="004521EA">
        <w:rPr>
          <w:color w:val="auto"/>
          <w:highlight w:val="yellow"/>
          <w:vertAlign w:val="superscript"/>
        </w:rPr>
        <w:t>68</w:t>
      </w:r>
      <w:r w:rsidRPr="004521EA">
        <w:rPr>
          <w:color w:val="auto"/>
          <w:highlight w:val="yellow"/>
        </w:rPr>
        <w:t xml:space="preserve">Ga-DOTATATE solution with a pH indicator strip. The pH should lie between 6.5 and 7.5. </w:t>
      </w:r>
    </w:p>
    <w:p w14:paraId="4CC56FFB" w14:textId="77777777" w:rsidR="00B560F0" w:rsidRPr="004521EA" w:rsidRDefault="00B560F0" w:rsidP="008337F6">
      <w:pPr>
        <w:widowControl/>
        <w:rPr>
          <w:color w:val="auto"/>
        </w:rPr>
      </w:pPr>
    </w:p>
    <w:p w14:paraId="5B319FE0" w14:textId="5724E2BD" w:rsidR="00B560F0" w:rsidRPr="004521EA" w:rsidRDefault="0000417F" w:rsidP="008337F6">
      <w:pPr>
        <w:pStyle w:val="ListParagraph"/>
        <w:widowControl/>
        <w:numPr>
          <w:ilvl w:val="1"/>
          <w:numId w:val="28"/>
        </w:numPr>
        <w:rPr>
          <w:color w:val="auto"/>
          <w:highlight w:val="yellow"/>
        </w:rPr>
      </w:pPr>
      <w:r w:rsidRPr="004521EA">
        <w:rPr>
          <w:color w:val="auto"/>
          <w:highlight w:val="yellow"/>
        </w:rPr>
        <w:t>Measure</w:t>
      </w:r>
      <w:r w:rsidRPr="004521EA">
        <w:rPr>
          <w:color w:val="auto"/>
          <w:highlight w:val="yellow"/>
          <w:vertAlign w:val="superscript"/>
        </w:rPr>
        <w:t xml:space="preserve"> </w:t>
      </w:r>
      <w:r w:rsidR="00B560F0" w:rsidRPr="004521EA">
        <w:rPr>
          <w:color w:val="auto"/>
          <w:highlight w:val="yellow"/>
          <w:vertAlign w:val="superscript"/>
        </w:rPr>
        <w:t>68</w:t>
      </w:r>
      <w:r w:rsidR="00B560F0" w:rsidRPr="004521EA">
        <w:rPr>
          <w:color w:val="auto"/>
          <w:highlight w:val="yellow"/>
        </w:rPr>
        <w:t xml:space="preserve">Ga </w:t>
      </w:r>
      <w:r w:rsidRPr="004521EA">
        <w:rPr>
          <w:color w:val="auto"/>
          <w:highlight w:val="yellow"/>
        </w:rPr>
        <w:t>c</w:t>
      </w:r>
      <w:r w:rsidR="00B560F0" w:rsidRPr="004521EA">
        <w:rPr>
          <w:color w:val="auto"/>
          <w:highlight w:val="yellow"/>
        </w:rPr>
        <w:t>olloids</w:t>
      </w:r>
      <w:r w:rsidR="00400939" w:rsidRPr="004521EA">
        <w:rPr>
          <w:color w:val="auto"/>
          <w:highlight w:val="yellow"/>
        </w:rPr>
        <w:t xml:space="preserve"> </w:t>
      </w:r>
      <w:r w:rsidRPr="004521EA">
        <w:rPr>
          <w:color w:val="auto"/>
          <w:highlight w:val="yellow"/>
        </w:rPr>
        <w:t>t</w:t>
      </w:r>
      <w:r w:rsidR="00400939" w:rsidRPr="004521EA">
        <w:rPr>
          <w:color w:val="auto"/>
          <w:highlight w:val="yellow"/>
        </w:rPr>
        <w:t>hrough instant thin</w:t>
      </w:r>
      <w:r w:rsidR="00DD5FE6">
        <w:rPr>
          <w:color w:val="auto"/>
          <w:highlight w:val="yellow"/>
        </w:rPr>
        <w:t>-</w:t>
      </w:r>
      <w:r w:rsidR="00400939" w:rsidRPr="004521EA">
        <w:rPr>
          <w:color w:val="auto"/>
          <w:highlight w:val="yellow"/>
        </w:rPr>
        <w:t>layer chromatography (ITLC)</w:t>
      </w:r>
      <w:r w:rsidRPr="004521EA">
        <w:rPr>
          <w:color w:val="auto"/>
          <w:highlight w:val="yellow"/>
        </w:rPr>
        <w:t>.</w:t>
      </w:r>
    </w:p>
    <w:p w14:paraId="507433DC" w14:textId="77777777" w:rsidR="00C37C3C" w:rsidRPr="004521EA" w:rsidRDefault="00C37C3C" w:rsidP="008337F6">
      <w:pPr>
        <w:widowControl/>
        <w:rPr>
          <w:color w:val="auto"/>
        </w:rPr>
      </w:pPr>
    </w:p>
    <w:p w14:paraId="197493CB" w14:textId="5D326E3A" w:rsidR="00400939" w:rsidRPr="004521EA" w:rsidRDefault="00400939" w:rsidP="008337F6">
      <w:pPr>
        <w:pStyle w:val="ListParagraph"/>
        <w:widowControl/>
        <w:numPr>
          <w:ilvl w:val="2"/>
          <w:numId w:val="28"/>
        </w:numPr>
        <w:rPr>
          <w:color w:val="auto"/>
          <w:highlight w:val="yellow"/>
        </w:rPr>
      </w:pPr>
      <w:r w:rsidRPr="004521EA">
        <w:rPr>
          <w:color w:val="auto"/>
          <w:highlight w:val="yellow"/>
        </w:rPr>
        <w:t>Add 500 µ</w:t>
      </w:r>
      <w:r w:rsidR="00DD5FE6">
        <w:rPr>
          <w:color w:val="auto"/>
          <w:highlight w:val="yellow"/>
        </w:rPr>
        <w:t>L</w:t>
      </w:r>
      <w:r w:rsidRPr="004521EA">
        <w:rPr>
          <w:color w:val="auto"/>
          <w:highlight w:val="yellow"/>
        </w:rPr>
        <w:t xml:space="preserve"> of water and 20 µ</w:t>
      </w:r>
      <w:r w:rsidR="00DD5FE6">
        <w:rPr>
          <w:color w:val="auto"/>
          <w:highlight w:val="yellow"/>
        </w:rPr>
        <w:t>L</w:t>
      </w:r>
      <w:r w:rsidRPr="004521EA">
        <w:rPr>
          <w:color w:val="auto"/>
          <w:highlight w:val="yellow"/>
        </w:rPr>
        <w:t xml:space="preserve"> of </w:t>
      </w:r>
      <w:r w:rsidRPr="004521EA">
        <w:rPr>
          <w:color w:val="auto"/>
          <w:highlight w:val="yellow"/>
          <w:vertAlign w:val="superscript"/>
        </w:rPr>
        <w:t>68</w:t>
      </w:r>
      <w:r w:rsidRPr="004521EA">
        <w:rPr>
          <w:color w:val="auto"/>
          <w:highlight w:val="yellow"/>
        </w:rPr>
        <w:t xml:space="preserve">Ga-DOTATATE </w:t>
      </w:r>
      <w:r w:rsidR="00C37C3C" w:rsidRPr="004521EA">
        <w:rPr>
          <w:color w:val="auto"/>
          <w:highlight w:val="yellow"/>
        </w:rPr>
        <w:t xml:space="preserve">to prepare a stock solution </w:t>
      </w:r>
      <w:r w:rsidRPr="004521EA">
        <w:rPr>
          <w:color w:val="auto"/>
          <w:highlight w:val="yellow"/>
        </w:rPr>
        <w:t>and homogenize</w:t>
      </w:r>
      <w:r w:rsidR="00C37C3C" w:rsidRPr="004521EA">
        <w:rPr>
          <w:color w:val="auto"/>
          <w:highlight w:val="yellow"/>
        </w:rPr>
        <w:t xml:space="preserve"> (</w:t>
      </w:r>
      <w:r w:rsidR="00B26C89" w:rsidRPr="00B26C89">
        <w:rPr>
          <w:color w:val="auto"/>
          <w:highlight w:val="yellow"/>
          <w:vertAlign w:val="superscript"/>
        </w:rPr>
        <w:t>68</w:t>
      </w:r>
      <w:r w:rsidR="00B26C89">
        <w:rPr>
          <w:color w:val="auto"/>
          <w:highlight w:val="yellow"/>
        </w:rPr>
        <w:t>Ga colloids [</w:t>
      </w:r>
      <w:r w:rsidR="00C37C3C" w:rsidRPr="004521EA">
        <w:rPr>
          <w:color w:val="auto"/>
          <w:highlight w:val="yellow"/>
        </w:rPr>
        <w:t>GC</w:t>
      </w:r>
      <w:r w:rsidR="00B26C89">
        <w:rPr>
          <w:color w:val="auto"/>
        </w:rPr>
        <w:t>]</w:t>
      </w:r>
      <w:r w:rsidR="004D2FE0" w:rsidRPr="004521EA">
        <w:rPr>
          <w:color w:val="auto"/>
          <w:highlight w:val="yellow"/>
        </w:rPr>
        <w:t>)</w:t>
      </w:r>
      <w:r w:rsidR="00136833" w:rsidRPr="004521EA">
        <w:rPr>
          <w:color w:val="auto"/>
          <w:highlight w:val="yellow"/>
        </w:rPr>
        <w:t xml:space="preserve"> by carefully shaking the vial</w:t>
      </w:r>
      <w:r w:rsidRPr="004521EA">
        <w:rPr>
          <w:color w:val="auto"/>
          <w:highlight w:val="yellow"/>
        </w:rPr>
        <w:t>.</w:t>
      </w:r>
    </w:p>
    <w:p w14:paraId="4BADF957" w14:textId="77777777" w:rsidR="00400939" w:rsidRPr="004521EA" w:rsidRDefault="00400939" w:rsidP="008337F6">
      <w:pPr>
        <w:widowControl/>
        <w:rPr>
          <w:color w:val="auto"/>
        </w:rPr>
      </w:pPr>
    </w:p>
    <w:p w14:paraId="3D9B8ACA" w14:textId="364E3C90" w:rsidR="00400939" w:rsidRPr="004521EA" w:rsidRDefault="00400939" w:rsidP="008337F6">
      <w:pPr>
        <w:pStyle w:val="ListParagraph"/>
        <w:widowControl/>
        <w:numPr>
          <w:ilvl w:val="2"/>
          <w:numId w:val="28"/>
        </w:numPr>
        <w:rPr>
          <w:color w:val="auto"/>
        </w:rPr>
      </w:pPr>
      <w:r w:rsidRPr="004521EA">
        <w:rPr>
          <w:color w:val="auto"/>
        </w:rPr>
        <w:t>Cut a strip of ITLC-</w:t>
      </w:r>
      <w:r w:rsidR="00B26C89" w:rsidRPr="00B26C89">
        <w:t xml:space="preserve"> </w:t>
      </w:r>
      <w:r w:rsidR="00B26C89" w:rsidRPr="00B26C89">
        <w:rPr>
          <w:color w:val="auto"/>
        </w:rPr>
        <w:t xml:space="preserve">silica gel </w:t>
      </w:r>
      <w:r w:rsidR="00B26C89">
        <w:rPr>
          <w:color w:val="auto"/>
        </w:rPr>
        <w:t>(</w:t>
      </w:r>
      <w:r w:rsidRPr="004521EA">
        <w:rPr>
          <w:color w:val="auto"/>
        </w:rPr>
        <w:t>SG</w:t>
      </w:r>
      <w:r w:rsidR="00B26C89">
        <w:rPr>
          <w:color w:val="auto"/>
        </w:rPr>
        <w:t>)</w:t>
      </w:r>
      <w:r w:rsidRPr="004521EA">
        <w:rPr>
          <w:color w:val="auto"/>
        </w:rPr>
        <w:t xml:space="preserve"> glass fiber paper </w:t>
      </w:r>
      <w:r w:rsidR="00DD5FE6">
        <w:rPr>
          <w:color w:val="auto"/>
        </w:rPr>
        <w:t xml:space="preserve">of </w:t>
      </w:r>
      <w:r w:rsidRPr="004521EA">
        <w:rPr>
          <w:color w:val="auto"/>
        </w:rPr>
        <w:t>at least 7 cm long and 1 cm wide.</w:t>
      </w:r>
    </w:p>
    <w:p w14:paraId="2BE5739B" w14:textId="77777777" w:rsidR="00E6644B" w:rsidRPr="004521EA" w:rsidRDefault="00E6644B" w:rsidP="008337F6">
      <w:pPr>
        <w:pStyle w:val="ListParagraph"/>
        <w:widowControl/>
        <w:ind w:left="0"/>
        <w:rPr>
          <w:color w:val="auto"/>
        </w:rPr>
      </w:pPr>
    </w:p>
    <w:p w14:paraId="4A80024F" w14:textId="72BB925D" w:rsidR="00E6644B" w:rsidRPr="004521EA" w:rsidRDefault="00C27CCF" w:rsidP="008337F6">
      <w:pPr>
        <w:widowControl/>
        <w:rPr>
          <w:color w:val="auto"/>
        </w:rPr>
      </w:pPr>
      <w:r>
        <w:rPr>
          <w:color w:val="auto"/>
        </w:rPr>
        <w:t>NOTE:</w:t>
      </w:r>
      <w:r w:rsidR="00E6644B" w:rsidRPr="004521EA">
        <w:rPr>
          <w:color w:val="auto"/>
        </w:rPr>
        <w:t xml:space="preserve"> Only use clean ITLC-SG paper without damages. </w:t>
      </w:r>
      <w:r w:rsidR="00077A46" w:rsidRPr="004521EA">
        <w:rPr>
          <w:color w:val="auto"/>
        </w:rPr>
        <w:t xml:space="preserve">If the paper is damaged, the components traveling with the solvent can be hindered and the results will be inaccurate. </w:t>
      </w:r>
    </w:p>
    <w:p w14:paraId="556A8BBC" w14:textId="77777777" w:rsidR="00400939" w:rsidRPr="004521EA" w:rsidRDefault="00400939" w:rsidP="008337F6">
      <w:pPr>
        <w:widowControl/>
        <w:rPr>
          <w:color w:val="auto"/>
        </w:rPr>
      </w:pPr>
    </w:p>
    <w:p w14:paraId="4981AD83" w14:textId="3D0FA744" w:rsidR="00400939" w:rsidRPr="004521EA" w:rsidRDefault="00400939" w:rsidP="008337F6">
      <w:pPr>
        <w:pStyle w:val="ListParagraph"/>
        <w:widowControl/>
        <w:numPr>
          <w:ilvl w:val="2"/>
          <w:numId w:val="28"/>
        </w:numPr>
        <w:rPr>
          <w:color w:val="auto"/>
          <w:highlight w:val="yellow"/>
        </w:rPr>
      </w:pPr>
      <w:r w:rsidRPr="004521EA">
        <w:rPr>
          <w:color w:val="auto"/>
          <w:highlight w:val="yellow"/>
        </w:rPr>
        <w:t xml:space="preserve">Add 5 </w:t>
      </w:r>
      <w:r w:rsidR="00135C84" w:rsidRPr="004521EA">
        <w:rPr>
          <w:color w:val="auto"/>
          <w:highlight w:val="yellow"/>
        </w:rPr>
        <w:t>µ</w:t>
      </w:r>
      <w:r w:rsidR="00DD5FE6">
        <w:rPr>
          <w:color w:val="auto"/>
          <w:highlight w:val="yellow"/>
        </w:rPr>
        <w:t>L</w:t>
      </w:r>
      <w:r w:rsidR="00C37C3C" w:rsidRPr="004521EA">
        <w:rPr>
          <w:color w:val="auto"/>
          <w:highlight w:val="yellow"/>
        </w:rPr>
        <w:t xml:space="preserve"> of GC</w:t>
      </w:r>
      <w:r w:rsidRPr="004521EA">
        <w:rPr>
          <w:color w:val="auto"/>
          <w:highlight w:val="yellow"/>
        </w:rPr>
        <w:t xml:space="preserve"> 1.5 cm from the bottom of the ITLC-SG paper and place </w:t>
      </w:r>
      <w:r w:rsidR="00DD5FE6">
        <w:rPr>
          <w:color w:val="auto"/>
          <w:highlight w:val="yellow"/>
        </w:rPr>
        <w:t xml:space="preserve">it </w:t>
      </w:r>
      <w:r w:rsidRPr="004521EA">
        <w:rPr>
          <w:color w:val="auto"/>
          <w:highlight w:val="yellow"/>
        </w:rPr>
        <w:t>in a tube containing 2 m</w:t>
      </w:r>
      <w:r w:rsidR="00135C84" w:rsidRPr="004521EA">
        <w:rPr>
          <w:color w:val="auto"/>
          <w:highlight w:val="yellow"/>
        </w:rPr>
        <w:t>L</w:t>
      </w:r>
      <w:r w:rsidRPr="004521EA">
        <w:rPr>
          <w:color w:val="auto"/>
          <w:highlight w:val="yellow"/>
        </w:rPr>
        <w:t xml:space="preserve"> </w:t>
      </w:r>
      <w:r w:rsidR="00DD5FE6">
        <w:rPr>
          <w:color w:val="auto"/>
          <w:highlight w:val="yellow"/>
        </w:rPr>
        <w:t xml:space="preserve">of </w:t>
      </w:r>
      <w:r w:rsidRPr="004521EA">
        <w:rPr>
          <w:color w:val="auto"/>
          <w:highlight w:val="yellow"/>
        </w:rPr>
        <w:t xml:space="preserve">50:50 </w:t>
      </w:r>
      <w:r w:rsidR="00DD5FE6">
        <w:rPr>
          <w:color w:val="auto"/>
          <w:highlight w:val="yellow"/>
        </w:rPr>
        <w:t>m</w:t>
      </w:r>
      <w:r w:rsidRPr="004521EA">
        <w:rPr>
          <w:color w:val="auto"/>
          <w:highlight w:val="yellow"/>
        </w:rPr>
        <w:t>ethanol</w:t>
      </w:r>
      <w:r w:rsidR="00DD5FE6">
        <w:rPr>
          <w:color w:val="auto"/>
          <w:highlight w:val="yellow"/>
        </w:rPr>
        <w:t>:</w:t>
      </w:r>
      <w:r w:rsidRPr="004521EA">
        <w:rPr>
          <w:color w:val="auto"/>
          <w:highlight w:val="yellow"/>
        </w:rPr>
        <w:t xml:space="preserve">1 M ammonium acetate. Ensure that the </w:t>
      </w:r>
      <w:r w:rsidRPr="004521EA">
        <w:rPr>
          <w:color w:val="auto"/>
          <w:highlight w:val="yellow"/>
          <w:vertAlign w:val="superscript"/>
        </w:rPr>
        <w:t>68</w:t>
      </w:r>
      <w:r w:rsidRPr="004521EA">
        <w:rPr>
          <w:color w:val="auto"/>
          <w:highlight w:val="yellow"/>
        </w:rPr>
        <w:t>Ga-DOTATATE does not come into contact with the liquid.</w:t>
      </w:r>
      <w:r w:rsidR="00C37C3C" w:rsidRPr="004521EA">
        <w:rPr>
          <w:color w:val="auto"/>
          <w:highlight w:val="yellow"/>
        </w:rPr>
        <w:t xml:space="preserve"> Close the tubes to prevent evaporation. </w:t>
      </w:r>
    </w:p>
    <w:p w14:paraId="390C404A" w14:textId="77777777" w:rsidR="00400939" w:rsidRPr="004521EA" w:rsidRDefault="00400939" w:rsidP="008337F6">
      <w:pPr>
        <w:widowControl/>
        <w:rPr>
          <w:color w:val="auto"/>
          <w:highlight w:val="yellow"/>
        </w:rPr>
      </w:pPr>
    </w:p>
    <w:p w14:paraId="6C1DC375" w14:textId="77605DDA" w:rsidR="00400939" w:rsidRPr="004521EA" w:rsidRDefault="00400939" w:rsidP="008337F6">
      <w:pPr>
        <w:pStyle w:val="ListParagraph"/>
        <w:widowControl/>
        <w:numPr>
          <w:ilvl w:val="2"/>
          <w:numId w:val="28"/>
        </w:numPr>
        <w:rPr>
          <w:color w:val="auto"/>
          <w:highlight w:val="yellow"/>
        </w:rPr>
      </w:pPr>
      <w:r w:rsidRPr="004521EA">
        <w:rPr>
          <w:color w:val="auto"/>
          <w:highlight w:val="yellow"/>
        </w:rPr>
        <w:t xml:space="preserve">Wait several minutes until the solvent has traveled at least 5 cm above where the </w:t>
      </w:r>
      <w:r w:rsidRPr="004521EA">
        <w:rPr>
          <w:color w:val="auto"/>
          <w:highlight w:val="yellow"/>
          <w:vertAlign w:val="superscript"/>
        </w:rPr>
        <w:t>68</w:t>
      </w:r>
      <w:r w:rsidRPr="004521EA">
        <w:rPr>
          <w:color w:val="auto"/>
          <w:highlight w:val="yellow"/>
        </w:rPr>
        <w:t xml:space="preserve">Ga-DOTATATE was applied. Cut the </w:t>
      </w:r>
      <w:r w:rsidR="00AA4A6C" w:rsidRPr="004521EA">
        <w:rPr>
          <w:color w:val="auto"/>
          <w:highlight w:val="yellow"/>
        </w:rPr>
        <w:t>paper</w:t>
      </w:r>
      <w:r w:rsidRPr="004521EA">
        <w:rPr>
          <w:color w:val="auto"/>
          <w:highlight w:val="yellow"/>
        </w:rPr>
        <w:t xml:space="preserve"> in half and place </w:t>
      </w:r>
      <w:r w:rsidR="00AA4A6C" w:rsidRPr="004521EA">
        <w:rPr>
          <w:color w:val="auto"/>
          <w:highlight w:val="yellow"/>
        </w:rPr>
        <w:t>the bottom and upper</w:t>
      </w:r>
      <w:r w:rsidR="00B2134B" w:rsidRPr="004521EA">
        <w:rPr>
          <w:color w:val="auto"/>
          <w:highlight w:val="yellow"/>
        </w:rPr>
        <w:t xml:space="preserve"> halves in </w:t>
      </w:r>
      <w:r w:rsidR="00AA4A6C" w:rsidRPr="004521EA">
        <w:rPr>
          <w:color w:val="auto"/>
          <w:highlight w:val="yellow"/>
        </w:rPr>
        <w:t xml:space="preserve">separate </w:t>
      </w:r>
      <w:r w:rsidR="00B2134B" w:rsidRPr="004521EA">
        <w:rPr>
          <w:color w:val="auto"/>
          <w:highlight w:val="yellow"/>
        </w:rPr>
        <w:t>tube</w:t>
      </w:r>
      <w:r w:rsidR="00DD5FE6">
        <w:rPr>
          <w:color w:val="auto"/>
          <w:highlight w:val="yellow"/>
        </w:rPr>
        <w:t>s</w:t>
      </w:r>
      <w:r w:rsidR="00B2134B" w:rsidRPr="004521EA">
        <w:rPr>
          <w:color w:val="auto"/>
          <w:highlight w:val="yellow"/>
        </w:rPr>
        <w:t xml:space="preserve"> (BH</w:t>
      </w:r>
      <w:r w:rsidR="00B26C89">
        <w:rPr>
          <w:color w:val="auto"/>
          <w:highlight w:val="yellow"/>
        </w:rPr>
        <w:t>1</w:t>
      </w:r>
      <w:r w:rsidR="00B2134B" w:rsidRPr="004521EA">
        <w:rPr>
          <w:color w:val="auto"/>
          <w:highlight w:val="yellow"/>
        </w:rPr>
        <w:t xml:space="preserve"> and UH</w:t>
      </w:r>
      <w:r w:rsidR="00B26C89">
        <w:rPr>
          <w:color w:val="auto"/>
          <w:highlight w:val="yellow"/>
        </w:rPr>
        <w:t>1</w:t>
      </w:r>
      <w:r w:rsidR="00B2134B" w:rsidRPr="004521EA">
        <w:rPr>
          <w:color w:val="auto"/>
          <w:highlight w:val="yellow"/>
        </w:rPr>
        <w:t>)</w:t>
      </w:r>
      <w:r w:rsidRPr="004521EA">
        <w:rPr>
          <w:color w:val="auto"/>
          <w:highlight w:val="yellow"/>
        </w:rPr>
        <w:t>.</w:t>
      </w:r>
    </w:p>
    <w:p w14:paraId="66457299" w14:textId="77777777" w:rsidR="00400939" w:rsidRPr="004521EA" w:rsidRDefault="00400939" w:rsidP="008337F6">
      <w:pPr>
        <w:widowControl/>
        <w:rPr>
          <w:color w:val="auto"/>
          <w:highlight w:val="yellow"/>
        </w:rPr>
      </w:pPr>
    </w:p>
    <w:p w14:paraId="0AD4E8A3" w14:textId="07A2E49F" w:rsidR="00400939" w:rsidRPr="004521EA" w:rsidRDefault="00400939" w:rsidP="008337F6">
      <w:pPr>
        <w:pStyle w:val="ListParagraph"/>
        <w:widowControl/>
        <w:numPr>
          <w:ilvl w:val="2"/>
          <w:numId w:val="28"/>
        </w:numPr>
        <w:rPr>
          <w:color w:val="auto"/>
          <w:highlight w:val="yellow"/>
        </w:rPr>
      </w:pPr>
      <w:r w:rsidRPr="004521EA">
        <w:rPr>
          <w:color w:val="auto"/>
          <w:highlight w:val="yellow"/>
        </w:rPr>
        <w:t xml:space="preserve">Place </w:t>
      </w:r>
      <w:r w:rsidR="00DD5FE6">
        <w:rPr>
          <w:color w:val="auto"/>
          <w:highlight w:val="yellow"/>
        </w:rPr>
        <w:t xml:space="preserve">the </w:t>
      </w:r>
      <w:r w:rsidRPr="004521EA">
        <w:rPr>
          <w:color w:val="auto"/>
          <w:highlight w:val="yellow"/>
        </w:rPr>
        <w:t>UH</w:t>
      </w:r>
      <w:r w:rsidR="00B26C89">
        <w:rPr>
          <w:color w:val="auto"/>
          <w:highlight w:val="yellow"/>
        </w:rPr>
        <w:t>1</w:t>
      </w:r>
      <w:r w:rsidRPr="004521EA">
        <w:rPr>
          <w:color w:val="auto"/>
          <w:highlight w:val="yellow"/>
        </w:rPr>
        <w:t xml:space="preserve"> and BH</w:t>
      </w:r>
      <w:r w:rsidR="00B26C89">
        <w:rPr>
          <w:color w:val="auto"/>
          <w:highlight w:val="yellow"/>
        </w:rPr>
        <w:t>1</w:t>
      </w:r>
      <w:r w:rsidRPr="004521EA">
        <w:rPr>
          <w:color w:val="auto"/>
          <w:highlight w:val="yellow"/>
        </w:rPr>
        <w:t xml:space="preserve"> </w:t>
      </w:r>
      <w:r w:rsidR="00DD5FE6">
        <w:rPr>
          <w:color w:val="auto"/>
          <w:highlight w:val="yellow"/>
        </w:rPr>
        <w:t xml:space="preserve">tubes </w:t>
      </w:r>
      <w:r w:rsidRPr="004521EA">
        <w:rPr>
          <w:color w:val="auto"/>
          <w:highlight w:val="yellow"/>
        </w:rPr>
        <w:t>in a well counter and determine the number of counts in each vial</w:t>
      </w:r>
      <w:r w:rsidR="00757870" w:rsidRPr="004521EA">
        <w:rPr>
          <w:color w:val="auto"/>
          <w:highlight w:val="yellow"/>
        </w:rPr>
        <w:t xml:space="preserve"> in the 400</w:t>
      </w:r>
      <w:r w:rsidR="00DD5FE6">
        <w:rPr>
          <w:color w:val="auto"/>
          <w:highlight w:val="yellow"/>
        </w:rPr>
        <w:t>–</w:t>
      </w:r>
      <w:r w:rsidR="00757870" w:rsidRPr="004521EA">
        <w:rPr>
          <w:color w:val="auto"/>
          <w:highlight w:val="yellow"/>
        </w:rPr>
        <w:t>600 keV energy window</w:t>
      </w:r>
      <w:r w:rsidR="001A0200" w:rsidRPr="001A0200">
        <w:rPr>
          <w:color w:val="auto"/>
          <w:highlight w:val="yellow"/>
        </w:rPr>
        <w:t xml:space="preserve"> </w:t>
      </w:r>
      <w:r w:rsidR="001A0200">
        <w:rPr>
          <w:color w:val="auto"/>
          <w:highlight w:val="yellow"/>
        </w:rPr>
        <w:t xml:space="preserve">for </w:t>
      </w:r>
      <w:r w:rsidR="001A0200" w:rsidRPr="004521EA">
        <w:rPr>
          <w:color w:val="auto"/>
          <w:highlight w:val="yellow"/>
        </w:rPr>
        <w:t>30 s</w:t>
      </w:r>
      <w:r w:rsidR="00DD5FE6">
        <w:rPr>
          <w:color w:val="auto"/>
          <w:highlight w:val="yellow"/>
        </w:rPr>
        <w:t>,</w:t>
      </w:r>
      <w:r w:rsidR="0059058E" w:rsidRPr="004521EA">
        <w:rPr>
          <w:color w:val="auto"/>
          <w:highlight w:val="yellow"/>
        </w:rPr>
        <w:t xml:space="preserve"> to determine </w:t>
      </w:r>
      <w:r w:rsidR="00DD5FE6">
        <w:rPr>
          <w:color w:val="auto"/>
          <w:highlight w:val="yellow"/>
        </w:rPr>
        <w:t xml:space="preserve">the </w:t>
      </w:r>
      <w:r w:rsidR="0059058E" w:rsidRPr="004521EA">
        <w:rPr>
          <w:color w:val="auto"/>
          <w:highlight w:val="yellow"/>
        </w:rPr>
        <w:t xml:space="preserve">colloid percentage (see </w:t>
      </w:r>
      <w:r w:rsidR="00DD5FE6">
        <w:rPr>
          <w:color w:val="auto"/>
          <w:highlight w:val="yellow"/>
        </w:rPr>
        <w:t xml:space="preserve">the </w:t>
      </w:r>
      <w:r w:rsidR="0059058E" w:rsidRPr="004521EA">
        <w:rPr>
          <w:color w:val="auto"/>
          <w:highlight w:val="yellow"/>
        </w:rPr>
        <w:t>calculations in steps 4.4.7</w:t>
      </w:r>
      <w:r w:rsidR="00DD5FE6">
        <w:rPr>
          <w:color w:val="auto"/>
          <w:highlight w:val="yellow"/>
        </w:rPr>
        <w:t>–</w:t>
      </w:r>
      <w:r w:rsidR="0059058E" w:rsidRPr="004521EA">
        <w:rPr>
          <w:color w:val="auto"/>
          <w:highlight w:val="yellow"/>
        </w:rPr>
        <w:t>4.4.9).</w:t>
      </w:r>
    </w:p>
    <w:p w14:paraId="229EDF90" w14:textId="77777777" w:rsidR="00400939" w:rsidRPr="004521EA" w:rsidRDefault="00400939" w:rsidP="008337F6">
      <w:pPr>
        <w:widowControl/>
        <w:rPr>
          <w:color w:val="auto"/>
        </w:rPr>
      </w:pPr>
    </w:p>
    <w:p w14:paraId="24ED7A60" w14:textId="13141D32" w:rsidR="00400939" w:rsidRPr="004521EA" w:rsidRDefault="00DD5FE6" w:rsidP="008337F6">
      <w:pPr>
        <w:pStyle w:val="ListParagraph"/>
        <w:widowControl/>
        <w:numPr>
          <w:ilvl w:val="2"/>
          <w:numId w:val="28"/>
        </w:numPr>
        <w:rPr>
          <w:color w:val="auto"/>
        </w:rPr>
      </w:pPr>
      <w:r>
        <w:rPr>
          <w:color w:val="auto"/>
        </w:rPr>
        <w:t xml:space="preserve">Repeat </w:t>
      </w:r>
      <w:r w:rsidR="0000417F" w:rsidRPr="004521EA">
        <w:rPr>
          <w:color w:val="auto"/>
        </w:rPr>
        <w:t xml:space="preserve">steps </w:t>
      </w:r>
      <w:r w:rsidR="00EC2FBA" w:rsidRPr="004521EA">
        <w:rPr>
          <w:color w:val="auto"/>
        </w:rPr>
        <w:t>4.4.2</w:t>
      </w:r>
      <w:r>
        <w:rPr>
          <w:color w:val="auto"/>
        </w:rPr>
        <w:t>–</w:t>
      </w:r>
      <w:r w:rsidR="00EC2FBA" w:rsidRPr="004521EA">
        <w:rPr>
          <w:color w:val="auto"/>
        </w:rPr>
        <w:t>4.4.5</w:t>
      </w:r>
      <w:r w:rsidR="00B26C89">
        <w:rPr>
          <w:color w:val="auto"/>
        </w:rPr>
        <w:t xml:space="preserve"> to acquire BH2 and UH2.</w:t>
      </w:r>
      <w:r w:rsidR="00400939" w:rsidRPr="004521EA">
        <w:rPr>
          <w:color w:val="auto"/>
        </w:rPr>
        <w:t xml:space="preserve">. </w:t>
      </w:r>
    </w:p>
    <w:p w14:paraId="40810B90" w14:textId="77777777" w:rsidR="005A2EFF" w:rsidRPr="004521EA" w:rsidRDefault="005A2EFF" w:rsidP="008337F6">
      <w:pPr>
        <w:pStyle w:val="ListParagraph"/>
        <w:widowControl/>
        <w:ind w:left="0"/>
        <w:rPr>
          <w:color w:val="auto"/>
        </w:rPr>
      </w:pPr>
    </w:p>
    <w:p w14:paraId="31345A82" w14:textId="1D1CFC59" w:rsidR="005A2EFF" w:rsidRPr="004521EA" w:rsidRDefault="005A2EFF" w:rsidP="008337F6">
      <w:pPr>
        <w:pStyle w:val="ListParagraph"/>
        <w:widowControl/>
        <w:numPr>
          <w:ilvl w:val="2"/>
          <w:numId w:val="28"/>
        </w:numPr>
        <w:rPr>
          <w:color w:val="auto"/>
        </w:rPr>
      </w:pPr>
      <w:r w:rsidRPr="004521EA">
        <w:rPr>
          <w:color w:val="auto"/>
        </w:rPr>
        <w:t xml:space="preserve">Perform a background measurement of </w:t>
      </w:r>
      <w:r w:rsidR="00B26C89">
        <w:rPr>
          <w:color w:val="auto"/>
        </w:rPr>
        <w:t xml:space="preserve">an empty </w:t>
      </w:r>
      <w:r w:rsidRPr="004521EA">
        <w:rPr>
          <w:color w:val="auto"/>
        </w:rPr>
        <w:t>well counter and determine the number of counts in the 400</w:t>
      </w:r>
      <w:r w:rsidR="00DE3B43">
        <w:rPr>
          <w:color w:val="auto"/>
        </w:rPr>
        <w:t>–</w:t>
      </w:r>
      <w:r w:rsidRPr="004521EA">
        <w:rPr>
          <w:color w:val="auto"/>
        </w:rPr>
        <w:t>600 keV energy window</w:t>
      </w:r>
      <w:r w:rsidR="001A0200" w:rsidRPr="001A0200">
        <w:rPr>
          <w:color w:val="auto"/>
        </w:rPr>
        <w:t xml:space="preserve"> </w:t>
      </w:r>
      <w:r w:rsidR="001A0200">
        <w:rPr>
          <w:color w:val="auto"/>
        </w:rPr>
        <w:t>for</w:t>
      </w:r>
      <w:r w:rsidR="001A0200" w:rsidRPr="004521EA">
        <w:rPr>
          <w:color w:val="auto"/>
        </w:rPr>
        <w:t xml:space="preserve"> 30 s</w:t>
      </w:r>
      <w:r w:rsidR="0000417F" w:rsidRPr="004521EA">
        <w:rPr>
          <w:color w:val="auto"/>
        </w:rPr>
        <w:t>.</w:t>
      </w:r>
    </w:p>
    <w:p w14:paraId="5AA4F88F" w14:textId="77777777" w:rsidR="00B513A1" w:rsidRPr="004521EA" w:rsidRDefault="00B513A1" w:rsidP="008337F6">
      <w:pPr>
        <w:pStyle w:val="ListParagraph"/>
        <w:widowControl/>
        <w:ind w:left="0"/>
        <w:rPr>
          <w:color w:val="auto"/>
        </w:rPr>
      </w:pPr>
    </w:p>
    <w:p w14:paraId="50C2C24E" w14:textId="1360356E" w:rsidR="00B513A1" w:rsidRDefault="00B513A1" w:rsidP="008337F6">
      <w:pPr>
        <w:pStyle w:val="ListParagraph"/>
        <w:widowControl/>
        <w:numPr>
          <w:ilvl w:val="2"/>
          <w:numId w:val="28"/>
        </w:numPr>
        <w:rPr>
          <w:color w:val="auto"/>
        </w:rPr>
      </w:pPr>
      <w:r w:rsidRPr="004521EA">
        <w:rPr>
          <w:color w:val="auto"/>
        </w:rPr>
        <w:t xml:space="preserve">Correct the counts in </w:t>
      </w:r>
      <w:r w:rsidR="00DE3B43">
        <w:rPr>
          <w:color w:val="auto"/>
        </w:rPr>
        <w:t xml:space="preserve">the </w:t>
      </w:r>
      <w:r w:rsidRPr="004521EA">
        <w:rPr>
          <w:color w:val="auto"/>
        </w:rPr>
        <w:t>UH</w:t>
      </w:r>
      <w:r w:rsidR="00B26C89">
        <w:rPr>
          <w:color w:val="auto"/>
        </w:rPr>
        <w:t>1, UH2, BH1</w:t>
      </w:r>
      <w:r w:rsidRPr="004521EA">
        <w:rPr>
          <w:color w:val="auto"/>
        </w:rPr>
        <w:t xml:space="preserve"> and BH</w:t>
      </w:r>
      <w:r w:rsidR="00B26C89">
        <w:rPr>
          <w:color w:val="auto"/>
        </w:rPr>
        <w:t>2</w:t>
      </w:r>
      <w:r w:rsidRPr="004521EA">
        <w:rPr>
          <w:color w:val="auto"/>
        </w:rPr>
        <w:t xml:space="preserve"> for decay</w:t>
      </w:r>
      <w:r w:rsidR="005A2EFF" w:rsidRPr="004521EA">
        <w:rPr>
          <w:color w:val="auto"/>
        </w:rPr>
        <w:t xml:space="preserve"> and background</w:t>
      </w:r>
      <w:r w:rsidRPr="004521EA">
        <w:rPr>
          <w:color w:val="auto"/>
        </w:rPr>
        <w:t xml:space="preserve"> </w:t>
      </w:r>
      <w:r w:rsidR="005A2EFF" w:rsidRPr="004521EA">
        <w:rPr>
          <w:color w:val="auto"/>
        </w:rPr>
        <w:t xml:space="preserve">(determined in </w:t>
      </w:r>
      <w:r w:rsidR="00DE3B43">
        <w:rPr>
          <w:color w:val="auto"/>
        </w:rPr>
        <w:t xml:space="preserve">step </w:t>
      </w:r>
      <w:r w:rsidR="005A2EFF" w:rsidRPr="004521EA">
        <w:rPr>
          <w:color w:val="auto"/>
        </w:rPr>
        <w:t>4.4.7)</w:t>
      </w:r>
      <w:r w:rsidR="00B26C89">
        <w:rPr>
          <w:color w:val="auto"/>
        </w:rPr>
        <w:t xml:space="preserve"> to obtain UH1cor, UH2cor, BH1cor, BH2cor</w:t>
      </w:r>
      <w:r w:rsidR="0000417F" w:rsidRPr="004521EA">
        <w:rPr>
          <w:color w:val="auto"/>
        </w:rPr>
        <w:t xml:space="preserve">. </w:t>
      </w:r>
      <w:r w:rsidR="001872C6" w:rsidRPr="004521EA">
        <w:rPr>
          <w:color w:val="auto"/>
        </w:rPr>
        <w:t>Δt is the time difference between the measure</w:t>
      </w:r>
      <w:r w:rsidR="0000417F" w:rsidRPr="004521EA">
        <w:rPr>
          <w:color w:val="auto"/>
        </w:rPr>
        <w:t>ment of the</w:t>
      </w:r>
      <w:r w:rsidR="001872C6" w:rsidRPr="004521EA">
        <w:rPr>
          <w:color w:val="auto"/>
        </w:rPr>
        <w:t xml:space="preserve"> sample and </w:t>
      </w:r>
      <w:r w:rsidR="00DE3B43">
        <w:rPr>
          <w:color w:val="auto"/>
        </w:rPr>
        <w:t xml:space="preserve">the </w:t>
      </w:r>
      <w:r w:rsidR="001872C6" w:rsidRPr="004521EA">
        <w:rPr>
          <w:color w:val="auto"/>
        </w:rPr>
        <w:t xml:space="preserve">ART </w:t>
      </w:r>
      <w:r w:rsidR="00B26C89">
        <w:rPr>
          <w:color w:val="auto"/>
        </w:rPr>
        <w:t xml:space="preserve">(determined in step 3.11) </w:t>
      </w:r>
      <w:r w:rsidR="001872C6" w:rsidRPr="004521EA">
        <w:rPr>
          <w:color w:val="auto"/>
        </w:rPr>
        <w:t xml:space="preserve">in minutes. </w:t>
      </w:r>
    </w:p>
    <w:p w14:paraId="56AE11D2" w14:textId="77777777" w:rsidR="00C27CCF" w:rsidRPr="004521EA" w:rsidRDefault="00C27CCF" w:rsidP="00B26C89">
      <w:pPr>
        <w:pStyle w:val="ListParagraph"/>
        <w:widowControl/>
        <w:ind w:left="0"/>
        <w:rPr>
          <w:color w:val="auto"/>
        </w:rPr>
      </w:pPr>
    </w:p>
    <w:p w14:paraId="09C648F7" w14:textId="650470D5" w:rsidR="00B513A1" w:rsidRPr="004521EA" w:rsidRDefault="00B26C89" w:rsidP="008337F6">
      <w:pPr>
        <w:widowControl/>
        <w:rPr>
          <w:color w:val="auto"/>
        </w:rPr>
      </w:pPr>
      <m:oMathPara>
        <m:oMath>
          <m:r>
            <w:rPr>
              <w:rFonts w:ascii="Cambria Math" w:hAnsi="Cambria Math"/>
              <w:color w:val="auto"/>
            </w:rPr>
            <m:t>UH</m:t>
          </m:r>
          <m:r>
            <w:rPr>
              <w:rFonts w:ascii="Cambria Math" w:hAnsi="Cambria Math"/>
              <w:color w:val="auto"/>
            </w:rPr>
            <m:t>1</m:t>
          </m:r>
          <m:r>
            <w:rPr>
              <w:rFonts w:ascii="Cambria Math" w:hAnsi="Cambria Math"/>
              <w:color w:val="auto"/>
            </w:rPr>
            <m:t>-counts background=</m:t>
          </m:r>
          <m:r>
            <w:rPr>
              <w:rFonts w:ascii="Cambria Math" w:hAnsi="Cambria Math"/>
              <w:color w:val="auto"/>
            </w:rPr>
            <m:t>UH</m:t>
          </m:r>
          <m:r>
            <w:rPr>
              <w:rFonts w:ascii="Cambria Math" w:hAnsi="Cambria Math"/>
              <w:color w:val="auto"/>
            </w:rPr>
            <m:t>1cor</m:t>
          </m:r>
          <m:r>
            <w:rPr>
              <w:rFonts w:ascii="Cambria Math" w:hAnsi="Cambria Math"/>
              <w:color w:val="auto"/>
            </w:rPr>
            <m:t>×</m:t>
          </m:r>
          <m:sSup>
            <m:sSupPr>
              <m:ctrlPr>
                <w:rPr>
                  <w:rFonts w:ascii="Cambria Math" w:hAnsi="Cambria Math"/>
                  <w:i/>
                  <w:color w:val="auto"/>
                </w:rPr>
              </m:ctrlPr>
            </m:sSupPr>
            <m:e>
              <m:r>
                <w:rPr>
                  <w:rFonts w:ascii="Cambria Math" w:hAnsi="Cambria Math"/>
                  <w:color w:val="auto"/>
                </w:rPr>
                <m:t>0.5</m:t>
              </m:r>
            </m:e>
            <m:sup>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Δt</m:t>
                      </m:r>
                    </m:num>
                    <m:den>
                      <m:r>
                        <w:rPr>
                          <w:rFonts w:ascii="Cambria Math" w:hAnsi="Cambria Math"/>
                          <w:color w:val="auto"/>
                        </w:rPr>
                        <m:t>68</m:t>
                      </m:r>
                    </m:den>
                  </m:f>
                </m:e>
              </m:d>
            </m:sup>
          </m:sSup>
          <m:r>
            <w:rPr>
              <w:rFonts w:ascii="Cambria Math" w:hAnsi="Cambria Math"/>
              <w:color w:val="auto"/>
            </w:rPr>
            <m:t xml:space="preserve"> </m:t>
          </m:r>
        </m:oMath>
      </m:oMathPara>
    </w:p>
    <w:p w14:paraId="27F840F8" w14:textId="77777777" w:rsidR="00400939" w:rsidRPr="004521EA" w:rsidRDefault="00400939" w:rsidP="008337F6">
      <w:pPr>
        <w:widowControl/>
        <w:rPr>
          <w:color w:val="auto"/>
        </w:rPr>
      </w:pPr>
    </w:p>
    <w:p w14:paraId="616181EE" w14:textId="47FD4AE3" w:rsidR="00400939" w:rsidRDefault="00400939" w:rsidP="008337F6">
      <w:pPr>
        <w:pStyle w:val="ListParagraph"/>
        <w:widowControl/>
        <w:numPr>
          <w:ilvl w:val="2"/>
          <w:numId w:val="28"/>
        </w:numPr>
        <w:rPr>
          <w:color w:val="auto"/>
        </w:rPr>
      </w:pPr>
      <w:r w:rsidRPr="004521EA">
        <w:rPr>
          <w:color w:val="auto"/>
        </w:rPr>
        <w:t xml:space="preserve">Calculate the </w:t>
      </w:r>
      <w:r w:rsidR="00AE3668">
        <w:rPr>
          <w:color w:val="auto"/>
        </w:rPr>
        <w:t>number</w:t>
      </w:r>
      <w:r w:rsidRPr="004521EA">
        <w:rPr>
          <w:color w:val="auto"/>
        </w:rPr>
        <w:t xml:space="preserve"> of </w:t>
      </w:r>
      <w:r w:rsidRPr="004521EA">
        <w:rPr>
          <w:color w:val="auto"/>
          <w:vertAlign w:val="superscript"/>
        </w:rPr>
        <w:t>68</w:t>
      </w:r>
      <w:r w:rsidRPr="004521EA">
        <w:rPr>
          <w:color w:val="auto"/>
        </w:rPr>
        <w:t>Ga</w:t>
      </w:r>
      <w:r w:rsidR="00AE3668">
        <w:rPr>
          <w:color w:val="auto"/>
        </w:rPr>
        <w:t xml:space="preserve"> </w:t>
      </w:r>
      <w:r w:rsidRPr="004521EA">
        <w:rPr>
          <w:color w:val="auto"/>
        </w:rPr>
        <w:t>colloids with the following formula</w:t>
      </w:r>
      <w:r w:rsidR="0000417F" w:rsidRPr="004521EA">
        <w:rPr>
          <w:color w:val="auto"/>
        </w:rPr>
        <w:t>;</w:t>
      </w:r>
      <w:r w:rsidR="00C5216D" w:rsidRPr="004521EA">
        <w:rPr>
          <w:color w:val="auto"/>
        </w:rPr>
        <w:t xml:space="preserve"> </w:t>
      </w:r>
      <w:r w:rsidR="00AE3668">
        <w:rPr>
          <w:color w:val="auto"/>
        </w:rPr>
        <w:t xml:space="preserve">note that </w:t>
      </w:r>
      <w:r w:rsidR="0000417F" w:rsidRPr="004521EA">
        <w:rPr>
          <w:color w:val="auto"/>
        </w:rPr>
        <w:t>this</w:t>
      </w:r>
      <w:r w:rsidR="00C5216D" w:rsidRPr="004521EA">
        <w:rPr>
          <w:color w:val="auto"/>
        </w:rPr>
        <w:t xml:space="preserve"> should be less than 3%. </w:t>
      </w:r>
      <w:r w:rsidR="00B26C89">
        <w:rPr>
          <w:color w:val="auto"/>
        </w:rPr>
        <w:t>UH1cor, UH2cor, BH1cor, BH2cor are the corrected values obtained in step 4.4.8.</w:t>
      </w:r>
    </w:p>
    <w:p w14:paraId="40EEB763" w14:textId="77777777" w:rsidR="00C27CCF" w:rsidRPr="004521EA" w:rsidRDefault="00C27CCF" w:rsidP="00B26C89">
      <w:pPr>
        <w:pStyle w:val="ListParagraph"/>
        <w:widowControl/>
        <w:ind w:left="0"/>
        <w:rPr>
          <w:color w:val="auto"/>
        </w:rPr>
      </w:pPr>
    </w:p>
    <w:p w14:paraId="2884C68E" w14:textId="5B2EB836" w:rsidR="00400939" w:rsidRPr="004521EA" w:rsidRDefault="00E76D43" w:rsidP="008337F6">
      <w:pPr>
        <w:pStyle w:val="ListParagraph"/>
        <w:widowControl/>
        <w:ind w:left="0"/>
        <w:rPr>
          <w:color w:val="auto"/>
        </w:rPr>
      </w:pPr>
      <m:oMathPara>
        <m:oMath>
          <m:r>
            <w:rPr>
              <w:rFonts w:ascii="Cambria Math" w:hAnsi="Cambria Math"/>
              <w:color w:val="auto"/>
            </w:rPr>
            <m:t>Colloids=</m:t>
          </m:r>
          <m:f>
            <m:fPr>
              <m:ctrlPr>
                <w:rPr>
                  <w:rFonts w:ascii="Cambria Math" w:hAnsi="Cambria Math"/>
                  <w:i/>
                  <w:color w:val="auto"/>
                </w:rPr>
              </m:ctrlPr>
            </m:fPr>
            <m:num>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UH1</m:t>
                      </m:r>
                      <m:r>
                        <w:rPr>
                          <w:rFonts w:ascii="Cambria Math" w:hAnsi="Cambria Math"/>
                          <w:color w:val="auto"/>
                        </w:rPr>
                        <m:t>cor</m:t>
                      </m:r>
                    </m:num>
                    <m:den>
                      <m:r>
                        <w:rPr>
                          <w:rFonts w:ascii="Cambria Math" w:hAnsi="Cambria Math"/>
                          <w:color w:val="auto"/>
                        </w:rPr>
                        <m:t>UH1</m:t>
                      </m:r>
                      <m:r>
                        <w:rPr>
                          <w:rFonts w:ascii="Cambria Math" w:hAnsi="Cambria Math"/>
                          <w:color w:val="auto"/>
                        </w:rPr>
                        <m:t>cor</m:t>
                      </m:r>
                      <m:r>
                        <w:rPr>
                          <w:rFonts w:ascii="Cambria Math" w:hAnsi="Cambria Math"/>
                          <w:color w:val="auto"/>
                        </w:rPr>
                        <m:t>+BH1</m:t>
                      </m:r>
                      <m:r>
                        <w:rPr>
                          <w:rFonts w:ascii="Cambria Math" w:hAnsi="Cambria Math"/>
                          <w:color w:val="auto"/>
                        </w:rPr>
                        <m:t>cor</m:t>
                      </m:r>
                    </m:den>
                  </m:f>
                </m:e>
              </m:d>
              <m:r>
                <w:rPr>
                  <w:rFonts w:ascii="Cambria Math" w:hAnsi="Cambria Math"/>
                  <w:color w:val="auto"/>
                </w:rPr>
                <m:t>+</m:t>
              </m:r>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UH2</m:t>
                      </m:r>
                      <m:r>
                        <w:rPr>
                          <w:rFonts w:ascii="Cambria Math" w:hAnsi="Cambria Math"/>
                          <w:color w:val="auto"/>
                        </w:rPr>
                        <m:t>cor</m:t>
                      </m:r>
                    </m:num>
                    <m:den>
                      <m:r>
                        <w:rPr>
                          <w:rFonts w:ascii="Cambria Math" w:hAnsi="Cambria Math"/>
                          <w:color w:val="auto"/>
                        </w:rPr>
                        <m:t>UH2</m:t>
                      </m:r>
                      <m:r>
                        <w:rPr>
                          <w:rFonts w:ascii="Cambria Math" w:hAnsi="Cambria Math"/>
                          <w:color w:val="auto"/>
                        </w:rPr>
                        <m:t>cor</m:t>
                      </m:r>
                      <m:r>
                        <w:rPr>
                          <w:rFonts w:ascii="Cambria Math" w:hAnsi="Cambria Math"/>
                          <w:color w:val="auto"/>
                        </w:rPr>
                        <m:t>+BH2</m:t>
                      </m:r>
                      <m:r>
                        <w:rPr>
                          <w:rFonts w:ascii="Cambria Math" w:hAnsi="Cambria Math"/>
                          <w:color w:val="auto"/>
                        </w:rPr>
                        <m:t>cor</m:t>
                      </m:r>
                    </m:den>
                  </m:f>
                </m:e>
              </m:d>
            </m:num>
            <m:den>
              <m:r>
                <w:rPr>
                  <w:rFonts w:ascii="Cambria Math" w:hAnsi="Cambria Math"/>
                  <w:color w:val="auto"/>
                </w:rPr>
                <m:t>2</m:t>
              </m:r>
            </m:den>
          </m:f>
          <m:r>
            <w:rPr>
              <w:rFonts w:ascii="Cambria Math" w:hAnsi="Cambria Math"/>
              <w:color w:val="auto"/>
            </w:rPr>
            <m:t>×100%</m:t>
          </m:r>
        </m:oMath>
      </m:oMathPara>
    </w:p>
    <w:p w14:paraId="6E009A9A" w14:textId="77777777" w:rsidR="00B560F0" w:rsidRPr="004521EA" w:rsidRDefault="00B560F0" w:rsidP="008337F6">
      <w:pPr>
        <w:widowControl/>
        <w:rPr>
          <w:color w:val="auto"/>
        </w:rPr>
      </w:pPr>
    </w:p>
    <w:p w14:paraId="20753930" w14:textId="734C4207" w:rsidR="00B560F0" w:rsidRPr="004521EA" w:rsidRDefault="0000417F" w:rsidP="008337F6">
      <w:pPr>
        <w:pStyle w:val="ListParagraph"/>
        <w:widowControl/>
        <w:numPr>
          <w:ilvl w:val="1"/>
          <w:numId w:val="28"/>
        </w:numPr>
        <w:rPr>
          <w:color w:val="auto"/>
          <w:highlight w:val="yellow"/>
        </w:rPr>
      </w:pPr>
      <w:r w:rsidRPr="004521EA">
        <w:rPr>
          <w:color w:val="auto"/>
          <w:highlight w:val="yellow"/>
        </w:rPr>
        <w:t>Determine</w:t>
      </w:r>
      <w:r w:rsidR="00AE3668">
        <w:rPr>
          <w:color w:val="auto"/>
          <w:highlight w:val="yellow"/>
        </w:rPr>
        <w:t xml:space="preserve"> the</w:t>
      </w:r>
      <w:r w:rsidRPr="004521EA">
        <w:rPr>
          <w:color w:val="auto"/>
          <w:highlight w:val="yellow"/>
          <w:vertAlign w:val="superscript"/>
        </w:rPr>
        <w:t xml:space="preserve"> </w:t>
      </w:r>
      <w:r w:rsidR="00B560F0" w:rsidRPr="004521EA">
        <w:rPr>
          <w:color w:val="auto"/>
          <w:highlight w:val="yellow"/>
          <w:vertAlign w:val="superscript"/>
        </w:rPr>
        <w:t>68</w:t>
      </w:r>
      <w:r w:rsidR="00B560F0" w:rsidRPr="004521EA">
        <w:rPr>
          <w:color w:val="auto"/>
          <w:highlight w:val="yellow"/>
        </w:rPr>
        <w:t xml:space="preserve">Ga </w:t>
      </w:r>
      <w:r w:rsidRPr="004521EA">
        <w:rPr>
          <w:color w:val="auto"/>
          <w:highlight w:val="yellow"/>
        </w:rPr>
        <w:t>i</w:t>
      </w:r>
      <w:r w:rsidR="00B560F0" w:rsidRPr="004521EA">
        <w:rPr>
          <w:color w:val="auto"/>
          <w:highlight w:val="yellow"/>
        </w:rPr>
        <w:t>on</w:t>
      </w:r>
      <w:r w:rsidR="00C5216D" w:rsidRPr="004521EA">
        <w:rPr>
          <w:color w:val="auto"/>
          <w:highlight w:val="yellow"/>
        </w:rPr>
        <w:t>s</w:t>
      </w:r>
      <w:r w:rsidR="008655F8" w:rsidRPr="004521EA">
        <w:rPr>
          <w:color w:val="auto"/>
          <w:highlight w:val="yellow"/>
        </w:rPr>
        <w:t xml:space="preserve"> through column separation.</w:t>
      </w:r>
    </w:p>
    <w:p w14:paraId="701AD535" w14:textId="77777777" w:rsidR="008655F8" w:rsidRPr="004521EA" w:rsidRDefault="008655F8" w:rsidP="008337F6">
      <w:pPr>
        <w:pStyle w:val="ListParagraph"/>
        <w:widowControl/>
        <w:ind w:left="0"/>
        <w:rPr>
          <w:color w:val="auto"/>
          <w:highlight w:val="yellow"/>
        </w:rPr>
      </w:pPr>
    </w:p>
    <w:p w14:paraId="5F52A58E" w14:textId="0D199B75" w:rsidR="00595109" w:rsidRPr="004521EA" w:rsidRDefault="00595109" w:rsidP="008337F6">
      <w:pPr>
        <w:pStyle w:val="ListParagraph"/>
        <w:widowControl/>
        <w:numPr>
          <w:ilvl w:val="2"/>
          <w:numId w:val="28"/>
        </w:numPr>
        <w:rPr>
          <w:color w:val="auto"/>
          <w:highlight w:val="yellow"/>
        </w:rPr>
      </w:pPr>
      <w:r w:rsidRPr="004521EA">
        <w:rPr>
          <w:color w:val="auto"/>
          <w:highlight w:val="yellow"/>
        </w:rPr>
        <w:t xml:space="preserve">Make a stock solution by diluting 20 µL of </w:t>
      </w:r>
      <w:r w:rsidRPr="004521EA">
        <w:rPr>
          <w:color w:val="auto"/>
          <w:highlight w:val="yellow"/>
          <w:vertAlign w:val="superscript"/>
        </w:rPr>
        <w:t>68</w:t>
      </w:r>
      <w:r w:rsidRPr="004521EA">
        <w:rPr>
          <w:color w:val="auto"/>
          <w:highlight w:val="yellow"/>
        </w:rPr>
        <w:t>Ga-DOTATATE in 1 m</w:t>
      </w:r>
      <w:r w:rsidR="00135C84" w:rsidRPr="004521EA">
        <w:rPr>
          <w:color w:val="auto"/>
          <w:highlight w:val="yellow"/>
        </w:rPr>
        <w:t>L</w:t>
      </w:r>
      <w:r w:rsidRPr="004521EA">
        <w:rPr>
          <w:color w:val="auto"/>
          <w:highlight w:val="yellow"/>
        </w:rPr>
        <w:t xml:space="preserve"> </w:t>
      </w:r>
      <w:r w:rsidR="00AE3668">
        <w:rPr>
          <w:color w:val="auto"/>
          <w:highlight w:val="yellow"/>
        </w:rPr>
        <w:t xml:space="preserve">of </w:t>
      </w:r>
      <w:r w:rsidRPr="004521EA">
        <w:rPr>
          <w:color w:val="auto"/>
          <w:highlight w:val="yellow"/>
        </w:rPr>
        <w:t xml:space="preserve">5 mM EDTA. </w:t>
      </w:r>
    </w:p>
    <w:p w14:paraId="4A8A9E6E" w14:textId="77777777" w:rsidR="008655F8" w:rsidRPr="004521EA" w:rsidRDefault="008655F8" w:rsidP="008337F6">
      <w:pPr>
        <w:pStyle w:val="ListParagraph"/>
        <w:widowControl/>
        <w:ind w:left="0"/>
        <w:rPr>
          <w:color w:val="auto"/>
          <w:highlight w:val="yellow"/>
        </w:rPr>
      </w:pPr>
    </w:p>
    <w:p w14:paraId="19B61002" w14:textId="009A4243" w:rsidR="00FC1699" w:rsidRPr="004521EA" w:rsidRDefault="00FC1699" w:rsidP="008337F6">
      <w:pPr>
        <w:pStyle w:val="ListParagraph"/>
        <w:widowControl/>
        <w:numPr>
          <w:ilvl w:val="2"/>
          <w:numId w:val="28"/>
        </w:numPr>
        <w:rPr>
          <w:color w:val="auto"/>
          <w:highlight w:val="yellow"/>
        </w:rPr>
      </w:pPr>
      <w:r w:rsidRPr="004521EA">
        <w:rPr>
          <w:color w:val="auto"/>
          <w:highlight w:val="yellow"/>
        </w:rPr>
        <w:t xml:space="preserve">Prepare a C-18 </w:t>
      </w:r>
      <w:r w:rsidR="008F7556" w:rsidRPr="004521EA">
        <w:rPr>
          <w:color w:val="auto"/>
          <w:highlight w:val="yellow"/>
        </w:rPr>
        <w:t>cartridge</w:t>
      </w:r>
      <w:r w:rsidRPr="004521EA">
        <w:rPr>
          <w:color w:val="auto"/>
          <w:highlight w:val="yellow"/>
        </w:rPr>
        <w:t xml:space="preserve"> by slowly flushing it with 1 m</w:t>
      </w:r>
      <w:r w:rsidR="00135C84" w:rsidRPr="004521EA">
        <w:rPr>
          <w:color w:val="auto"/>
          <w:highlight w:val="yellow"/>
        </w:rPr>
        <w:t>L</w:t>
      </w:r>
      <w:r w:rsidRPr="004521EA">
        <w:rPr>
          <w:color w:val="auto"/>
          <w:highlight w:val="yellow"/>
        </w:rPr>
        <w:t xml:space="preserve"> of 100% ethanol</w:t>
      </w:r>
      <w:r w:rsidR="00AE3668">
        <w:rPr>
          <w:color w:val="auto"/>
          <w:highlight w:val="yellow"/>
        </w:rPr>
        <w:t>,</w:t>
      </w:r>
      <w:r w:rsidRPr="004521EA">
        <w:rPr>
          <w:color w:val="auto"/>
          <w:highlight w:val="yellow"/>
        </w:rPr>
        <w:t xml:space="preserve"> followed by 1 m</w:t>
      </w:r>
      <w:r w:rsidR="00135C84" w:rsidRPr="004521EA">
        <w:rPr>
          <w:color w:val="auto"/>
          <w:highlight w:val="yellow"/>
        </w:rPr>
        <w:t>L</w:t>
      </w:r>
      <w:r w:rsidR="00AE3668">
        <w:rPr>
          <w:color w:val="auto"/>
          <w:highlight w:val="yellow"/>
        </w:rPr>
        <w:t xml:space="preserve"> of</w:t>
      </w:r>
      <w:r w:rsidRPr="004521EA">
        <w:rPr>
          <w:color w:val="auto"/>
          <w:highlight w:val="yellow"/>
        </w:rPr>
        <w:t xml:space="preserve"> </w:t>
      </w:r>
      <w:r w:rsidR="00B26C89">
        <w:rPr>
          <w:color w:val="auto"/>
          <w:highlight w:val="yellow"/>
        </w:rPr>
        <w:t>sterile water</w:t>
      </w:r>
      <w:r w:rsidRPr="004521EA">
        <w:rPr>
          <w:color w:val="auto"/>
          <w:highlight w:val="yellow"/>
        </w:rPr>
        <w:t xml:space="preserve">. </w:t>
      </w:r>
    </w:p>
    <w:p w14:paraId="42ECB3EF" w14:textId="77777777" w:rsidR="008655F8" w:rsidRPr="004521EA" w:rsidRDefault="008655F8" w:rsidP="008337F6">
      <w:pPr>
        <w:widowControl/>
        <w:rPr>
          <w:color w:val="auto"/>
          <w:highlight w:val="yellow"/>
        </w:rPr>
      </w:pPr>
    </w:p>
    <w:p w14:paraId="6AA5D9AA" w14:textId="3EA09350" w:rsidR="00595109" w:rsidRPr="004521EA" w:rsidRDefault="0000417F" w:rsidP="008337F6">
      <w:pPr>
        <w:pStyle w:val="ListParagraph"/>
        <w:widowControl/>
        <w:numPr>
          <w:ilvl w:val="2"/>
          <w:numId w:val="28"/>
        </w:numPr>
        <w:rPr>
          <w:color w:val="auto"/>
          <w:highlight w:val="yellow"/>
        </w:rPr>
      </w:pPr>
      <w:r w:rsidRPr="004521EA">
        <w:rPr>
          <w:color w:val="auto"/>
          <w:highlight w:val="yellow"/>
        </w:rPr>
        <w:t>Prepare</w:t>
      </w:r>
      <w:r w:rsidR="00595109" w:rsidRPr="004521EA">
        <w:rPr>
          <w:color w:val="auto"/>
          <w:highlight w:val="yellow"/>
        </w:rPr>
        <w:t xml:space="preserve"> a sample</w:t>
      </w:r>
      <w:r w:rsidR="008B563B" w:rsidRPr="004521EA">
        <w:rPr>
          <w:color w:val="auto"/>
          <w:highlight w:val="yellow"/>
        </w:rPr>
        <w:t xml:space="preserve"> (S)</w:t>
      </w:r>
      <w:r w:rsidR="00595109" w:rsidRPr="004521EA">
        <w:rPr>
          <w:color w:val="auto"/>
          <w:highlight w:val="yellow"/>
        </w:rPr>
        <w:t xml:space="preserve"> by diluting 10 µL of the stock solution in 1 mL </w:t>
      </w:r>
      <w:r w:rsidR="00AE3668">
        <w:rPr>
          <w:color w:val="auto"/>
          <w:highlight w:val="yellow"/>
        </w:rPr>
        <w:t>of</w:t>
      </w:r>
      <w:r w:rsidR="00B26C89">
        <w:rPr>
          <w:color w:val="auto"/>
          <w:highlight w:val="yellow"/>
        </w:rPr>
        <w:t xml:space="preserve"> sterile</w:t>
      </w:r>
      <w:r w:rsidR="00AE3668">
        <w:rPr>
          <w:color w:val="auto"/>
          <w:highlight w:val="yellow"/>
        </w:rPr>
        <w:t xml:space="preserve"> </w:t>
      </w:r>
      <w:r w:rsidR="00595109" w:rsidRPr="004521EA">
        <w:rPr>
          <w:color w:val="auto"/>
          <w:highlight w:val="yellow"/>
        </w:rPr>
        <w:t>water</w:t>
      </w:r>
      <w:r w:rsidR="00AE3668">
        <w:rPr>
          <w:color w:val="auto"/>
          <w:highlight w:val="yellow"/>
        </w:rPr>
        <w:t>,</w:t>
      </w:r>
      <w:r w:rsidR="00595109" w:rsidRPr="004521EA">
        <w:rPr>
          <w:color w:val="auto"/>
          <w:highlight w:val="yellow"/>
        </w:rPr>
        <w:t xml:space="preserve"> plac</w:t>
      </w:r>
      <w:r w:rsidR="00AE3668">
        <w:rPr>
          <w:color w:val="auto"/>
          <w:highlight w:val="yellow"/>
        </w:rPr>
        <w:t>ing</w:t>
      </w:r>
      <w:r w:rsidR="00595109" w:rsidRPr="004521EA">
        <w:rPr>
          <w:color w:val="auto"/>
          <w:highlight w:val="yellow"/>
        </w:rPr>
        <w:t xml:space="preserve"> </w:t>
      </w:r>
      <w:r w:rsidR="00AE3668">
        <w:rPr>
          <w:color w:val="auto"/>
          <w:highlight w:val="yellow"/>
        </w:rPr>
        <w:t xml:space="preserve">it </w:t>
      </w:r>
      <w:r w:rsidR="00595109" w:rsidRPr="004521EA">
        <w:rPr>
          <w:color w:val="auto"/>
          <w:highlight w:val="yellow"/>
        </w:rPr>
        <w:t>in a well counter</w:t>
      </w:r>
      <w:r w:rsidR="00AE3668">
        <w:rPr>
          <w:color w:val="auto"/>
          <w:highlight w:val="yellow"/>
        </w:rPr>
        <w:t>,</w:t>
      </w:r>
      <w:r w:rsidR="00595109" w:rsidRPr="004521EA">
        <w:rPr>
          <w:color w:val="auto"/>
          <w:highlight w:val="yellow"/>
        </w:rPr>
        <w:t xml:space="preserve"> and determin</w:t>
      </w:r>
      <w:r w:rsidR="00AE3668">
        <w:rPr>
          <w:color w:val="auto"/>
          <w:highlight w:val="yellow"/>
        </w:rPr>
        <w:t>ing</w:t>
      </w:r>
      <w:r w:rsidR="00595109" w:rsidRPr="004521EA">
        <w:rPr>
          <w:color w:val="auto"/>
          <w:highlight w:val="yellow"/>
        </w:rPr>
        <w:t xml:space="preserve"> the number of counts in the 400</w:t>
      </w:r>
      <w:r w:rsidR="00AE3668">
        <w:rPr>
          <w:color w:val="auto"/>
          <w:highlight w:val="yellow"/>
        </w:rPr>
        <w:t>–</w:t>
      </w:r>
      <w:r w:rsidR="00595109" w:rsidRPr="004521EA">
        <w:rPr>
          <w:color w:val="auto"/>
          <w:highlight w:val="yellow"/>
        </w:rPr>
        <w:t>600 keV energy window</w:t>
      </w:r>
      <w:r w:rsidR="001A0200" w:rsidRPr="001A0200">
        <w:rPr>
          <w:color w:val="auto"/>
          <w:highlight w:val="yellow"/>
        </w:rPr>
        <w:t xml:space="preserve"> </w:t>
      </w:r>
      <w:r w:rsidR="001A0200">
        <w:rPr>
          <w:color w:val="auto"/>
          <w:highlight w:val="yellow"/>
        </w:rPr>
        <w:t>for</w:t>
      </w:r>
      <w:r w:rsidR="001A0200" w:rsidRPr="004521EA">
        <w:rPr>
          <w:color w:val="auto"/>
          <w:highlight w:val="yellow"/>
        </w:rPr>
        <w:t xml:space="preserve"> 30 s</w:t>
      </w:r>
      <w:r w:rsidR="00595109" w:rsidRPr="004521EA">
        <w:rPr>
          <w:color w:val="auto"/>
          <w:highlight w:val="yellow"/>
        </w:rPr>
        <w:t>.</w:t>
      </w:r>
    </w:p>
    <w:p w14:paraId="0FBC75F9" w14:textId="77777777" w:rsidR="008655F8" w:rsidRPr="004521EA" w:rsidRDefault="008655F8" w:rsidP="008337F6">
      <w:pPr>
        <w:widowControl/>
        <w:rPr>
          <w:color w:val="auto"/>
          <w:highlight w:val="yellow"/>
        </w:rPr>
      </w:pPr>
    </w:p>
    <w:p w14:paraId="5B23685C" w14:textId="0A00A82B" w:rsidR="00595109" w:rsidRPr="004521EA" w:rsidRDefault="00595109" w:rsidP="008337F6">
      <w:pPr>
        <w:pStyle w:val="ListParagraph"/>
        <w:widowControl/>
        <w:numPr>
          <w:ilvl w:val="2"/>
          <w:numId w:val="28"/>
        </w:numPr>
        <w:rPr>
          <w:color w:val="auto"/>
          <w:highlight w:val="yellow"/>
        </w:rPr>
      </w:pPr>
      <w:r w:rsidRPr="004521EA">
        <w:rPr>
          <w:color w:val="auto"/>
          <w:highlight w:val="yellow"/>
        </w:rPr>
        <w:t>Flush the sample slowly</w:t>
      </w:r>
      <w:r w:rsidR="00A2370D" w:rsidRPr="004521EA">
        <w:rPr>
          <w:color w:val="auto"/>
          <w:highlight w:val="yellow"/>
        </w:rPr>
        <w:t xml:space="preserve"> (5</w:t>
      </w:r>
      <w:r w:rsidR="00AE3668">
        <w:rPr>
          <w:color w:val="auto"/>
          <w:highlight w:val="yellow"/>
        </w:rPr>
        <w:t>–</w:t>
      </w:r>
      <w:r w:rsidR="00A2370D" w:rsidRPr="004521EA">
        <w:rPr>
          <w:color w:val="auto"/>
          <w:highlight w:val="yellow"/>
        </w:rPr>
        <w:t>10 mL/min)</w:t>
      </w:r>
      <w:r w:rsidRPr="004521EA">
        <w:rPr>
          <w:color w:val="auto"/>
          <w:highlight w:val="yellow"/>
        </w:rPr>
        <w:t xml:space="preserve"> through the C-18 </w:t>
      </w:r>
      <w:r w:rsidR="008F7556" w:rsidRPr="004521EA">
        <w:rPr>
          <w:color w:val="auto"/>
          <w:highlight w:val="yellow"/>
        </w:rPr>
        <w:t>cartridge</w:t>
      </w:r>
      <w:r w:rsidRPr="004521EA">
        <w:rPr>
          <w:color w:val="auto"/>
          <w:highlight w:val="yellow"/>
        </w:rPr>
        <w:t xml:space="preserve"> with a syringe</w:t>
      </w:r>
      <w:r w:rsidR="00AE3668">
        <w:rPr>
          <w:color w:val="auto"/>
          <w:highlight w:val="yellow"/>
        </w:rPr>
        <w:t xml:space="preserve"> and</w:t>
      </w:r>
      <w:r w:rsidRPr="004521EA">
        <w:rPr>
          <w:color w:val="auto"/>
          <w:highlight w:val="yellow"/>
        </w:rPr>
        <w:t xml:space="preserve"> collect the remaining solution</w:t>
      </w:r>
      <w:r w:rsidR="008B563B" w:rsidRPr="004521EA">
        <w:rPr>
          <w:color w:val="auto"/>
          <w:highlight w:val="yellow"/>
        </w:rPr>
        <w:t xml:space="preserve"> (C)</w:t>
      </w:r>
      <w:r w:rsidRPr="004521EA">
        <w:rPr>
          <w:color w:val="auto"/>
          <w:highlight w:val="yellow"/>
        </w:rPr>
        <w:t>. Rinse the sample tube with 1 m</w:t>
      </w:r>
      <w:r w:rsidR="00135C84" w:rsidRPr="004521EA">
        <w:rPr>
          <w:color w:val="auto"/>
          <w:highlight w:val="yellow"/>
        </w:rPr>
        <w:t>L</w:t>
      </w:r>
      <w:r w:rsidRPr="004521EA">
        <w:rPr>
          <w:color w:val="auto"/>
          <w:highlight w:val="yellow"/>
        </w:rPr>
        <w:t xml:space="preserve"> of water and flush this through the column in the collection tube.</w:t>
      </w:r>
    </w:p>
    <w:p w14:paraId="0A9E1306" w14:textId="77777777" w:rsidR="008655F8" w:rsidRPr="004521EA" w:rsidRDefault="008655F8" w:rsidP="008337F6">
      <w:pPr>
        <w:widowControl/>
        <w:rPr>
          <w:color w:val="auto"/>
          <w:highlight w:val="yellow"/>
        </w:rPr>
      </w:pPr>
    </w:p>
    <w:p w14:paraId="6F2C10DF" w14:textId="36AA3B82" w:rsidR="00595109" w:rsidRPr="004521EA" w:rsidRDefault="00595109" w:rsidP="008337F6">
      <w:pPr>
        <w:pStyle w:val="ListParagraph"/>
        <w:widowControl/>
        <w:numPr>
          <w:ilvl w:val="2"/>
          <w:numId w:val="28"/>
        </w:numPr>
        <w:rPr>
          <w:color w:val="auto"/>
          <w:highlight w:val="yellow"/>
        </w:rPr>
      </w:pPr>
      <w:r w:rsidRPr="004521EA">
        <w:rPr>
          <w:color w:val="auto"/>
          <w:highlight w:val="yellow"/>
        </w:rPr>
        <w:t xml:space="preserve">Place the collecting tube, the </w:t>
      </w:r>
      <w:r w:rsidR="008B563B" w:rsidRPr="004521EA">
        <w:rPr>
          <w:color w:val="auto"/>
          <w:highlight w:val="yellow"/>
        </w:rPr>
        <w:t xml:space="preserve">empty </w:t>
      </w:r>
      <w:r w:rsidRPr="004521EA">
        <w:rPr>
          <w:color w:val="auto"/>
          <w:highlight w:val="yellow"/>
        </w:rPr>
        <w:t>sample tube</w:t>
      </w:r>
      <w:r w:rsidR="008B563B" w:rsidRPr="004521EA">
        <w:rPr>
          <w:color w:val="auto"/>
          <w:highlight w:val="yellow"/>
        </w:rPr>
        <w:t xml:space="preserve"> (E)</w:t>
      </w:r>
      <w:r w:rsidRPr="004521EA">
        <w:rPr>
          <w:color w:val="auto"/>
          <w:highlight w:val="yellow"/>
        </w:rPr>
        <w:t>, and the syringe</w:t>
      </w:r>
      <w:r w:rsidR="008B563B" w:rsidRPr="004521EA">
        <w:rPr>
          <w:color w:val="auto"/>
          <w:highlight w:val="yellow"/>
        </w:rPr>
        <w:t xml:space="preserve"> (Sy)</w:t>
      </w:r>
      <w:r w:rsidRPr="004521EA">
        <w:rPr>
          <w:color w:val="auto"/>
          <w:highlight w:val="yellow"/>
        </w:rPr>
        <w:t xml:space="preserve"> in a well counter and determine the number of counts </w:t>
      </w:r>
      <w:r w:rsidR="00AE3668" w:rsidRPr="004521EA">
        <w:rPr>
          <w:color w:val="auto"/>
          <w:highlight w:val="yellow"/>
        </w:rPr>
        <w:t xml:space="preserve">in each </w:t>
      </w:r>
      <w:r w:rsidR="00AE3668">
        <w:rPr>
          <w:color w:val="auto"/>
          <w:highlight w:val="yellow"/>
        </w:rPr>
        <w:t xml:space="preserve">of them </w:t>
      </w:r>
      <w:r w:rsidRPr="004521EA">
        <w:rPr>
          <w:color w:val="auto"/>
          <w:highlight w:val="yellow"/>
        </w:rPr>
        <w:t>in the 400</w:t>
      </w:r>
      <w:r w:rsidR="00AE3668">
        <w:rPr>
          <w:color w:val="auto"/>
          <w:highlight w:val="yellow"/>
        </w:rPr>
        <w:t>–</w:t>
      </w:r>
      <w:r w:rsidRPr="004521EA">
        <w:rPr>
          <w:color w:val="auto"/>
          <w:highlight w:val="yellow"/>
        </w:rPr>
        <w:t>600 keV energy window</w:t>
      </w:r>
      <w:r w:rsidR="001A0200" w:rsidRPr="001A0200">
        <w:rPr>
          <w:color w:val="auto"/>
          <w:highlight w:val="yellow"/>
        </w:rPr>
        <w:t xml:space="preserve"> </w:t>
      </w:r>
      <w:r w:rsidR="001A0200">
        <w:rPr>
          <w:color w:val="auto"/>
          <w:highlight w:val="yellow"/>
        </w:rPr>
        <w:t>for</w:t>
      </w:r>
      <w:r w:rsidR="001A0200" w:rsidRPr="004521EA">
        <w:rPr>
          <w:color w:val="auto"/>
          <w:highlight w:val="yellow"/>
        </w:rPr>
        <w:t xml:space="preserve"> 30 s</w:t>
      </w:r>
      <w:r w:rsidRPr="004521EA">
        <w:rPr>
          <w:color w:val="auto"/>
          <w:highlight w:val="yellow"/>
        </w:rPr>
        <w:t>.</w:t>
      </w:r>
      <w:r w:rsidR="0059058E" w:rsidRPr="004521EA">
        <w:rPr>
          <w:color w:val="auto"/>
          <w:highlight w:val="yellow"/>
        </w:rPr>
        <w:t xml:space="preserve"> Use this to estimate </w:t>
      </w:r>
      <w:r w:rsidR="00AE3668">
        <w:rPr>
          <w:color w:val="auto"/>
          <w:highlight w:val="yellow"/>
        </w:rPr>
        <w:t xml:space="preserve">the </w:t>
      </w:r>
      <w:r w:rsidR="0059058E" w:rsidRPr="004521EA">
        <w:rPr>
          <w:color w:val="auto"/>
          <w:highlight w:val="yellow"/>
        </w:rPr>
        <w:t xml:space="preserve">ion percentage (see </w:t>
      </w:r>
      <w:r w:rsidR="00AE3668">
        <w:rPr>
          <w:color w:val="auto"/>
          <w:highlight w:val="yellow"/>
        </w:rPr>
        <w:t xml:space="preserve">the </w:t>
      </w:r>
      <w:r w:rsidR="0059058E" w:rsidRPr="004521EA">
        <w:rPr>
          <w:color w:val="auto"/>
          <w:highlight w:val="yellow"/>
        </w:rPr>
        <w:t>calculations in steps 4.5.7</w:t>
      </w:r>
      <w:r w:rsidR="00AE3668">
        <w:rPr>
          <w:color w:val="auto"/>
          <w:highlight w:val="yellow"/>
        </w:rPr>
        <w:t xml:space="preserve"> and 4.5.8</w:t>
      </w:r>
      <w:r w:rsidR="0059058E" w:rsidRPr="004521EA">
        <w:rPr>
          <w:color w:val="auto"/>
          <w:highlight w:val="yellow"/>
        </w:rPr>
        <w:t>).</w:t>
      </w:r>
      <w:r w:rsidRPr="004521EA">
        <w:rPr>
          <w:color w:val="auto"/>
          <w:highlight w:val="yellow"/>
        </w:rPr>
        <w:t xml:space="preserve"> </w:t>
      </w:r>
    </w:p>
    <w:p w14:paraId="39F76759" w14:textId="77777777" w:rsidR="008655F8" w:rsidRPr="004521EA" w:rsidRDefault="008655F8" w:rsidP="008337F6">
      <w:pPr>
        <w:widowControl/>
        <w:rPr>
          <w:color w:val="auto"/>
        </w:rPr>
      </w:pPr>
    </w:p>
    <w:p w14:paraId="5DCBAC56" w14:textId="317DBAC7" w:rsidR="001872C6" w:rsidRPr="00B26C89" w:rsidRDefault="00B26C89" w:rsidP="008A3B22">
      <w:pPr>
        <w:pStyle w:val="ListParagraph"/>
        <w:widowControl/>
        <w:numPr>
          <w:ilvl w:val="2"/>
          <w:numId w:val="28"/>
        </w:numPr>
        <w:rPr>
          <w:rStyle w:val="CommentReference"/>
          <w:color w:val="auto"/>
          <w:sz w:val="24"/>
          <w:szCs w:val="24"/>
        </w:rPr>
      </w:pPr>
      <w:r w:rsidRPr="00B26C89">
        <w:rPr>
          <w:color w:val="auto"/>
        </w:rPr>
        <w:t xml:space="preserve">Repeat steps </w:t>
      </w:r>
      <w:r w:rsidR="00595109" w:rsidRPr="00B26C89">
        <w:rPr>
          <w:color w:val="auto"/>
        </w:rPr>
        <w:t>4.5.2</w:t>
      </w:r>
      <w:r w:rsidRPr="00B26C89">
        <w:rPr>
          <w:color w:val="auto"/>
        </w:rPr>
        <w:t>‒</w:t>
      </w:r>
      <w:r w:rsidR="00595109" w:rsidRPr="00B26C89">
        <w:rPr>
          <w:color w:val="auto"/>
        </w:rPr>
        <w:t>4.5.</w:t>
      </w:r>
      <w:r w:rsidR="00C37C3C" w:rsidRPr="00B26C89">
        <w:rPr>
          <w:color w:val="auto"/>
        </w:rPr>
        <w:t>5</w:t>
      </w:r>
      <w:r>
        <w:rPr>
          <w:rStyle w:val="CommentReference"/>
        </w:rPr>
        <w:t>.</w:t>
      </w:r>
    </w:p>
    <w:p w14:paraId="6A3AD6EF" w14:textId="77777777" w:rsidR="00B26C89" w:rsidRPr="00B26C89" w:rsidRDefault="00B26C89" w:rsidP="00B26C89">
      <w:pPr>
        <w:pStyle w:val="ListParagraph"/>
        <w:widowControl/>
        <w:ind w:left="0"/>
        <w:rPr>
          <w:color w:val="auto"/>
        </w:rPr>
      </w:pPr>
    </w:p>
    <w:p w14:paraId="5345FEDA" w14:textId="6CE0ACCA" w:rsidR="001872C6" w:rsidRDefault="001872C6" w:rsidP="008337F6">
      <w:pPr>
        <w:pStyle w:val="ListParagraph"/>
        <w:widowControl/>
        <w:numPr>
          <w:ilvl w:val="2"/>
          <w:numId w:val="28"/>
        </w:numPr>
        <w:rPr>
          <w:color w:val="auto"/>
        </w:rPr>
      </w:pPr>
      <w:r w:rsidRPr="004521EA">
        <w:rPr>
          <w:color w:val="auto"/>
        </w:rPr>
        <w:t xml:space="preserve">Correct the counts </w:t>
      </w:r>
      <w:r w:rsidR="001C25F5" w:rsidRPr="004521EA">
        <w:rPr>
          <w:color w:val="auto"/>
        </w:rPr>
        <w:t xml:space="preserve">for decay and background (determined in </w:t>
      </w:r>
      <w:r w:rsidR="00DC744D">
        <w:rPr>
          <w:color w:val="auto"/>
        </w:rPr>
        <w:t xml:space="preserve">step </w:t>
      </w:r>
      <w:r w:rsidR="001C25F5" w:rsidRPr="004521EA">
        <w:rPr>
          <w:color w:val="auto"/>
        </w:rPr>
        <w:t xml:space="preserve">4.4.7) </w:t>
      </w:r>
      <w:r w:rsidRPr="004521EA">
        <w:rPr>
          <w:color w:val="auto"/>
        </w:rPr>
        <w:t>in C, S, E, and Sy to determine C’, S’, E’ and Sy’</w:t>
      </w:r>
      <w:r w:rsidR="001A0200">
        <w:rPr>
          <w:color w:val="auto"/>
        </w:rPr>
        <w:t>,</w:t>
      </w:r>
      <w:r w:rsidRPr="004521EA">
        <w:rPr>
          <w:color w:val="auto"/>
        </w:rPr>
        <w:t xml:space="preserve"> to determine the number of counts at </w:t>
      </w:r>
      <w:r w:rsidR="001A0200">
        <w:rPr>
          <w:color w:val="auto"/>
        </w:rPr>
        <w:t xml:space="preserve">the </w:t>
      </w:r>
      <w:r w:rsidRPr="004521EA">
        <w:rPr>
          <w:color w:val="auto"/>
        </w:rPr>
        <w:t xml:space="preserve">ART with the following formula, in which Δt is the time difference between the measured sample and </w:t>
      </w:r>
      <w:r w:rsidR="001A0200">
        <w:rPr>
          <w:color w:val="auto"/>
        </w:rPr>
        <w:t xml:space="preserve">the </w:t>
      </w:r>
      <w:r w:rsidRPr="004521EA">
        <w:rPr>
          <w:color w:val="auto"/>
        </w:rPr>
        <w:t xml:space="preserve">ART in minutes. </w:t>
      </w:r>
    </w:p>
    <w:p w14:paraId="7299DEDF" w14:textId="77777777" w:rsidR="00C27CCF" w:rsidRPr="004521EA" w:rsidRDefault="00C27CCF" w:rsidP="00B26C89">
      <w:pPr>
        <w:pStyle w:val="ListParagraph"/>
        <w:widowControl/>
        <w:ind w:left="0"/>
        <w:rPr>
          <w:color w:val="auto"/>
        </w:rPr>
      </w:pPr>
    </w:p>
    <w:p w14:paraId="31607DED" w14:textId="2B8A1A00" w:rsidR="001872C6" w:rsidRPr="004521EA" w:rsidRDefault="001872C6" w:rsidP="008337F6">
      <w:pPr>
        <w:widowControl/>
        <w:rPr>
          <w:color w:val="auto"/>
        </w:rPr>
      </w:pPr>
      <m:oMathPara>
        <m:oMath>
          <m:r>
            <w:rPr>
              <w:rFonts w:ascii="Cambria Math" w:hAnsi="Cambria Math"/>
              <w:color w:val="auto"/>
            </w:rPr>
            <m:t>Counts measured-counts background=counts at ART×</m:t>
          </m:r>
          <m:sSup>
            <m:sSupPr>
              <m:ctrlPr>
                <w:rPr>
                  <w:rFonts w:ascii="Cambria Math" w:hAnsi="Cambria Math"/>
                  <w:i/>
                  <w:color w:val="auto"/>
                </w:rPr>
              </m:ctrlPr>
            </m:sSupPr>
            <m:e>
              <m:r>
                <w:rPr>
                  <w:rFonts w:ascii="Cambria Math" w:hAnsi="Cambria Math"/>
                  <w:color w:val="auto"/>
                </w:rPr>
                <m:t>0.5</m:t>
              </m:r>
            </m:e>
            <m:sup>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Δt</m:t>
                      </m:r>
                    </m:num>
                    <m:den>
                      <m:r>
                        <w:rPr>
                          <w:rFonts w:ascii="Cambria Math" w:hAnsi="Cambria Math"/>
                          <w:color w:val="auto"/>
                        </w:rPr>
                        <m:t>68</m:t>
                      </m:r>
                    </m:den>
                  </m:f>
                </m:e>
              </m:d>
            </m:sup>
          </m:sSup>
          <m:r>
            <w:rPr>
              <w:rFonts w:ascii="Cambria Math" w:hAnsi="Cambria Math"/>
              <w:color w:val="auto"/>
            </w:rPr>
            <m:t xml:space="preserve"> </m:t>
          </m:r>
        </m:oMath>
      </m:oMathPara>
    </w:p>
    <w:p w14:paraId="726EFDE5" w14:textId="77777777" w:rsidR="008655F8" w:rsidRPr="004521EA" w:rsidRDefault="008655F8" w:rsidP="008337F6">
      <w:pPr>
        <w:widowControl/>
        <w:rPr>
          <w:color w:val="auto"/>
        </w:rPr>
      </w:pPr>
    </w:p>
    <w:p w14:paraId="528F9B02" w14:textId="36448D1C" w:rsidR="00595109" w:rsidRDefault="00595109" w:rsidP="008337F6">
      <w:pPr>
        <w:pStyle w:val="ListParagraph"/>
        <w:widowControl/>
        <w:numPr>
          <w:ilvl w:val="2"/>
          <w:numId w:val="28"/>
        </w:numPr>
        <w:rPr>
          <w:color w:val="auto"/>
        </w:rPr>
      </w:pPr>
      <w:r w:rsidRPr="004521EA">
        <w:rPr>
          <w:color w:val="auto"/>
        </w:rPr>
        <w:t xml:space="preserve">Calculate the </w:t>
      </w:r>
      <w:r w:rsidRPr="004521EA">
        <w:rPr>
          <w:color w:val="auto"/>
          <w:vertAlign w:val="superscript"/>
        </w:rPr>
        <w:t>68</w:t>
      </w:r>
      <w:r w:rsidRPr="004521EA">
        <w:rPr>
          <w:color w:val="auto"/>
        </w:rPr>
        <w:t>Ga ion</w:t>
      </w:r>
      <w:r w:rsidR="001C25F5" w:rsidRPr="004521EA">
        <w:rPr>
          <w:color w:val="auto"/>
        </w:rPr>
        <w:t xml:space="preserve"> percentage </w:t>
      </w:r>
      <w:r w:rsidRPr="004521EA">
        <w:rPr>
          <w:color w:val="auto"/>
        </w:rPr>
        <w:t>with the following formula</w:t>
      </w:r>
      <w:r w:rsidR="001C25F5" w:rsidRPr="004521EA">
        <w:rPr>
          <w:color w:val="auto"/>
        </w:rPr>
        <w:t>;</w:t>
      </w:r>
      <w:r w:rsidRPr="004521EA">
        <w:rPr>
          <w:color w:val="auto"/>
        </w:rPr>
        <w:t xml:space="preserve"> </w:t>
      </w:r>
      <w:r w:rsidR="001A0200">
        <w:rPr>
          <w:color w:val="auto"/>
        </w:rPr>
        <w:t xml:space="preserve">note that </w:t>
      </w:r>
      <w:r w:rsidR="001C25F5" w:rsidRPr="004521EA">
        <w:rPr>
          <w:color w:val="auto"/>
        </w:rPr>
        <w:t>this</w:t>
      </w:r>
      <w:r w:rsidRPr="004521EA">
        <w:rPr>
          <w:color w:val="auto"/>
        </w:rPr>
        <w:t xml:space="preserve"> should be less than 2%.</w:t>
      </w:r>
    </w:p>
    <w:p w14:paraId="34EE2A1C" w14:textId="77777777" w:rsidR="00C27CCF" w:rsidRPr="004521EA" w:rsidRDefault="00C27CCF" w:rsidP="00B26C89">
      <w:pPr>
        <w:pStyle w:val="ListParagraph"/>
        <w:widowControl/>
        <w:ind w:left="0"/>
        <w:rPr>
          <w:color w:val="auto"/>
        </w:rPr>
      </w:pPr>
    </w:p>
    <w:p w14:paraId="7C727BD6" w14:textId="6C144EE6" w:rsidR="008B563B" w:rsidRPr="004521EA" w:rsidRDefault="00E76D43" w:rsidP="008337F6">
      <w:pPr>
        <w:widowControl/>
        <w:rPr>
          <w:color w:val="auto"/>
        </w:rPr>
      </w:pPr>
      <m:oMathPara>
        <m:oMath>
          <m:r>
            <w:rPr>
              <w:rFonts w:ascii="Cambria Math" w:hAnsi="Cambria Math"/>
              <w:color w:val="auto"/>
            </w:rPr>
            <m:t xml:space="preserve">Ions= </m:t>
          </m:r>
          <m:f>
            <m:fPr>
              <m:ctrlPr>
                <w:rPr>
                  <w:rFonts w:ascii="Cambria Math" w:hAnsi="Cambria Math"/>
                  <w:i/>
                  <w:color w:val="auto"/>
                </w:rPr>
              </m:ctrlPr>
            </m:fPr>
            <m:num>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C'1</m:t>
                      </m:r>
                    </m:num>
                    <m:den>
                      <m:r>
                        <w:rPr>
                          <w:rFonts w:ascii="Cambria Math" w:hAnsi="Cambria Math"/>
                          <w:color w:val="auto"/>
                        </w:rPr>
                        <m:t>S'1-E'1-Sy'1</m:t>
                      </m:r>
                    </m:den>
                  </m:f>
                </m:e>
              </m:d>
              <m:r>
                <w:rPr>
                  <w:rFonts w:ascii="Cambria Math" w:hAnsi="Cambria Math"/>
                  <w:color w:val="auto"/>
                </w:rPr>
                <m:t>+</m:t>
              </m:r>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C'2</m:t>
                      </m:r>
                    </m:num>
                    <m:den>
                      <m:r>
                        <w:rPr>
                          <w:rFonts w:ascii="Cambria Math" w:hAnsi="Cambria Math"/>
                          <w:color w:val="auto"/>
                        </w:rPr>
                        <m:t>S'2-E'2-Sy'2</m:t>
                      </m:r>
                    </m:den>
                  </m:f>
                </m:e>
              </m:d>
            </m:num>
            <m:den>
              <m:r>
                <w:rPr>
                  <w:rFonts w:ascii="Cambria Math" w:hAnsi="Cambria Math"/>
                  <w:color w:val="auto"/>
                </w:rPr>
                <m:t>2</m:t>
              </m:r>
            </m:den>
          </m:f>
          <m:r>
            <w:rPr>
              <w:rFonts w:ascii="Cambria Math" w:hAnsi="Cambria Math"/>
              <w:color w:val="auto"/>
            </w:rPr>
            <m:t xml:space="preserve">×100% </m:t>
          </m:r>
        </m:oMath>
      </m:oMathPara>
    </w:p>
    <w:p w14:paraId="20F6C046" w14:textId="77777777" w:rsidR="00B560F0" w:rsidRPr="004521EA" w:rsidRDefault="00B560F0" w:rsidP="008337F6">
      <w:pPr>
        <w:pStyle w:val="ListParagraph"/>
        <w:widowControl/>
        <w:ind w:left="0"/>
        <w:rPr>
          <w:color w:val="auto"/>
        </w:rPr>
      </w:pPr>
    </w:p>
    <w:p w14:paraId="2F6EF30C" w14:textId="36652623" w:rsidR="008655F8" w:rsidRDefault="001C25F5" w:rsidP="008337F6">
      <w:pPr>
        <w:pStyle w:val="ListParagraph"/>
        <w:widowControl/>
        <w:numPr>
          <w:ilvl w:val="1"/>
          <w:numId w:val="28"/>
        </w:numPr>
        <w:rPr>
          <w:color w:val="auto"/>
          <w:highlight w:val="yellow"/>
        </w:rPr>
      </w:pPr>
      <w:r w:rsidRPr="004521EA">
        <w:rPr>
          <w:color w:val="auto"/>
          <w:highlight w:val="yellow"/>
        </w:rPr>
        <w:t xml:space="preserve">Determine </w:t>
      </w:r>
      <w:r w:rsidR="001A0200">
        <w:rPr>
          <w:color w:val="auto"/>
          <w:highlight w:val="yellow"/>
        </w:rPr>
        <w:t xml:space="preserve">the </w:t>
      </w:r>
      <w:r w:rsidRPr="004521EA">
        <w:rPr>
          <w:color w:val="auto"/>
          <w:highlight w:val="yellow"/>
        </w:rPr>
        <w:t>radiopharmaceutical purity by c</w:t>
      </w:r>
      <w:r w:rsidR="008655F8" w:rsidRPr="004521EA">
        <w:rPr>
          <w:color w:val="auto"/>
          <w:highlight w:val="yellow"/>
        </w:rPr>
        <w:t>alculat</w:t>
      </w:r>
      <w:r w:rsidRPr="004521EA">
        <w:rPr>
          <w:color w:val="auto"/>
          <w:highlight w:val="yellow"/>
        </w:rPr>
        <w:t>ing</w:t>
      </w:r>
      <w:r w:rsidR="008655F8" w:rsidRPr="004521EA">
        <w:rPr>
          <w:color w:val="auto"/>
          <w:highlight w:val="yellow"/>
        </w:rPr>
        <w:t xml:space="preserve"> t</w:t>
      </w:r>
      <w:r w:rsidR="00C5216D" w:rsidRPr="004521EA">
        <w:rPr>
          <w:color w:val="auto"/>
          <w:highlight w:val="yellow"/>
        </w:rPr>
        <w:t xml:space="preserve">he total amount of </w:t>
      </w:r>
      <w:r w:rsidR="00C5216D" w:rsidRPr="004521EA">
        <w:rPr>
          <w:color w:val="auto"/>
          <w:highlight w:val="yellow"/>
          <w:vertAlign w:val="superscript"/>
        </w:rPr>
        <w:t>68</w:t>
      </w:r>
      <w:r w:rsidR="00C5216D" w:rsidRPr="004521EA">
        <w:rPr>
          <w:color w:val="auto"/>
          <w:highlight w:val="yellow"/>
        </w:rPr>
        <w:t>Ga-DOTATATE</w:t>
      </w:r>
      <w:r w:rsidR="008655F8" w:rsidRPr="004521EA">
        <w:rPr>
          <w:color w:val="auto"/>
          <w:highlight w:val="yellow"/>
        </w:rPr>
        <w:t xml:space="preserve"> with the following formula, which should be at least 91%.</w:t>
      </w:r>
    </w:p>
    <w:p w14:paraId="15E81DC6" w14:textId="77777777" w:rsidR="00C27CCF" w:rsidRPr="004521EA" w:rsidRDefault="00C27CCF" w:rsidP="00B26C89">
      <w:pPr>
        <w:pStyle w:val="ListParagraph"/>
        <w:widowControl/>
        <w:ind w:left="0"/>
        <w:rPr>
          <w:color w:val="auto"/>
          <w:highlight w:val="yellow"/>
        </w:rPr>
      </w:pPr>
    </w:p>
    <w:p w14:paraId="59160E2D" w14:textId="6223C780" w:rsidR="00AA52EB" w:rsidRPr="004521EA" w:rsidRDefault="00E76D43" w:rsidP="008337F6">
      <w:pPr>
        <w:widowControl/>
        <w:rPr>
          <w:color w:val="auto"/>
        </w:rPr>
      </w:pPr>
      <m:oMathPara>
        <m:oMath>
          <m:r>
            <w:rPr>
              <w:rFonts w:ascii="Cambria Math" w:hAnsi="Cambria Math"/>
              <w:color w:val="auto"/>
              <w:highlight w:val="yellow"/>
            </w:rPr>
            <m:t xml:space="preserve">Purity= </m:t>
          </m:r>
          <m:d>
            <m:dPr>
              <m:ctrlPr>
                <w:rPr>
                  <w:rFonts w:ascii="Cambria Math" w:hAnsi="Cambria Math"/>
                  <w:i/>
                  <w:color w:val="auto"/>
                  <w:highlight w:val="yellow"/>
                </w:rPr>
              </m:ctrlPr>
            </m:dPr>
            <m:e>
              <m:r>
                <m:rPr>
                  <m:sty m:val="p"/>
                </m:rPr>
                <w:rPr>
                  <w:rFonts w:ascii="Cambria Math" w:hAnsi="Cambria Math"/>
                  <w:color w:val="auto"/>
                  <w:highlight w:val="yellow"/>
                </w:rPr>
                <m:t>100-</m:t>
              </m:r>
              <m:r>
                <w:rPr>
                  <w:rFonts w:ascii="Cambria Math" w:hAnsi="Cambria Math"/>
                  <w:color w:val="auto"/>
                  <w:highlight w:val="yellow"/>
                </w:rPr>
                <m:t>colloids</m:t>
              </m:r>
            </m:e>
          </m:d>
          <m:r>
            <w:rPr>
              <w:rFonts w:ascii="Cambria Math" w:hAnsi="Cambria Math"/>
              <w:color w:val="auto"/>
              <w:highlight w:val="yellow"/>
            </w:rPr>
            <m:t>×</m:t>
          </m:r>
          <m:d>
            <m:dPr>
              <m:ctrlPr>
                <w:rPr>
                  <w:rFonts w:ascii="Cambria Math" w:hAnsi="Cambria Math"/>
                  <w:i/>
                  <w:color w:val="auto"/>
                </w:rPr>
              </m:ctrlPr>
            </m:dPr>
            <m:e>
              <m:f>
                <m:fPr>
                  <m:ctrlPr>
                    <w:rPr>
                      <w:rFonts w:ascii="Cambria Math" w:hAnsi="Cambria Math"/>
                      <w:i/>
                      <w:color w:val="auto"/>
                      <w:highlight w:val="yellow"/>
                    </w:rPr>
                  </m:ctrlPr>
                </m:fPr>
                <m:num>
                  <m:r>
                    <m:rPr>
                      <m:sty m:val="p"/>
                    </m:rPr>
                    <w:rPr>
                      <w:rFonts w:ascii="Cambria Math" w:hAnsi="Cambria Math"/>
                      <w:color w:val="auto"/>
                      <w:highlight w:val="yellow"/>
                    </w:rPr>
                    <m:t>100-</m:t>
                  </m:r>
                  <m:r>
                    <w:rPr>
                      <w:rFonts w:ascii="Cambria Math" w:hAnsi="Cambria Math"/>
                      <w:color w:val="auto"/>
                      <w:highlight w:val="yellow"/>
                    </w:rPr>
                    <m:t>ions</m:t>
                  </m:r>
                </m:num>
                <m:den>
                  <m:r>
                    <m:rPr>
                      <m:sty m:val="p"/>
                    </m:rPr>
                    <w:rPr>
                      <w:rFonts w:ascii="Cambria Math" w:hAnsi="Cambria Math"/>
                      <w:color w:val="auto"/>
                      <w:highlight w:val="yellow"/>
                    </w:rPr>
                    <m:t>100</m:t>
                  </m:r>
                </m:den>
              </m:f>
            </m:e>
          </m:d>
        </m:oMath>
      </m:oMathPara>
    </w:p>
    <w:p w14:paraId="468126D2" w14:textId="77777777" w:rsidR="00B560F0" w:rsidRPr="004521EA" w:rsidRDefault="00B560F0" w:rsidP="008337F6">
      <w:pPr>
        <w:pStyle w:val="ListParagraph"/>
        <w:widowControl/>
        <w:ind w:left="0"/>
        <w:rPr>
          <w:color w:val="auto"/>
        </w:rPr>
      </w:pPr>
    </w:p>
    <w:p w14:paraId="114DCBA4" w14:textId="11A957FD" w:rsidR="003F401D" w:rsidRPr="004521EA" w:rsidRDefault="00B560F0" w:rsidP="008337F6">
      <w:pPr>
        <w:pStyle w:val="ListParagraph"/>
        <w:widowControl/>
        <w:numPr>
          <w:ilvl w:val="0"/>
          <w:numId w:val="28"/>
        </w:numPr>
        <w:rPr>
          <w:b/>
          <w:color w:val="auto"/>
        </w:rPr>
      </w:pPr>
      <w:r w:rsidRPr="004521EA">
        <w:rPr>
          <w:b/>
          <w:color w:val="auto"/>
        </w:rPr>
        <w:t xml:space="preserve">Periodical quality control of </w:t>
      </w:r>
      <w:r w:rsidRPr="004521EA">
        <w:rPr>
          <w:b/>
          <w:color w:val="auto"/>
          <w:vertAlign w:val="superscript"/>
        </w:rPr>
        <w:t>68</w:t>
      </w:r>
      <w:r w:rsidRPr="004521EA">
        <w:rPr>
          <w:b/>
          <w:color w:val="auto"/>
        </w:rPr>
        <w:t>Ga-DOTATATE after patient administration</w:t>
      </w:r>
    </w:p>
    <w:p w14:paraId="04D54D87" w14:textId="77777777" w:rsidR="003F401D" w:rsidRPr="004521EA" w:rsidRDefault="003F401D" w:rsidP="008337F6">
      <w:pPr>
        <w:widowControl/>
        <w:rPr>
          <w:b/>
          <w:color w:val="auto"/>
        </w:rPr>
      </w:pPr>
    </w:p>
    <w:p w14:paraId="1744480B" w14:textId="08C840E0" w:rsidR="00B560F0" w:rsidRPr="004521EA" w:rsidRDefault="00C27CCF" w:rsidP="008337F6">
      <w:pPr>
        <w:widowControl/>
        <w:rPr>
          <w:color w:val="auto"/>
        </w:rPr>
      </w:pPr>
      <w:r>
        <w:rPr>
          <w:color w:val="auto"/>
        </w:rPr>
        <w:t>NOTE:</w:t>
      </w:r>
      <w:r w:rsidR="003F401D" w:rsidRPr="004521EA">
        <w:rPr>
          <w:color w:val="auto"/>
        </w:rPr>
        <w:t xml:space="preserve"> </w:t>
      </w:r>
      <w:r w:rsidR="001C25F5" w:rsidRPr="004521EA">
        <w:rPr>
          <w:color w:val="auto"/>
        </w:rPr>
        <w:t>T</w:t>
      </w:r>
      <w:r w:rsidR="003F401D" w:rsidRPr="004521EA">
        <w:rPr>
          <w:color w:val="auto"/>
        </w:rPr>
        <w:t xml:space="preserve">his </w:t>
      </w:r>
      <w:r w:rsidR="00757870" w:rsidRPr="004521EA">
        <w:rPr>
          <w:color w:val="auto"/>
        </w:rPr>
        <w:t xml:space="preserve">should be performed &gt;48 h after </w:t>
      </w:r>
      <w:r w:rsidR="00D1326D">
        <w:rPr>
          <w:color w:val="auto"/>
        </w:rPr>
        <w:t xml:space="preserve">the </w:t>
      </w:r>
      <w:r w:rsidR="00757870" w:rsidRPr="004521EA">
        <w:rPr>
          <w:color w:val="auto"/>
        </w:rPr>
        <w:t xml:space="preserve">preparation of </w:t>
      </w:r>
      <w:r w:rsidR="00757870" w:rsidRPr="004521EA">
        <w:rPr>
          <w:color w:val="auto"/>
          <w:vertAlign w:val="superscript"/>
        </w:rPr>
        <w:t>68</w:t>
      </w:r>
      <w:r w:rsidR="00757870" w:rsidRPr="004521EA">
        <w:rPr>
          <w:color w:val="auto"/>
        </w:rPr>
        <w:t xml:space="preserve">Ga-DOTATATE to allow for the decay of </w:t>
      </w:r>
      <w:r w:rsidR="00757870" w:rsidRPr="004521EA">
        <w:rPr>
          <w:color w:val="auto"/>
          <w:vertAlign w:val="superscript"/>
        </w:rPr>
        <w:t>68</w:t>
      </w:r>
      <w:r w:rsidR="00757870" w:rsidRPr="004521EA">
        <w:rPr>
          <w:color w:val="auto"/>
        </w:rPr>
        <w:t>Ga.</w:t>
      </w:r>
    </w:p>
    <w:p w14:paraId="38E85076" w14:textId="77777777" w:rsidR="00CD794F" w:rsidRPr="004521EA" w:rsidRDefault="00CD794F" w:rsidP="008337F6">
      <w:pPr>
        <w:pStyle w:val="ListParagraph"/>
        <w:widowControl/>
        <w:ind w:left="0"/>
        <w:rPr>
          <w:color w:val="auto"/>
        </w:rPr>
      </w:pPr>
    </w:p>
    <w:p w14:paraId="18EE7E47" w14:textId="0A41B511" w:rsidR="00CD794F" w:rsidRPr="004521EA" w:rsidRDefault="001C25F5" w:rsidP="008337F6">
      <w:pPr>
        <w:pStyle w:val="ListParagraph"/>
        <w:widowControl/>
        <w:numPr>
          <w:ilvl w:val="1"/>
          <w:numId w:val="28"/>
        </w:numPr>
        <w:rPr>
          <w:color w:val="auto"/>
        </w:rPr>
      </w:pPr>
      <w:r w:rsidRPr="004521EA">
        <w:rPr>
          <w:color w:val="auto"/>
        </w:rPr>
        <w:t>Prepare t</w:t>
      </w:r>
      <w:r w:rsidR="00CD794F" w:rsidRPr="004521EA">
        <w:rPr>
          <w:color w:val="auto"/>
        </w:rPr>
        <w:t>he following solutions in advance</w:t>
      </w:r>
      <w:r w:rsidR="00142993" w:rsidRPr="004521EA">
        <w:rPr>
          <w:color w:val="auto"/>
        </w:rPr>
        <w:t>.</w:t>
      </w:r>
    </w:p>
    <w:p w14:paraId="4363A0A6" w14:textId="77777777" w:rsidR="00CD794F" w:rsidRPr="004521EA" w:rsidRDefault="00CD794F" w:rsidP="008337F6">
      <w:pPr>
        <w:pStyle w:val="ListParagraph"/>
        <w:widowControl/>
        <w:ind w:left="0"/>
        <w:rPr>
          <w:color w:val="auto"/>
        </w:rPr>
      </w:pPr>
    </w:p>
    <w:p w14:paraId="14C38D7D" w14:textId="1E1FC65C" w:rsidR="00142993" w:rsidRPr="004521EA" w:rsidRDefault="001C25F5" w:rsidP="008337F6">
      <w:pPr>
        <w:pStyle w:val="ListParagraph"/>
        <w:widowControl/>
        <w:numPr>
          <w:ilvl w:val="2"/>
          <w:numId w:val="28"/>
        </w:numPr>
        <w:rPr>
          <w:color w:val="auto"/>
        </w:rPr>
      </w:pPr>
      <w:r w:rsidRPr="004521EA">
        <w:rPr>
          <w:color w:val="auto"/>
        </w:rPr>
        <w:t xml:space="preserve">Prepare </w:t>
      </w:r>
      <w:r w:rsidR="00CD794F" w:rsidRPr="004521EA">
        <w:rPr>
          <w:color w:val="auto"/>
        </w:rPr>
        <w:t xml:space="preserve">HEPES </w:t>
      </w:r>
      <w:r w:rsidR="002864D4" w:rsidRPr="004521EA">
        <w:rPr>
          <w:color w:val="auto"/>
        </w:rPr>
        <w:t>reference solution</w:t>
      </w:r>
      <w:r w:rsidR="00CD794F" w:rsidRPr="004521EA">
        <w:rPr>
          <w:color w:val="auto"/>
        </w:rPr>
        <w:t xml:space="preserve"> </w:t>
      </w:r>
      <w:r w:rsidRPr="004521EA">
        <w:rPr>
          <w:color w:val="auto"/>
        </w:rPr>
        <w:t>by d</w:t>
      </w:r>
      <w:r w:rsidR="002864D4" w:rsidRPr="004521EA">
        <w:rPr>
          <w:color w:val="auto"/>
        </w:rPr>
        <w:t>issolv</w:t>
      </w:r>
      <w:r w:rsidRPr="004521EA">
        <w:rPr>
          <w:color w:val="auto"/>
        </w:rPr>
        <w:t>ing</w:t>
      </w:r>
      <w:r w:rsidR="002864D4" w:rsidRPr="004521EA">
        <w:rPr>
          <w:color w:val="auto"/>
        </w:rPr>
        <w:t xml:space="preserve"> 20 mg </w:t>
      </w:r>
      <w:r w:rsidR="00D1326D">
        <w:rPr>
          <w:color w:val="auto"/>
        </w:rPr>
        <w:t xml:space="preserve">of </w:t>
      </w:r>
      <w:r w:rsidR="002864D4" w:rsidRPr="004521EA">
        <w:rPr>
          <w:color w:val="auto"/>
        </w:rPr>
        <w:t>HEPES in 50 m</w:t>
      </w:r>
      <w:r w:rsidR="00135C84" w:rsidRPr="004521EA">
        <w:rPr>
          <w:color w:val="auto"/>
        </w:rPr>
        <w:t>L</w:t>
      </w:r>
      <w:r w:rsidR="002864D4" w:rsidRPr="004521EA">
        <w:rPr>
          <w:color w:val="auto"/>
        </w:rPr>
        <w:t xml:space="preserve"> </w:t>
      </w:r>
      <w:r w:rsidR="00D1326D">
        <w:rPr>
          <w:color w:val="auto"/>
        </w:rPr>
        <w:t>of</w:t>
      </w:r>
      <w:r w:rsidR="00B26C89">
        <w:rPr>
          <w:color w:val="auto"/>
        </w:rPr>
        <w:t xml:space="preserve"> sterile water</w:t>
      </w:r>
      <w:r w:rsidR="002864D4" w:rsidRPr="004521EA">
        <w:rPr>
          <w:color w:val="auto"/>
        </w:rPr>
        <w:t xml:space="preserve">. The solution can be stored at room temperature </w:t>
      </w:r>
      <w:r w:rsidR="00D1326D">
        <w:rPr>
          <w:color w:val="auto"/>
        </w:rPr>
        <w:t xml:space="preserve">for </w:t>
      </w:r>
      <w:r w:rsidR="002864D4" w:rsidRPr="004521EA">
        <w:rPr>
          <w:color w:val="auto"/>
        </w:rPr>
        <w:t>up to 6 months.</w:t>
      </w:r>
      <w:r w:rsidR="00B234BB" w:rsidRPr="004521EA">
        <w:rPr>
          <w:color w:val="auto"/>
        </w:rPr>
        <w:t xml:space="preserve"> </w:t>
      </w:r>
    </w:p>
    <w:p w14:paraId="271A545C" w14:textId="77777777" w:rsidR="00142993" w:rsidRPr="004521EA" w:rsidRDefault="00142993" w:rsidP="008337F6">
      <w:pPr>
        <w:pStyle w:val="ListParagraph"/>
        <w:widowControl/>
        <w:ind w:left="0"/>
        <w:rPr>
          <w:color w:val="auto"/>
        </w:rPr>
      </w:pPr>
    </w:p>
    <w:p w14:paraId="471DE82D" w14:textId="684C6551" w:rsidR="00CD794F" w:rsidRPr="004521EA" w:rsidRDefault="00C27CCF" w:rsidP="008337F6">
      <w:pPr>
        <w:pStyle w:val="ListParagraph"/>
        <w:widowControl/>
        <w:ind w:left="0"/>
        <w:rPr>
          <w:color w:val="auto"/>
        </w:rPr>
      </w:pPr>
      <w:r>
        <w:rPr>
          <w:color w:val="auto"/>
        </w:rPr>
        <w:t>NOTE:</w:t>
      </w:r>
      <w:r w:rsidR="00142993" w:rsidRPr="004521EA">
        <w:rPr>
          <w:color w:val="auto"/>
        </w:rPr>
        <w:t xml:space="preserve"> </w:t>
      </w:r>
      <w:r w:rsidR="00B234BB" w:rsidRPr="004521EA">
        <w:rPr>
          <w:color w:val="auto"/>
        </w:rPr>
        <w:t>This is based on the maximum recommended HEPES dose</w:t>
      </w:r>
      <w:r w:rsidR="0041375E" w:rsidRPr="004521EA">
        <w:rPr>
          <w:color w:val="auto"/>
        </w:rPr>
        <w:t xml:space="preserve"> of 200 µg per administered volume.</w:t>
      </w:r>
      <w:r w:rsidR="00B234BB" w:rsidRPr="004521EA">
        <w:rPr>
          <w:color w:val="auto"/>
        </w:rPr>
        <w:t xml:space="preserve"> </w:t>
      </w:r>
    </w:p>
    <w:p w14:paraId="2F31BD6A" w14:textId="77777777" w:rsidR="00AA4A6C" w:rsidRPr="004521EA" w:rsidRDefault="00AA4A6C" w:rsidP="008337F6">
      <w:pPr>
        <w:pStyle w:val="ListParagraph"/>
        <w:widowControl/>
        <w:ind w:left="0"/>
        <w:rPr>
          <w:color w:val="auto"/>
        </w:rPr>
      </w:pPr>
    </w:p>
    <w:p w14:paraId="6D6A1FE0" w14:textId="67AD7C89" w:rsidR="00B560F0" w:rsidRPr="004521EA" w:rsidRDefault="00142993" w:rsidP="008337F6">
      <w:pPr>
        <w:pStyle w:val="ListParagraph"/>
        <w:widowControl/>
        <w:numPr>
          <w:ilvl w:val="2"/>
          <w:numId w:val="28"/>
        </w:numPr>
        <w:rPr>
          <w:color w:val="auto"/>
        </w:rPr>
      </w:pPr>
      <w:r w:rsidRPr="004521EA">
        <w:rPr>
          <w:color w:val="auto"/>
        </w:rPr>
        <w:t>Prepare 25:75 v/v w</w:t>
      </w:r>
      <w:r w:rsidR="00AA4A6C" w:rsidRPr="004521EA">
        <w:rPr>
          <w:color w:val="auto"/>
        </w:rPr>
        <w:t>ater:</w:t>
      </w:r>
      <w:r w:rsidRPr="004521EA">
        <w:rPr>
          <w:color w:val="auto"/>
        </w:rPr>
        <w:t>a</w:t>
      </w:r>
      <w:r w:rsidR="00AA4A6C" w:rsidRPr="004521EA">
        <w:rPr>
          <w:color w:val="auto"/>
        </w:rPr>
        <w:t>cetonitrile.</w:t>
      </w:r>
    </w:p>
    <w:p w14:paraId="2328152C" w14:textId="77777777" w:rsidR="00AA4A6C" w:rsidRPr="004521EA" w:rsidRDefault="00AA4A6C" w:rsidP="008337F6">
      <w:pPr>
        <w:pStyle w:val="ListParagraph"/>
        <w:widowControl/>
        <w:ind w:left="0"/>
        <w:rPr>
          <w:color w:val="auto"/>
        </w:rPr>
      </w:pPr>
    </w:p>
    <w:p w14:paraId="253EF330" w14:textId="60E00E43" w:rsidR="00B560F0" w:rsidRPr="004521EA" w:rsidRDefault="00B26C89" w:rsidP="008337F6">
      <w:pPr>
        <w:pStyle w:val="ListParagraph"/>
        <w:widowControl/>
        <w:numPr>
          <w:ilvl w:val="1"/>
          <w:numId w:val="28"/>
        </w:numPr>
        <w:rPr>
          <w:color w:val="auto"/>
        </w:rPr>
      </w:pPr>
      <w:r>
        <w:rPr>
          <w:color w:val="auto"/>
        </w:rPr>
        <w:t xml:space="preserve">Determine </w:t>
      </w:r>
      <w:r w:rsidR="00B560F0" w:rsidRPr="004521EA">
        <w:rPr>
          <w:color w:val="auto"/>
        </w:rPr>
        <w:t xml:space="preserve">HEPES </w:t>
      </w:r>
      <w:r>
        <w:rPr>
          <w:color w:val="auto"/>
        </w:rPr>
        <w:t xml:space="preserve">concentration in the final product </w:t>
      </w:r>
      <w:r w:rsidR="001912C0" w:rsidRPr="004521EA">
        <w:rPr>
          <w:color w:val="auto"/>
        </w:rPr>
        <w:t>(weekly)</w:t>
      </w:r>
      <w:r>
        <w:rPr>
          <w:color w:val="auto"/>
        </w:rPr>
        <w:t>.</w:t>
      </w:r>
    </w:p>
    <w:p w14:paraId="0059AC68" w14:textId="77777777" w:rsidR="00AA4A6C" w:rsidRPr="004521EA" w:rsidRDefault="00AA4A6C" w:rsidP="008337F6">
      <w:pPr>
        <w:pStyle w:val="ListParagraph"/>
        <w:widowControl/>
        <w:ind w:left="0"/>
        <w:rPr>
          <w:color w:val="auto"/>
        </w:rPr>
      </w:pPr>
    </w:p>
    <w:p w14:paraId="7F8BA39B" w14:textId="00499CE8" w:rsidR="007A0806" w:rsidRPr="004521EA" w:rsidRDefault="00AA4A6C" w:rsidP="008337F6">
      <w:pPr>
        <w:pStyle w:val="ListParagraph"/>
        <w:widowControl/>
        <w:numPr>
          <w:ilvl w:val="2"/>
          <w:numId w:val="28"/>
        </w:numPr>
        <w:rPr>
          <w:color w:val="auto"/>
        </w:rPr>
      </w:pPr>
      <w:r w:rsidRPr="004521EA">
        <w:rPr>
          <w:color w:val="auto"/>
        </w:rPr>
        <w:t>Transfer 3 µ</w:t>
      </w:r>
      <w:r w:rsidR="00D1326D">
        <w:rPr>
          <w:color w:val="auto"/>
        </w:rPr>
        <w:t>L</w:t>
      </w:r>
      <w:r w:rsidRPr="004521EA">
        <w:rPr>
          <w:color w:val="auto"/>
        </w:rPr>
        <w:t xml:space="preserve"> of </w:t>
      </w:r>
      <w:r w:rsidRPr="004521EA">
        <w:rPr>
          <w:color w:val="auto"/>
          <w:vertAlign w:val="superscript"/>
        </w:rPr>
        <w:t>68</w:t>
      </w:r>
      <w:r w:rsidRPr="004521EA">
        <w:rPr>
          <w:color w:val="auto"/>
        </w:rPr>
        <w:t>Ga-DOTATATE solution in steps of 1 µ</w:t>
      </w:r>
      <w:r w:rsidR="00D1326D">
        <w:rPr>
          <w:color w:val="auto"/>
        </w:rPr>
        <w:t>L</w:t>
      </w:r>
      <w:r w:rsidRPr="004521EA">
        <w:rPr>
          <w:color w:val="auto"/>
        </w:rPr>
        <w:t xml:space="preserve"> to an ITLC-SG F</w:t>
      </w:r>
      <w:r w:rsidRPr="004521EA">
        <w:rPr>
          <w:color w:val="auto"/>
          <w:vertAlign w:val="subscript"/>
        </w:rPr>
        <w:t>254</w:t>
      </w:r>
      <w:r w:rsidRPr="004521EA">
        <w:rPr>
          <w:color w:val="auto"/>
        </w:rPr>
        <w:t xml:space="preserve"> paper of at least 8 cm</w:t>
      </w:r>
      <w:r w:rsidR="00B26C89">
        <w:rPr>
          <w:color w:val="auto"/>
        </w:rPr>
        <w:t xml:space="preserve"> length</w:t>
      </w:r>
      <w:r w:rsidRPr="004521EA">
        <w:rPr>
          <w:color w:val="auto"/>
        </w:rPr>
        <w:t xml:space="preserve">. Use a blow dryer to dry the paper in between </w:t>
      </w:r>
      <w:r w:rsidR="00206008">
        <w:rPr>
          <w:color w:val="auto"/>
        </w:rPr>
        <w:t xml:space="preserve">the </w:t>
      </w:r>
      <w:r w:rsidRPr="004521EA">
        <w:rPr>
          <w:color w:val="auto"/>
        </w:rPr>
        <w:t>1 µ</w:t>
      </w:r>
      <w:r w:rsidR="00206008">
        <w:rPr>
          <w:color w:val="auto"/>
        </w:rPr>
        <w:t>L</w:t>
      </w:r>
      <w:r w:rsidRPr="004521EA">
        <w:rPr>
          <w:color w:val="auto"/>
        </w:rPr>
        <w:t xml:space="preserve"> applications. </w:t>
      </w:r>
    </w:p>
    <w:p w14:paraId="0C3A7282" w14:textId="77777777" w:rsidR="00AA4A6C" w:rsidRPr="004521EA" w:rsidRDefault="00AA4A6C" w:rsidP="008337F6">
      <w:pPr>
        <w:pStyle w:val="ListParagraph"/>
        <w:widowControl/>
        <w:ind w:left="0"/>
        <w:rPr>
          <w:color w:val="auto"/>
        </w:rPr>
      </w:pPr>
    </w:p>
    <w:p w14:paraId="31341079" w14:textId="764FBD61" w:rsidR="00AA4A6C" w:rsidRPr="004521EA" w:rsidRDefault="00AA4A6C" w:rsidP="008337F6">
      <w:pPr>
        <w:pStyle w:val="ListParagraph"/>
        <w:widowControl/>
        <w:numPr>
          <w:ilvl w:val="2"/>
          <w:numId w:val="28"/>
        </w:numPr>
        <w:rPr>
          <w:color w:val="auto"/>
        </w:rPr>
      </w:pPr>
      <w:r w:rsidRPr="004521EA">
        <w:rPr>
          <w:color w:val="auto"/>
        </w:rPr>
        <w:t xml:space="preserve">Repeat </w:t>
      </w:r>
      <w:r w:rsidR="00206008">
        <w:rPr>
          <w:color w:val="auto"/>
        </w:rPr>
        <w:t xml:space="preserve">step </w:t>
      </w:r>
      <w:r w:rsidRPr="004521EA">
        <w:rPr>
          <w:color w:val="auto"/>
        </w:rPr>
        <w:t xml:space="preserve">5.2.1 with the HEPES reference solution. </w:t>
      </w:r>
    </w:p>
    <w:p w14:paraId="1665FC7E" w14:textId="77777777" w:rsidR="00AA4A6C" w:rsidRPr="004521EA" w:rsidRDefault="00AA4A6C" w:rsidP="008337F6">
      <w:pPr>
        <w:pStyle w:val="ListParagraph"/>
        <w:widowControl/>
        <w:ind w:left="0"/>
        <w:rPr>
          <w:color w:val="auto"/>
        </w:rPr>
      </w:pPr>
    </w:p>
    <w:p w14:paraId="543A6812" w14:textId="231515AC" w:rsidR="00AA4A6C" w:rsidRPr="004521EA" w:rsidRDefault="00AA4A6C" w:rsidP="008337F6">
      <w:pPr>
        <w:pStyle w:val="ListParagraph"/>
        <w:widowControl/>
        <w:numPr>
          <w:ilvl w:val="2"/>
          <w:numId w:val="28"/>
        </w:numPr>
        <w:rPr>
          <w:color w:val="auto"/>
        </w:rPr>
      </w:pPr>
      <w:r w:rsidRPr="004521EA">
        <w:rPr>
          <w:color w:val="auto"/>
        </w:rPr>
        <w:t xml:space="preserve">Place the strips in </w:t>
      </w:r>
      <w:r w:rsidR="00095F83">
        <w:rPr>
          <w:color w:val="auto"/>
        </w:rPr>
        <w:t xml:space="preserve">a </w:t>
      </w:r>
      <w:r w:rsidR="00206008">
        <w:rPr>
          <w:color w:val="auto"/>
        </w:rPr>
        <w:t xml:space="preserve">solvent of 25:75 </w:t>
      </w:r>
      <w:r w:rsidR="00142993" w:rsidRPr="004521EA">
        <w:rPr>
          <w:color w:val="auto"/>
        </w:rPr>
        <w:t>w</w:t>
      </w:r>
      <w:r w:rsidRPr="004521EA">
        <w:rPr>
          <w:color w:val="auto"/>
        </w:rPr>
        <w:t>ater:</w:t>
      </w:r>
      <w:r w:rsidR="00142993" w:rsidRPr="004521EA">
        <w:rPr>
          <w:color w:val="auto"/>
        </w:rPr>
        <w:t>a</w:t>
      </w:r>
      <w:r w:rsidRPr="004521EA">
        <w:rPr>
          <w:color w:val="auto"/>
        </w:rPr>
        <w:t>cetonitrile. Ensure that the applied solutions do not come into contact with the liquid.</w:t>
      </w:r>
    </w:p>
    <w:p w14:paraId="5FB76A7B" w14:textId="77777777" w:rsidR="00AA4A6C" w:rsidRPr="004521EA" w:rsidRDefault="00AA4A6C" w:rsidP="008337F6">
      <w:pPr>
        <w:widowControl/>
        <w:rPr>
          <w:color w:val="auto"/>
        </w:rPr>
      </w:pPr>
    </w:p>
    <w:p w14:paraId="1A7CD8C3" w14:textId="7AED3376" w:rsidR="00AA4A6C" w:rsidRPr="004521EA" w:rsidRDefault="00AA4A6C" w:rsidP="008337F6">
      <w:pPr>
        <w:pStyle w:val="ListParagraph"/>
        <w:widowControl/>
        <w:numPr>
          <w:ilvl w:val="2"/>
          <w:numId w:val="28"/>
        </w:numPr>
        <w:rPr>
          <w:color w:val="auto"/>
        </w:rPr>
      </w:pPr>
      <w:r w:rsidRPr="004521EA">
        <w:rPr>
          <w:color w:val="auto"/>
        </w:rPr>
        <w:t xml:space="preserve">Wait several minutes until the solvent has traveled </w:t>
      </w:r>
      <w:r w:rsidR="00206008">
        <w:rPr>
          <w:color w:val="auto"/>
        </w:rPr>
        <w:t xml:space="preserve">to </w:t>
      </w:r>
      <w:r w:rsidRPr="004521EA">
        <w:rPr>
          <w:color w:val="auto"/>
        </w:rPr>
        <w:t>at least 2/3 of the paper</w:t>
      </w:r>
      <w:r w:rsidR="00B26C89">
        <w:rPr>
          <w:color w:val="auto"/>
        </w:rPr>
        <w:t xml:space="preserve"> length</w:t>
      </w:r>
      <w:r w:rsidRPr="004521EA">
        <w:rPr>
          <w:color w:val="auto"/>
        </w:rPr>
        <w:t xml:space="preserve">. </w:t>
      </w:r>
    </w:p>
    <w:p w14:paraId="7857D474" w14:textId="77777777" w:rsidR="00AA4A6C" w:rsidRPr="004521EA" w:rsidRDefault="00AA4A6C" w:rsidP="008337F6">
      <w:pPr>
        <w:widowControl/>
        <w:rPr>
          <w:color w:val="auto"/>
        </w:rPr>
      </w:pPr>
    </w:p>
    <w:p w14:paraId="7BFC1DB0" w14:textId="78DC2522" w:rsidR="00AA4A6C" w:rsidRPr="004521EA" w:rsidRDefault="00AA4A6C" w:rsidP="008337F6">
      <w:pPr>
        <w:pStyle w:val="ListParagraph"/>
        <w:widowControl/>
        <w:numPr>
          <w:ilvl w:val="2"/>
          <w:numId w:val="28"/>
        </w:numPr>
        <w:rPr>
          <w:color w:val="auto"/>
        </w:rPr>
      </w:pPr>
      <w:r w:rsidRPr="004521EA">
        <w:rPr>
          <w:color w:val="auto"/>
        </w:rPr>
        <w:t xml:space="preserve">Develop the paper for at least 4 min in a closed chamber with iodine crystals. </w:t>
      </w:r>
    </w:p>
    <w:p w14:paraId="36E9F6C4" w14:textId="77777777" w:rsidR="00AA4A6C" w:rsidRPr="004521EA" w:rsidRDefault="00AA4A6C" w:rsidP="008337F6">
      <w:pPr>
        <w:pStyle w:val="ListParagraph"/>
        <w:widowControl/>
        <w:ind w:left="0"/>
        <w:rPr>
          <w:color w:val="auto"/>
        </w:rPr>
      </w:pPr>
    </w:p>
    <w:p w14:paraId="58790CB9" w14:textId="30897F84" w:rsidR="00AA4A6C" w:rsidRPr="004521EA" w:rsidRDefault="00AA4A6C" w:rsidP="008337F6">
      <w:pPr>
        <w:pStyle w:val="ListParagraph"/>
        <w:widowControl/>
        <w:numPr>
          <w:ilvl w:val="2"/>
          <w:numId w:val="28"/>
        </w:numPr>
        <w:rPr>
          <w:color w:val="auto"/>
        </w:rPr>
      </w:pPr>
      <w:r w:rsidRPr="004521EA">
        <w:rPr>
          <w:color w:val="auto"/>
        </w:rPr>
        <w:t>Visually assess the outcome</w:t>
      </w:r>
      <w:r w:rsidR="0098792F">
        <w:rPr>
          <w:color w:val="auto"/>
        </w:rPr>
        <w:t>;</w:t>
      </w:r>
      <w:r w:rsidRPr="004521EA">
        <w:rPr>
          <w:color w:val="auto"/>
        </w:rPr>
        <w:t xml:space="preserve"> a yellow spot should appear. The spot on the paper with </w:t>
      </w:r>
      <w:r w:rsidRPr="004521EA">
        <w:rPr>
          <w:color w:val="auto"/>
          <w:vertAlign w:val="superscript"/>
        </w:rPr>
        <w:t>68</w:t>
      </w:r>
      <w:r w:rsidRPr="004521EA">
        <w:rPr>
          <w:color w:val="auto"/>
        </w:rPr>
        <w:t xml:space="preserve">Ga-DOTATATE should be less intense than that of the reference solution. </w:t>
      </w:r>
    </w:p>
    <w:p w14:paraId="0BA6FB6E" w14:textId="77777777" w:rsidR="00B560F0" w:rsidRPr="004521EA" w:rsidRDefault="00B560F0" w:rsidP="008337F6">
      <w:pPr>
        <w:pStyle w:val="ListParagraph"/>
        <w:widowControl/>
        <w:ind w:left="0"/>
        <w:rPr>
          <w:color w:val="auto"/>
        </w:rPr>
      </w:pPr>
    </w:p>
    <w:p w14:paraId="0C3A3064" w14:textId="66E8F16B" w:rsidR="00B560F0" w:rsidRPr="004521EA" w:rsidRDefault="00B26C89" w:rsidP="008337F6">
      <w:pPr>
        <w:pStyle w:val="ListParagraph"/>
        <w:widowControl/>
        <w:numPr>
          <w:ilvl w:val="1"/>
          <w:numId w:val="28"/>
        </w:numPr>
        <w:rPr>
          <w:color w:val="auto"/>
        </w:rPr>
      </w:pPr>
      <w:r w:rsidRPr="00B26C89">
        <w:rPr>
          <w:color w:val="auto"/>
        </w:rPr>
        <w:t xml:space="preserve">Determine </w:t>
      </w:r>
      <w:r w:rsidR="00B560F0" w:rsidRPr="004521EA">
        <w:rPr>
          <w:color w:val="auto"/>
          <w:vertAlign w:val="superscript"/>
        </w:rPr>
        <w:t>68</w:t>
      </w:r>
      <w:r w:rsidR="00B560F0" w:rsidRPr="004521EA">
        <w:rPr>
          <w:color w:val="auto"/>
        </w:rPr>
        <w:t>Ge breakthrough</w:t>
      </w:r>
      <w:r w:rsidR="00A2370D" w:rsidRPr="004521EA">
        <w:rPr>
          <w:color w:val="auto"/>
        </w:rPr>
        <w:t xml:space="preserve"> in the final product</w:t>
      </w:r>
      <w:r w:rsidR="001912C0" w:rsidRPr="004521EA">
        <w:rPr>
          <w:color w:val="auto"/>
        </w:rPr>
        <w:t xml:space="preserve"> (monthly)</w:t>
      </w:r>
      <w:r>
        <w:rPr>
          <w:color w:val="auto"/>
        </w:rPr>
        <w:t>.</w:t>
      </w:r>
    </w:p>
    <w:p w14:paraId="6BA51C90" w14:textId="77777777" w:rsidR="00563A60" w:rsidRPr="004521EA" w:rsidRDefault="00563A60" w:rsidP="008337F6">
      <w:pPr>
        <w:pStyle w:val="ListParagraph"/>
        <w:widowControl/>
        <w:ind w:left="0"/>
        <w:rPr>
          <w:color w:val="auto"/>
        </w:rPr>
      </w:pPr>
    </w:p>
    <w:p w14:paraId="698342C3" w14:textId="78B24A17" w:rsidR="00563A60" w:rsidRPr="004521EA" w:rsidRDefault="00D96D21" w:rsidP="008337F6">
      <w:pPr>
        <w:pStyle w:val="ListParagraph"/>
        <w:widowControl/>
        <w:numPr>
          <w:ilvl w:val="2"/>
          <w:numId w:val="28"/>
        </w:numPr>
        <w:rPr>
          <w:color w:val="auto"/>
        </w:rPr>
      </w:pPr>
      <w:r w:rsidRPr="004521EA">
        <w:rPr>
          <w:color w:val="auto"/>
        </w:rPr>
        <w:t xml:space="preserve">Prepare a sample with 200 </w:t>
      </w:r>
      <w:r w:rsidR="00992333" w:rsidRPr="004521EA">
        <w:rPr>
          <w:color w:val="auto"/>
        </w:rPr>
        <w:t>µ</w:t>
      </w:r>
      <w:r w:rsidRPr="004521EA">
        <w:rPr>
          <w:color w:val="auto"/>
        </w:rPr>
        <w:t xml:space="preserve">L of </w:t>
      </w:r>
      <w:r w:rsidRPr="004521EA">
        <w:rPr>
          <w:color w:val="auto"/>
          <w:vertAlign w:val="superscript"/>
        </w:rPr>
        <w:t>68</w:t>
      </w:r>
      <w:r w:rsidRPr="004521EA">
        <w:rPr>
          <w:color w:val="auto"/>
        </w:rPr>
        <w:t xml:space="preserve">Ga-DOTATATE solution (G). Place </w:t>
      </w:r>
      <w:r w:rsidR="0098792F">
        <w:rPr>
          <w:color w:val="auto"/>
        </w:rPr>
        <w:t xml:space="preserve">it </w:t>
      </w:r>
      <w:r w:rsidRPr="004521EA">
        <w:rPr>
          <w:color w:val="auto"/>
        </w:rPr>
        <w:t>in a well counter and determine the number of counts in each in the 400</w:t>
      </w:r>
      <w:r w:rsidR="0098792F">
        <w:rPr>
          <w:color w:val="auto"/>
        </w:rPr>
        <w:t>–</w:t>
      </w:r>
      <w:r w:rsidRPr="004521EA">
        <w:rPr>
          <w:color w:val="auto"/>
        </w:rPr>
        <w:t>600 keV energy window</w:t>
      </w:r>
      <w:r w:rsidR="0098792F">
        <w:rPr>
          <w:color w:val="auto"/>
        </w:rPr>
        <w:t xml:space="preserve"> for</w:t>
      </w:r>
      <w:r w:rsidR="0098792F" w:rsidRPr="004521EA">
        <w:rPr>
          <w:color w:val="auto"/>
        </w:rPr>
        <w:t xml:space="preserve"> 30 s</w:t>
      </w:r>
      <w:r w:rsidRPr="004521EA">
        <w:rPr>
          <w:color w:val="auto"/>
        </w:rPr>
        <w:t>.</w:t>
      </w:r>
    </w:p>
    <w:p w14:paraId="737CBB07" w14:textId="77777777" w:rsidR="001912C0" w:rsidRPr="004521EA" w:rsidRDefault="001912C0" w:rsidP="008337F6">
      <w:pPr>
        <w:pStyle w:val="ListParagraph"/>
        <w:widowControl/>
        <w:ind w:left="0"/>
        <w:rPr>
          <w:color w:val="auto"/>
        </w:rPr>
      </w:pPr>
    </w:p>
    <w:p w14:paraId="5003098D" w14:textId="76FE8892" w:rsidR="00D96D21" w:rsidRPr="004521EA" w:rsidRDefault="00D96D21" w:rsidP="008337F6">
      <w:pPr>
        <w:pStyle w:val="ListParagraph"/>
        <w:widowControl/>
        <w:numPr>
          <w:ilvl w:val="2"/>
          <w:numId w:val="28"/>
        </w:numPr>
        <w:rPr>
          <w:color w:val="auto"/>
        </w:rPr>
      </w:pPr>
      <w:r w:rsidRPr="004521EA">
        <w:rPr>
          <w:color w:val="auto"/>
        </w:rPr>
        <w:t xml:space="preserve">Repeat </w:t>
      </w:r>
      <w:r w:rsidR="0059058E" w:rsidRPr="004521EA">
        <w:rPr>
          <w:color w:val="auto"/>
        </w:rPr>
        <w:t xml:space="preserve">step </w:t>
      </w:r>
      <w:r w:rsidRPr="004521EA">
        <w:rPr>
          <w:color w:val="auto"/>
        </w:rPr>
        <w:t>5.3.1</w:t>
      </w:r>
      <w:r w:rsidR="0059058E" w:rsidRPr="004521EA">
        <w:rPr>
          <w:color w:val="auto"/>
        </w:rPr>
        <w:t>.</w:t>
      </w:r>
    </w:p>
    <w:p w14:paraId="131FF6E1" w14:textId="77777777" w:rsidR="001912C0" w:rsidRPr="004521EA" w:rsidRDefault="001912C0" w:rsidP="008337F6">
      <w:pPr>
        <w:pStyle w:val="ListParagraph"/>
        <w:widowControl/>
        <w:ind w:left="0"/>
        <w:rPr>
          <w:color w:val="auto"/>
        </w:rPr>
      </w:pPr>
    </w:p>
    <w:p w14:paraId="22662D79" w14:textId="60332ABE" w:rsidR="001872C6" w:rsidRDefault="001872C6" w:rsidP="008337F6">
      <w:pPr>
        <w:pStyle w:val="ListParagraph"/>
        <w:widowControl/>
        <w:numPr>
          <w:ilvl w:val="2"/>
          <w:numId w:val="28"/>
        </w:numPr>
        <w:rPr>
          <w:color w:val="auto"/>
        </w:rPr>
      </w:pPr>
      <w:r w:rsidRPr="004521EA">
        <w:rPr>
          <w:color w:val="auto"/>
        </w:rPr>
        <w:t>Correct the counts in G to determine G’ for decay</w:t>
      </w:r>
      <w:r w:rsidR="0098792F">
        <w:rPr>
          <w:color w:val="auto"/>
        </w:rPr>
        <w:t>,</w:t>
      </w:r>
      <w:r w:rsidRPr="004521EA">
        <w:rPr>
          <w:color w:val="auto"/>
        </w:rPr>
        <w:t xml:space="preserve"> to determine the number of counts at </w:t>
      </w:r>
      <w:r w:rsidR="0098792F">
        <w:rPr>
          <w:color w:val="auto"/>
        </w:rPr>
        <w:t xml:space="preserve">the </w:t>
      </w:r>
      <w:r w:rsidRPr="004521EA">
        <w:rPr>
          <w:color w:val="auto"/>
        </w:rPr>
        <w:t xml:space="preserve">ART with the following formula, in which Δt is the time difference between the measured sample and </w:t>
      </w:r>
      <w:r w:rsidR="0098792F">
        <w:rPr>
          <w:color w:val="auto"/>
        </w:rPr>
        <w:t xml:space="preserve">the </w:t>
      </w:r>
      <w:r w:rsidRPr="004521EA">
        <w:rPr>
          <w:color w:val="auto"/>
        </w:rPr>
        <w:t xml:space="preserve">ART in minutes. </w:t>
      </w:r>
    </w:p>
    <w:p w14:paraId="25FBA1C1" w14:textId="77777777" w:rsidR="0098792F" w:rsidRPr="004521EA" w:rsidRDefault="0098792F" w:rsidP="00B26C89">
      <w:pPr>
        <w:pStyle w:val="ListParagraph"/>
        <w:widowControl/>
        <w:ind w:left="0"/>
        <w:rPr>
          <w:color w:val="auto"/>
        </w:rPr>
      </w:pPr>
    </w:p>
    <w:p w14:paraId="2BE59A88" w14:textId="08D4EF22" w:rsidR="001872C6" w:rsidRPr="004521EA" w:rsidRDefault="001872C6" w:rsidP="008337F6">
      <w:pPr>
        <w:widowControl/>
        <w:rPr>
          <w:color w:val="auto"/>
        </w:rPr>
      </w:pPr>
      <m:oMathPara>
        <m:oMath>
          <m:r>
            <w:rPr>
              <w:rFonts w:ascii="Cambria Math" w:hAnsi="Cambria Math"/>
              <w:color w:val="auto"/>
            </w:rPr>
            <m:t>Counts measured=counts at ART×</m:t>
          </m:r>
          <m:sSup>
            <m:sSupPr>
              <m:ctrlPr>
                <w:rPr>
                  <w:rFonts w:ascii="Cambria Math" w:hAnsi="Cambria Math"/>
                  <w:i/>
                  <w:color w:val="auto"/>
                </w:rPr>
              </m:ctrlPr>
            </m:sSupPr>
            <m:e>
              <m:r>
                <w:rPr>
                  <w:rFonts w:ascii="Cambria Math" w:hAnsi="Cambria Math"/>
                  <w:color w:val="auto"/>
                </w:rPr>
                <m:t>0.5</m:t>
              </m:r>
            </m:e>
            <m:sup>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Δt</m:t>
                      </m:r>
                    </m:num>
                    <m:den>
                      <m:r>
                        <w:rPr>
                          <w:rFonts w:ascii="Cambria Math" w:hAnsi="Cambria Math"/>
                          <w:color w:val="auto"/>
                        </w:rPr>
                        <m:t>68</m:t>
                      </m:r>
                    </m:den>
                  </m:f>
                </m:e>
              </m:d>
            </m:sup>
          </m:sSup>
          <m:r>
            <w:rPr>
              <w:rFonts w:ascii="Cambria Math" w:hAnsi="Cambria Math"/>
              <w:color w:val="auto"/>
            </w:rPr>
            <m:t xml:space="preserve"> </m:t>
          </m:r>
        </m:oMath>
      </m:oMathPara>
    </w:p>
    <w:p w14:paraId="31C4DD13" w14:textId="77777777" w:rsidR="001912C0" w:rsidRPr="004521EA" w:rsidRDefault="001912C0" w:rsidP="008337F6">
      <w:pPr>
        <w:widowControl/>
        <w:rPr>
          <w:color w:val="auto"/>
        </w:rPr>
      </w:pPr>
    </w:p>
    <w:p w14:paraId="60C3A547" w14:textId="6BE69562" w:rsidR="00D96D21" w:rsidRPr="004521EA" w:rsidRDefault="00D96D21" w:rsidP="008337F6">
      <w:pPr>
        <w:pStyle w:val="ListParagraph"/>
        <w:widowControl/>
        <w:numPr>
          <w:ilvl w:val="2"/>
          <w:numId w:val="28"/>
        </w:numPr>
        <w:rPr>
          <w:color w:val="auto"/>
        </w:rPr>
      </w:pPr>
      <w:r w:rsidRPr="004521EA">
        <w:rPr>
          <w:color w:val="auto"/>
        </w:rPr>
        <w:t>C</w:t>
      </w:r>
      <w:bookmarkStart w:id="2" w:name="_GoBack"/>
      <w:bookmarkEnd w:id="2"/>
      <w:r w:rsidRPr="004521EA">
        <w:rPr>
          <w:color w:val="auto"/>
        </w:rPr>
        <w:t xml:space="preserve">alculate the </w:t>
      </w:r>
      <w:r w:rsidRPr="004521EA">
        <w:rPr>
          <w:color w:val="auto"/>
          <w:vertAlign w:val="superscript"/>
        </w:rPr>
        <w:t>68</w:t>
      </w:r>
      <w:r w:rsidRPr="004521EA">
        <w:rPr>
          <w:color w:val="auto"/>
        </w:rPr>
        <w:t>Ge breakthrough</w:t>
      </w:r>
      <w:r w:rsidR="00A2370D" w:rsidRPr="004521EA">
        <w:rPr>
          <w:color w:val="auto"/>
        </w:rPr>
        <w:t xml:space="preserve"> (MBq/MBq)</w:t>
      </w:r>
      <w:r w:rsidRPr="004521EA">
        <w:rPr>
          <w:color w:val="auto"/>
        </w:rPr>
        <w:t>, which should be less than 0.001%</w:t>
      </w:r>
      <w:r w:rsidR="0098792F">
        <w:rPr>
          <w:color w:val="auto"/>
        </w:rPr>
        <w:t xml:space="preserve">, </w:t>
      </w:r>
      <w:r w:rsidR="0098792F" w:rsidRPr="004521EA">
        <w:rPr>
          <w:color w:val="auto"/>
        </w:rPr>
        <w:t>with the following formula</w:t>
      </w:r>
      <w:r w:rsidRPr="004521EA">
        <w:rPr>
          <w:color w:val="auto"/>
        </w:rPr>
        <w:t>.</w:t>
      </w:r>
    </w:p>
    <w:p w14:paraId="47DE1545" w14:textId="07FDCCFC" w:rsidR="00DE2D27" w:rsidRPr="004521EA" w:rsidRDefault="001872C6" w:rsidP="008337F6">
      <w:pPr>
        <w:widowControl/>
        <w:rPr>
          <w:color w:val="auto"/>
        </w:rPr>
      </w:pPr>
      <m:oMathPara>
        <m:oMath>
          <m:r>
            <w:rPr>
              <w:rFonts w:ascii="Cambria Math" w:hAnsi="Cambria Math"/>
              <w:color w:val="auto"/>
            </w:rPr>
            <m:t xml:space="preserve">Germanium breakthrough= </m:t>
          </m:r>
          <m:f>
            <m:fPr>
              <m:ctrlPr>
                <w:rPr>
                  <w:rFonts w:ascii="Cambria Math" w:hAnsi="Cambria Math"/>
                  <w:i/>
                  <w:color w:val="auto"/>
                </w:rPr>
              </m:ctrlPr>
            </m:fPr>
            <m:num>
              <m:sSup>
                <m:sSupPr>
                  <m:ctrlPr>
                    <w:rPr>
                      <w:rFonts w:ascii="Cambria Math" w:hAnsi="Cambria Math"/>
                      <w:i/>
                      <w:color w:val="auto"/>
                    </w:rPr>
                  </m:ctrlPr>
                </m:sSupPr>
                <m:e>
                  <m:r>
                    <w:rPr>
                      <w:rFonts w:ascii="Cambria Math" w:hAnsi="Cambria Math"/>
                      <w:color w:val="auto"/>
                    </w:rPr>
                    <m:t>G</m:t>
                  </m:r>
                </m:e>
                <m:sup>
                  <m:r>
                    <w:rPr>
                      <w:rFonts w:ascii="Cambria Math" w:hAnsi="Cambria Math"/>
                      <w:color w:val="auto"/>
                    </w:rPr>
                    <m:t>'</m:t>
                  </m:r>
                </m:sup>
              </m:sSup>
              <m:r>
                <w:rPr>
                  <w:rFonts w:ascii="Cambria Math" w:hAnsi="Cambria Math"/>
                  <w:color w:val="auto"/>
                </w:rPr>
                <m:t>1+</m:t>
              </m:r>
              <m:sSup>
                <m:sSupPr>
                  <m:ctrlPr>
                    <w:rPr>
                      <w:rFonts w:ascii="Cambria Math" w:hAnsi="Cambria Math"/>
                      <w:i/>
                      <w:color w:val="auto"/>
                    </w:rPr>
                  </m:ctrlPr>
                </m:sSupPr>
                <m:e>
                  <m:r>
                    <w:rPr>
                      <w:rFonts w:ascii="Cambria Math" w:hAnsi="Cambria Math"/>
                      <w:color w:val="auto"/>
                    </w:rPr>
                    <m:t>G</m:t>
                  </m:r>
                </m:e>
                <m:sup>
                  <m:r>
                    <w:rPr>
                      <w:rFonts w:ascii="Cambria Math" w:hAnsi="Cambria Math"/>
                      <w:color w:val="auto"/>
                    </w:rPr>
                    <m:t>'</m:t>
                  </m:r>
                </m:sup>
              </m:sSup>
              <m:r>
                <w:rPr>
                  <w:rFonts w:ascii="Cambria Math" w:hAnsi="Cambria Math"/>
                  <w:color w:val="auto"/>
                </w:rPr>
                <m:t>2</m:t>
              </m:r>
            </m:num>
            <m:den>
              <m:sSup>
                <m:sSupPr>
                  <m:ctrlPr>
                    <w:rPr>
                      <w:rFonts w:ascii="Cambria Math" w:hAnsi="Cambria Math"/>
                      <w:i/>
                      <w:color w:val="auto"/>
                    </w:rPr>
                  </m:ctrlPr>
                </m:sSupPr>
                <m:e>
                  <m:r>
                    <w:rPr>
                      <w:rFonts w:ascii="Cambria Math" w:hAnsi="Cambria Math"/>
                      <w:color w:val="auto"/>
                    </w:rPr>
                    <m:t>S</m:t>
                  </m:r>
                </m:e>
                <m:sup>
                  <m:r>
                    <w:rPr>
                      <w:rFonts w:ascii="Cambria Math" w:hAnsi="Cambria Math"/>
                      <w:color w:val="auto"/>
                    </w:rPr>
                    <m:t>'</m:t>
                  </m:r>
                </m:sup>
              </m:sSup>
              <m:r>
                <w:rPr>
                  <w:rFonts w:ascii="Cambria Math" w:hAnsi="Cambria Math"/>
                  <w:color w:val="auto"/>
                </w:rPr>
                <m:t>1+</m:t>
              </m:r>
              <m:sSup>
                <m:sSupPr>
                  <m:ctrlPr>
                    <w:rPr>
                      <w:rFonts w:ascii="Cambria Math" w:hAnsi="Cambria Math"/>
                      <w:i/>
                      <w:color w:val="auto"/>
                    </w:rPr>
                  </m:ctrlPr>
                </m:sSupPr>
                <m:e>
                  <m:r>
                    <w:rPr>
                      <w:rFonts w:ascii="Cambria Math" w:hAnsi="Cambria Math"/>
                      <w:color w:val="auto"/>
                    </w:rPr>
                    <m:t>S</m:t>
                  </m:r>
                </m:e>
                <m:sup>
                  <m:r>
                    <w:rPr>
                      <w:rFonts w:ascii="Cambria Math" w:hAnsi="Cambria Math"/>
                      <w:color w:val="auto"/>
                    </w:rPr>
                    <m:t>'</m:t>
                  </m:r>
                </m:sup>
              </m:sSup>
              <m:r>
                <w:rPr>
                  <w:rFonts w:ascii="Cambria Math" w:hAnsi="Cambria Math"/>
                  <w:color w:val="auto"/>
                </w:rPr>
                <m:t>2</m:t>
              </m:r>
            </m:den>
          </m:f>
          <m:r>
            <w:rPr>
              <w:rFonts w:ascii="Cambria Math" w:hAnsi="Cambria Math"/>
              <w:color w:val="auto"/>
            </w:rPr>
            <m:t>×100%</m:t>
          </m:r>
        </m:oMath>
      </m:oMathPara>
    </w:p>
    <w:p w14:paraId="640B770C" w14:textId="77777777" w:rsidR="00DE2D27" w:rsidRPr="004521EA" w:rsidRDefault="00DE2D27" w:rsidP="008337F6">
      <w:pPr>
        <w:widowControl/>
        <w:rPr>
          <w:color w:val="auto"/>
        </w:rPr>
      </w:pPr>
    </w:p>
    <w:p w14:paraId="280BABE6" w14:textId="6A9BBD28" w:rsidR="00B560F0" w:rsidRPr="004521EA" w:rsidRDefault="00B26C89" w:rsidP="008337F6">
      <w:pPr>
        <w:pStyle w:val="ListParagraph"/>
        <w:widowControl/>
        <w:numPr>
          <w:ilvl w:val="1"/>
          <w:numId w:val="28"/>
        </w:numPr>
        <w:rPr>
          <w:color w:val="auto"/>
        </w:rPr>
      </w:pPr>
      <w:r>
        <w:rPr>
          <w:color w:val="auto"/>
        </w:rPr>
        <w:t>Determine the s</w:t>
      </w:r>
      <w:r w:rsidR="00B560F0" w:rsidRPr="004521EA">
        <w:rPr>
          <w:color w:val="auto"/>
        </w:rPr>
        <w:t>terility</w:t>
      </w:r>
      <w:r w:rsidR="00563A60" w:rsidRPr="004521EA">
        <w:rPr>
          <w:color w:val="auto"/>
        </w:rPr>
        <w:t xml:space="preserve"> </w:t>
      </w:r>
      <w:r>
        <w:rPr>
          <w:color w:val="auto"/>
        </w:rPr>
        <w:t xml:space="preserve">of the final product </w:t>
      </w:r>
      <w:r w:rsidR="00563A60" w:rsidRPr="004521EA">
        <w:rPr>
          <w:color w:val="auto"/>
        </w:rPr>
        <w:t>(monthly)</w:t>
      </w:r>
      <w:r>
        <w:rPr>
          <w:color w:val="auto"/>
        </w:rPr>
        <w:t>.</w:t>
      </w:r>
    </w:p>
    <w:p w14:paraId="68ADBDDA" w14:textId="77777777" w:rsidR="00563A60" w:rsidRPr="004521EA" w:rsidRDefault="00563A60" w:rsidP="008337F6">
      <w:pPr>
        <w:pStyle w:val="ListParagraph"/>
        <w:widowControl/>
        <w:ind w:left="0"/>
        <w:rPr>
          <w:color w:val="auto"/>
        </w:rPr>
      </w:pPr>
    </w:p>
    <w:p w14:paraId="136D71A7" w14:textId="56F07C31" w:rsidR="00563A60" w:rsidRPr="004521EA" w:rsidRDefault="00563A60" w:rsidP="008337F6">
      <w:pPr>
        <w:pStyle w:val="ListParagraph"/>
        <w:widowControl/>
        <w:numPr>
          <w:ilvl w:val="2"/>
          <w:numId w:val="28"/>
        </w:numPr>
        <w:rPr>
          <w:color w:val="auto"/>
        </w:rPr>
      </w:pPr>
      <w:r w:rsidRPr="004521EA">
        <w:rPr>
          <w:color w:val="auto"/>
        </w:rPr>
        <w:t xml:space="preserve">Add the remaining </w:t>
      </w:r>
      <w:r w:rsidRPr="004521EA">
        <w:rPr>
          <w:color w:val="auto"/>
          <w:vertAlign w:val="superscript"/>
        </w:rPr>
        <w:t>68</w:t>
      </w:r>
      <w:r w:rsidRPr="004521EA">
        <w:rPr>
          <w:color w:val="auto"/>
        </w:rPr>
        <w:t>Ga-DOTATATE solution to a tryptic soy broth (TSB) medium. Incubate for 14 d at 30</w:t>
      </w:r>
      <w:r w:rsidR="000559F5">
        <w:rPr>
          <w:color w:val="auto"/>
        </w:rPr>
        <w:t>–</w:t>
      </w:r>
      <w:r w:rsidRPr="004521EA">
        <w:rPr>
          <w:color w:val="auto"/>
        </w:rPr>
        <w:t xml:space="preserve">35 °C. </w:t>
      </w:r>
    </w:p>
    <w:p w14:paraId="779D52ED" w14:textId="77777777" w:rsidR="00563A60" w:rsidRPr="004521EA" w:rsidRDefault="00563A60" w:rsidP="008337F6">
      <w:pPr>
        <w:pStyle w:val="ListParagraph"/>
        <w:widowControl/>
        <w:ind w:left="0"/>
        <w:rPr>
          <w:color w:val="auto"/>
        </w:rPr>
      </w:pPr>
    </w:p>
    <w:p w14:paraId="6E935C55" w14:textId="7C18E727" w:rsidR="00563A60" w:rsidRPr="004521EA" w:rsidRDefault="0059058E" w:rsidP="008337F6">
      <w:pPr>
        <w:pStyle w:val="ListParagraph"/>
        <w:widowControl/>
        <w:numPr>
          <w:ilvl w:val="2"/>
          <w:numId w:val="28"/>
        </w:numPr>
        <w:rPr>
          <w:color w:val="auto"/>
        </w:rPr>
      </w:pPr>
      <w:r w:rsidRPr="004521EA">
        <w:rPr>
          <w:color w:val="auto"/>
        </w:rPr>
        <w:t>Check that t</w:t>
      </w:r>
      <w:r w:rsidR="00563A60" w:rsidRPr="004521EA">
        <w:rPr>
          <w:color w:val="auto"/>
        </w:rPr>
        <w:t xml:space="preserve">he TSB medium </w:t>
      </w:r>
      <w:r w:rsidRPr="004521EA">
        <w:rPr>
          <w:color w:val="auto"/>
        </w:rPr>
        <w:t>is</w:t>
      </w:r>
      <w:r w:rsidR="00563A60" w:rsidRPr="004521EA">
        <w:rPr>
          <w:color w:val="auto"/>
        </w:rPr>
        <w:t xml:space="preserve"> a clear liquid after the incubation period. </w:t>
      </w:r>
    </w:p>
    <w:p w14:paraId="70A05B80" w14:textId="77777777" w:rsidR="00B560F0" w:rsidRPr="004521EA" w:rsidRDefault="00B560F0" w:rsidP="008337F6">
      <w:pPr>
        <w:widowControl/>
        <w:rPr>
          <w:color w:val="auto"/>
        </w:rPr>
      </w:pPr>
    </w:p>
    <w:p w14:paraId="55AC8F3A" w14:textId="132DC912" w:rsidR="00C0540E" w:rsidRPr="004521EA" w:rsidRDefault="0040578F" w:rsidP="008337F6">
      <w:pPr>
        <w:pStyle w:val="ListParagraph"/>
        <w:widowControl/>
        <w:numPr>
          <w:ilvl w:val="0"/>
          <w:numId w:val="28"/>
        </w:numPr>
        <w:rPr>
          <w:b/>
          <w:color w:val="auto"/>
        </w:rPr>
      </w:pPr>
      <w:r w:rsidRPr="004521EA">
        <w:rPr>
          <w:b/>
          <w:color w:val="auto"/>
          <w:highlight w:val="yellow"/>
        </w:rPr>
        <w:t>Patient preparation</w:t>
      </w:r>
      <w:r w:rsidR="00DE2D27" w:rsidRPr="004521EA">
        <w:rPr>
          <w:b/>
          <w:color w:val="auto"/>
          <w:highlight w:val="yellow"/>
        </w:rPr>
        <w:t xml:space="preserve"> and administration of </w:t>
      </w:r>
      <w:r w:rsidR="00DE2D27" w:rsidRPr="004521EA">
        <w:rPr>
          <w:b/>
          <w:color w:val="auto"/>
          <w:highlight w:val="yellow"/>
          <w:vertAlign w:val="superscript"/>
        </w:rPr>
        <w:t>68</w:t>
      </w:r>
      <w:r w:rsidR="00DE2D27" w:rsidRPr="004521EA">
        <w:rPr>
          <w:b/>
          <w:color w:val="auto"/>
          <w:highlight w:val="yellow"/>
        </w:rPr>
        <w:t>Ga-DOTATATE</w:t>
      </w:r>
    </w:p>
    <w:p w14:paraId="7F014BA6" w14:textId="77777777" w:rsidR="00C0540E" w:rsidRPr="004521EA" w:rsidRDefault="00C0540E" w:rsidP="008337F6">
      <w:pPr>
        <w:pStyle w:val="ListParagraph"/>
        <w:widowControl/>
        <w:ind w:left="0"/>
        <w:rPr>
          <w:color w:val="auto"/>
        </w:rPr>
      </w:pPr>
    </w:p>
    <w:p w14:paraId="45AC032B" w14:textId="7652377C" w:rsidR="002D13C0" w:rsidRPr="004521EA" w:rsidRDefault="00C27CCF" w:rsidP="008337F6">
      <w:pPr>
        <w:widowControl/>
        <w:rPr>
          <w:color w:val="auto"/>
        </w:rPr>
      </w:pPr>
      <w:r>
        <w:rPr>
          <w:color w:val="auto"/>
        </w:rPr>
        <w:t>NOTE:</w:t>
      </w:r>
      <w:r w:rsidR="002D13C0" w:rsidRPr="004521EA">
        <w:rPr>
          <w:color w:val="auto"/>
        </w:rPr>
        <w:t xml:space="preserve"> The injected activity in this protocol provides good quality images with the PET/CT system available and the imaging protocol as described in </w:t>
      </w:r>
      <w:r w:rsidR="00A90E37">
        <w:rPr>
          <w:color w:val="auto"/>
        </w:rPr>
        <w:t>section</w:t>
      </w:r>
      <w:r w:rsidR="002D13C0" w:rsidRPr="004521EA">
        <w:rPr>
          <w:color w:val="auto"/>
        </w:rPr>
        <w:t xml:space="preserve"> 7. </w:t>
      </w:r>
      <w:r w:rsidR="00126580" w:rsidRPr="004521EA">
        <w:rPr>
          <w:color w:val="auto"/>
        </w:rPr>
        <w:t xml:space="preserve">With other imaging systems and protocols, the injected activity should be optimized. </w:t>
      </w:r>
    </w:p>
    <w:p w14:paraId="7EF6F805" w14:textId="730251C0" w:rsidR="002D13C0" w:rsidRPr="004521EA" w:rsidRDefault="002D13C0" w:rsidP="008337F6">
      <w:pPr>
        <w:widowControl/>
        <w:rPr>
          <w:color w:val="auto"/>
        </w:rPr>
      </w:pPr>
      <w:r w:rsidRPr="004521EA">
        <w:rPr>
          <w:color w:val="auto"/>
        </w:rPr>
        <w:t xml:space="preserve"> </w:t>
      </w:r>
    </w:p>
    <w:p w14:paraId="1620137B" w14:textId="4B27847C" w:rsidR="00347A29" w:rsidRPr="004521EA" w:rsidRDefault="0059058E" w:rsidP="008337F6">
      <w:pPr>
        <w:pStyle w:val="ListParagraph"/>
        <w:widowControl/>
        <w:numPr>
          <w:ilvl w:val="1"/>
          <w:numId w:val="28"/>
        </w:numPr>
        <w:rPr>
          <w:color w:val="auto"/>
        </w:rPr>
      </w:pPr>
      <w:r w:rsidRPr="004521EA">
        <w:rPr>
          <w:color w:val="auto"/>
        </w:rPr>
        <w:t>In advance, send t</w:t>
      </w:r>
      <w:r w:rsidR="00347A29" w:rsidRPr="004521EA">
        <w:rPr>
          <w:color w:val="auto"/>
        </w:rPr>
        <w:t xml:space="preserve">he appointment and patient folder with information about </w:t>
      </w:r>
      <w:r w:rsidR="00347A29" w:rsidRPr="004521EA">
        <w:rPr>
          <w:color w:val="auto"/>
          <w:vertAlign w:val="superscript"/>
        </w:rPr>
        <w:t>68</w:t>
      </w:r>
      <w:r w:rsidR="00347A29" w:rsidRPr="004521EA">
        <w:rPr>
          <w:color w:val="auto"/>
        </w:rPr>
        <w:t xml:space="preserve">Ga-DOTATATE PET/CT by mail to each patient. </w:t>
      </w:r>
      <w:r w:rsidRPr="004521EA">
        <w:rPr>
          <w:color w:val="auto"/>
        </w:rPr>
        <w:t>Confirm e</w:t>
      </w:r>
      <w:r w:rsidR="00347A29" w:rsidRPr="004521EA">
        <w:rPr>
          <w:color w:val="auto"/>
        </w:rPr>
        <w:t>very appointment by telephone 1 day in advance.</w:t>
      </w:r>
    </w:p>
    <w:p w14:paraId="328CAAF1" w14:textId="77777777" w:rsidR="00287B9E" w:rsidRPr="004521EA" w:rsidRDefault="00287B9E" w:rsidP="008337F6">
      <w:pPr>
        <w:pStyle w:val="ListParagraph"/>
        <w:widowControl/>
        <w:ind w:left="0"/>
        <w:rPr>
          <w:color w:val="auto"/>
        </w:rPr>
      </w:pPr>
    </w:p>
    <w:p w14:paraId="24488018" w14:textId="7224B0CB" w:rsidR="00C0540E" w:rsidRPr="004521EA" w:rsidRDefault="00287B9E" w:rsidP="008337F6">
      <w:pPr>
        <w:pStyle w:val="ListParagraph"/>
        <w:widowControl/>
        <w:numPr>
          <w:ilvl w:val="1"/>
          <w:numId w:val="28"/>
        </w:numPr>
        <w:rPr>
          <w:color w:val="auto"/>
        </w:rPr>
      </w:pPr>
      <w:r w:rsidRPr="004521EA">
        <w:rPr>
          <w:color w:val="auto"/>
        </w:rPr>
        <w:t xml:space="preserve">Food and drinks are not restricted prior to </w:t>
      </w:r>
      <w:r w:rsidRPr="004521EA">
        <w:rPr>
          <w:color w:val="auto"/>
          <w:vertAlign w:val="superscript"/>
        </w:rPr>
        <w:t>68</w:t>
      </w:r>
      <w:r w:rsidRPr="004521EA">
        <w:rPr>
          <w:color w:val="auto"/>
        </w:rPr>
        <w:t xml:space="preserve">Ga-DOTATATE PET/CT imaging. </w:t>
      </w:r>
      <w:r w:rsidR="0059058E" w:rsidRPr="004521EA">
        <w:rPr>
          <w:color w:val="auto"/>
        </w:rPr>
        <w:t>Advise p</w:t>
      </w:r>
      <w:r w:rsidRPr="004521EA">
        <w:rPr>
          <w:color w:val="auto"/>
        </w:rPr>
        <w:t xml:space="preserve">atients to drink an extra 1 L of water in the </w:t>
      </w:r>
      <w:r w:rsidR="00A90E37">
        <w:rPr>
          <w:color w:val="auto"/>
        </w:rPr>
        <w:t>2</w:t>
      </w:r>
      <w:r w:rsidRPr="004521EA">
        <w:rPr>
          <w:color w:val="auto"/>
        </w:rPr>
        <w:t xml:space="preserve"> h prior to imaging.</w:t>
      </w:r>
      <w:r w:rsidR="00C0540E" w:rsidRPr="004521EA">
        <w:rPr>
          <w:color w:val="auto"/>
        </w:rPr>
        <w:t xml:space="preserve"> It is also recommended </w:t>
      </w:r>
      <w:r w:rsidR="00A90E37">
        <w:rPr>
          <w:color w:val="auto"/>
        </w:rPr>
        <w:t>patients do</w:t>
      </w:r>
      <w:r w:rsidR="00C0540E" w:rsidRPr="004521EA">
        <w:rPr>
          <w:color w:val="auto"/>
        </w:rPr>
        <w:t xml:space="preserve"> not bring children or pregnant women with them to the nuclear medicine department.</w:t>
      </w:r>
    </w:p>
    <w:p w14:paraId="5986B6B1" w14:textId="77777777" w:rsidR="00287B9E" w:rsidRPr="004521EA" w:rsidRDefault="00287B9E" w:rsidP="008337F6">
      <w:pPr>
        <w:widowControl/>
        <w:rPr>
          <w:color w:val="auto"/>
        </w:rPr>
      </w:pPr>
    </w:p>
    <w:p w14:paraId="6F9D103E" w14:textId="049F5E6D" w:rsidR="00C0540E" w:rsidRPr="004521EA" w:rsidRDefault="00347A29" w:rsidP="008337F6">
      <w:pPr>
        <w:pStyle w:val="ListParagraph"/>
        <w:widowControl/>
        <w:numPr>
          <w:ilvl w:val="1"/>
          <w:numId w:val="28"/>
        </w:numPr>
        <w:rPr>
          <w:color w:val="auto"/>
          <w:highlight w:val="yellow"/>
        </w:rPr>
      </w:pPr>
      <w:r w:rsidRPr="004521EA">
        <w:rPr>
          <w:color w:val="auto"/>
        </w:rPr>
        <w:lastRenderedPageBreak/>
        <w:t xml:space="preserve"> </w:t>
      </w:r>
      <w:r w:rsidR="00C0540E" w:rsidRPr="004521EA">
        <w:rPr>
          <w:color w:val="auto"/>
          <w:highlight w:val="yellow"/>
        </w:rPr>
        <w:t xml:space="preserve">On the day of the </w:t>
      </w:r>
      <w:r w:rsidR="00C0540E" w:rsidRPr="004521EA">
        <w:rPr>
          <w:color w:val="auto"/>
          <w:highlight w:val="yellow"/>
          <w:vertAlign w:val="superscript"/>
        </w:rPr>
        <w:t>68</w:t>
      </w:r>
      <w:r w:rsidR="00C0540E" w:rsidRPr="004521EA">
        <w:rPr>
          <w:color w:val="auto"/>
          <w:highlight w:val="yellow"/>
        </w:rPr>
        <w:t xml:space="preserve">Ga-DOTATATE PET/CT, </w:t>
      </w:r>
      <w:r w:rsidR="0059058E" w:rsidRPr="004521EA">
        <w:rPr>
          <w:color w:val="auto"/>
          <w:highlight w:val="yellow"/>
        </w:rPr>
        <w:t xml:space="preserve">have the </w:t>
      </w:r>
      <w:r w:rsidR="00C0540E" w:rsidRPr="004521EA">
        <w:rPr>
          <w:color w:val="auto"/>
          <w:highlight w:val="yellow"/>
        </w:rPr>
        <w:t xml:space="preserve">patients check in at the department of nuclear medicine 60 min prior </w:t>
      </w:r>
      <w:r w:rsidR="00A90E37">
        <w:rPr>
          <w:color w:val="auto"/>
          <w:highlight w:val="yellow"/>
        </w:rPr>
        <w:t xml:space="preserve">to </w:t>
      </w:r>
      <w:r w:rsidR="00C0540E" w:rsidRPr="004521EA">
        <w:rPr>
          <w:color w:val="auto"/>
          <w:highlight w:val="yellow"/>
        </w:rPr>
        <w:t xml:space="preserve">the imaging. </w:t>
      </w:r>
      <w:r w:rsidR="00136833" w:rsidRPr="004521EA">
        <w:rPr>
          <w:color w:val="auto"/>
          <w:highlight w:val="yellow"/>
        </w:rPr>
        <w:t>Take a</w:t>
      </w:r>
      <w:r w:rsidR="00C0540E" w:rsidRPr="004521EA">
        <w:rPr>
          <w:color w:val="auto"/>
          <w:highlight w:val="yellow"/>
        </w:rPr>
        <w:t xml:space="preserve"> short medical history.</w:t>
      </w:r>
    </w:p>
    <w:p w14:paraId="473CD04E" w14:textId="77777777" w:rsidR="00C0540E" w:rsidRPr="004521EA" w:rsidRDefault="00C0540E" w:rsidP="008337F6">
      <w:pPr>
        <w:pStyle w:val="ListParagraph"/>
        <w:widowControl/>
        <w:ind w:left="0"/>
        <w:rPr>
          <w:color w:val="auto"/>
          <w:highlight w:val="yellow"/>
        </w:rPr>
      </w:pPr>
    </w:p>
    <w:p w14:paraId="0534017D" w14:textId="073F3631" w:rsidR="004A2506" w:rsidRPr="004521EA" w:rsidRDefault="00C0540E" w:rsidP="008337F6">
      <w:pPr>
        <w:pStyle w:val="ListParagraph"/>
        <w:widowControl/>
        <w:numPr>
          <w:ilvl w:val="1"/>
          <w:numId w:val="28"/>
        </w:numPr>
        <w:rPr>
          <w:color w:val="auto"/>
          <w:highlight w:val="yellow"/>
        </w:rPr>
      </w:pPr>
      <w:r w:rsidRPr="004521EA">
        <w:rPr>
          <w:color w:val="auto"/>
          <w:highlight w:val="yellow"/>
        </w:rPr>
        <w:t xml:space="preserve">Inquire about the date of the last somatostatin analog administration. This is not a contraindication for </w:t>
      </w:r>
      <w:r w:rsidRPr="004521EA">
        <w:rPr>
          <w:color w:val="auto"/>
          <w:highlight w:val="yellow"/>
          <w:vertAlign w:val="superscript"/>
        </w:rPr>
        <w:t>68</w:t>
      </w:r>
      <w:r w:rsidRPr="004521EA">
        <w:rPr>
          <w:color w:val="auto"/>
          <w:highlight w:val="yellow"/>
        </w:rPr>
        <w:t xml:space="preserve">Ga-DOTATATE PET/CT but should be noted. </w:t>
      </w:r>
    </w:p>
    <w:p w14:paraId="73DE15DD" w14:textId="77777777" w:rsidR="00C0540E" w:rsidRPr="004521EA" w:rsidRDefault="00C0540E" w:rsidP="008337F6">
      <w:pPr>
        <w:pStyle w:val="ListParagraph"/>
        <w:widowControl/>
        <w:ind w:left="0"/>
        <w:rPr>
          <w:color w:val="auto"/>
          <w:highlight w:val="yellow"/>
        </w:rPr>
      </w:pPr>
    </w:p>
    <w:p w14:paraId="3ED105F3" w14:textId="5A7B12C7" w:rsidR="00C0540E" w:rsidRPr="004521EA" w:rsidRDefault="000416CD" w:rsidP="008337F6">
      <w:pPr>
        <w:pStyle w:val="ListParagraph"/>
        <w:widowControl/>
        <w:numPr>
          <w:ilvl w:val="1"/>
          <w:numId w:val="28"/>
        </w:numPr>
        <w:rPr>
          <w:color w:val="auto"/>
          <w:highlight w:val="yellow"/>
        </w:rPr>
      </w:pPr>
      <w:r w:rsidRPr="004521EA">
        <w:rPr>
          <w:color w:val="auto"/>
          <w:highlight w:val="yellow"/>
        </w:rPr>
        <w:t>Place a</w:t>
      </w:r>
      <w:r w:rsidR="00C0540E" w:rsidRPr="004521EA">
        <w:rPr>
          <w:color w:val="auto"/>
          <w:highlight w:val="yellow"/>
        </w:rPr>
        <w:t xml:space="preserve">n intravenous cannula in the arm and </w:t>
      </w:r>
      <w:r w:rsidRPr="004521EA">
        <w:rPr>
          <w:color w:val="auto"/>
          <w:highlight w:val="yellow"/>
        </w:rPr>
        <w:t xml:space="preserve">flush </w:t>
      </w:r>
      <w:r w:rsidR="00A90E37">
        <w:rPr>
          <w:color w:val="auto"/>
          <w:highlight w:val="yellow"/>
        </w:rPr>
        <w:t xml:space="preserve">it </w:t>
      </w:r>
      <w:r w:rsidR="00C0540E" w:rsidRPr="004521EA">
        <w:rPr>
          <w:color w:val="auto"/>
          <w:highlight w:val="yellow"/>
        </w:rPr>
        <w:t>with saline</w:t>
      </w:r>
      <w:r w:rsidR="00564D0C" w:rsidRPr="004521EA">
        <w:rPr>
          <w:color w:val="auto"/>
          <w:highlight w:val="yellow"/>
        </w:rPr>
        <w:t xml:space="preserve"> to verify </w:t>
      </w:r>
      <w:r w:rsidR="00A90E37">
        <w:rPr>
          <w:color w:val="auto"/>
          <w:highlight w:val="yellow"/>
        </w:rPr>
        <w:t xml:space="preserve">the </w:t>
      </w:r>
      <w:r w:rsidR="00564D0C" w:rsidRPr="004521EA">
        <w:rPr>
          <w:color w:val="auto"/>
          <w:highlight w:val="yellow"/>
        </w:rPr>
        <w:t xml:space="preserve">placement of the cannula. </w:t>
      </w:r>
    </w:p>
    <w:p w14:paraId="0574D590" w14:textId="77777777" w:rsidR="00564D0C" w:rsidRPr="004521EA" w:rsidRDefault="00564D0C" w:rsidP="008337F6">
      <w:pPr>
        <w:pStyle w:val="ListParagraph"/>
        <w:widowControl/>
        <w:ind w:left="0"/>
        <w:rPr>
          <w:color w:val="auto"/>
          <w:highlight w:val="yellow"/>
        </w:rPr>
      </w:pPr>
    </w:p>
    <w:p w14:paraId="733CFAF7" w14:textId="1F0EA801" w:rsidR="00564D0C" w:rsidRPr="004521EA" w:rsidRDefault="000416CD" w:rsidP="008337F6">
      <w:pPr>
        <w:pStyle w:val="ListParagraph"/>
        <w:widowControl/>
        <w:numPr>
          <w:ilvl w:val="1"/>
          <w:numId w:val="28"/>
        </w:numPr>
        <w:rPr>
          <w:color w:val="auto"/>
          <w:highlight w:val="yellow"/>
        </w:rPr>
      </w:pPr>
      <w:r w:rsidRPr="004521EA">
        <w:rPr>
          <w:color w:val="auto"/>
          <w:highlight w:val="yellow"/>
        </w:rPr>
        <w:t xml:space="preserve">Inject </w:t>
      </w:r>
      <w:r w:rsidR="007E21FB" w:rsidRPr="004521EA">
        <w:rPr>
          <w:color w:val="auto"/>
          <w:highlight w:val="yellow"/>
        </w:rPr>
        <w:t xml:space="preserve">100 MBq of </w:t>
      </w:r>
      <w:r w:rsidR="007E21FB" w:rsidRPr="004521EA">
        <w:rPr>
          <w:color w:val="auto"/>
          <w:highlight w:val="yellow"/>
          <w:vertAlign w:val="superscript"/>
        </w:rPr>
        <w:t>68</w:t>
      </w:r>
      <w:r w:rsidR="007E21FB" w:rsidRPr="004521EA">
        <w:rPr>
          <w:color w:val="auto"/>
          <w:highlight w:val="yellow"/>
        </w:rPr>
        <w:t>Ga-DOTATATE</w:t>
      </w:r>
      <w:r w:rsidRPr="004521EA">
        <w:rPr>
          <w:color w:val="auto"/>
          <w:highlight w:val="yellow"/>
        </w:rPr>
        <w:t xml:space="preserve"> 45 min prior to </w:t>
      </w:r>
      <w:r w:rsidR="00A90E37">
        <w:rPr>
          <w:color w:val="auto"/>
          <w:highlight w:val="yellow"/>
        </w:rPr>
        <w:t xml:space="preserve">the </w:t>
      </w:r>
      <w:r w:rsidRPr="004521EA">
        <w:rPr>
          <w:color w:val="auto"/>
          <w:highlight w:val="yellow"/>
        </w:rPr>
        <w:t>PET/CT imaging.</w:t>
      </w:r>
      <w:r w:rsidR="007E21FB" w:rsidRPr="004521EA">
        <w:rPr>
          <w:color w:val="auto"/>
          <w:highlight w:val="yellow"/>
        </w:rPr>
        <w:t xml:space="preserve"> </w:t>
      </w:r>
    </w:p>
    <w:p w14:paraId="764BE580" w14:textId="77777777" w:rsidR="004A2506" w:rsidRPr="004521EA" w:rsidRDefault="004A2506" w:rsidP="008337F6">
      <w:pPr>
        <w:pStyle w:val="ListParagraph"/>
        <w:widowControl/>
        <w:ind w:left="0"/>
        <w:rPr>
          <w:color w:val="auto"/>
        </w:rPr>
      </w:pPr>
    </w:p>
    <w:p w14:paraId="581130C1" w14:textId="1FA32389" w:rsidR="0040578F" w:rsidRPr="004521EA" w:rsidRDefault="0040578F" w:rsidP="008337F6">
      <w:pPr>
        <w:pStyle w:val="ListParagraph"/>
        <w:widowControl/>
        <w:numPr>
          <w:ilvl w:val="0"/>
          <w:numId w:val="28"/>
        </w:numPr>
        <w:rPr>
          <w:b/>
          <w:color w:val="auto"/>
        </w:rPr>
      </w:pPr>
      <w:r w:rsidRPr="004521EA">
        <w:rPr>
          <w:b/>
          <w:color w:val="auto"/>
          <w:highlight w:val="yellow"/>
        </w:rPr>
        <w:t>PET/CT imaging</w:t>
      </w:r>
    </w:p>
    <w:p w14:paraId="006916FE" w14:textId="0DE8957D" w:rsidR="00E13324" w:rsidRPr="004521EA" w:rsidRDefault="00E13324" w:rsidP="008337F6">
      <w:pPr>
        <w:widowControl/>
        <w:rPr>
          <w:color w:val="auto"/>
        </w:rPr>
      </w:pPr>
    </w:p>
    <w:p w14:paraId="4CC5DB02" w14:textId="559A34F7" w:rsidR="0025481A" w:rsidRPr="004521EA" w:rsidRDefault="0025481A" w:rsidP="008337F6">
      <w:pPr>
        <w:pStyle w:val="ListParagraph"/>
        <w:widowControl/>
        <w:numPr>
          <w:ilvl w:val="1"/>
          <w:numId w:val="28"/>
        </w:numPr>
        <w:rPr>
          <w:color w:val="auto"/>
          <w:highlight w:val="yellow"/>
        </w:rPr>
      </w:pPr>
      <w:r w:rsidRPr="004521EA">
        <w:rPr>
          <w:color w:val="auto"/>
          <w:highlight w:val="yellow"/>
        </w:rPr>
        <w:t>Place patient with the arms above the</w:t>
      </w:r>
      <w:r w:rsidR="00A90E37">
        <w:rPr>
          <w:color w:val="auto"/>
          <w:highlight w:val="yellow"/>
        </w:rPr>
        <w:t>ir</w:t>
      </w:r>
      <w:r w:rsidRPr="004521EA">
        <w:rPr>
          <w:color w:val="auto"/>
          <w:highlight w:val="yellow"/>
        </w:rPr>
        <w:t xml:space="preserve"> head on </w:t>
      </w:r>
      <w:r w:rsidR="00A90E37">
        <w:rPr>
          <w:color w:val="auto"/>
          <w:highlight w:val="yellow"/>
        </w:rPr>
        <w:t xml:space="preserve">the </w:t>
      </w:r>
      <w:r w:rsidRPr="004521EA">
        <w:rPr>
          <w:color w:val="auto"/>
          <w:highlight w:val="yellow"/>
        </w:rPr>
        <w:t>PET/CT</w:t>
      </w:r>
      <w:r w:rsidR="0059058E" w:rsidRPr="004521EA">
        <w:rPr>
          <w:color w:val="auto"/>
          <w:highlight w:val="yellow"/>
        </w:rPr>
        <w:t xml:space="preserve"> scanner</w:t>
      </w:r>
      <w:r w:rsidRPr="004521EA">
        <w:rPr>
          <w:color w:val="auto"/>
          <w:highlight w:val="yellow"/>
        </w:rPr>
        <w:t xml:space="preserve">. </w:t>
      </w:r>
      <w:r w:rsidR="00BE278B" w:rsidRPr="004521EA">
        <w:rPr>
          <w:color w:val="auto"/>
          <w:highlight w:val="yellow"/>
        </w:rPr>
        <w:t xml:space="preserve">Instruct the patient to remain still throughout the exam. </w:t>
      </w:r>
    </w:p>
    <w:p w14:paraId="284EB91F" w14:textId="77777777" w:rsidR="00C44BC2" w:rsidRPr="004521EA" w:rsidRDefault="00C44BC2" w:rsidP="008337F6">
      <w:pPr>
        <w:pStyle w:val="ListParagraph"/>
        <w:widowControl/>
        <w:ind w:left="0"/>
        <w:rPr>
          <w:color w:val="auto"/>
          <w:highlight w:val="yellow"/>
        </w:rPr>
      </w:pPr>
    </w:p>
    <w:p w14:paraId="76EE273A" w14:textId="6AC47324" w:rsidR="00C44BC2" w:rsidRPr="004521EA" w:rsidRDefault="00C44BC2" w:rsidP="008337F6">
      <w:pPr>
        <w:pStyle w:val="ListParagraph"/>
        <w:widowControl/>
        <w:numPr>
          <w:ilvl w:val="1"/>
          <w:numId w:val="28"/>
        </w:numPr>
        <w:rPr>
          <w:color w:val="auto"/>
          <w:highlight w:val="yellow"/>
        </w:rPr>
      </w:pPr>
      <w:r w:rsidRPr="004521EA">
        <w:rPr>
          <w:color w:val="auto"/>
          <w:highlight w:val="yellow"/>
        </w:rPr>
        <w:t>A</w:t>
      </w:r>
      <w:r w:rsidR="00E21E22" w:rsidRPr="004521EA">
        <w:rPr>
          <w:color w:val="auto"/>
          <w:highlight w:val="yellow"/>
        </w:rPr>
        <w:t>c</w:t>
      </w:r>
      <w:r w:rsidRPr="004521EA">
        <w:rPr>
          <w:color w:val="auto"/>
          <w:highlight w:val="yellow"/>
        </w:rPr>
        <w:t xml:space="preserve">quire a survey image and select the scan area from the pituitary gland to </w:t>
      </w:r>
      <w:r w:rsidR="00A90E37">
        <w:rPr>
          <w:color w:val="auto"/>
          <w:highlight w:val="yellow"/>
        </w:rPr>
        <w:t xml:space="preserve">the </w:t>
      </w:r>
      <w:r w:rsidR="008542FB" w:rsidRPr="004521EA">
        <w:rPr>
          <w:color w:val="auto"/>
          <w:highlight w:val="yellow"/>
        </w:rPr>
        <w:t>mid-</w:t>
      </w:r>
      <w:r w:rsidRPr="004521EA">
        <w:rPr>
          <w:color w:val="auto"/>
          <w:highlight w:val="yellow"/>
        </w:rPr>
        <w:t>thigh</w:t>
      </w:r>
      <w:r w:rsidR="001C4A6D" w:rsidRPr="004521EA">
        <w:rPr>
          <w:color w:val="auto"/>
          <w:highlight w:val="yellow"/>
        </w:rPr>
        <w:t>, unless otherwise specified due to clinical indications</w:t>
      </w:r>
      <w:r w:rsidRPr="004521EA">
        <w:rPr>
          <w:color w:val="auto"/>
          <w:highlight w:val="yellow"/>
        </w:rPr>
        <w:t xml:space="preserve">. </w:t>
      </w:r>
    </w:p>
    <w:p w14:paraId="50BEAC0E" w14:textId="2963E5CA" w:rsidR="002D0D71" w:rsidRPr="004521EA" w:rsidRDefault="002D0D71" w:rsidP="008337F6">
      <w:pPr>
        <w:widowControl/>
        <w:rPr>
          <w:color w:val="auto"/>
          <w:highlight w:val="yellow"/>
        </w:rPr>
      </w:pPr>
      <w:r w:rsidRPr="004521EA">
        <w:rPr>
          <w:color w:val="auto"/>
          <w:highlight w:val="yellow"/>
        </w:rPr>
        <w:t xml:space="preserve"> </w:t>
      </w:r>
    </w:p>
    <w:p w14:paraId="52875EF8" w14:textId="30A148C1" w:rsidR="002D0D71" w:rsidRPr="004521EA" w:rsidRDefault="00C44BC2" w:rsidP="008337F6">
      <w:pPr>
        <w:pStyle w:val="ListParagraph"/>
        <w:widowControl/>
        <w:numPr>
          <w:ilvl w:val="1"/>
          <w:numId w:val="28"/>
        </w:numPr>
        <w:rPr>
          <w:color w:val="auto"/>
          <w:highlight w:val="yellow"/>
        </w:rPr>
      </w:pPr>
      <w:r w:rsidRPr="004521EA">
        <w:rPr>
          <w:color w:val="auto"/>
          <w:highlight w:val="yellow"/>
        </w:rPr>
        <w:t xml:space="preserve">Perform a low-dose </w:t>
      </w:r>
      <w:r w:rsidR="002D0D71" w:rsidRPr="004521EA">
        <w:rPr>
          <w:color w:val="auto"/>
          <w:highlight w:val="yellow"/>
        </w:rPr>
        <w:t>CT</w:t>
      </w:r>
      <w:r w:rsidRPr="004521EA">
        <w:rPr>
          <w:color w:val="auto"/>
          <w:highlight w:val="yellow"/>
        </w:rPr>
        <w:t xml:space="preserve"> scan</w:t>
      </w:r>
      <w:r w:rsidR="00E13324" w:rsidRPr="004521EA">
        <w:rPr>
          <w:color w:val="auto"/>
          <w:highlight w:val="yellow"/>
        </w:rPr>
        <w:t xml:space="preserve"> with 40 mAs, </w:t>
      </w:r>
      <w:r w:rsidRPr="004521EA">
        <w:rPr>
          <w:color w:val="auto"/>
          <w:highlight w:val="yellow"/>
        </w:rPr>
        <w:t>140 keV</w:t>
      </w:r>
      <w:r w:rsidR="00E13324" w:rsidRPr="004521EA">
        <w:rPr>
          <w:color w:val="auto"/>
          <w:highlight w:val="yellow"/>
        </w:rPr>
        <w:t>, and 5 mm slices</w:t>
      </w:r>
      <w:r w:rsidRPr="004521EA">
        <w:rPr>
          <w:color w:val="auto"/>
          <w:highlight w:val="yellow"/>
        </w:rPr>
        <w:t xml:space="preserve"> </w:t>
      </w:r>
      <w:r w:rsidR="002D0D71" w:rsidRPr="004521EA">
        <w:rPr>
          <w:color w:val="auto"/>
          <w:highlight w:val="yellow"/>
        </w:rPr>
        <w:t xml:space="preserve">for </w:t>
      </w:r>
      <w:r w:rsidRPr="004521EA">
        <w:rPr>
          <w:color w:val="auto"/>
          <w:highlight w:val="yellow"/>
        </w:rPr>
        <w:t xml:space="preserve">attenuation correction and anatomical correlation. </w:t>
      </w:r>
    </w:p>
    <w:p w14:paraId="437A49E8" w14:textId="77777777" w:rsidR="00C44BC2" w:rsidRPr="004521EA" w:rsidRDefault="00C44BC2" w:rsidP="008337F6">
      <w:pPr>
        <w:pStyle w:val="ListParagraph"/>
        <w:widowControl/>
        <w:ind w:left="0"/>
        <w:rPr>
          <w:color w:val="auto"/>
          <w:highlight w:val="yellow"/>
        </w:rPr>
      </w:pPr>
    </w:p>
    <w:p w14:paraId="2C3D372B" w14:textId="104FFCAB" w:rsidR="00C44BC2" w:rsidRPr="004521EA" w:rsidRDefault="00C44BC2" w:rsidP="008337F6">
      <w:pPr>
        <w:pStyle w:val="ListParagraph"/>
        <w:widowControl/>
        <w:numPr>
          <w:ilvl w:val="1"/>
          <w:numId w:val="28"/>
        </w:numPr>
        <w:rPr>
          <w:color w:val="auto"/>
          <w:highlight w:val="yellow"/>
        </w:rPr>
      </w:pPr>
      <w:r w:rsidRPr="004521EA">
        <w:rPr>
          <w:color w:val="auto"/>
          <w:highlight w:val="yellow"/>
        </w:rPr>
        <w:t xml:space="preserve">Perform a PET scan with </w:t>
      </w:r>
      <w:r w:rsidR="00A90E37">
        <w:rPr>
          <w:color w:val="auto"/>
          <w:highlight w:val="yellow"/>
        </w:rPr>
        <w:t>150 s</w:t>
      </w:r>
      <w:r w:rsidRPr="004521EA">
        <w:rPr>
          <w:color w:val="auto"/>
          <w:highlight w:val="yellow"/>
        </w:rPr>
        <w:t xml:space="preserve"> per bed position</w:t>
      </w:r>
      <w:r w:rsidR="00A90E37">
        <w:rPr>
          <w:color w:val="auto"/>
          <w:highlight w:val="yellow"/>
        </w:rPr>
        <w:t>,</w:t>
      </w:r>
      <w:r w:rsidR="00E13324" w:rsidRPr="004521EA">
        <w:rPr>
          <w:color w:val="auto"/>
          <w:highlight w:val="yellow"/>
        </w:rPr>
        <w:t xml:space="preserve"> starting at the head of the patient</w:t>
      </w:r>
      <w:r w:rsidRPr="004521EA">
        <w:rPr>
          <w:color w:val="auto"/>
          <w:highlight w:val="yellow"/>
        </w:rPr>
        <w:t xml:space="preserve">. </w:t>
      </w:r>
    </w:p>
    <w:p w14:paraId="27B5D32F" w14:textId="77777777" w:rsidR="00C44BC2" w:rsidRPr="004521EA" w:rsidRDefault="00C44BC2" w:rsidP="008337F6">
      <w:pPr>
        <w:widowControl/>
        <w:rPr>
          <w:color w:val="auto"/>
        </w:rPr>
      </w:pPr>
    </w:p>
    <w:p w14:paraId="3C08328A" w14:textId="2425AAB4" w:rsidR="002D0D71" w:rsidRPr="004521EA" w:rsidRDefault="00E13324" w:rsidP="008337F6">
      <w:pPr>
        <w:pStyle w:val="ListParagraph"/>
        <w:widowControl/>
        <w:numPr>
          <w:ilvl w:val="1"/>
          <w:numId w:val="28"/>
        </w:numPr>
        <w:rPr>
          <w:color w:val="auto"/>
        </w:rPr>
      </w:pPr>
      <w:r w:rsidRPr="004521EA">
        <w:rPr>
          <w:color w:val="auto"/>
        </w:rPr>
        <w:t>Reconstruct the CT images with filtered back projection and 5 mm slices.</w:t>
      </w:r>
    </w:p>
    <w:p w14:paraId="30E662DF" w14:textId="77777777" w:rsidR="00E13324" w:rsidRPr="004521EA" w:rsidRDefault="00E13324" w:rsidP="008337F6">
      <w:pPr>
        <w:pStyle w:val="ListParagraph"/>
        <w:widowControl/>
        <w:ind w:left="0"/>
        <w:rPr>
          <w:color w:val="auto"/>
        </w:rPr>
      </w:pPr>
    </w:p>
    <w:p w14:paraId="07FF869A" w14:textId="679CD87A" w:rsidR="00E13324" w:rsidRPr="004521EA" w:rsidRDefault="00E13324" w:rsidP="008337F6">
      <w:pPr>
        <w:pStyle w:val="ListParagraph"/>
        <w:widowControl/>
        <w:numPr>
          <w:ilvl w:val="1"/>
          <w:numId w:val="28"/>
        </w:numPr>
        <w:rPr>
          <w:color w:val="auto"/>
        </w:rPr>
      </w:pPr>
      <w:r w:rsidRPr="004521EA">
        <w:rPr>
          <w:color w:val="auto"/>
        </w:rPr>
        <w:t>Reconstruct the PET images with BLOB-OS-TF</w:t>
      </w:r>
      <w:r w:rsidR="00A90E37">
        <w:rPr>
          <w:color w:val="auto"/>
        </w:rPr>
        <w:t>,</w:t>
      </w:r>
      <w:r w:rsidRPr="004521EA">
        <w:rPr>
          <w:color w:val="auto"/>
        </w:rPr>
        <w:t xml:space="preserve"> with </w:t>
      </w:r>
      <w:r w:rsidR="00A90E37">
        <w:rPr>
          <w:color w:val="auto"/>
        </w:rPr>
        <w:t>three</w:t>
      </w:r>
      <w:r w:rsidRPr="004521EA">
        <w:rPr>
          <w:color w:val="auto"/>
        </w:rPr>
        <w:t xml:space="preserve"> iterations and 33 subsets with a voxel size of 4</w:t>
      </w:r>
      <w:r w:rsidR="00A90E37">
        <w:rPr>
          <w:color w:val="auto"/>
        </w:rPr>
        <w:t xml:space="preserve"> mm </w:t>
      </w:r>
      <w:r w:rsidRPr="004521EA">
        <w:rPr>
          <w:color w:val="auto"/>
        </w:rPr>
        <w:t>x</w:t>
      </w:r>
      <w:r w:rsidR="00A90E37">
        <w:rPr>
          <w:color w:val="auto"/>
        </w:rPr>
        <w:t xml:space="preserve"> </w:t>
      </w:r>
      <w:r w:rsidRPr="004521EA">
        <w:rPr>
          <w:color w:val="auto"/>
        </w:rPr>
        <w:t>4</w:t>
      </w:r>
      <w:r w:rsidR="00A90E37">
        <w:rPr>
          <w:color w:val="auto"/>
        </w:rPr>
        <w:t xml:space="preserve"> mm </w:t>
      </w:r>
      <w:r w:rsidRPr="004521EA">
        <w:rPr>
          <w:color w:val="auto"/>
        </w:rPr>
        <w:t>x</w:t>
      </w:r>
      <w:r w:rsidR="00A90E37">
        <w:rPr>
          <w:color w:val="auto"/>
        </w:rPr>
        <w:t xml:space="preserve"> </w:t>
      </w:r>
      <w:r w:rsidRPr="004521EA">
        <w:rPr>
          <w:color w:val="auto"/>
        </w:rPr>
        <w:t xml:space="preserve">4 mm. </w:t>
      </w:r>
    </w:p>
    <w:p w14:paraId="70124575" w14:textId="77777777" w:rsidR="00E13324" w:rsidRPr="004521EA" w:rsidRDefault="00E13324" w:rsidP="008337F6">
      <w:pPr>
        <w:pStyle w:val="ListParagraph"/>
        <w:widowControl/>
        <w:ind w:left="0"/>
        <w:rPr>
          <w:color w:val="auto"/>
        </w:rPr>
      </w:pPr>
    </w:p>
    <w:p w14:paraId="2FD0053A" w14:textId="4863FC23" w:rsidR="004A2506" w:rsidRPr="004521EA" w:rsidRDefault="00E13324" w:rsidP="008337F6">
      <w:pPr>
        <w:pStyle w:val="ListParagraph"/>
        <w:widowControl/>
        <w:numPr>
          <w:ilvl w:val="1"/>
          <w:numId w:val="28"/>
        </w:numPr>
        <w:rPr>
          <w:color w:val="auto"/>
        </w:rPr>
      </w:pPr>
      <w:r w:rsidRPr="004521EA">
        <w:rPr>
          <w:color w:val="auto"/>
        </w:rPr>
        <w:t xml:space="preserve">Send all images to </w:t>
      </w:r>
      <w:r w:rsidR="00B26C89">
        <w:rPr>
          <w:color w:val="auto"/>
        </w:rPr>
        <w:t>the local picture archiving and communication system (</w:t>
      </w:r>
      <w:r w:rsidRPr="004521EA">
        <w:rPr>
          <w:color w:val="auto"/>
        </w:rPr>
        <w:t>PACS</w:t>
      </w:r>
      <w:r w:rsidR="00B26C89">
        <w:rPr>
          <w:color w:val="auto"/>
        </w:rPr>
        <w:t>)</w:t>
      </w:r>
      <w:r w:rsidRPr="004521EA">
        <w:rPr>
          <w:color w:val="auto"/>
        </w:rPr>
        <w:t xml:space="preserve">. </w:t>
      </w:r>
      <w:bookmarkEnd w:id="0"/>
    </w:p>
    <w:p w14:paraId="496AB0B4" w14:textId="77777777" w:rsidR="001C1E49" w:rsidRPr="004521EA" w:rsidRDefault="001C1E49" w:rsidP="008337F6">
      <w:pPr>
        <w:pStyle w:val="NormalWeb"/>
        <w:widowControl/>
        <w:spacing w:before="0" w:beforeAutospacing="0" w:after="0" w:afterAutospacing="0"/>
        <w:rPr>
          <w:b/>
        </w:rPr>
      </w:pPr>
    </w:p>
    <w:p w14:paraId="3E79FCA8" w14:textId="4D54532E" w:rsidR="006305D7" w:rsidRPr="004521EA" w:rsidRDefault="006305D7" w:rsidP="008337F6">
      <w:pPr>
        <w:pStyle w:val="NormalWeb"/>
        <w:widowControl/>
        <w:spacing w:before="0" w:beforeAutospacing="0" w:after="0" w:afterAutospacing="0"/>
        <w:rPr>
          <w:color w:val="808080"/>
        </w:rPr>
      </w:pPr>
      <w:r w:rsidRPr="004521EA">
        <w:rPr>
          <w:b/>
        </w:rPr>
        <w:t>REPRESENTATIVE RESULTS</w:t>
      </w:r>
      <w:r w:rsidR="00EF1462" w:rsidRPr="004521EA">
        <w:rPr>
          <w:b/>
        </w:rPr>
        <w:t xml:space="preserve">: </w:t>
      </w:r>
    </w:p>
    <w:p w14:paraId="63A5DBA3" w14:textId="6CCF334F" w:rsidR="009D716D" w:rsidRPr="004521EA" w:rsidRDefault="007C1473" w:rsidP="008337F6">
      <w:pPr>
        <w:widowControl/>
        <w:rPr>
          <w:color w:val="auto"/>
        </w:rPr>
      </w:pPr>
      <w:r w:rsidRPr="004521EA">
        <w:rPr>
          <w:color w:val="auto"/>
        </w:rPr>
        <w:t xml:space="preserve">Making use of an automated labeling system, 357 batches of </w:t>
      </w:r>
      <w:r w:rsidRPr="004521EA">
        <w:rPr>
          <w:color w:val="auto"/>
          <w:vertAlign w:val="superscript"/>
        </w:rPr>
        <w:t>68</w:t>
      </w:r>
      <w:r w:rsidRPr="004521EA">
        <w:rPr>
          <w:color w:val="auto"/>
        </w:rPr>
        <w:t>Ga-DOTATATE were produced between December 2014 and October 2018</w:t>
      </w:r>
      <w:r w:rsidR="00C37BDA" w:rsidRPr="004521EA">
        <w:rPr>
          <w:color w:val="auto"/>
        </w:rPr>
        <w:t xml:space="preserve">. </w:t>
      </w:r>
      <w:r w:rsidR="0081442A" w:rsidRPr="004521EA">
        <w:rPr>
          <w:color w:val="auto"/>
        </w:rPr>
        <w:t xml:space="preserve">Of the 357 produced, </w:t>
      </w:r>
      <w:r w:rsidR="006B48CC" w:rsidRPr="004521EA">
        <w:rPr>
          <w:color w:val="auto"/>
        </w:rPr>
        <w:t>17</w:t>
      </w:r>
      <w:r w:rsidR="0081442A" w:rsidRPr="004521EA">
        <w:rPr>
          <w:color w:val="auto"/>
        </w:rPr>
        <w:t xml:space="preserve"> batches failed and </w:t>
      </w:r>
      <w:r w:rsidR="006B48CC" w:rsidRPr="004521EA">
        <w:rPr>
          <w:color w:val="auto"/>
        </w:rPr>
        <w:t>340</w:t>
      </w:r>
      <w:r w:rsidR="0081442A" w:rsidRPr="004521EA">
        <w:rPr>
          <w:color w:val="auto"/>
        </w:rPr>
        <w:t xml:space="preserve"> batches were released, leading to an overall success rate of </w:t>
      </w:r>
      <w:r w:rsidR="006B48CC" w:rsidRPr="004521EA">
        <w:rPr>
          <w:color w:val="auto"/>
        </w:rPr>
        <w:t>95.2</w:t>
      </w:r>
      <w:r w:rsidR="0081442A" w:rsidRPr="004521EA">
        <w:rPr>
          <w:color w:val="auto"/>
        </w:rPr>
        <w:t xml:space="preserve">%. Of the failed batches, </w:t>
      </w:r>
      <w:r w:rsidR="006B48CC" w:rsidRPr="004521EA">
        <w:rPr>
          <w:color w:val="auto"/>
        </w:rPr>
        <w:t>11</w:t>
      </w:r>
      <w:r w:rsidR="0081442A" w:rsidRPr="004521EA">
        <w:rPr>
          <w:color w:val="auto"/>
        </w:rPr>
        <w:t xml:space="preserve"> were caused by a technical failure</w:t>
      </w:r>
      <w:r w:rsidR="00DC4955">
        <w:rPr>
          <w:color w:val="auto"/>
        </w:rPr>
        <w:t>,</w:t>
      </w:r>
      <w:r w:rsidR="0081442A" w:rsidRPr="004521EA">
        <w:rPr>
          <w:color w:val="auto"/>
        </w:rPr>
        <w:t xml:space="preserve"> whilst in </w:t>
      </w:r>
      <w:r w:rsidR="00DC4955">
        <w:rPr>
          <w:color w:val="auto"/>
        </w:rPr>
        <w:t>six</w:t>
      </w:r>
      <w:r w:rsidR="0081442A" w:rsidRPr="004521EA">
        <w:rPr>
          <w:color w:val="auto"/>
        </w:rPr>
        <w:t xml:space="preserve"> cases</w:t>
      </w:r>
      <w:r w:rsidR="00DC4955">
        <w:rPr>
          <w:color w:val="auto"/>
        </w:rPr>
        <w:t>,</w:t>
      </w:r>
      <w:r w:rsidR="0081442A" w:rsidRPr="004521EA">
        <w:rPr>
          <w:color w:val="auto"/>
        </w:rPr>
        <w:t xml:space="preserve"> the produced </w:t>
      </w:r>
      <w:r w:rsidR="0081442A" w:rsidRPr="004521EA">
        <w:rPr>
          <w:color w:val="auto"/>
          <w:vertAlign w:val="superscript"/>
        </w:rPr>
        <w:t>68</w:t>
      </w:r>
      <w:r w:rsidR="0081442A" w:rsidRPr="004521EA">
        <w:rPr>
          <w:color w:val="auto"/>
        </w:rPr>
        <w:t xml:space="preserve">Ga-DOTATATE did not meet specifications. </w:t>
      </w:r>
      <w:r w:rsidR="00862260" w:rsidRPr="00B26C89">
        <w:rPr>
          <w:b/>
          <w:color w:val="auto"/>
        </w:rPr>
        <w:t>Figure 1</w:t>
      </w:r>
      <w:r w:rsidR="00862260" w:rsidRPr="004521EA">
        <w:rPr>
          <w:color w:val="auto"/>
        </w:rPr>
        <w:t xml:space="preserve"> shows a flow chart of produced batches and the number of patient dosages produced.</w:t>
      </w:r>
      <w:r w:rsidR="001C4A6D" w:rsidRPr="004521EA">
        <w:rPr>
          <w:color w:val="auto"/>
        </w:rPr>
        <w:t xml:space="preserve"> The average amount of </w:t>
      </w:r>
      <w:r w:rsidR="001C4A6D" w:rsidRPr="004521EA">
        <w:rPr>
          <w:color w:val="auto"/>
          <w:vertAlign w:val="superscript"/>
        </w:rPr>
        <w:t>68</w:t>
      </w:r>
      <w:r w:rsidR="001C4A6D" w:rsidRPr="004521EA">
        <w:rPr>
          <w:color w:val="auto"/>
        </w:rPr>
        <w:t xml:space="preserve">Ga-DOTATATE produced was </w:t>
      </w:r>
      <w:r w:rsidR="006E5791" w:rsidRPr="004521EA">
        <w:rPr>
          <w:color w:val="auto"/>
        </w:rPr>
        <w:t>610</w:t>
      </w:r>
      <w:r w:rsidR="00DC4955">
        <w:rPr>
          <w:color w:val="auto"/>
        </w:rPr>
        <w:t xml:space="preserve"> </w:t>
      </w:r>
      <w:r w:rsidR="004B2DBA" w:rsidRPr="004521EA">
        <w:rPr>
          <w:color w:val="auto"/>
        </w:rPr>
        <w:t>±</w:t>
      </w:r>
      <w:r w:rsidR="00DC4955">
        <w:rPr>
          <w:color w:val="auto"/>
        </w:rPr>
        <w:t xml:space="preserve"> </w:t>
      </w:r>
      <w:r w:rsidR="004B2DBA" w:rsidRPr="004521EA">
        <w:rPr>
          <w:color w:val="auto"/>
        </w:rPr>
        <w:t>180</w:t>
      </w:r>
      <w:r w:rsidR="001C4A6D" w:rsidRPr="004521EA">
        <w:rPr>
          <w:color w:val="auto"/>
        </w:rPr>
        <w:t xml:space="preserve"> MBq</w:t>
      </w:r>
      <w:r w:rsidR="00B26C89">
        <w:rPr>
          <w:color w:val="auto"/>
        </w:rPr>
        <w:t xml:space="preserve"> (expressed as mean ± standard deviation)</w:t>
      </w:r>
      <w:r w:rsidR="001C4A6D" w:rsidRPr="004521EA">
        <w:rPr>
          <w:color w:val="auto"/>
        </w:rPr>
        <w:t xml:space="preserve">. </w:t>
      </w:r>
      <w:r w:rsidR="001C4A6D" w:rsidRPr="004521EA">
        <w:rPr>
          <w:color w:val="auto"/>
          <w:vertAlign w:val="superscript"/>
        </w:rPr>
        <w:t>68</w:t>
      </w:r>
      <w:r w:rsidR="001C4A6D" w:rsidRPr="004521EA">
        <w:rPr>
          <w:color w:val="auto"/>
        </w:rPr>
        <w:t xml:space="preserve">Ga ions are on average </w:t>
      </w:r>
      <w:r w:rsidR="006E5791" w:rsidRPr="004521EA">
        <w:rPr>
          <w:color w:val="auto"/>
        </w:rPr>
        <w:t>0.6</w:t>
      </w:r>
      <w:r w:rsidR="00DC4955">
        <w:rPr>
          <w:color w:val="auto"/>
        </w:rPr>
        <w:t xml:space="preserve">% </w:t>
      </w:r>
      <w:r w:rsidR="004B2DBA" w:rsidRPr="004521EA">
        <w:rPr>
          <w:color w:val="auto"/>
        </w:rPr>
        <w:t>±</w:t>
      </w:r>
      <w:r w:rsidR="00DC4955">
        <w:rPr>
          <w:color w:val="auto"/>
        </w:rPr>
        <w:t xml:space="preserve"> </w:t>
      </w:r>
      <w:r w:rsidR="004B2DBA" w:rsidRPr="004521EA">
        <w:rPr>
          <w:color w:val="auto"/>
        </w:rPr>
        <w:t>0.57</w:t>
      </w:r>
      <w:r w:rsidR="001C4A6D" w:rsidRPr="004521EA">
        <w:rPr>
          <w:color w:val="auto"/>
        </w:rPr>
        <w:t xml:space="preserve">% and </w:t>
      </w:r>
      <w:r w:rsidR="001C4A6D" w:rsidRPr="004521EA">
        <w:rPr>
          <w:color w:val="auto"/>
          <w:vertAlign w:val="superscript"/>
        </w:rPr>
        <w:t>68</w:t>
      </w:r>
      <w:r w:rsidR="001C4A6D" w:rsidRPr="004521EA">
        <w:rPr>
          <w:color w:val="auto"/>
        </w:rPr>
        <w:t>Ga colloid</w:t>
      </w:r>
      <w:r w:rsidR="00DC4955">
        <w:rPr>
          <w:color w:val="auto"/>
        </w:rPr>
        <w:t>s</w:t>
      </w:r>
      <w:r w:rsidR="001C4A6D" w:rsidRPr="004521EA">
        <w:rPr>
          <w:color w:val="auto"/>
        </w:rPr>
        <w:t xml:space="preserve"> are on average </w:t>
      </w:r>
      <w:r w:rsidR="006E5791" w:rsidRPr="004521EA">
        <w:rPr>
          <w:color w:val="auto"/>
        </w:rPr>
        <w:t>1.37</w:t>
      </w:r>
      <w:r w:rsidR="00DC4955">
        <w:rPr>
          <w:color w:val="auto"/>
        </w:rPr>
        <w:t xml:space="preserve">% </w:t>
      </w:r>
      <w:r w:rsidR="004B2DBA" w:rsidRPr="004521EA">
        <w:rPr>
          <w:color w:val="auto"/>
        </w:rPr>
        <w:t>±</w:t>
      </w:r>
      <w:r w:rsidR="00DC4955">
        <w:rPr>
          <w:color w:val="auto"/>
        </w:rPr>
        <w:t xml:space="preserve"> </w:t>
      </w:r>
      <w:r w:rsidR="004B2DBA" w:rsidRPr="004521EA">
        <w:rPr>
          <w:color w:val="auto"/>
        </w:rPr>
        <w:t>0.69</w:t>
      </w:r>
      <w:r w:rsidR="001C4A6D" w:rsidRPr="004521EA">
        <w:rPr>
          <w:color w:val="auto"/>
        </w:rPr>
        <w:t xml:space="preserve">% of the produced product. The radiopharmaceutical purity was on average </w:t>
      </w:r>
      <w:r w:rsidR="006E5791" w:rsidRPr="004521EA">
        <w:rPr>
          <w:color w:val="auto"/>
        </w:rPr>
        <w:t>98.02</w:t>
      </w:r>
      <w:r w:rsidR="00DC4955">
        <w:rPr>
          <w:color w:val="auto"/>
        </w:rPr>
        <w:t xml:space="preserve">% </w:t>
      </w:r>
      <w:r w:rsidR="004B2DBA" w:rsidRPr="004521EA">
        <w:rPr>
          <w:color w:val="auto"/>
        </w:rPr>
        <w:t>±</w:t>
      </w:r>
      <w:r w:rsidR="00DC4955">
        <w:rPr>
          <w:color w:val="auto"/>
        </w:rPr>
        <w:t xml:space="preserve"> </w:t>
      </w:r>
      <w:r w:rsidR="004B2DBA" w:rsidRPr="004521EA">
        <w:rPr>
          <w:color w:val="auto"/>
        </w:rPr>
        <w:t>1.05</w:t>
      </w:r>
      <w:r w:rsidR="001C4A6D" w:rsidRPr="004521EA">
        <w:rPr>
          <w:color w:val="auto"/>
        </w:rPr>
        <w:t>%.</w:t>
      </w:r>
      <w:r w:rsidR="003B0375" w:rsidRPr="004521EA">
        <w:rPr>
          <w:color w:val="auto"/>
        </w:rPr>
        <w:t xml:space="preserve"> </w:t>
      </w:r>
    </w:p>
    <w:p w14:paraId="56BB61E3" w14:textId="77777777" w:rsidR="001C4A6D" w:rsidRPr="004521EA" w:rsidRDefault="001C4A6D" w:rsidP="008337F6">
      <w:pPr>
        <w:widowControl/>
        <w:rPr>
          <w:color w:val="auto"/>
        </w:rPr>
      </w:pPr>
    </w:p>
    <w:p w14:paraId="6E8A8072" w14:textId="16F61C9A" w:rsidR="00862260" w:rsidRPr="004521EA" w:rsidRDefault="003B0375" w:rsidP="008337F6">
      <w:pPr>
        <w:widowControl/>
        <w:rPr>
          <w:color w:val="auto"/>
        </w:rPr>
      </w:pPr>
      <w:r w:rsidRPr="00B26C89">
        <w:rPr>
          <w:b/>
          <w:color w:val="auto"/>
        </w:rPr>
        <w:t>Figure 2</w:t>
      </w:r>
      <w:r w:rsidRPr="004521EA">
        <w:rPr>
          <w:color w:val="auto"/>
        </w:rPr>
        <w:t xml:space="preserve"> shows a </w:t>
      </w:r>
      <w:r w:rsidRPr="004521EA">
        <w:rPr>
          <w:color w:val="auto"/>
          <w:vertAlign w:val="superscript"/>
        </w:rPr>
        <w:t>68</w:t>
      </w:r>
      <w:r w:rsidRPr="004521EA">
        <w:rPr>
          <w:color w:val="auto"/>
        </w:rPr>
        <w:t xml:space="preserve">Ga-DOTATATE PET/CT scan without evidence of disease. </w:t>
      </w:r>
      <w:r w:rsidR="00DC4955">
        <w:rPr>
          <w:color w:val="auto"/>
        </w:rPr>
        <w:t>The p</w:t>
      </w:r>
      <w:r w:rsidRPr="004521EA">
        <w:rPr>
          <w:color w:val="auto"/>
        </w:rPr>
        <w:t xml:space="preserve">hysiological uptake can be seen in the liver and spleen. </w:t>
      </w:r>
      <w:r w:rsidRPr="004521EA">
        <w:rPr>
          <w:color w:val="auto"/>
          <w:vertAlign w:val="superscript"/>
        </w:rPr>
        <w:t>68</w:t>
      </w:r>
      <w:r w:rsidRPr="004521EA">
        <w:rPr>
          <w:color w:val="auto"/>
        </w:rPr>
        <w:t xml:space="preserve">Ga-DOTATATE is excreted by the kidneys and is </w:t>
      </w:r>
      <w:r w:rsidRPr="004521EA">
        <w:rPr>
          <w:color w:val="auto"/>
        </w:rPr>
        <w:lastRenderedPageBreak/>
        <w:t xml:space="preserve">therefore visible in the urinary tract. </w:t>
      </w:r>
      <w:r w:rsidR="0049417D" w:rsidRPr="00B26C89">
        <w:rPr>
          <w:b/>
          <w:color w:val="auto"/>
        </w:rPr>
        <w:t>Figure 3</w:t>
      </w:r>
      <w:r w:rsidR="00E22E1D" w:rsidRPr="004521EA">
        <w:rPr>
          <w:color w:val="auto"/>
        </w:rPr>
        <w:t xml:space="preserve"> shows a patient with a primary tumor in the </w:t>
      </w:r>
      <w:r w:rsidR="00707C6B" w:rsidRPr="004521EA">
        <w:rPr>
          <w:color w:val="auto"/>
        </w:rPr>
        <w:t>pancreas</w:t>
      </w:r>
      <w:r w:rsidR="00E22E1D" w:rsidRPr="004521EA">
        <w:rPr>
          <w:color w:val="auto"/>
        </w:rPr>
        <w:t xml:space="preserve">. </w:t>
      </w:r>
    </w:p>
    <w:p w14:paraId="77745FE2" w14:textId="77777777" w:rsidR="00862260" w:rsidRPr="004521EA" w:rsidRDefault="00862260" w:rsidP="008337F6">
      <w:pPr>
        <w:widowControl/>
        <w:rPr>
          <w:color w:val="auto"/>
        </w:rPr>
      </w:pPr>
    </w:p>
    <w:p w14:paraId="01E43373" w14:textId="1E5E08E9" w:rsidR="00FA3220" w:rsidRPr="004521EA" w:rsidRDefault="00E22E1D" w:rsidP="008337F6">
      <w:pPr>
        <w:widowControl/>
        <w:rPr>
          <w:color w:val="auto"/>
        </w:rPr>
      </w:pPr>
      <w:r w:rsidRPr="004521EA">
        <w:rPr>
          <w:color w:val="auto"/>
        </w:rPr>
        <w:t>In spite of careful preparations</w:t>
      </w:r>
      <w:r w:rsidR="00FA3220" w:rsidRPr="004521EA">
        <w:rPr>
          <w:color w:val="auto"/>
        </w:rPr>
        <w:t xml:space="preserve">, not all acquired PET images </w:t>
      </w:r>
      <w:r w:rsidR="00DC4955">
        <w:rPr>
          <w:color w:val="auto"/>
        </w:rPr>
        <w:t>were</w:t>
      </w:r>
      <w:r w:rsidR="00FA3220" w:rsidRPr="004521EA">
        <w:rPr>
          <w:color w:val="auto"/>
        </w:rPr>
        <w:t xml:space="preserve"> of optimal quality, of which two examples are given. </w:t>
      </w:r>
      <w:r w:rsidR="0049417D" w:rsidRPr="00B26C89">
        <w:rPr>
          <w:b/>
          <w:color w:val="auto"/>
        </w:rPr>
        <w:t>Figure 4</w:t>
      </w:r>
      <w:r w:rsidR="00BE278B" w:rsidRPr="00B26C89">
        <w:rPr>
          <w:b/>
          <w:color w:val="auto"/>
        </w:rPr>
        <w:t>A</w:t>
      </w:r>
      <w:r w:rsidR="00BE278B" w:rsidRPr="004521EA">
        <w:rPr>
          <w:color w:val="auto"/>
        </w:rPr>
        <w:t xml:space="preserve"> shows an example of a patient with a lower dose </w:t>
      </w:r>
      <w:r w:rsidR="00DC4955">
        <w:rPr>
          <w:color w:val="auto"/>
        </w:rPr>
        <w:t xml:space="preserve">of </w:t>
      </w:r>
      <w:r w:rsidR="00BE278B" w:rsidRPr="004521EA">
        <w:rPr>
          <w:color w:val="auto"/>
          <w:vertAlign w:val="superscript"/>
        </w:rPr>
        <w:t>68</w:t>
      </w:r>
      <w:r w:rsidR="00BE278B" w:rsidRPr="004521EA">
        <w:rPr>
          <w:color w:val="auto"/>
        </w:rPr>
        <w:t>Ga-DOTATATE</w:t>
      </w:r>
      <w:r w:rsidR="00FA3220" w:rsidRPr="004521EA">
        <w:rPr>
          <w:color w:val="auto"/>
        </w:rPr>
        <w:t xml:space="preserve"> due to a delay</w:t>
      </w:r>
      <w:r w:rsidR="002D13C0" w:rsidRPr="004521EA">
        <w:rPr>
          <w:color w:val="auto"/>
        </w:rPr>
        <w:t xml:space="preserve"> in the production of </w:t>
      </w:r>
      <w:r w:rsidR="002D13C0" w:rsidRPr="004521EA">
        <w:rPr>
          <w:color w:val="auto"/>
          <w:vertAlign w:val="superscript"/>
        </w:rPr>
        <w:t>68</w:t>
      </w:r>
      <w:r w:rsidR="002D13C0" w:rsidRPr="004521EA">
        <w:rPr>
          <w:color w:val="auto"/>
        </w:rPr>
        <w:t>Ga-DOTATATE</w:t>
      </w:r>
      <w:r w:rsidR="00DC4955">
        <w:rPr>
          <w:color w:val="auto"/>
        </w:rPr>
        <w:t>,</w:t>
      </w:r>
      <w:r w:rsidR="00FA3220" w:rsidRPr="004521EA">
        <w:rPr>
          <w:color w:val="auto"/>
        </w:rPr>
        <w:t xml:space="preserve"> which led to less activity being present in the patient. This led</w:t>
      </w:r>
      <w:r w:rsidR="0049417D" w:rsidRPr="004521EA">
        <w:rPr>
          <w:color w:val="auto"/>
        </w:rPr>
        <w:t xml:space="preserve"> to more noisy images. </w:t>
      </w:r>
      <w:r w:rsidR="0049417D" w:rsidRPr="00B26C89">
        <w:rPr>
          <w:b/>
          <w:color w:val="auto"/>
        </w:rPr>
        <w:t>Figure 4</w:t>
      </w:r>
      <w:r w:rsidR="00FA3220" w:rsidRPr="00B26C89">
        <w:rPr>
          <w:b/>
          <w:color w:val="auto"/>
        </w:rPr>
        <w:t>B</w:t>
      </w:r>
      <w:r w:rsidR="00FA3220" w:rsidRPr="004521EA">
        <w:rPr>
          <w:color w:val="auto"/>
        </w:rPr>
        <w:t xml:space="preserve"> shows an image with a motion </w:t>
      </w:r>
      <w:r w:rsidR="005A434F" w:rsidRPr="004521EA">
        <w:rPr>
          <w:color w:val="auto"/>
        </w:rPr>
        <w:t>artifact</w:t>
      </w:r>
      <w:r w:rsidR="00FA3220" w:rsidRPr="004521EA">
        <w:rPr>
          <w:color w:val="auto"/>
        </w:rPr>
        <w:t xml:space="preserve">. </w:t>
      </w:r>
    </w:p>
    <w:p w14:paraId="1A35ED45" w14:textId="77777777" w:rsidR="009D716D" w:rsidRPr="004521EA" w:rsidRDefault="009D716D" w:rsidP="008337F6">
      <w:pPr>
        <w:widowControl/>
        <w:rPr>
          <w:color w:val="808080" w:themeColor="background1" w:themeShade="80"/>
        </w:rPr>
      </w:pPr>
    </w:p>
    <w:p w14:paraId="3C9083F6" w14:textId="19690D95" w:rsidR="00B32616" w:rsidRPr="004521EA" w:rsidRDefault="00B32616" w:rsidP="008337F6">
      <w:pPr>
        <w:widowControl/>
        <w:rPr>
          <w:bCs/>
          <w:color w:val="808080"/>
        </w:rPr>
      </w:pPr>
      <w:r w:rsidRPr="004521EA">
        <w:rPr>
          <w:b/>
        </w:rPr>
        <w:t xml:space="preserve">FIGURE </w:t>
      </w:r>
      <w:r w:rsidR="0013621E" w:rsidRPr="004521EA">
        <w:rPr>
          <w:b/>
        </w:rPr>
        <w:t xml:space="preserve">AND TABLE </w:t>
      </w:r>
      <w:r w:rsidRPr="004521EA">
        <w:rPr>
          <w:b/>
        </w:rPr>
        <w:t>LEGENDS:</w:t>
      </w:r>
      <w:r w:rsidRPr="004521EA">
        <w:rPr>
          <w:color w:val="808080"/>
        </w:rPr>
        <w:t xml:space="preserve"> </w:t>
      </w:r>
    </w:p>
    <w:p w14:paraId="5D7F9021" w14:textId="77777777" w:rsidR="00360C24" w:rsidRPr="004521EA" w:rsidRDefault="00360C24" w:rsidP="008337F6">
      <w:pPr>
        <w:widowControl/>
        <w:rPr>
          <w:color w:val="808080" w:themeColor="background1" w:themeShade="80"/>
          <w:shd w:val="clear" w:color="auto" w:fill="FFFFFF"/>
        </w:rPr>
      </w:pPr>
    </w:p>
    <w:p w14:paraId="01C91EAE" w14:textId="633696C5" w:rsidR="00360C24" w:rsidRPr="004521EA" w:rsidRDefault="008870B3" w:rsidP="008337F6">
      <w:pPr>
        <w:widowControl/>
        <w:rPr>
          <w:b/>
          <w:color w:val="auto"/>
        </w:rPr>
      </w:pPr>
      <w:r w:rsidRPr="004521EA">
        <w:rPr>
          <w:b/>
          <w:color w:val="auto"/>
        </w:rPr>
        <w:t>Figure 1: Flow chart of produced, failed, and released batches.</w:t>
      </w:r>
    </w:p>
    <w:p w14:paraId="5E224179" w14:textId="77777777" w:rsidR="008870B3" w:rsidRPr="004521EA" w:rsidRDefault="008870B3" w:rsidP="008337F6">
      <w:pPr>
        <w:widowControl/>
        <w:rPr>
          <w:color w:val="auto"/>
        </w:rPr>
      </w:pPr>
    </w:p>
    <w:p w14:paraId="4042FF46" w14:textId="4920BE56" w:rsidR="008870B3" w:rsidRPr="004521EA" w:rsidRDefault="008870B3" w:rsidP="008337F6">
      <w:pPr>
        <w:widowControl/>
        <w:rPr>
          <w:color w:val="auto"/>
        </w:rPr>
      </w:pPr>
      <w:r w:rsidRPr="004521EA">
        <w:rPr>
          <w:b/>
          <w:color w:val="auto"/>
        </w:rPr>
        <w:t xml:space="preserve">Figure 2: Maximum intensity projection of representative </w:t>
      </w:r>
      <w:r w:rsidRPr="004521EA">
        <w:rPr>
          <w:b/>
          <w:color w:val="auto"/>
          <w:vertAlign w:val="superscript"/>
        </w:rPr>
        <w:t>68</w:t>
      </w:r>
      <w:r w:rsidRPr="004521EA">
        <w:rPr>
          <w:b/>
          <w:color w:val="auto"/>
        </w:rPr>
        <w:t xml:space="preserve">Ga-DOTATATE of a patient with no evidence of disease. </w:t>
      </w:r>
      <w:r w:rsidRPr="004521EA">
        <w:rPr>
          <w:color w:val="auto"/>
        </w:rPr>
        <w:t>High</w:t>
      </w:r>
      <w:r w:rsidRPr="004521EA">
        <w:rPr>
          <w:b/>
          <w:color w:val="auto"/>
        </w:rPr>
        <w:t xml:space="preserve"> </w:t>
      </w:r>
      <w:r w:rsidRPr="004521EA">
        <w:rPr>
          <w:color w:val="auto"/>
        </w:rPr>
        <w:t xml:space="preserve">physiological uptake of </w:t>
      </w:r>
      <w:r w:rsidRPr="004521EA">
        <w:rPr>
          <w:color w:val="auto"/>
          <w:vertAlign w:val="superscript"/>
        </w:rPr>
        <w:t>68</w:t>
      </w:r>
      <w:r w:rsidRPr="004521EA">
        <w:rPr>
          <w:color w:val="auto"/>
        </w:rPr>
        <w:t xml:space="preserve">Ga-DOTATATE is seen in the liver (yellow delineation), spleen (dark blue delineation), and adrenal gland (green delineation). Uptake </w:t>
      </w:r>
      <w:r w:rsidR="00650245">
        <w:rPr>
          <w:color w:val="auto"/>
        </w:rPr>
        <w:t>in</w:t>
      </w:r>
      <w:r w:rsidRPr="004521EA">
        <w:rPr>
          <w:color w:val="auto"/>
        </w:rPr>
        <w:t xml:space="preserve"> the kidneys (red delineation) is due to both physiological uptake and excretion, while the uptake in the bladder (light blue) is due to excretion only. Moderate to low physiological uptake of </w:t>
      </w:r>
      <w:r w:rsidRPr="004521EA">
        <w:rPr>
          <w:color w:val="auto"/>
          <w:vertAlign w:val="superscript"/>
        </w:rPr>
        <w:t>68</w:t>
      </w:r>
      <w:r w:rsidRPr="004521EA">
        <w:rPr>
          <w:color w:val="auto"/>
        </w:rPr>
        <w:t xml:space="preserve">Ga-DOTATATE is seen in the </w:t>
      </w:r>
      <w:r w:rsidR="00973A32" w:rsidRPr="004521EA">
        <w:rPr>
          <w:color w:val="auto"/>
        </w:rPr>
        <w:t xml:space="preserve">pituitary </w:t>
      </w:r>
      <w:r w:rsidRPr="004521EA">
        <w:rPr>
          <w:color w:val="auto"/>
        </w:rPr>
        <w:t xml:space="preserve">gland (red arrow), </w:t>
      </w:r>
      <w:r w:rsidR="00650245">
        <w:rPr>
          <w:color w:val="auto"/>
        </w:rPr>
        <w:t xml:space="preserve">the </w:t>
      </w:r>
      <w:r w:rsidRPr="004521EA">
        <w:rPr>
          <w:color w:val="auto"/>
        </w:rPr>
        <w:t xml:space="preserve">thyroid gland (blue arrow), and </w:t>
      </w:r>
      <w:r w:rsidR="00650245">
        <w:rPr>
          <w:color w:val="auto"/>
        </w:rPr>
        <w:t xml:space="preserve">the </w:t>
      </w:r>
      <w:r w:rsidRPr="004521EA">
        <w:rPr>
          <w:color w:val="auto"/>
        </w:rPr>
        <w:t xml:space="preserve">salivary glands (green arrow). </w:t>
      </w:r>
    </w:p>
    <w:p w14:paraId="1336CC2C" w14:textId="77777777" w:rsidR="003A7BCF" w:rsidRPr="004521EA" w:rsidRDefault="003A7BCF" w:rsidP="008337F6">
      <w:pPr>
        <w:widowControl/>
        <w:rPr>
          <w:color w:val="auto"/>
        </w:rPr>
      </w:pPr>
    </w:p>
    <w:p w14:paraId="38437EB0" w14:textId="359C7255" w:rsidR="003A7BCF" w:rsidRPr="004521EA" w:rsidRDefault="003A7BCF" w:rsidP="008337F6">
      <w:pPr>
        <w:widowControl/>
        <w:rPr>
          <w:color w:val="auto"/>
        </w:rPr>
      </w:pPr>
      <w:r w:rsidRPr="004521EA">
        <w:rPr>
          <w:b/>
          <w:color w:val="auto"/>
        </w:rPr>
        <w:t>Figure 3:</w:t>
      </w:r>
      <w:r w:rsidRPr="004521EA">
        <w:rPr>
          <w:color w:val="auto"/>
        </w:rPr>
        <w:t xml:space="preserve"> </w:t>
      </w:r>
      <w:r w:rsidRPr="004521EA">
        <w:rPr>
          <w:b/>
          <w:color w:val="auto"/>
          <w:vertAlign w:val="superscript"/>
        </w:rPr>
        <w:t>68</w:t>
      </w:r>
      <w:r w:rsidRPr="004521EA">
        <w:rPr>
          <w:b/>
          <w:color w:val="auto"/>
        </w:rPr>
        <w:t>Ga-DOTATATE PET/CT of a patient with a primary pancreatic neuroendocrine tumor.</w:t>
      </w:r>
      <w:r w:rsidRPr="00B26C89">
        <w:rPr>
          <w:color w:val="auto"/>
        </w:rPr>
        <w:t xml:space="preserve"> (</w:t>
      </w:r>
      <w:r w:rsidRPr="004521EA">
        <w:rPr>
          <w:b/>
          <w:color w:val="auto"/>
        </w:rPr>
        <w:t>A</w:t>
      </w:r>
      <w:r w:rsidRPr="00B26C89">
        <w:rPr>
          <w:color w:val="auto"/>
        </w:rPr>
        <w:t xml:space="preserve">) </w:t>
      </w:r>
      <w:r w:rsidRPr="004521EA">
        <w:rPr>
          <w:color w:val="auto"/>
        </w:rPr>
        <w:t>Fused axial PET/CT image visualizing the primary pancreatic NET (green arrow).</w:t>
      </w:r>
      <w:r w:rsidRPr="00494B7E">
        <w:rPr>
          <w:color w:val="auto"/>
        </w:rPr>
        <w:t xml:space="preserve"> </w:t>
      </w:r>
      <w:r w:rsidRPr="00B26C89">
        <w:rPr>
          <w:color w:val="auto"/>
        </w:rPr>
        <w:t>(</w:t>
      </w:r>
      <w:r w:rsidRPr="004521EA">
        <w:rPr>
          <w:b/>
          <w:color w:val="auto"/>
        </w:rPr>
        <w:t>B</w:t>
      </w:r>
      <w:r w:rsidRPr="00B26C89">
        <w:rPr>
          <w:color w:val="auto"/>
        </w:rPr>
        <w:t>)</w:t>
      </w:r>
      <w:r w:rsidRPr="00494B7E">
        <w:rPr>
          <w:color w:val="auto"/>
        </w:rPr>
        <w:t xml:space="preserve"> </w:t>
      </w:r>
      <w:r w:rsidRPr="004521EA">
        <w:rPr>
          <w:color w:val="auto"/>
        </w:rPr>
        <w:t>Axial PET image visualizing the primary pancreatic NET (red arrow).</w:t>
      </w:r>
      <w:r w:rsidRPr="00494B7E">
        <w:rPr>
          <w:color w:val="auto"/>
        </w:rPr>
        <w:t xml:space="preserve"> </w:t>
      </w:r>
      <w:r w:rsidRPr="00B26C89">
        <w:rPr>
          <w:color w:val="auto"/>
        </w:rPr>
        <w:t>(</w:t>
      </w:r>
      <w:r w:rsidRPr="004521EA">
        <w:rPr>
          <w:b/>
          <w:color w:val="auto"/>
        </w:rPr>
        <w:t>C</w:t>
      </w:r>
      <w:r w:rsidRPr="00B26C89">
        <w:rPr>
          <w:color w:val="auto"/>
        </w:rPr>
        <w:t>)</w:t>
      </w:r>
      <w:r w:rsidRPr="00494B7E">
        <w:rPr>
          <w:color w:val="auto"/>
        </w:rPr>
        <w:t xml:space="preserve"> </w:t>
      </w:r>
      <w:r w:rsidRPr="004521EA">
        <w:rPr>
          <w:color w:val="auto"/>
        </w:rPr>
        <w:t>Coronal maximum intensity projection of the PET visualizing the primary pancreatic NET (red arrow).</w:t>
      </w:r>
    </w:p>
    <w:p w14:paraId="4C161DF5" w14:textId="77777777" w:rsidR="008870B3" w:rsidRPr="004521EA" w:rsidRDefault="008870B3" w:rsidP="008337F6">
      <w:pPr>
        <w:widowControl/>
        <w:rPr>
          <w:color w:val="808080" w:themeColor="background1" w:themeShade="80"/>
        </w:rPr>
      </w:pPr>
    </w:p>
    <w:p w14:paraId="43A2304B" w14:textId="4AB037EF" w:rsidR="003A7BCF" w:rsidRPr="004521EA" w:rsidRDefault="003A7BCF" w:rsidP="008337F6">
      <w:pPr>
        <w:widowControl/>
        <w:rPr>
          <w:b/>
          <w:color w:val="auto"/>
        </w:rPr>
      </w:pPr>
      <w:r w:rsidRPr="004521EA">
        <w:rPr>
          <w:b/>
          <w:color w:val="auto"/>
        </w:rPr>
        <w:t xml:space="preserve">Figure 4: </w:t>
      </w:r>
      <w:r w:rsidR="00B81D45" w:rsidRPr="004521EA">
        <w:rPr>
          <w:b/>
          <w:color w:val="auto"/>
        </w:rPr>
        <w:t xml:space="preserve">Examples of suboptimal </w:t>
      </w:r>
      <w:r w:rsidR="00B81D45" w:rsidRPr="004521EA">
        <w:rPr>
          <w:b/>
          <w:color w:val="auto"/>
          <w:vertAlign w:val="superscript"/>
        </w:rPr>
        <w:t>68</w:t>
      </w:r>
      <w:r w:rsidR="00B81D45" w:rsidRPr="004521EA">
        <w:rPr>
          <w:b/>
          <w:color w:val="auto"/>
        </w:rPr>
        <w:t>Ga-DOTATATE PET images.</w:t>
      </w:r>
      <w:r w:rsidR="00B81D45" w:rsidRPr="00B26C89">
        <w:rPr>
          <w:color w:val="auto"/>
        </w:rPr>
        <w:t xml:space="preserve"> (</w:t>
      </w:r>
      <w:r w:rsidR="00B81D45" w:rsidRPr="004521EA">
        <w:rPr>
          <w:b/>
          <w:color w:val="auto"/>
        </w:rPr>
        <w:t>A</w:t>
      </w:r>
      <w:r w:rsidR="00B81D45" w:rsidRPr="00B26C89">
        <w:rPr>
          <w:color w:val="auto"/>
        </w:rPr>
        <w:t xml:space="preserve">) </w:t>
      </w:r>
      <w:r w:rsidR="005D76CF" w:rsidRPr="004521EA">
        <w:rPr>
          <w:color w:val="auto"/>
        </w:rPr>
        <w:t xml:space="preserve">Coronal maximum intensity projection </w:t>
      </w:r>
      <w:r w:rsidR="00637683">
        <w:rPr>
          <w:color w:val="auto"/>
        </w:rPr>
        <w:t xml:space="preserve">of </w:t>
      </w:r>
      <w:r w:rsidR="005D76CF" w:rsidRPr="004521EA">
        <w:rPr>
          <w:color w:val="auto"/>
        </w:rPr>
        <w:t xml:space="preserve">a </w:t>
      </w:r>
      <w:r w:rsidR="005D76CF" w:rsidRPr="004521EA">
        <w:rPr>
          <w:color w:val="auto"/>
          <w:vertAlign w:val="superscript"/>
        </w:rPr>
        <w:t>68</w:t>
      </w:r>
      <w:r w:rsidR="005D76CF" w:rsidRPr="004521EA">
        <w:rPr>
          <w:color w:val="auto"/>
        </w:rPr>
        <w:t xml:space="preserve">Ga-DOTATATE PET in a patient </w:t>
      </w:r>
      <w:r w:rsidR="00637683">
        <w:rPr>
          <w:color w:val="auto"/>
        </w:rPr>
        <w:t>who</w:t>
      </w:r>
      <w:r w:rsidR="005D76CF" w:rsidRPr="004521EA">
        <w:rPr>
          <w:color w:val="auto"/>
        </w:rPr>
        <w:t xml:space="preserve"> received</w:t>
      </w:r>
      <w:r w:rsidR="009B4F22" w:rsidRPr="004521EA">
        <w:rPr>
          <w:color w:val="auto"/>
        </w:rPr>
        <w:t xml:space="preserve"> only</w:t>
      </w:r>
      <w:r w:rsidR="005D76CF" w:rsidRPr="004521EA">
        <w:rPr>
          <w:color w:val="auto"/>
        </w:rPr>
        <w:t xml:space="preserve"> 42 MBq of </w:t>
      </w:r>
      <w:r w:rsidR="005D76CF" w:rsidRPr="004521EA">
        <w:rPr>
          <w:color w:val="auto"/>
          <w:vertAlign w:val="superscript"/>
        </w:rPr>
        <w:t>68</w:t>
      </w:r>
      <w:r w:rsidR="005D76CF" w:rsidRPr="004521EA">
        <w:rPr>
          <w:color w:val="auto"/>
        </w:rPr>
        <w:t xml:space="preserve">Ga-DOTATATE. </w:t>
      </w:r>
      <w:r w:rsidR="009B4F22" w:rsidRPr="004521EA">
        <w:rPr>
          <w:color w:val="auto"/>
        </w:rPr>
        <w:t xml:space="preserve">More noise can be seen in the image, especially in the liver (red arrow). </w:t>
      </w:r>
      <w:r w:rsidR="00095F83">
        <w:rPr>
          <w:color w:val="auto"/>
        </w:rPr>
        <w:t>L</w:t>
      </w:r>
      <w:r w:rsidR="00B135F6" w:rsidRPr="004521EA">
        <w:rPr>
          <w:color w:val="auto"/>
        </w:rPr>
        <w:t>iver metastas</w:t>
      </w:r>
      <w:r w:rsidR="00637683">
        <w:rPr>
          <w:color w:val="auto"/>
        </w:rPr>
        <w:t>i</w:t>
      </w:r>
      <w:r w:rsidR="00B135F6" w:rsidRPr="004521EA">
        <w:rPr>
          <w:color w:val="auto"/>
        </w:rPr>
        <w:t>s is still visible (green arrow).</w:t>
      </w:r>
      <w:r w:rsidR="00B135F6" w:rsidRPr="00494B7E">
        <w:rPr>
          <w:color w:val="auto"/>
        </w:rPr>
        <w:t xml:space="preserve"> </w:t>
      </w:r>
      <w:r w:rsidR="00B135F6" w:rsidRPr="00B26C89">
        <w:rPr>
          <w:color w:val="auto"/>
        </w:rPr>
        <w:t>(</w:t>
      </w:r>
      <w:r w:rsidR="00B135F6" w:rsidRPr="004521EA">
        <w:rPr>
          <w:b/>
          <w:color w:val="auto"/>
        </w:rPr>
        <w:t>B</w:t>
      </w:r>
      <w:r w:rsidR="00B135F6" w:rsidRPr="00B26C89">
        <w:rPr>
          <w:color w:val="auto"/>
        </w:rPr>
        <w:t>)</w:t>
      </w:r>
      <w:r w:rsidR="00B135F6" w:rsidRPr="00494B7E">
        <w:rPr>
          <w:color w:val="auto"/>
        </w:rPr>
        <w:t xml:space="preserve"> </w:t>
      </w:r>
      <w:r w:rsidR="00B135F6" w:rsidRPr="004521EA">
        <w:rPr>
          <w:color w:val="auto"/>
        </w:rPr>
        <w:t xml:space="preserve">Coronal maximum intensity projection </w:t>
      </w:r>
      <w:r w:rsidR="00637683">
        <w:rPr>
          <w:color w:val="auto"/>
        </w:rPr>
        <w:t xml:space="preserve">of </w:t>
      </w:r>
      <w:r w:rsidR="00B135F6" w:rsidRPr="004521EA">
        <w:rPr>
          <w:color w:val="auto"/>
        </w:rPr>
        <w:t xml:space="preserve">a </w:t>
      </w:r>
      <w:r w:rsidR="00B135F6" w:rsidRPr="004521EA">
        <w:rPr>
          <w:color w:val="auto"/>
          <w:vertAlign w:val="superscript"/>
        </w:rPr>
        <w:t>68</w:t>
      </w:r>
      <w:r w:rsidR="00B135F6" w:rsidRPr="004521EA">
        <w:rPr>
          <w:color w:val="auto"/>
        </w:rPr>
        <w:t xml:space="preserve">Ga-DOTATATE PET with a motion artifact. </w:t>
      </w:r>
      <w:r w:rsidR="00710A18" w:rsidRPr="004521EA">
        <w:rPr>
          <w:color w:val="auto"/>
        </w:rPr>
        <w:t xml:space="preserve">Due to movement of the </w:t>
      </w:r>
      <w:r w:rsidR="00585D7D" w:rsidRPr="004521EA">
        <w:rPr>
          <w:color w:val="auto"/>
        </w:rPr>
        <w:t>head</w:t>
      </w:r>
      <w:r w:rsidR="00710A18" w:rsidRPr="004521EA">
        <w:rPr>
          <w:color w:val="auto"/>
        </w:rPr>
        <w:t xml:space="preserve"> between the PET and CT acquisitions, </w:t>
      </w:r>
      <w:r w:rsidR="00637683">
        <w:rPr>
          <w:color w:val="auto"/>
        </w:rPr>
        <w:t xml:space="preserve">the </w:t>
      </w:r>
      <w:r w:rsidR="007375CA" w:rsidRPr="004521EA">
        <w:rPr>
          <w:color w:val="auto"/>
        </w:rPr>
        <w:t xml:space="preserve">reconstruction of the PET images leads to this artifact. </w:t>
      </w:r>
    </w:p>
    <w:p w14:paraId="40238297" w14:textId="77777777" w:rsidR="003A7BCF" w:rsidRPr="004521EA" w:rsidRDefault="003A7BCF" w:rsidP="008337F6">
      <w:pPr>
        <w:widowControl/>
        <w:rPr>
          <w:color w:val="808080" w:themeColor="background1" w:themeShade="80"/>
        </w:rPr>
      </w:pPr>
    </w:p>
    <w:p w14:paraId="64B8CF78" w14:textId="3BA08DB4" w:rsidR="006305D7" w:rsidRPr="004521EA" w:rsidRDefault="006305D7" w:rsidP="008337F6">
      <w:pPr>
        <w:widowControl/>
        <w:rPr>
          <w:bCs/>
          <w:color w:val="808080"/>
        </w:rPr>
      </w:pPr>
      <w:r w:rsidRPr="004521EA">
        <w:rPr>
          <w:b/>
        </w:rPr>
        <w:t>DISCUSSION</w:t>
      </w:r>
      <w:r w:rsidRPr="004521EA">
        <w:rPr>
          <w:b/>
          <w:bCs/>
        </w:rPr>
        <w:t xml:space="preserve">: </w:t>
      </w:r>
    </w:p>
    <w:p w14:paraId="14363BCB" w14:textId="1EC8F636" w:rsidR="00DD52B9" w:rsidRPr="004521EA" w:rsidRDefault="005430E6" w:rsidP="008337F6">
      <w:pPr>
        <w:widowControl/>
        <w:rPr>
          <w:color w:val="auto"/>
        </w:rPr>
      </w:pPr>
      <w:r w:rsidRPr="004521EA">
        <w:rPr>
          <w:color w:val="auto"/>
        </w:rPr>
        <w:t xml:space="preserve">This protocol describes </w:t>
      </w:r>
      <w:r w:rsidR="006217CF">
        <w:rPr>
          <w:color w:val="auto"/>
        </w:rPr>
        <w:t xml:space="preserve">the </w:t>
      </w:r>
      <w:r w:rsidRPr="004521EA">
        <w:rPr>
          <w:color w:val="auto"/>
        </w:rPr>
        <w:t xml:space="preserve">production and subsequent PET/CT imaging of </w:t>
      </w:r>
      <w:r w:rsidRPr="004521EA">
        <w:rPr>
          <w:color w:val="auto"/>
          <w:vertAlign w:val="superscript"/>
        </w:rPr>
        <w:t>68</w:t>
      </w:r>
      <w:r w:rsidRPr="004521EA">
        <w:rPr>
          <w:color w:val="auto"/>
        </w:rPr>
        <w:t xml:space="preserve">Ga-DOTATATE. </w:t>
      </w:r>
      <w:r w:rsidR="00702766" w:rsidRPr="004521EA">
        <w:rPr>
          <w:color w:val="auto"/>
        </w:rPr>
        <w:t xml:space="preserve">In order for </w:t>
      </w:r>
      <w:r w:rsidR="006217CF">
        <w:rPr>
          <w:color w:val="auto"/>
        </w:rPr>
        <w:t xml:space="preserve">the </w:t>
      </w:r>
      <w:r w:rsidR="00702766" w:rsidRPr="004521EA">
        <w:rPr>
          <w:color w:val="auto"/>
        </w:rPr>
        <w:t xml:space="preserve">efficient use of each produced batch of </w:t>
      </w:r>
      <w:r w:rsidR="00702766" w:rsidRPr="004521EA">
        <w:rPr>
          <w:color w:val="auto"/>
          <w:vertAlign w:val="superscript"/>
        </w:rPr>
        <w:t>68</w:t>
      </w:r>
      <w:r w:rsidR="00702766" w:rsidRPr="004521EA">
        <w:rPr>
          <w:color w:val="auto"/>
        </w:rPr>
        <w:t xml:space="preserve">Ga-DOTATATE, an optimal workflow with strict timing is required. Since the half-life of </w:t>
      </w:r>
      <w:r w:rsidR="00702766" w:rsidRPr="004521EA">
        <w:rPr>
          <w:color w:val="auto"/>
          <w:vertAlign w:val="superscript"/>
        </w:rPr>
        <w:t>68</w:t>
      </w:r>
      <w:r w:rsidR="00702766" w:rsidRPr="004521EA">
        <w:rPr>
          <w:color w:val="auto"/>
        </w:rPr>
        <w:t>Ga is 68 min, a relatively small time</w:t>
      </w:r>
      <w:r w:rsidR="006217CF">
        <w:rPr>
          <w:color w:val="auto"/>
        </w:rPr>
        <w:t xml:space="preserve"> </w:t>
      </w:r>
      <w:r w:rsidR="00702766" w:rsidRPr="004521EA">
        <w:rPr>
          <w:color w:val="auto"/>
        </w:rPr>
        <w:t xml:space="preserve">delay of 15 min leads to a 15% loss of radioactivity. </w:t>
      </w:r>
      <w:r w:rsidR="002802B5" w:rsidRPr="004521EA">
        <w:rPr>
          <w:color w:val="auto"/>
        </w:rPr>
        <w:t>This requires active communication between the production facility, the personnel administrating the dose to the patient</w:t>
      </w:r>
      <w:r w:rsidR="006217CF">
        <w:rPr>
          <w:color w:val="auto"/>
        </w:rPr>
        <w:t>,</w:t>
      </w:r>
      <w:r w:rsidR="002802B5" w:rsidRPr="004521EA">
        <w:rPr>
          <w:color w:val="auto"/>
        </w:rPr>
        <w:t xml:space="preserve"> and the PET/CT technician. </w:t>
      </w:r>
      <w:r w:rsidR="00DD52B9" w:rsidRPr="004521EA">
        <w:rPr>
          <w:color w:val="auto"/>
        </w:rPr>
        <w:t>Also</w:t>
      </w:r>
      <w:r w:rsidR="006217CF">
        <w:rPr>
          <w:color w:val="auto"/>
        </w:rPr>
        <w:t>,</w:t>
      </w:r>
      <w:r w:rsidR="00DD52B9" w:rsidRPr="004521EA">
        <w:rPr>
          <w:color w:val="auto"/>
        </w:rPr>
        <w:t xml:space="preserve"> p</w:t>
      </w:r>
      <w:r w:rsidR="00FF7699" w:rsidRPr="004521EA">
        <w:rPr>
          <w:color w:val="auto"/>
        </w:rPr>
        <w:t xml:space="preserve">atients should be instructed that it is critical to meet the appointment time. </w:t>
      </w:r>
      <w:r w:rsidR="00DD52B9" w:rsidRPr="004521EA">
        <w:rPr>
          <w:color w:val="auto"/>
        </w:rPr>
        <w:t>Furthermore</w:t>
      </w:r>
      <w:r w:rsidR="006217CF">
        <w:rPr>
          <w:color w:val="auto"/>
        </w:rPr>
        <w:t>,</w:t>
      </w:r>
      <w:r w:rsidR="00DD52B9" w:rsidRPr="004521EA">
        <w:rPr>
          <w:color w:val="auto"/>
        </w:rPr>
        <w:t xml:space="preserve"> the number of patient dosages per batch is dependent on the </w:t>
      </w:r>
      <w:r w:rsidR="004048D7" w:rsidRPr="004521EA">
        <w:rPr>
          <w:color w:val="auto"/>
          <w:vertAlign w:val="superscript"/>
        </w:rPr>
        <w:t>68</w:t>
      </w:r>
      <w:r w:rsidR="004048D7" w:rsidRPr="004521EA">
        <w:rPr>
          <w:color w:val="auto"/>
        </w:rPr>
        <w:t>Ge/</w:t>
      </w:r>
      <w:r w:rsidR="004048D7" w:rsidRPr="004521EA">
        <w:rPr>
          <w:color w:val="auto"/>
          <w:vertAlign w:val="superscript"/>
        </w:rPr>
        <w:t>68</w:t>
      </w:r>
      <w:r w:rsidR="004048D7" w:rsidRPr="004521EA">
        <w:rPr>
          <w:color w:val="auto"/>
        </w:rPr>
        <w:t xml:space="preserve">Ga </w:t>
      </w:r>
      <w:r w:rsidR="00DD52B9" w:rsidRPr="004521EA">
        <w:rPr>
          <w:color w:val="auto"/>
        </w:rPr>
        <w:t>generator</w:t>
      </w:r>
      <w:r w:rsidR="006217CF">
        <w:rPr>
          <w:color w:val="auto"/>
        </w:rPr>
        <w:t>’s</w:t>
      </w:r>
      <w:r w:rsidR="00DD52B9" w:rsidRPr="004521EA">
        <w:rPr>
          <w:color w:val="auto"/>
        </w:rPr>
        <w:t xml:space="preserve"> size and age and will</w:t>
      </w:r>
      <w:r w:rsidR="006217CF">
        <w:rPr>
          <w:color w:val="auto"/>
        </w:rPr>
        <w:t>,</w:t>
      </w:r>
      <w:r w:rsidR="00DD52B9" w:rsidRPr="004521EA">
        <w:rPr>
          <w:color w:val="auto"/>
        </w:rPr>
        <w:t xml:space="preserve"> therefore</w:t>
      </w:r>
      <w:r w:rsidR="006217CF">
        <w:rPr>
          <w:color w:val="auto"/>
        </w:rPr>
        <w:t>,</w:t>
      </w:r>
      <w:r w:rsidR="00DD52B9" w:rsidRPr="004521EA">
        <w:rPr>
          <w:color w:val="auto"/>
        </w:rPr>
        <w:t xml:space="preserve"> decrease over time. </w:t>
      </w:r>
      <w:r w:rsidR="004513A0" w:rsidRPr="004521EA">
        <w:rPr>
          <w:color w:val="auto"/>
        </w:rPr>
        <w:t>A cost-benefit analysis can be performed to determine when the generator should be replaced.</w:t>
      </w:r>
      <w:r w:rsidR="00DD52B9" w:rsidRPr="004521EA">
        <w:rPr>
          <w:color w:val="auto"/>
        </w:rPr>
        <w:t xml:space="preserve"> </w:t>
      </w:r>
    </w:p>
    <w:p w14:paraId="504E7D6B" w14:textId="77777777" w:rsidR="00DD52B9" w:rsidRPr="004521EA" w:rsidRDefault="00DD52B9" w:rsidP="008337F6">
      <w:pPr>
        <w:widowControl/>
        <w:rPr>
          <w:color w:val="auto"/>
        </w:rPr>
      </w:pPr>
    </w:p>
    <w:p w14:paraId="4055A012" w14:textId="4A7DC288" w:rsidR="005430E6" w:rsidRPr="004521EA" w:rsidRDefault="004048D7" w:rsidP="008337F6">
      <w:pPr>
        <w:widowControl/>
        <w:rPr>
          <w:color w:val="auto"/>
        </w:rPr>
      </w:pPr>
      <w:r w:rsidRPr="004521EA">
        <w:rPr>
          <w:color w:val="auto"/>
        </w:rPr>
        <w:lastRenderedPageBreak/>
        <w:t xml:space="preserve">Although the sensitivity and specificity of </w:t>
      </w:r>
      <w:r w:rsidRPr="004521EA">
        <w:rPr>
          <w:color w:val="auto"/>
          <w:vertAlign w:val="superscript"/>
        </w:rPr>
        <w:t>68</w:t>
      </w:r>
      <w:r w:rsidRPr="004521EA">
        <w:rPr>
          <w:color w:val="auto"/>
        </w:rPr>
        <w:t xml:space="preserve">Ga-DOTATATE for the detection of neuroendocrine tumors </w:t>
      </w:r>
      <w:r w:rsidR="00095F83">
        <w:rPr>
          <w:color w:val="auto"/>
        </w:rPr>
        <w:t>are</w:t>
      </w:r>
      <w:r w:rsidRPr="004521EA">
        <w:rPr>
          <w:color w:val="auto"/>
        </w:rPr>
        <w:t xml:space="preserve"> high, several limitations should be considered. </w:t>
      </w:r>
      <w:r w:rsidR="00D30023" w:rsidRPr="004521EA">
        <w:rPr>
          <w:color w:val="auto"/>
        </w:rPr>
        <w:t xml:space="preserve">First, when </w:t>
      </w:r>
      <w:r w:rsidR="006217CF">
        <w:rPr>
          <w:color w:val="auto"/>
        </w:rPr>
        <w:t xml:space="preserve">a </w:t>
      </w:r>
      <w:r w:rsidR="00D30023" w:rsidRPr="004521EA">
        <w:rPr>
          <w:color w:val="auto"/>
        </w:rPr>
        <w:t>NET dedifferentiates and becomes more aggressive (grade 3 NET or neuroendocrine carcinoma)</w:t>
      </w:r>
      <w:r w:rsidR="006217CF">
        <w:rPr>
          <w:color w:val="auto"/>
        </w:rPr>
        <w:t>,</w:t>
      </w:r>
      <w:r w:rsidR="00D30023" w:rsidRPr="004521EA">
        <w:rPr>
          <w:color w:val="auto"/>
        </w:rPr>
        <w:t xml:space="preserve"> somatostatin receptor expression is often lost. Tumor lesions will therefore not be detected with </w:t>
      </w:r>
      <w:r w:rsidR="00D30023" w:rsidRPr="004521EA">
        <w:rPr>
          <w:color w:val="auto"/>
          <w:vertAlign w:val="superscript"/>
        </w:rPr>
        <w:t>68</w:t>
      </w:r>
      <w:r w:rsidR="00D30023" w:rsidRPr="004521EA">
        <w:rPr>
          <w:color w:val="auto"/>
        </w:rPr>
        <w:t>Ga-DOTATATE PET/CT. In these cases</w:t>
      </w:r>
      <w:r w:rsidR="006217CF">
        <w:rPr>
          <w:color w:val="auto"/>
        </w:rPr>
        <w:t>,</w:t>
      </w:r>
      <w:r w:rsidR="00D30023" w:rsidRPr="004521EA">
        <w:rPr>
          <w:color w:val="auto"/>
        </w:rPr>
        <w:t xml:space="preserve"> </w:t>
      </w:r>
      <w:r w:rsidR="00D30023" w:rsidRPr="004521EA">
        <w:rPr>
          <w:color w:val="auto"/>
          <w:vertAlign w:val="superscript"/>
        </w:rPr>
        <w:t>18</w:t>
      </w:r>
      <w:r w:rsidR="00D30023" w:rsidRPr="004521EA">
        <w:rPr>
          <w:color w:val="auto"/>
        </w:rPr>
        <w:t xml:space="preserve">F-FDG PET/CT, which </w:t>
      </w:r>
      <w:r w:rsidR="00E155B5" w:rsidRPr="004521EA">
        <w:rPr>
          <w:color w:val="auto"/>
        </w:rPr>
        <w:t>visualizes glucose metabolism</w:t>
      </w:r>
      <w:r w:rsidR="00D30023" w:rsidRPr="004521EA">
        <w:rPr>
          <w:color w:val="auto"/>
        </w:rPr>
        <w:t xml:space="preserve">, is indicated. </w:t>
      </w:r>
      <w:r w:rsidR="0060317C" w:rsidRPr="004521EA">
        <w:rPr>
          <w:color w:val="auto"/>
        </w:rPr>
        <w:t xml:space="preserve">Second, </w:t>
      </w:r>
      <w:r w:rsidR="0060317C" w:rsidRPr="004521EA">
        <w:rPr>
          <w:color w:val="auto"/>
          <w:vertAlign w:val="superscript"/>
        </w:rPr>
        <w:t>68</w:t>
      </w:r>
      <w:r w:rsidR="0060317C" w:rsidRPr="004521EA">
        <w:rPr>
          <w:color w:val="auto"/>
        </w:rPr>
        <w:t>Ga-DOTATATE shows physiological uptake in the liver, which is also the organ in which metastases of NET</w:t>
      </w:r>
      <w:r w:rsidR="006217CF">
        <w:rPr>
          <w:color w:val="auto"/>
        </w:rPr>
        <w:t>s</w:t>
      </w:r>
      <w:r w:rsidR="0060317C" w:rsidRPr="004521EA">
        <w:rPr>
          <w:color w:val="auto"/>
        </w:rPr>
        <w:t xml:space="preserve"> are the most common.</w:t>
      </w:r>
      <w:r w:rsidR="00B767C1" w:rsidRPr="004521EA">
        <w:rPr>
          <w:color w:val="auto"/>
        </w:rPr>
        <w:t xml:space="preserve"> Liver uptake is peptide dependent, but the differences between peptides are small and not clinically relevant</w:t>
      </w:r>
      <w:r w:rsidR="00B767C1" w:rsidRPr="004521EA">
        <w:rPr>
          <w:color w:val="auto"/>
          <w:vertAlign w:val="superscript"/>
        </w:rPr>
        <w:t>1</w:t>
      </w:r>
      <w:r w:rsidR="00850724" w:rsidRPr="004521EA">
        <w:rPr>
          <w:color w:val="auto"/>
          <w:vertAlign w:val="superscript"/>
        </w:rPr>
        <w:t>5</w:t>
      </w:r>
      <w:r w:rsidR="006217CF">
        <w:rPr>
          <w:color w:val="auto"/>
          <w:vertAlign w:val="superscript"/>
        </w:rPr>
        <w:t>–</w:t>
      </w:r>
      <w:r w:rsidR="00850724" w:rsidRPr="004521EA">
        <w:rPr>
          <w:color w:val="auto"/>
          <w:vertAlign w:val="superscript"/>
        </w:rPr>
        <w:t>16</w:t>
      </w:r>
      <w:r w:rsidR="006217CF" w:rsidRPr="004521EA">
        <w:rPr>
          <w:color w:val="auto"/>
        </w:rPr>
        <w:t>.</w:t>
      </w:r>
      <w:r w:rsidR="0060317C" w:rsidRPr="004521EA">
        <w:rPr>
          <w:color w:val="auto"/>
        </w:rPr>
        <w:t xml:space="preserve"> </w:t>
      </w:r>
      <w:r w:rsidR="006217CF">
        <w:rPr>
          <w:color w:val="auto"/>
        </w:rPr>
        <w:t>The v</w:t>
      </w:r>
      <w:r w:rsidR="00DA6D7A" w:rsidRPr="004521EA">
        <w:rPr>
          <w:color w:val="auto"/>
        </w:rPr>
        <w:t>isualization of s</w:t>
      </w:r>
      <w:r w:rsidR="00F22A44" w:rsidRPr="004521EA">
        <w:rPr>
          <w:color w:val="auto"/>
        </w:rPr>
        <w:t xml:space="preserve">maller liver lesions with </w:t>
      </w:r>
      <w:r w:rsidR="006217CF">
        <w:rPr>
          <w:color w:val="auto"/>
        </w:rPr>
        <w:t xml:space="preserve">a </w:t>
      </w:r>
      <w:r w:rsidR="00F22A44" w:rsidRPr="004521EA">
        <w:rPr>
          <w:color w:val="auto"/>
        </w:rPr>
        <w:t>moderate somatostatin</w:t>
      </w:r>
      <w:r w:rsidR="0059020C" w:rsidRPr="004521EA">
        <w:rPr>
          <w:color w:val="auto"/>
        </w:rPr>
        <w:t xml:space="preserve"> receptor</w:t>
      </w:r>
      <w:r w:rsidR="00F22A44" w:rsidRPr="004521EA">
        <w:rPr>
          <w:color w:val="auto"/>
        </w:rPr>
        <w:t xml:space="preserve"> expression </w:t>
      </w:r>
      <w:r w:rsidR="00DA6D7A" w:rsidRPr="004521EA">
        <w:rPr>
          <w:color w:val="auto"/>
        </w:rPr>
        <w:t>will not be possible in all cases. When a clinical suspicion of liver lesions with negative findings on</w:t>
      </w:r>
      <w:r w:rsidR="00F22A44" w:rsidRPr="004521EA">
        <w:rPr>
          <w:color w:val="auto"/>
        </w:rPr>
        <w:t xml:space="preserve"> </w:t>
      </w:r>
      <w:r w:rsidR="00DA6D7A" w:rsidRPr="004521EA">
        <w:rPr>
          <w:color w:val="auto"/>
          <w:vertAlign w:val="superscript"/>
        </w:rPr>
        <w:t>68</w:t>
      </w:r>
      <w:r w:rsidR="00DA6D7A" w:rsidRPr="004521EA">
        <w:rPr>
          <w:color w:val="auto"/>
        </w:rPr>
        <w:t>Ga-DOTATATE</w:t>
      </w:r>
      <w:r w:rsidR="00FB067E" w:rsidRPr="00FB067E">
        <w:rPr>
          <w:color w:val="auto"/>
        </w:rPr>
        <w:t xml:space="preserve"> </w:t>
      </w:r>
      <w:r w:rsidR="00FB067E" w:rsidRPr="004521EA">
        <w:rPr>
          <w:color w:val="auto"/>
        </w:rPr>
        <w:t>does exist</w:t>
      </w:r>
      <w:r w:rsidR="00DA6D7A" w:rsidRPr="004521EA">
        <w:rPr>
          <w:color w:val="auto"/>
        </w:rPr>
        <w:t xml:space="preserve">, dedicated CT or MR imaging of the liver is recommended. </w:t>
      </w:r>
      <w:r w:rsidR="00D51FC9" w:rsidRPr="004521EA">
        <w:rPr>
          <w:color w:val="auto"/>
        </w:rPr>
        <w:t xml:space="preserve">Third, </w:t>
      </w:r>
      <w:r w:rsidR="00D51FC9" w:rsidRPr="004521EA">
        <w:rPr>
          <w:color w:val="auto"/>
          <w:vertAlign w:val="superscript"/>
        </w:rPr>
        <w:t>68</w:t>
      </w:r>
      <w:r w:rsidR="00D51FC9" w:rsidRPr="004521EA">
        <w:rPr>
          <w:color w:val="auto"/>
        </w:rPr>
        <w:t>Ga-DOTATATE imaging is limited by the resolution of the PET system</w:t>
      </w:r>
      <w:r w:rsidR="00FB067E">
        <w:rPr>
          <w:color w:val="auto"/>
        </w:rPr>
        <w:t>,</w:t>
      </w:r>
      <w:r w:rsidR="00CA067A" w:rsidRPr="004521EA">
        <w:rPr>
          <w:color w:val="auto"/>
        </w:rPr>
        <w:t xml:space="preserve"> which lies around </w:t>
      </w:r>
      <w:r w:rsidR="00E155B5" w:rsidRPr="004521EA">
        <w:rPr>
          <w:color w:val="auto"/>
        </w:rPr>
        <w:t>5 mm</w:t>
      </w:r>
      <w:r w:rsidR="00D51FC9" w:rsidRPr="004521EA">
        <w:rPr>
          <w:color w:val="auto"/>
        </w:rPr>
        <w:t xml:space="preserve">. </w:t>
      </w:r>
      <w:r w:rsidR="00D769D5" w:rsidRPr="004521EA">
        <w:rPr>
          <w:color w:val="auto"/>
        </w:rPr>
        <w:t xml:space="preserve">Lesions smaller than </w:t>
      </w:r>
      <w:r w:rsidR="00E155B5" w:rsidRPr="004521EA">
        <w:rPr>
          <w:color w:val="auto"/>
        </w:rPr>
        <w:t>5 mm</w:t>
      </w:r>
      <w:r w:rsidR="00D769D5" w:rsidRPr="004521EA">
        <w:rPr>
          <w:color w:val="auto"/>
        </w:rPr>
        <w:t xml:space="preserve"> will only be detected </w:t>
      </w:r>
      <w:r w:rsidR="00CB5CAC" w:rsidRPr="004521EA">
        <w:rPr>
          <w:color w:val="auto"/>
        </w:rPr>
        <w:t xml:space="preserve">if there is </w:t>
      </w:r>
      <w:r w:rsidR="00FB067E">
        <w:rPr>
          <w:color w:val="auto"/>
        </w:rPr>
        <w:t xml:space="preserve">a </w:t>
      </w:r>
      <w:r w:rsidR="00CB5CAC" w:rsidRPr="004521EA">
        <w:rPr>
          <w:color w:val="auto"/>
        </w:rPr>
        <w:t xml:space="preserve">high uptake of </w:t>
      </w:r>
      <w:r w:rsidR="00CB5CAC" w:rsidRPr="004521EA">
        <w:rPr>
          <w:color w:val="auto"/>
          <w:vertAlign w:val="superscript"/>
        </w:rPr>
        <w:t>68</w:t>
      </w:r>
      <w:r w:rsidR="00CB5CAC" w:rsidRPr="004521EA">
        <w:rPr>
          <w:color w:val="auto"/>
        </w:rPr>
        <w:t xml:space="preserve">Ga-DOTATATE. </w:t>
      </w:r>
    </w:p>
    <w:p w14:paraId="0DD5E505" w14:textId="77777777" w:rsidR="00730852" w:rsidRPr="004521EA" w:rsidRDefault="00730852" w:rsidP="008337F6">
      <w:pPr>
        <w:widowControl/>
        <w:rPr>
          <w:color w:val="auto"/>
        </w:rPr>
      </w:pPr>
    </w:p>
    <w:p w14:paraId="0D2A4DDA" w14:textId="715A3E63" w:rsidR="000C397C" w:rsidRDefault="00730852" w:rsidP="008337F6">
      <w:pPr>
        <w:widowControl/>
        <w:rPr>
          <w:color w:val="auto"/>
        </w:rPr>
      </w:pPr>
      <w:r w:rsidRPr="004521EA">
        <w:rPr>
          <w:color w:val="auto"/>
        </w:rPr>
        <w:t xml:space="preserve">The use of long-acting somatostatin analogs prior to </w:t>
      </w:r>
      <w:r w:rsidRPr="004521EA">
        <w:rPr>
          <w:color w:val="auto"/>
          <w:vertAlign w:val="superscript"/>
        </w:rPr>
        <w:t>68</w:t>
      </w:r>
      <w:r w:rsidRPr="004521EA">
        <w:rPr>
          <w:color w:val="auto"/>
        </w:rPr>
        <w:t>Ga-SRS imaging</w:t>
      </w:r>
      <w:r w:rsidRPr="004521EA">
        <w:rPr>
          <w:color w:val="auto"/>
          <w:vertAlign w:val="superscript"/>
        </w:rPr>
        <w:t xml:space="preserve"> </w:t>
      </w:r>
      <w:r w:rsidRPr="004521EA">
        <w:rPr>
          <w:color w:val="auto"/>
        </w:rPr>
        <w:t xml:space="preserve">has been controversial. The current guideline recommends </w:t>
      </w:r>
      <w:r w:rsidR="00FB067E">
        <w:rPr>
          <w:color w:val="auto"/>
        </w:rPr>
        <w:t xml:space="preserve">the </w:t>
      </w:r>
      <w:r w:rsidR="000D7D37" w:rsidRPr="004521EA">
        <w:rPr>
          <w:color w:val="auto"/>
        </w:rPr>
        <w:t>discontinuation of long-acting somatostatin analogs 4</w:t>
      </w:r>
      <w:r w:rsidR="00FB067E">
        <w:rPr>
          <w:color w:val="auto"/>
        </w:rPr>
        <w:t>–</w:t>
      </w:r>
      <w:r w:rsidR="000D7D37" w:rsidRPr="004521EA">
        <w:rPr>
          <w:color w:val="auto"/>
        </w:rPr>
        <w:t xml:space="preserve">6 weeks prior to imaging </w:t>
      </w:r>
      <w:r w:rsidR="00FB067E">
        <w:rPr>
          <w:color w:val="auto"/>
        </w:rPr>
        <w:t>because of</w:t>
      </w:r>
      <w:r w:rsidR="000D7D37" w:rsidRPr="004521EA">
        <w:rPr>
          <w:color w:val="auto"/>
        </w:rPr>
        <w:t xml:space="preserve"> concerns of reduced uptake in tumor lesions</w:t>
      </w:r>
      <w:r w:rsidR="000D7D37" w:rsidRPr="004521EA">
        <w:rPr>
          <w:color w:val="auto"/>
          <w:vertAlign w:val="superscript"/>
        </w:rPr>
        <w:t>1</w:t>
      </w:r>
      <w:r w:rsidR="00850724" w:rsidRPr="004521EA">
        <w:rPr>
          <w:color w:val="auto"/>
          <w:vertAlign w:val="superscript"/>
        </w:rPr>
        <w:t>3</w:t>
      </w:r>
      <w:r w:rsidR="00FB067E" w:rsidRPr="004521EA">
        <w:rPr>
          <w:color w:val="auto"/>
        </w:rPr>
        <w:t>.</w:t>
      </w:r>
      <w:r w:rsidR="000D7D37" w:rsidRPr="004521EA">
        <w:rPr>
          <w:color w:val="auto"/>
        </w:rPr>
        <w:t xml:space="preserve"> </w:t>
      </w:r>
      <w:r w:rsidR="0040379C" w:rsidRPr="004521EA">
        <w:rPr>
          <w:color w:val="auto"/>
        </w:rPr>
        <w:t>However, a</w:t>
      </w:r>
      <w:r w:rsidR="000D7D37" w:rsidRPr="004521EA">
        <w:rPr>
          <w:color w:val="auto"/>
        </w:rPr>
        <w:t xml:space="preserve"> recent prospective intrapatient comparison demonstrated </w:t>
      </w:r>
      <w:r w:rsidR="005F688A" w:rsidRPr="004521EA">
        <w:rPr>
          <w:color w:val="auto"/>
        </w:rPr>
        <w:t xml:space="preserve">that the long-acting somatostatin analog </w:t>
      </w:r>
      <w:r w:rsidR="00FB067E">
        <w:rPr>
          <w:color w:val="auto"/>
        </w:rPr>
        <w:t>l</w:t>
      </w:r>
      <w:r w:rsidR="005F688A" w:rsidRPr="004521EA">
        <w:rPr>
          <w:color w:val="auto"/>
        </w:rPr>
        <w:t xml:space="preserve">anreotide did not reduce </w:t>
      </w:r>
      <w:r w:rsidR="00FB067E">
        <w:rPr>
          <w:color w:val="auto"/>
        </w:rPr>
        <w:t xml:space="preserve">the </w:t>
      </w:r>
      <w:r w:rsidR="005F688A" w:rsidRPr="004521EA">
        <w:rPr>
          <w:color w:val="auto"/>
        </w:rPr>
        <w:t xml:space="preserve">tumor uptake of </w:t>
      </w:r>
      <w:r w:rsidR="005F688A" w:rsidRPr="004521EA">
        <w:rPr>
          <w:color w:val="auto"/>
          <w:vertAlign w:val="superscript"/>
        </w:rPr>
        <w:t>68</w:t>
      </w:r>
      <w:r w:rsidR="005F688A" w:rsidRPr="004521EA">
        <w:rPr>
          <w:color w:val="auto"/>
        </w:rPr>
        <w:t>Ga-DOTATATE but led to a slight increase in tumor-to-background ratios</w:t>
      </w:r>
      <w:r w:rsidR="00B767C1" w:rsidRPr="004521EA">
        <w:rPr>
          <w:color w:val="auto"/>
          <w:vertAlign w:val="superscript"/>
        </w:rPr>
        <w:t>1</w:t>
      </w:r>
      <w:r w:rsidR="00850724" w:rsidRPr="004521EA">
        <w:rPr>
          <w:color w:val="auto"/>
          <w:vertAlign w:val="superscript"/>
        </w:rPr>
        <w:t>7</w:t>
      </w:r>
      <w:r w:rsidR="00FB067E" w:rsidRPr="004521EA">
        <w:rPr>
          <w:color w:val="auto"/>
        </w:rPr>
        <w:t>.</w:t>
      </w:r>
      <w:r w:rsidR="005F688A" w:rsidRPr="004521EA">
        <w:rPr>
          <w:color w:val="auto"/>
          <w:vertAlign w:val="superscript"/>
        </w:rPr>
        <w:t xml:space="preserve"> </w:t>
      </w:r>
      <w:r w:rsidR="0040379C" w:rsidRPr="004521EA">
        <w:rPr>
          <w:color w:val="auto"/>
        </w:rPr>
        <w:t xml:space="preserve">Serial </w:t>
      </w:r>
      <w:r w:rsidR="0040379C" w:rsidRPr="004521EA">
        <w:rPr>
          <w:color w:val="auto"/>
          <w:vertAlign w:val="superscript"/>
        </w:rPr>
        <w:t>68</w:t>
      </w:r>
      <w:r w:rsidR="0040379C" w:rsidRPr="004521EA">
        <w:rPr>
          <w:color w:val="auto"/>
        </w:rPr>
        <w:t xml:space="preserve">Ga-SRS PET/CT imaging performed under the same conditions, either with or without long-acting somatostatin analogs, will produce the most stable results. </w:t>
      </w:r>
    </w:p>
    <w:p w14:paraId="450AA655" w14:textId="77777777" w:rsidR="00FB067E" w:rsidRPr="004521EA" w:rsidRDefault="00FB067E" w:rsidP="008337F6">
      <w:pPr>
        <w:widowControl/>
        <w:rPr>
          <w:color w:val="auto"/>
        </w:rPr>
      </w:pPr>
    </w:p>
    <w:p w14:paraId="77961C9D" w14:textId="79E9C2BA" w:rsidR="00D32B3D" w:rsidRPr="004521EA" w:rsidRDefault="009537F9" w:rsidP="008337F6">
      <w:pPr>
        <w:widowControl/>
        <w:rPr>
          <w:color w:val="auto"/>
        </w:rPr>
      </w:pPr>
      <w:r w:rsidRPr="004521EA">
        <w:rPr>
          <w:color w:val="auto"/>
          <w:vertAlign w:val="superscript"/>
        </w:rPr>
        <w:t>68</w:t>
      </w:r>
      <w:r w:rsidRPr="004521EA">
        <w:rPr>
          <w:color w:val="auto"/>
        </w:rPr>
        <w:t xml:space="preserve">Ga-somatostatin receptor imaging as described in this paper is performed with </w:t>
      </w:r>
      <w:r w:rsidRPr="004521EA">
        <w:rPr>
          <w:color w:val="auto"/>
          <w:vertAlign w:val="superscript"/>
        </w:rPr>
        <w:t>68</w:t>
      </w:r>
      <w:r w:rsidRPr="004521EA">
        <w:rPr>
          <w:color w:val="auto"/>
        </w:rPr>
        <w:t>Ga-DOTATATE, but other peptides</w:t>
      </w:r>
      <w:r w:rsidR="00FB067E">
        <w:rPr>
          <w:color w:val="auto"/>
        </w:rPr>
        <w:t>,</w:t>
      </w:r>
      <w:r w:rsidRPr="004521EA">
        <w:rPr>
          <w:color w:val="auto"/>
        </w:rPr>
        <w:t xml:space="preserve"> such as </w:t>
      </w:r>
      <w:r w:rsidRPr="004521EA">
        <w:rPr>
          <w:color w:val="auto"/>
          <w:vertAlign w:val="superscript"/>
        </w:rPr>
        <w:t>68</w:t>
      </w:r>
      <w:r w:rsidRPr="004521EA">
        <w:rPr>
          <w:color w:val="auto"/>
        </w:rPr>
        <w:t xml:space="preserve">Ga-DOTATOC and </w:t>
      </w:r>
      <w:r w:rsidRPr="004521EA">
        <w:rPr>
          <w:color w:val="auto"/>
          <w:vertAlign w:val="superscript"/>
        </w:rPr>
        <w:t>68</w:t>
      </w:r>
      <w:r w:rsidRPr="004521EA">
        <w:rPr>
          <w:color w:val="auto"/>
        </w:rPr>
        <w:t>Ga-DOTANOC</w:t>
      </w:r>
      <w:r w:rsidR="00FB067E">
        <w:rPr>
          <w:color w:val="auto"/>
        </w:rPr>
        <w:t>,</w:t>
      </w:r>
      <w:r w:rsidRPr="004521EA">
        <w:rPr>
          <w:color w:val="auto"/>
        </w:rPr>
        <w:t xml:space="preserve"> are also suitable. </w:t>
      </w:r>
      <w:r w:rsidR="00062DEA" w:rsidRPr="004521EA">
        <w:rPr>
          <w:color w:val="auto"/>
        </w:rPr>
        <w:t>The three peptides show small differences in their affinity for the five different subtypes of the somatostatin receptor, but all have high specificity and sensitivity for NET</w:t>
      </w:r>
      <w:r w:rsidR="00FB067E">
        <w:rPr>
          <w:color w:val="auto"/>
        </w:rPr>
        <w:t>s</w:t>
      </w:r>
      <w:r w:rsidR="00062DEA" w:rsidRPr="004521EA">
        <w:rPr>
          <w:color w:val="auto"/>
        </w:rPr>
        <w:t xml:space="preserve">. </w:t>
      </w:r>
      <w:r w:rsidR="009571CB" w:rsidRPr="004521EA">
        <w:rPr>
          <w:color w:val="auto"/>
        </w:rPr>
        <w:t>The choice of peptide should be made according to regulatory approval, cost, and availability.</w:t>
      </w:r>
    </w:p>
    <w:p w14:paraId="5DFD4D6A" w14:textId="77777777" w:rsidR="00445AEF" w:rsidRPr="004521EA" w:rsidRDefault="00445AEF" w:rsidP="008337F6">
      <w:pPr>
        <w:widowControl/>
        <w:rPr>
          <w:color w:val="auto"/>
        </w:rPr>
      </w:pPr>
    </w:p>
    <w:p w14:paraId="1762B20F" w14:textId="2E185D5E" w:rsidR="005430E6" w:rsidRPr="004521EA" w:rsidRDefault="00B97EFA" w:rsidP="008337F6">
      <w:pPr>
        <w:widowControl/>
        <w:rPr>
          <w:color w:val="auto"/>
        </w:rPr>
      </w:pPr>
      <w:r w:rsidRPr="004521EA">
        <w:rPr>
          <w:color w:val="auto"/>
        </w:rPr>
        <w:t xml:space="preserve">In conclusion, </w:t>
      </w:r>
      <w:r w:rsidRPr="004521EA">
        <w:rPr>
          <w:color w:val="auto"/>
          <w:vertAlign w:val="superscript"/>
        </w:rPr>
        <w:t>68</w:t>
      </w:r>
      <w:r w:rsidRPr="004521EA">
        <w:rPr>
          <w:color w:val="auto"/>
        </w:rPr>
        <w:t xml:space="preserve">Ga-DOTATATE PET/CT imaging of neuroendocrine tumors has become standard of care. </w:t>
      </w:r>
      <w:r w:rsidR="00D62CD3" w:rsidRPr="004521EA">
        <w:rPr>
          <w:color w:val="auto"/>
        </w:rPr>
        <w:t xml:space="preserve">This protocol describes the production, quality control, and PET/CT imaging of </w:t>
      </w:r>
      <w:r w:rsidR="00D62CD3" w:rsidRPr="004521EA">
        <w:rPr>
          <w:color w:val="auto"/>
          <w:vertAlign w:val="superscript"/>
        </w:rPr>
        <w:t>68</w:t>
      </w:r>
      <w:r w:rsidR="00D62CD3" w:rsidRPr="004521EA">
        <w:rPr>
          <w:color w:val="auto"/>
        </w:rPr>
        <w:t xml:space="preserve">Ga-DOTATATE. </w:t>
      </w:r>
    </w:p>
    <w:p w14:paraId="09D8AA93" w14:textId="77777777" w:rsidR="00B97EFA" w:rsidRPr="004521EA" w:rsidRDefault="00B97EFA" w:rsidP="008337F6">
      <w:pPr>
        <w:widowControl/>
        <w:rPr>
          <w:color w:val="auto"/>
        </w:rPr>
      </w:pPr>
    </w:p>
    <w:p w14:paraId="1734505F" w14:textId="47350C61" w:rsidR="00AA03DF" w:rsidRPr="004521EA" w:rsidRDefault="00AA03DF" w:rsidP="008337F6">
      <w:pPr>
        <w:pStyle w:val="NormalWeb"/>
        <w:widowControl/>
        <w:spacing w:before="0" w:beforeAutospacing="0" w:after="0" w:afterAutospacing="0"/>
        <w:rPr>
          <w:color w:val="808080"/>
        </w:rPr>
      </w:pPr>
      <w:r w:rsidRPr="004521EA">
        <w:rPr>
          <w:b/>
          <w:bCs/>
        </w:rPr>
        <w:t xml:space="preserve">ACKNOWLEDGMENTS: </w:t>
      </w:r>
    </w:p>
    <w:p w14:paraId="246DCD94" w14:textId="77C2AD4C" w:rsidR="007A4DD6" w:rsidRPr="004521EA" w:rsidRDefault="008C11BB" w:rsidP="008337F6">
      <w:pPr>
        <w:widowControl/>
        <w:rPr>
          <w:color w:val="auto"/>
        </w:rPr>
      </w:pPr>
      <w:r w:rsidRPr="004521EA">
        <w:rPr>
          <w:color w:val="auto"/>
        </w:rPr>
        <w:t xml:space="preserve">The authors acknowledge all the staff involved in </w:t>
      </w:r>
      <w:r w:rsidRPr="004521EA">
        <w:rPr>
          <w:color w:val="auto"/>
          <w:vertAlign w:val="superscript"/>
        </w:rPr>
        <w:t>68</w:t>
      </w:r>
      <w:r w:rsidRPr="004521EA">
        <w:rPr>
          <w:color w:val="auto"/>
        </w:rPr>
        <w:t>Ga-DOTATATE PET/CT imaging</w:t>
      </w:r>
      <w:r w:rsidR="00027336" w:rsidRPr="00027336">
        <w:rPr>
          <w:color w:val="auto"/>
        </w:rPr>
        <w:t xml:space="preserve"> </w:t>
      </w:r>
      <w:r w:rsidR="00027336" w:rsidRPr="004521EA">
        <w:rPr>
          <w:color w:val="auto"/>
        </w:rPr>
        <w:t>at the department of Nuclear Medicine at the Netherlands Cancer Institute</w:t>
      </w:r>
      <w:r w:rsidRPr="004521EA">
        <w:rPr>
          <w:color w:val="auto"/>
        </w:rPr>
        <w:t xml:space="preserve">. </w:t>
      </w:r>
    </w:p>
    <w:p w14:paraId="2D96E92E" w14:textId="72F287DC" w:rsidR="00AA03DF" w:rsidRPr="004521EA" w:rsidRDefault="00AA03DF" w:rsidP="008337F6">
      <w:pPr>
        <w:widowControl/>
        <w:rPr>
          <w:b/>
          <w:bCs/>
        </w:rPr>
      </w:pPr>
    </w:p>
    <w:p w14:paraId="5D52ED8B" w14:textId="7AC73479" w:rsidR="00AA03DF" w:rsidRPr="004521EA" w:rsidRDefault="00AA03DF" w:rsidP="008337F6">
      <w:pPr>
        <w:pStyle w:val="NormalWeb"/>
        <w:widowControl/>
        <w:spacing w:before="0" w:beforeAutospacing="0" w:after="0" w:afterAutospacing="0"/>
        <w:rPr>
          <w:color w:val="808080"/>
        </w:rPr>
      </w:pPr>
      <w:r w:rsidRPr="004521EA">
        <w:rPr>
          <w:b/>
        </w:rPr>
        <w:t>DISCLOSURES</w:t>
      </w:r>
      <w:r w:rsidRPr="004521EA">
        <w:rPr>
          <w:b/>
          <w:bCs/>
        </w:rPr>
        <w:t xml:space="preserve">: </w:t>
      </w:r>
    </w:p>
    <w:p w14:paraId="4E0C3135" w14:textId="1E3E60E6" w:rsidR="007A4DD6" w:rsidRPr="004521EA" w:rsidRDefault="008C11BB" w:rsidP="008337F6">
      <w:pPr>
        <w:widowControl/>
        <w:rPr>
          <w:color w:val="auto"/>
        </w:rPr>
      </w:pPr>
      <w:r w:rsidRPr="004521EA">
        <w:rPr>
          <w:color w:val="auto"/>
        </w:rPr>
        <w:t xml:space="preserve">The authors have nothing to disclose. </w:t>
      </w:r>
    </w:p>
    <w:p w14:paraId="66030076" w14:textId="77777777" w:rsidR="00AA03DF" w:rsidRPr="004521EA" w:rsidRDefault="00AA03DF" w:rsidP="008337F6">
      <w:pPr>
        <w:widowControl/>
        <w:rPr>
          <w:color w:val="auto"/>
        </w:rPr>
      </w:pPr>
    </w:p>
    <w:p w14:paraId="6FEB176F" w14:textId="027F27C3" w:rsidR="00AD674E" w:rsidRPr="004521EA" w:rsidRDefault="009726EE" w:rsidP="008337F6">
      <w:pPr>
        <w:widowControl/>
        <w:rPr>
          <w:b/>
          <w:color w:val="000000" w:themeColor="text1"/>
        </w:rPr>
      </w:pPr>
      <w:r w:rsidRPr="004521EA">
        <w:rPr>
          <w:b/>
          <w:bCs/>
        </w:rPr>
        <w:t>REFERENCES</w:t>
      </w:r>
      <w:r w:rsidR="008567C2" w:rsidRPr="004521EA">
        <w:rPr>
          <w:b/>
          <w:bCs/>
        </w:rPr>
        <w:t>:</w:t>
      </w:r>
    </w:p>
    <w:p w14:paraId="3EB93545" w14:textId="63250DB9" w:rsidR="00C97C9D" w:rsidRPr="00B26C89" w:rsidRDefault="00C97C9D" w:rsidP="00B26C89">
      <w:pPr>
        <w:pStyle w:val="ListParagraph"/>
        <w:widowControl/>
        <w:numPr>
          <w:ilvl w:val="0"/>
          <w:numId w:val="30"/>
        </w:numPr>
        <w:ind w:left="0" w:firstLine="0"/>
        <w:rPr>
          <w:color w:val="auto"/>
        </w:rPr>
      </w:pPr>
      <w:r w:rsidRPr="004521EA">
        <w:rPr>
          <w:color w:val="auto"/>
        </w:rPr>
        <w:t xml:space="preserve">Oronsky, B., Ma, P.C., Morgensztern, D., Carter, C.A. Nothing but NET: A Review of Neuroendocrine Tumors and Carcinomas. </w:t>
      </w:r>
      <w:r w:rsidRPr="004521EA">
        <w:rPr>
          <w:i/>
          <w:color w:val="auto"/>
        </w:rPr>
        <w:t>Neoplasia.</w:t>
      </w:r>
      <w:r w:rsidRPr="004521EA">
        <w:rPr>
          <w:color w:val="auto"/>
        </w:rPr>
        <w:t xml:space="preserve"> </w:t>
      </w:r>
      <w:r w:rsidRPr="004521EA">
        <w:rPr>
          <w:b/>
          <w:color w:val="auto"/>
        </w:rPr>
        <w:t>19</w:t>
      </w:r>
      <w:r w:rsidRPr="004521EA">
        <w:rPr>
          <w:color w:val="auto"/>
        </w:rPr>
        <w:t xml:space="preserve"> (12), 991-1002 (2017).</w:t>
      </w:r>
    </w:p>
    <w:p w14:paraId="4A5CA295" w14:textId="6764CD78" w:rsidR="00AC4724" w:rsidRPr="00B26C89" w:rsidRDefault="00AC4724" w:rsidP="00B26C89">
      <w:pPr>
        <w:pStyle w:val="ListParagraph"/>
        <w:widowControl/>
        <w:numPr>
          <w:ilvl w:val="0"/>
          <w:numId w:val="30"/>
        </w:numPr>
        <w:ind w:left="0" w:firstLine="0"/>
        <w:rPr>
          <w:color w:val="auto"/>
        </w:rPr>
      </w:pPr>
      <w:r w:rsidRPr="004521EA">
        <w:rPr>
          <w:color w:val="auto"/>
        </w:rPr>
        <w:lastRenderedPageBreak/>
        <w:t xml:space="preserve">Dasari, A. </w:t>
      </w:r>
      <w:r w:rsidRPr="00B26C89">
        <w:rPr>
          <w:color w:val="auto"/>
        </w:rPr>
        <w:t>et al</w:t>
      </w:r>
      <w:r w:rsidRPr="001D5EC6">
        <w:rPr>
          <w:color w:val="auto"/>
        </w:rPr>
        <w:t>.</w:t>
      </w:r>
      <w:r w:rsidRPr="004521EA">
        <w:rPr>
          <w:color w:val="auto"/>
        </w:rPr>
        <w:t xml:space="preserve"> Trends in the Incidence, Prevalence, and Survival Outcomes in Patients With Neuroendocrine Tumors in the United States. </w:t>
      </w:r>
      <w:r w:rsidRPr="004521EA">
        <w:rPr>
          <w:i/>
          <w:color w:val="auto"/>
        </w:rPr>
        <w:t>JAMA Oncol</w:t>
      </w:r>
      <w:r w:rsidR="00FF06C4" w:rsidRPr="004521EA">
        <w:rPr>
          <w:i/>
          <w:color w:val="auto"/>
        </w:rPr>
        <w:t>ogy</w:t>
      </w:r>
      <w:r w:rsidRPr="004521EA">
        <w:rPr>
          <w:color w:val="auto"/>
        </w:rPr>
        <w:t xml:space="preserve">. </w:t>
      </w:r>
      <w:r w:rsidRPr="004521EA">
        <w:rPr>
          <w:b/>
          <w:color w:val="auto"/>
        </w:rPr>
        <w:t>3</w:t>
      </w:r>
      <w:r w:rsidRPr="004521EA">
        <w:rPr>
          <w:color w:val="auto"/>
        </w:rPr>
        <w:t xml:space="preserve"> (10), 1335-1342 (2017).</w:t>
      </w:r>
    </w:p>
    <w:p w14:paraId="576BA83F" w14:textId="16A33C08" w:rsidR="00AC4724" w:rsidRPr="00B26C89" w:rsidRDefault="00AC4724" w:rsidP="00B26C89">
      <w:pPr>
        <w:pStyle w:val="ListParagraph"/>
        <w:widowControl/>
        <w:numPr>
          <w:ilvl w:val="0"/>
          <w:numId w:val="30"/>
        </w:numPr>
        <w:ind w:left="0" w:firstLine="0"/>
        <w:rPr>
          <w:color w:val="auto"/>
        </w:rPr>
      </w:pPr>
      <w:r w:rsidRPr="004521EA">
        <w:rPr>
          <w:color w:val="auto"/>
        </w:rPr>
        <w:t xml:space="preserve">Krenning, E.P. </w:t>
      </w:r>
      <w:r w:rsidRPr="00B26C89">
        <w:rPr>
          <w:color w:val="auto"/>
        </w:rPr>
        <w:t>et al</w:t>
      </w:r>
      <w:r w:rsidRPr="001D5EC6">
        <w:rPr>
          <w:color w:val="auto"/>
        </w:rPr>
        <w:t>.</w:t>
      </w:r>
      <w:r w:rsidRPr="004521EA">
        <w:rPr>
          <w:color w:val="auto"/>
        </w:rPr>
        <w:t xml:space="preserve"> Localistion of endocrine-related tumours with radioiodinated analogue of somatostatin. </w:t>
      </w:r>
      <w:r w:rsidRPr="004521EA">
        <w:rPr>
          <w:i/>
          <w:color w:val="auto"/>
        </w:rPr>
        <w:t>The Lancet</w:t>
      </w:r>
      <w:r w:rsidRPr="004521EA">
        <w:rPr>
          <w:color w:val="auto"/>
        </w:rPr>
        <w:t xml:space="preserve">. </w:t>
      </w:r>
      <w:r w:rsidRPr="004521EA">
        <w:rPr>
          <w:b/>
          <w:color w:val="auto"/>
        </w:rPr>
        <w:t xml:space="preserve">333 </w:t>
      </w:r>
      <w:r w:rsidRPr="004521EA">
        <w:rPr>
          <w:color w:val="auto"/>
        </w:rPr>
        <w:t>(8632), 242-244 (1989).</w:t>
      </w:r>
    </w:p>
    <w:p w14:paraId="7985AAA2" w14:textId="0EFB51AC" w:rsidR="00AC4724" w:rsidRPr="00B26C89" w:rsidRDefault="00AC4724" w:rsidP="00B26C89">
      <w:pPr>
        <w:pStyle w:val="ListParagraph"/>
        <w:widowControl/>
        <w:numPr>
          <w:ilvl w:val="0"/>
          <w:numId w:val="30"/>
        </w:numPr>
        <w:ind w:left="0" w:firstLine="0"/>
        <w:rPr>
          <w:color w:val="auto"/>
        </w:rPr>
      </w:pPr>
      <w:r w:rsidRPr="004521EA">
        <w:rPr>
          <w:color w:val="auto"/>
        </w:rPr>
        <w:t xml:space="preserve">Krenning, E.P. </w:t>
      </w:r>
      <w:r w:rsidRPr="00B26C89">
        <w:rPr>
          <w:color w:val="auto"/>
        </w:rPr>
        <w:t>et al.</w:t>
      </w:r>
      <w:r w:rsidRPr="004521EA">
        <w:rPr>
          <w:color w:val="auto"/>
        </w:rPr>
        <w:t xml:space="preserve"> Somatostatin receptor scintigraphy with [111In-DTPA-D-Phe1]- and [123I-Tyr3]-octreotide: the Rotterdam experience with more than 1000 patients. </w:t>
      </w:r>
      <w:r w:rsidRPr="004521EA">
        <w:rPr>
          <w:i/>
          <w:color w:val="auto"/>
        </w:rPr>
        <w:t>Eur</w:t>
      </w:r>
      <w:r w:rsidR="00FF06C4" w:rsidRPr="004521EA">
        <w:rPr>
          <w:i/>
          <w:color w:val="auto"/>
        </w:rPr>
        <w:t>opean</w:t>
      </w:r>
      <w:r w:rsidRPr="004521EA">
        <w:rPr>
          <w:i/>
          <w:color w:val="auto"/>
        </w:rPr>
        <w:t xml:space="preserve"> J</w:t>
      </w:r>
      <w:r w:rsidR="00FF06C4" w:rsidRPr="004521EA">
        <w:rPr>
          <w:i/>
          <w:color w:val="auto"/>
        </w:rPr>
        <w:t>ournal of</w:t>
      </w:r>
      <w:r w:rsidRPr="004521EA">
        <w:rPr>
          <w:i/>
          <w:color w:val="auto"/>
        </w:rPr>
        <w:t xml:space="preserve"> Nucl</w:t>
      </w:r>
      <w:r w:rsidR="00FF06C4" w:rsidRPr="004521EA">
        <w:rPr>
          <w:i/>
          <w:color w:val="auto"/>
        </w:rPr>
        <w:t>ear</w:t>
      </w:r>
      <w:r w:rsidRPr="004521EA">
        <w:rPr>
          <w:i/>
          <w:color w:val="auto"/>
        </w:rPr>
        <w:t xml:space="preserve"> Med</w:t>
      </w:r>
      <w:r w:rsidR="00FF06C4" w:rsidRPr="004521EA">
        <w:rPr>
          <w:i/>
          <w:color w:val="auto"/>
        </w:rPr>
        <w:t>icine</w:t>
      </w:r>
      <w:r w:rsidRPr="004521EA">
        <w:rPr>
          <w:color w:val="auto"/>
        </w:rPr>
        <w:t xml:space="preserve">. </w:t>
      </w:r>
      <w:r w:rsidRPr="004521EA">
        <w:rPr>
          <w:b/>
          <w:color w:val="auto"/>
        </w:rPr>
        <w:t>20</w:t>
      </w:r>
      <w:r w:rsidRPr="004521EA">
        <w:rPr>
          <w:color w:val="auto"/>
        </w:rPr>
        <w:t xml:space="preserve"> (8), 716-731 (1993).</w:t>
      </w:r>
    </w:p>
    <w:p w14:paraId="7CBE45E5" w14:textId="69A34FA9" w:rsidR="00C97C9D" w:rsidRPr="00B26C89" w:rsidRDefault="00AC4724" w:rsidP="00B26C89">
      <w:pPr>
        <w:pStyle w:val="ListParagraph"/>
        <w:widowControl/>
        <w:numPr>
          <w:ilvl w:val="0"/>
          <w:numId w:val="30"/>
        </w:numPr>
        <w:ind w:left="0" w:firstLine="0"/>
        <w:rPr>
          <w:b/>
          <w:color w:val="808080"/>
        </w:rPr>
      </w:pPr>
      <w:r w:rsidRPr="004521EA">
        <w:rPr>
          <w:color w:val="auto"/>
        </w:rPr>
        <w:t xml:space="preserve">Balon, H.R. </w:t>
      </w:r>
      <w:r w:rsidRPr="00B26C89">
        <w:rPr>
          <w:color w:val="auto"/>
        </w:rPr>
        <w:t>et al</w:t>
      </w:r>
      <w:r w:rsidRPr="001D5EC6">
        <w:rPr>
          <w:color w:val="auto"/>
        </w:rPr>
        <w:t>.</w:t>
      </w:r>
      <w:r w:rsidRPr="004521EA">
        <w:rPr>
          <w:color w:val="auto"/>
        </w:rPr>
        <w:t xml:space="preserve"> Procedure guideline for somatostatin receptor scintigraphy with (111)In-pentetreotide. </w:t>
      </w:r>
      <w:r w:rsidRPr="004521EA">
        <w:rPr>
          <w:i/>
          <w:color w:val="auto"/>
        </w:rPr>
        <w:t>J</w:t>
      </w:r>
      <w:r w:rsidR="00FF06C4" w:rsidRPr="004521EA">
        <w:rPr>
          <w:i/>
          <w:color w:val="auto"/>
        </w:rPr>
        <w:t>ournal of</w:t>
      </w:r>
      <w:r w:rsidRPr="004521EA">
        <w:rPr>
          <w:i/>
          <w:color w:val="auto"/>
        </w:rPr>
        <w:t xml:space="preserve"> Nucl</w:t>
      </w:r>
      <w:r w:rsidR="00FF06C4" w:rsidRPr="004521EA">
        <w:rPr>
          <w:i/>
          <w:color w:val="auto"/>
        </w:rPr>
        <w:t>ear</w:t>
      </w:r>
      <w:r w:rsidRPr="004521EA">
        <w:rPr>
          <w:i/>
          <w:color w:val="auto"/>
        </w:rPr>
        <w:t xml:space="preserve"> Med</w:t>
      </w:r>
      <w:r w:rsidR="00FF06C4" w:rsidRPr="004521EA">
        <w:rPr>
          <w:i/>
          <w:color w:val="auto"/>
        </w:rPr>
        <w:t>icine</w:t>
      </w:r>
      <w:r w:rsidRPr="004521EA">
        <w:rPr>
          <w:color w:val="auto"/>
        </w:rPr>
        <w:t xml:space="preserve">. </w:t>
      </w:r>
      <w:r w:rsidRPr="004521EA">
        <w:rPr>
          <w:b/>
          <w:color w:val="auto"/>
        </w:rPr>
        <w:t>42</w:t>
      </w:r>
      <w:r w:rsidRPr="004521EA">
        <w:rPr>
          <w:color w:val="auto"/>
        </w:rPr>
        <w:t xml:space="preserve"> (7), 1134-1138 (2001). </w:t>
      </w:r>
    </w:p>
    <w:p w14:paraId="4F63C191" w14:textId="18CED136" w:rsidR="00F16755" w:rsidRPr="00B26C89" w:rsidRDefault="00AC4724" w:rsidP="00B26C89">
      <w:pPr>
        <w:pStyle w:val="ListParagraph"/>
        <w:widowControl/>
        <w:numPr>
          <w:ilvl w:val="0"/>
          <w:numId w:val="30"/>
        </w:numPr>
        <w:ind w:left="0" w:firstLine="0"/>
        <w:rPr>
          <w:color w:val="auto"/>
        </w:rPr>
      </w:pPr>
      <w:r w:rsidRPr="004521EA">
        <w:rPr>
          <w:color w:val="auto"/>
        </w:rPr>
        <w:t xml:space="preserve">Kayani, I. </w:t>
      </w:r>
      <w:r w:rsidRPr="00B26C89">
        <w:rPr>
          <w:color w:val="auto"/>
        </w:rPr>
        <w:t>et al</w:t>
      </w:r>
      <w:r w:rsidRPr="001D5EC6">
        <w:rPr>
          <w:color w:val="auto"/>
        </w:rPr>
        <w:t>.</w:t>
      </w:r>
      <w:r w:rsidRPr="004521EA">
        <w:rPr>
          <w:color w:val="auto"/>
        </w:rPr>
        <w:t xml:space="preserve"> Functional Imaging of Neuroendocrine Tumors With Combined PET/CT Using </w:t>
      </w:r>
      <w:r w:rsidRPr="004521EA">
        <w:rPr>
          <w:color w:val="auto"/>
          <w:vertAlign w:val="superscript"/>
        </w:rPr>
        <w:t>68</w:t>
      </w:r>
      <w:r w:rsidRPr="004521EA">
        <w:rPr>
          <w:color w:val="auto"/>
        </w:rPr>
        <w:t xml:space="preserve">Ga-DOTATATE (Dota-DPhe1,Tyr3-octreotate) and </w:t>
      </w:r>
      <w:r w:rsidRPr="004521EA">
        <w:rPr>
          <w:color w:val="auto"/>
          <w:vertAlign w:val="superscript"/>
        </w:rPr>
        <w:t>18</w:t>
      </w:r>
      <w:r w:rsidRPr="004521EA">
        <w:rPr>
          <w:color w:val="auto"/>
        </w:rPr>
        <w:t xml:space="preserve">F-FDG. </w:t>
      </w:r>
      <w:r w:rsidRPr="004521EA">
        <w:rPr>
          <w:i/>
          <w:color w:val="auto"/>
        </w:rPr>
        <w:t>Cancer</w:t>
      </w:r>
      <w:r w:rsidRPr="004521EA">
        <w:rPr>
          <w:color w:val="auto"/>
        </w:rPr>
        <w:t xml:space="preserve">. </w:t>
      </w:r>
      <w:r w:rsidRPr="004521EA">
        <w:rPr>
          <w:b/>
          <w:color w:val="auto"/>
        </w:rPr>
        <w:t xml:space="preserve">112 </w:t>
      </w:r>
      <w:r w:rsidRPr="004521EA">
        <w:rPr>
          <w:color w:val="auto"/>
        </w:rPr>
        <w:t>(11), 2447-2455 (2008).</w:t>
      </w:r>
    </w:p>
    <w:p w14:paraId="7DD2DDF3" w14:textId="513CB266" w:rsidR="00F16755" w:rsidRPr="00B26C89" w:rsidRDefault="00F16755" w:rsidP="00B26C89">
      <w:pPr>
        <w:pStyle w:val="ListParagraph"/>
        <w:widowControl/>
        <w:numPr>
          <w:ilvl w:val="0"/>
          <w:numId w:val="30"/>
        </w:numPr>
        <w:ind w:left="0" w:firstLine="0"/>
        <w:rPr>
          <w:color w:val="auto"/>
        </w:rPr>
      </w:pPr>
      <w:r w:rsidRPr="004521EA">
        <w:rPr>
          <w:color w:val="auto"/>
        </w:rPr>
        <w:t xml:space="preserve">Hofman, M.S., Kong, G., Neels, O.C., Hong, E., Hicks, R.J. High management impact of Ga-68 DOTATATE (GaTate) PET/CT for imaging neuroendocrine and other somatostatin expressing tumours. </w:t>
      </w:r>
      <w:r w:rsidRPr="004521EA">
        <w:rPr>
          <w:i/>
          <w:color w:val="auto"/>
        </w:rPr>
        <w:t>J</w:t>
      </w:r>
      <w:r w:rsidR="00FF06C4" w:rsidRPr="004521EA">
        <w:rPr>
          <w:i/>
          <w:color w:val="auto"/>
        </w:rPr>
        <w:t>ournal of</w:t>
      </w:r>
      <w:r w:rsidRPr="004521EA">
        <w:rPr>
          <w:i/>
          <w:color w:val="auto"/>
        </w:rPr>
        <w:t xml:space="preserve"> Med</w:t>
      </w:r>
      <w:r w:rsidR="00FF06C4" w:rsidRPr="004521EA">
        <w:rPr>
          <w:i/>
          <w:color w:val="auto"/>
        </w:rPr>
        <w:t>ical</w:t>
      </w:r>
      <w:r w:rsidRPr="004521EA">
        <w:rPr>
          <w:i/>
          <w:color w:val="auto"/>
        </w:rPr>
        <w:t xml:space="preserve"> Imaging </w:t>
      </w:r>
      <w:r w:rsidR="00FF06C4" w:rsidRPr="004521EA">
        <w:rPr>
          <w:i/>
          <w:color w:val="auto"/>
        </w:rPr>
        <w:t xml:space="preserve">and </w:t>
      </w:r>
      <w:r w:rsidRPr="004521EA">
        <w:rPr>
          <w:i/>
          <w:color w:val="auto"/>
        </w:rPr>
        <w:t>Radiat</w:t>
      </w:r>
      <w:r w:rsidR="00FF06C4" w:rsidRPr="004521EA">
        <w:rPr>
          <w:i/>
          <w:color w:val="auto"/>
        </w:rPr>
        <w:t>ion</w:t>
      </w:r>
      <w:r w:rsidRPr="004521EA">
        <w:rPr>
          <w:i/>
          <w:color w:val="auto"/>
        </w:rPr>
        <w:t xml:space="preserve"> Oncol</w:t>
      </w:r>
      <w:r w:rsidR="00FF06C4" w:rsidRPr="004521EA">
        <w:rPr>
          <w:i/>
          <w:color w:val="auto"/>
        </w:rPr>
        <w:t>ogy</w:t>
      </w:r>
      <w:r w:rsidRPr="004521EA">
        <w:rPr>
          <w:color w:val="auto"/>
        </w:rPr>
        <w:t xml:space="preserve">. </w:t>
      </w:r>
      <w:r w:rsidRPr="004521EA">
        <w:rPr>
          <w:b/>
          <w:color w:val="auto"/>
        </w:rPr>
        <w:t xml:space="preserve">56 </w:t>
      </w:r>
      <w:r w:rsidRPr="004521EA">
        <w:rPr>
          <w:color w:val="auto"/>
        </w:rPr>
        <w:t xml:space="preserve">(1), 40-47 (2012). </w:t>
      </w:r>
    </w:p>
    <w:p w14:paraId="1A5EB691" w14:textId="3D4FC4A9" w:rsidR="00F16755" w:rsidRPr="00B26C89" w:rsidRDefault="00F16755" w:rsidP="00B26C89">
      <w:pPr>
        <w:pStyle w:val="ListParagraph"/>
        <w:widowControl/>
        <w:numPr>
          <w:ilvl w:val="0"/>
          <w:numId w:val="30"/>
        </w:numPr>
        <w:ind w:left="0" w:firstLine="0"/>
        <w:rPr>
          <w:color w:val="auto"/>
        </w:rPr>
      </w:pPr>
      <w:r w:rsidRPr="004521EA">
        <w:rPr>
          <w:color w:val="auto"/>
        </w:rPr>
        <w:t>Srirajaskanthan, R.</w:t>
      </w:r>
      <w:r w:rsidR="001D5EC6">
        <w:rPr>
          <w:color w:val="auto"/>
        </w:rPr>
        <w:t xml:space="preserve"> et al</w:t>
      </w:r>
      <w:r w:rsidRPr="004521EA">
        <w:rPr>
          <w:color w:val="auto"/>
        </w:rPr>
        <w:t>.</w:t>
      </w:r>
      <w:r w:rsidRPr="004521EA">
        <w:t xml:space="preserve"> </w:t>
      </w:r>
      <w:r w:rsidRPr="004521EA">
        <w:rPr>
          <w:color w:val="auto"/>
        </w:rPr>
        <w:t xml:space="preserve">The role of </w:t>
      </w:r>
      <w:r w:rsidRPr="004521EA">
        <w:rPr>
          <w:color w:val="auto"/>
          <w:vertAlign w:val="superscript"/>
        </w:rPr>
        <w:t>68</w:t>
      </w:r>
      <w:r w:rsidRPr="004521EA">
        <w:rPr>
          <w:color w:val="auto"/>
        </w:rPr>
        <w:t xml:space="preserve">Ga-DOTATATE PET in patients with neuroendocrine tumors and negative or equivocal findings on 111In-DTPA-octreotide scintigraphy. </w:t>
      </w:r>
      <w:r w:rsidRPr="004521EA">
        <w:rPr>
          <w:i/>
          <w:color w:val="auto"/>
        </w:rPr>
        <w:t>J</w:t>
      </w:r>
      <w:r w:rsidR="00FF06C4" w:rsidRPr="004521EA">
        <w:rPr>
          <w:i/>
          <w:color w:val="auto"/>
        </w:rPr>
        <w:t>ournal of</w:t>
      </w:r>
      <w:r w:rsidRPr="004521EA">
        <w:rPr>
          <w:i/>
          <w:color w:val="auto"/>
        </w:rPr>
        <w:t xml:space="preserve"> Nucl</w:t>
      </w:r>
      <w:r w:rsidR="00FF06C4" w:rsidRPr="004521EA">
        <w:rPr>
          <w:i/>
          <w:color w:val="auto"/>
        </w:rPr>
        <w:t>ear</w:t>
      </w:r>
      <w:r w:rsidRPr="004521EA">
        <w:rPr>
          <w:i/>
          <w:color w:val="auto"/>
        </w:rPr>
        <w:t xml:space="preserve"> Med</w:t>
      </w:r>
      <w:r w:rsidR="00FF06C4" w:rsidRPr="004521EA">
        <w:rPr>
          <w:i/>
          <w:color w:val="auto"/>
        </w:rPr>
        <w:t>icine</w:t>
      </w:r>
      <w:r w:rsidRPr="004521EA">
        <w:rPr>
          <w:color w:val="auto"/>
        </w:rPr>
        <w:t xml:space="preserve">. </w:t>
      </w:r>
      <w:r w:rsidRPr="004521EA">
        <w:rPr>
          <w:b/>
          <w:color w:val="auto"/>
        </w:rPr>
        <w:t>51</w:t>
      </w:r>
      <w:r w:rsidRPr="004521EA">
        <w:rPr>
          <w:color w:val="auto"/>
        </w:rPr>
        <w:t xml:space="preserve"> (6), 875-882 (2010).</w:t>
      </w:r>
    </w:p>
    <w:p w14:paraId="430410F8" w14:textId="63B82655" w:rsidR="00F16755" w:rsidRPr="00B26C89" w:rsidRDefault="00F16755" w:rsidP="00B26C89">
      <w:pPr>
        <w:pStyle w:val="ListParagraph"/>
        <w:widowControl/>
        <w:numPr>
          <w:ilvl w:val="0"/>
          <w:numId w:val="30"/>
        </w:numPr>
        <w:ind w:left="0" w:firstLine="0"/>
        <w:rPr>
          <w:color w:val="auto"/>
        </w:rPr>
      </w:pPr>
      <w:r w:rsidRPr="004521EA">
        <w:rPr>
          <w:color w:val="auto"/>
        </w:rPr>
        <w:t xml:space="preserve">Deppen, S.A. </w:t>
      </w:r>
      <w:r w:rsidRPr="004521EA">
        <w:rPr>
          <w:color w:val="auto"/>
          <w:vertAlign w:val="superscript"/>
        </w:rPr>
        <w:t>68</w:t>
      </w:r>
      <w:r w:rsidRPr="004521EA">
        <w:rPr>
          <w:color w:val="auto"/>
        </w:rPr>
        <w:t xml:space="preserve">Ga-DOTATATE Compared with </w:t>
      </w:r>
      <w:r w:rsidRPr="004521EA">
        <w:rPr>
          <w:color w:val="auto"/>
          <w:vertAlign w:val="superscript"/>
        </w:rPr>
        <w:t>111</w:t>
      </w:r>
      <w:r w:rsidRPr="004521EA">
        <w:rPr>
          <w:color w:val="auto"/>
        </w:rPr>
        <w:t xml:space="preserve">In-DTPA-Octreotide and Conventional Imaging for Pulmonary and Gastroenteropancreatic Neuroendocrine Tumors: A Systematic Review and Meta-Analysis. </w:t>
      </w:r>
      <w:r w:rsidRPr="004521EA">
        <w:rPr>
          <w:i/>
          <w:color w:val="auto"/>
        </w:rPr>
        <w:t>J</w:t>
      </w:r>
      <w:r w:rsidR="00FF06C4" w:rsidRPr="004521EA">
        <w:rPr>
          <w:i/>
          <w:color w:val="auto"/>
        </w:rPr>
        <w:t>ournal of</w:t>
      </w:r>
      <w:r w:rsidRPr="004521EA">
        <w:rPr>
          <w:i/>
          <w:color w:val="auto"/>
        </w:rPr>
        <w:t xml:space="preserve"> Nucl</w:t>
      </w:r>
      <w:r w:rsidR="00FF06C4" w:rsidRPr="004521EA">
        <w:rPr>
          <w:i/>
          <w:color w:val="auto"/>
        </w:rPr>
        <w:t>ear</w:t>
      </w:r>
      <w:r w:rsidRPr="004521EA">
        <w:rPr>
          <w:i/>
          <w:color w:val="auto"/>
        </w:rPr>
        <w:t xml:space="preserve"> Med</w:t>
      </w:r>
      <w:r w:rsidR="00FF06C4" w:rsidRPr="004521EA">
        <w:rPr>
          <w:i/>
          <w:color w:val="auto"/>
        </w:rPr>
        <w:t>icine</w:t>
      </w:r>
      <w:r w:rsidRPr="004521EA">
        <w:rPr>
          <w:color w:val="auto"/>
        </w:rPr>
        <w:t xml:space="preserve">. </w:t>
      </w:r>
      <w:r w:rsidRPr="004521EA">
        <w:rPr>
          <w:b/>
          <w:color w:val="auto"/>
        </w:rPr>
        <w:t xml:space="preserve">57 </w:t>
      </w:r>
      <w:r w:rsidRPr="004521EA">
        <w:rPr>
          <w:color w:val="auto"/>
        </w:rPr>
        <w:t>(6), 872-878 (2016).</w:t>
      </w:r>
    </w:p>
    <w:p w14:paraId="3972CEB8" w14:textId="6D5292E1" w:rsidR="00F16755" w:rsidRPr="00B26C89" w:rsidRDefault="00F16755" w:rsidP="00B26C89">
      <w:pPr>
        <w:pStyle w:val="ListParagraph"/>
        <w:widowControl/>
        <w:numPr>
          <w:ilvl w:val="0"/>
          <w:numId w:val="30"/>
        </w:numPr>
        <w:ind w:left="0" w:firstLine="0"/>
        <w:rPr>
          <w:color w:val="auto"/>
        </w:rPr>
      </w:pPr>
      <w:r w:rsidRPr="004521EA">
        <w:rPr>
          <w:color w:val="auto"/>
        </w:rPr>
        <w:t>Yang, J.</w:t>
      </w:r>
      <w:r w:rsidR="001D5EC6">
        <w:rPr>
          <w:color w:val="auto"/>
        </w:rPr>
        <w:t xml:space="preserve"> et al</w:t>
      </w:r>
      <w:r w:rsidRPr="004521EA">
        <w:rPr>
          <w:color w:val="auto"/>
        </w:rPr>
        <w:t xml:space="preserve">. Diagnostic role of Gallium-68 DOTATOC and Gallium-68 DOTATATE PET in patients with neuroendocrine tumors: a meta-analysis. </w:t>
      </w:r>
      <w:r w:rsidRPr="004521EA">
        <w:rPr>
          <w:i/>
          <w:color w:val="auto"/>
        </w:rPr>
        <w:t>Acta Radiol</w:t>
      </w:r>
      <w:r w:rsidR="00FF06C4" w:rsidRPr="004521EA">
        <w:rPr>
          <w:i/>
          <w:color w:val="auto"/>
        </w:rPr>
        <w:t>ogica</w:t>
      </w:r>
      <w:r w:rsidRPr="004521EA">
        <w:rPr>
          <w:color w:val="auto"/>
        </w:rPr>
        <w:t xml:space="preserve">. </w:t>
      </w:r>
      <w:r w:rsidRPr="004521EA">
        <w:rPr>
          <w:b/>
          <w:color w:val="auto"/>
        </w:rPr>
        <w:t>55</w:t>
      </w:r>
      <w:r w:rsidRPr="004521EA">
        <w:rPr>
          <w:color w:val="auto"/>
        </w:rPr>
        <w:t xml:space="preserve"> (4), 389-398 (2014).</w:t>
      </w:r>
    </w:p>
    <w:p w14:paraId="799C499C" w14:textId="244B285E" w:rsidR="00F16755" w:rsidRPr="00B26C89" w:rsidRDefault="00F16755" w:rsidP="00B26C89">
      <w:pPr>
        <w:pStyle w:val="ListParagraph"/>
        <w:widowControl/>
        <w:numPr>
          <w:ilvl w:val="0"/>
          <w:numId w:val="30"/>
        </w:numPr>
        <w:ind w:left="0" w:firstLine="0"/>
        <w:rPr>
          <w:color w:val="auto"/>
        </w:rPr>
      </w:pPr>
      <w:r w:rsidRPr="004521EA">
        <w:rPr>
          <w:color w:val="auto"/>
        </w:rPr>
        <w:t xml:space="preserve">Barrio, M. </w:t>
      </w:r>
      <w:r w:rsidRPr="00B26C89">
        <w:rPr>
          <w:color w:val="auto"/>
        </w:rPr>
        <w:t>et al.</w:t>
      </w:r>
      <w:r w:rsidRPr="004521EA">
        <w:rPr>
          <w:color w:val="auto"/>
        </w:rPr>
        <w:t xml:space="preserve"> The Impact of Somatostatin Receptor-Directed PET/CT on the Management of Patients with Neuroendocrine Tumor: A Systematic Review and Meta-Analysis. </w:t>
      </w:r>
      <w:r w:rsidRPr="004521EA">
        <w:rPr>
          <w:i/>
          <w:color w:val="auto"/>
        </w:rPr>
        <w:t>J</w:t>
      </w:r>
      <w:r w:rsidR="00FF06C4" w:rsidRPr="004521EA">
        <w:rPr>
          <w:i/>
          <w:color w:val="auto"/>
        </w:rPr>
        <w:t>ournal of</w:t>
      </w:r>
      <w:r w:rsidRPr="004521EA">
        <w:rPr>
          <w:i/>
          <w:color w:val="auto"/>
        </w:rPr>
        <w:t xml:space="preserve"> Nucl</w:t>
      </w:r>
      <w:r w:rsidR="00FF06C4" w:rsidRPr="004521EA">
        <w:rPr>
          <w:i/>
          <w:color w:val="auto"/>
        </w:rPr>
        <w:t>ear</w:t>
      </w:r>
      <w:r w:rsidRPr="004521EA">
        <w:rPr>
          <w:i/>
          <w:color w:val="auto"/>
        </w:rPr>
        <w:t xml:space="preserve"> Med</w:t>
      </w:r>
      <w:r w:rsidR="00FF06C4" w:rsidRPr="004521EA">
        <w:rPr>
          <w:i/>
          <w:color w:val="auto"/>
        </w:rPr>
        <w:t>icine</w:t>
      </w:r>
      <w:r w:rsidRPr="004521EA">
        <w:rPr>
          <w:color w:val="auto"/>
        </w:rPr>
        <w:t xml:space="preserve">. </w:t>
      </w:r>
      <w:r w:rsidRPr="004521EA">
        <w:rPr>
          <w:b/>
          <w:color w:val="auto"/>
        </w:rPr>
        <w:t>58</w:t>
      </w:r>
      <w:r w:rsidRPr="004521EA">
        <w:rPr>
          <w:color w:val="auto"/>
        </w:rPr>
        <w:t xml:space="preserve"> (5), 756-761 (2017).</w:t>
      </w:r>
    </w:p>
    <w:p w14:paraId="0879AE46" w14:textId="14D65060" w:rsidR="00850724" w:rsidRPr="001D5EC6" w:rsidRDefault="00F16755" w:rsidP="00B26C89">
      <w:pPr>
        <w:pStyle w:val="ListParagraph"/>
        <w:widowControl/>
        <w:numPr>
          <w:ilvl w:val="0"/>
          <w:numId w:val="30"/>
        </w:numPr>
        <w:ind w:left="0" w:firstLine="0"/>
        <w:rPr>
          <w:color w:val="auto"/>
        </w:rPr>
      </w:pPr>
      <w:r w:rsidRPr="004521EA">
        <w:rPr>
          <w:color w:val="auto"/>
        </w:rPr>
        <w:t xml:space="preserve">Strosberg, J.R. </w:t>
      </w:r>
      <w:r w:rsidRPr="00B26C89">
        <w:rPr>
          <w:color w:val="auto"/>
        </w:rPr>
        <w:t>et al</w:t>
      </w:r>
      <w:r w:rsidRPr="001D5EC6">
        <w:rPr>
          <w:color w:val="auto"/>
        </w:rPr>
        <w:t>.</w:t>
      </w:r>
      <w:r w:rsidRPr="004521EA">
        <w:rPr>
          <w:color w:val="auto"/>
        </w:rPr>
        <w:t xml:space="preserve"> The North American Neuroendocrine Tumor Society Consensus Guidelines for Surveillance and Medical Management of Midgut Neuroendocrine Tumors. </w:t>
      </w:r>
      <w:r w:rsidRPr="004521EA">
        <w:rPr>
          <w:i/>
          <w:color w:val="auto"/>
        </w:rPr>
        <w:t>Pancreas</w:t>
      </w:r>
      <w:r w:rsidRPr="004521EA">
        <w:rPr>
          <w:color w:val="auto"/>
        </w:rPr>
        <w:t xml:space="preserve">. </w:t>
      </w:r>
      <w:r w:rsidRPr="004521EA">
        <w:rPr>
          <w:b/>
          <w:color w:val="auto"/>
        </w:rPr>
        <w:t xml:space="preserve">46 </w:t>
      </w:r>
      <w:r w:rsidRPr="004521EA">
        <w:rPr>
          <w:color w:val="auto"/>
        </w:rPr>
        <w:t xml:space="preserve">(6), 707-714 (2017). </w:t>
      </w:r>
    </w:p>
    <w:p w14:paraId="26F264D8" w14:textId="3E75FD46" w:rsidR="00850724" w:rsidRPr="00B26C89" w:rsidRDefault="00850724" w:rsidP="00B26C89">
      <w:pPr>
        <w:pStyle w:val="ListParagraph"/>
        <w:widowControl/>
        <w:numPr>
          <w:ilvl w:val="0"/>
          <w:numId w:val="30"/>
        </w:numPr>
        <w:ind w:left="0" w:firstLine="0"/>
        <w:rPr>
          <w:color w:val="auto"/>
        </w:rPr>
      </w:pPr>
      <w:r w:rsidRPr="004521EA">
        <w:rPr>
          <w:color w:val="auto"/>
        </w:rPr>
        <w:t xml:space="preserve">Virgolini, I. </w:t>
      </w:r>
      <w:r w:rsidRPr="00B26C89">
        <w:rPr>
          <w:color w:val="auto"/>
        </w:rPr>
        <w:t>et al</w:t>
      </w:r>
      <w:r w:rsidRPr="001D5EC6">
        <w:rPr>
          <w:color w:val="auto"/>
        </w:rPr>
        <w:t>.</w:t>
      </w:r>
      <w:r w:rsidRPr="004521EA">
        <w:rPr>
          <w:color w:val="auto"/>
        </w:rPr>
        <w:t xml:space="preserve"> Procedure guidelines for PET/CT tumour imaging with 68Ga-DOTA-conjugated peptides: 68Ga-DOTA-TOC, 68Ga-DOTA-NOC, 68Ga-DOTA-TATE. </w:t>
      </w:r>
      <w:r w:rsidRPr="004521EA">
        <w:rPr>
          <w:i/>
          <w:color w:val="auto"/>
        </w:rPr>
        <w:t xml:space="preserve">European Journal of Nuclear Medicine and </w:t>
      </w:r>
      <w:r w:rsidR="001D5EC6" w:rsidRPr="004521EA">
        <w:rPr>
          <w:i/>
          <w:color w:val="auto"/>
        </w:rPr>
        <w:t xml:space="preserve">Molecular </w:t>
      </w:r>
      <w:r w:rsidRPr="004521EA">
        <w:rPr>
          <w:i/>
          <w:color w:val="auto"/>
        </w:rPr>
        <w:t>Imaging</w:t>
      </w:r>
      <w:r w:rsidRPr="004521EA">
        <w:rPr>
          <w:color w:val="auto"/>
        </w:rPr>
        <w:t xml:space="preserve">. </w:t>
      </w:r>
      <w:r w:rsidRPr="004521EA">
        <w:rPr>
          <w:b/>
          <w:color w:val="auto"/>
        </w:rPr>
        <w:t xml:space="preserve">67 </w:t>
      </w:r>
      <w:r w:rsidRPr="004521EA">
        <w:rPr>
          <w:color w:val="auto"/>
        </w:rPr>
        <w:t xml:space="preserve">(10), 2004-2010 (2010). </w:t>
      </w:r>
    </w:p>
    <w:p w14:paraId="280CF1F4" w14:textId="566DB5AF" w:rsidR="00B767C1" w:rsidRPr="001D5EC6" w:rsidRDefault="00313C1E" w:rsidP="00B26C89">
      <w:pPr>
        <w:pStyle w:val="ListParagraph"/>
        <w:widowControl/>
        <w:numPr>
          <w:ilvl w:val="0"/>
          <w:numId w:val="30"/>
        </w:numPr>
        <w:ind w:left="0" w:firstLine="0"/>
        <w:rPr>
          <w:color w:val="auto"/>
        </w:rPr>
      </w:pPr>
      <w:r>
        <w:rPr>
          <w:color w:val="auto"/>
        </w:rPr>
        <w:t>European Directorate for the Quality of Medicines &amp; Healthcare (EDQM)</w:t>
      </w:r>
      <w:r w:rsidR="001D5EC6">
        <w:rPr>
          <w:color w:val="auto"/>
        </w:rPr>
        <w:t xml:space="preserve">. </w:t>
      </w:r>
      <w:r w:rsidR="00850724" w:rsidRPr="004521EA">
        <w:rPr>
          <w:color w:val="auto"/>
        </w:rPr>
        <w:t>Monograph 01/2013:2482 Gallium (68Ga) edotreotide injection.</w:t>
      </w:r>
      <w:r w:rsidR="001D5EC6">
        <w:rPr>
          <w:color w:val="auto"/>
        </w:rPr>
        <w:t xml:space="preserve"> In </w:t>
      </w:r>
      <w:r w:rsidR="001D5EC6" w:rsidRPr="00B26C89">
        <w:rPr>
          <w:i/>
          <w:color w:val="auto"/>
        </w:rPr>
        <w:t>European Pharmacopoeia 9</w:t>
      </w:r>
      <w:r w:rsidR="001D5EC6" w:rsidRPr="00B26C89">
        <w:rPr>
          <w:i/>
          <w:color w:val="auto"/>
          <w:vertAlign w:val="superscript"/>
        </w:rPr>
        <w:t>th</w:t>
      </w:r>
      <w:r w:rsidR="001D5EC6">
        <w:rPr>
          <w:i/>
          <w:color w:val="auto"/>
        </w:rPr>
        <w:t xml:space="preserve"> Edition</w:t>
      </w:r>
      <w:r>
        <w:rPr>
          <w:color w:val="auto"/>
        </w:rPr>
        <w:t xml:space="preserve"> (2017).</w:t>
      </w:r>
      <w:r w:rsidR="001D5EC6">
        <w:rPr>
          <w:color w:val="auto"/>
        </w:rPr>
        <w:t xml:space="preserve"> </w:t>
      </w:r>
    </w:p>
    <w:p w14:paraId="37BFA44B" w14:textId="2ADEF871" w:rsidR="00B767C1" w:rsidRPr="001D5EC6" w:rsidRDefault="00B767C1" w:rsidP="00B26C89">
      <w:pPr>
        <w:pStyle w:val="ListParagraph"/>
        <w:widowControl/>
        <w:numPr>
          <w:ilvl w:val="0"/>
          <w:numId w:val="30"/>
        </w:numPr>
        <w:ind w:left="0" w:firstLine="0"/>
        <w:rPr>
          <w:color w:val="auto"/>
        </w:rPr>
      </w:pPr>
      <w:r w:rsidRPr="004521EA">
        <w:rPr>
          <w:color w:val="auto"/>
        </w:rPr>
        <w:t xml:space="preserve">Brogsitter, C. </w:t>
      </w:r>
      <w:r w:rsidRPr="00B26C89">
        <w:rPr>
          <w:color w:val="auto"/>
        </w:rPr>
        <w:t>et al</w:t>
      </w:r>
      <w:r w:rsidRPr="00313C1E">
        <w:rPr>
          <w:color w:val="auto"/>
        </w:rPr>
        <w:t>.</w:t>
      </w:r>
      <w:r w:rsidRPr="004521EA">
        <w:rPr>
          <w:color w:val="auto"/>
        </w:rPr>
        <w:t xml:space="preserve"> Twins in spirit part II: DOTATATE and high-affinity DOTATATE – the clinical experience. </w:t>
      </w:r>
      <w:r w:rsidRPr="004521EA">
        <w:rPr>
          <w:i/>
          <w:color w:val="auto"/>
        </w:rPr>
        <w:t xml:space="preserve">European Journal of Nuclear Medicine and </w:t>
      </w:r>
      <w:r w:rsidR="00313C1E" w:rsidRPr="004521EA">
        <w:rPr>
          <w:i/>
          <w:color w:val="auto"/>
        </w:rPr>
        <w:t>Molecular</w:t>
      </w:r>
      <w:r w:rsidRPr="004521EA">
        <w:rPr>
          <w:i/>
          <w:color w:val="auto"/>
        </w:rPr>
        <w:t xml:space="preserve"> Imaging</w:t>
      </w:r>
      <w:r w:rsidRPr="004521EA">
        <w:rPr>
          <w:color w:val="auto"/>
        </w:rPr>
        <w:t xml:space="preserve">. </w:t>
      </w:r>
      <w:r w:rsidRPr="004521EA">
        <w:rPr>
          <w:b/>
          <w:color w:val="auto"/>
        </w:rPr>
        <w:t>41</w:t>
      </w:r>
      <w:r w:rsidRPr="004521EA">
        <w:rPr>
          <w:color w:val="auto"/>
        </w:rPr>
        <w:t xml:space="preserve"> (6), 1158-1165 (2014).</w:t>
      </w:r>
    </w:p>
    <w:p w14:paraId="70CE7770" w14:textId="2385B080" w:rsidR="00334E5D" w:rsidRPr="00B26C89" w:rsidRDefault="00B767C1" w:rsidP="00B26C89">
      <w:pPr>
        <w:pStyle w:val="ListParagraph"/>
        <w:widowControl/>
        <w:numPr>
          <w:ilvl w:val="0"/>
          <w:numId w:val="30"/>
        </w:numPr>
        <w:ind w:left="0" w:firstLine="0"/>
        <w:rPr>
          <w:color w:val="auto"/>
        </w:rPr>
      </w:pPr>
      <w:r w:rsidRPr="004521EA">
        <w:rPr>
          <w:color w:val="auto"/>
        </w:rPr>
        <w:t xml:space="preserve">Sandström, M. </w:t>
      </w:r>
      <w:r w:rsidRPr="00B26C89">
        <w:rPr>
          <w:color w:val="auto"/>
        </w:rPr>
        <w:t>et al</w:t>
      </w:r>
      <w:r w:rsidRPr="00313C1E">
        <w:rPr>
          <w:color w:val="auto"/>
        </w:rPr>
        <w:t>.</w:t>
      </w:r>
      <w:r w:rsidRPr="004521EA">
        <w:rPr>
          <w:color w:val="auto"/>
        </w:rPr>
        <w:t xml:space="preserve"> Comparative biodistribution and radiation dosimetry of </w:t>
      </w:r>
      <w:r w:rsidRPr="004521EA">
        <w:rPr>
          <w:color w:val="auto"/>
          <w:vertAlign w:val="superscript"/>
        </w:rPr>
        <w:t>68</w:t>
      </w:r>
      <w:r w:rsidRPr="004521EA">
        <w:rPr>
          <w:color w:val="auto"/>
        </w:rPr>
        <w:t xml:space="preserve">Ga-DOTATOC and </w:t>
      </w:r>
      <w:r w:rsidRPr="004521EA">
        <w:rPr>
          <w:color w:val="auto"/>
          <w:vertAlign w:val="superscript"/>
        </w:rPr>
        <w:t>68</w:t>
      </w:r>
      <w:r w:rsidRPr="004521EA">
        <w:rPr>
          <w:color w:val="auto"/>
        </w:rPr>
        <w:t xml:space="preserve">Ga-DOTATATE in patients with neuroendocrine tumors. </w:t>
      </w:r>
      <w:r w:rsidRPr="004521EA">
        <w:rPr>
          <w:i/>
          <w:color w:val="auto"/>
        </w:rPr>
        <w:t>Journal of Nuclear Medicine</w:t>
      </w:r>
      <w:r w:rsidRPr="004521EA">
        <w:rPr>
          <w:color w:val="auto"/>
        </w:rPr>
        <w:t xml:space="preserve">. </w:t>
      </w:r>
      <w:r w:rsidRPr="004521EA">
        <w:rPr>
          <w:b/>
          <w:color w:val="auto"/>
        </w:rPr>
        <w:t xml:space="preserve">54 </w:t>
      </w:r>
      <w:r w:rsidRPr="004521EA">
        <w:rPr>
          <w:color w:val="auto"/>
        </w:rPr>
        <w:t xml:space="preserve">(10), 1755-1759 (2013). </w:t>
      </w:r>
    </w:p>
    <w:p w14:paraId="065B1F5A" w14:textId="5AD0ED53" w:rsidR="00334E5D" w:rsidRPr="004521EA" w:rsidRDefault="00334E5D" w:rsidP="008337F6">
      <w:pPr>
        <w:pStyle w:val="ListParagraph"/>
        <w:widowControl/>
        <w:numPr>
          <w:ilvl w:val="0"/>
          <w:numId w:val="30"/>
        </w:numPr>
        <w:ind w:left="0" w:firstLine="0"/>
        <w:rPr>
          <w:color w:val="auto"/>
        </w:rPr>
      </w:pPr>
      <w:r w:rsidRPr="004521EA">
        <w:rPr>
          <w:color w:val="auto"/>
        </w:rPr>
        <w:t>Aalbersberg, E.A.</w:t>
      </w:r>
      <w:r w:rsidRPr="00313C1E">
        <w:rPr>
          <w:color w:val="auto"/>
        </w:rPr>
        <w:t xml:space="preserve"> </w:t>
      </w:r>
      <w:r w:rsidRPr="00B26C89">
        <w:rPr>
          <w:color w:val="auto"/>
        </w:rPr>
        <w:t>et al</w:t>
      </w:r>
      <w:r w:rsidRPr="00313C1E">
        <w:rPr>
          <w:color w:val="auto"/>
        </w:rPr>
        <w:t>.</w:t>
      </w:r>
      <w:r w:rsidRPr="004521EA">
        <w:rPr>
          <w:color w:val="auto"/>
        </w:rPr>
        <w:t xml:space="preserve"> Influence of lanreotide on uptake of </w:t>
      </w:r>
      <w:r w:rsidRPr="004521EA">
        <w:rPr>
          <w:color w:val="auto"/>
          <w:vertAlign w:val="superscript"/>
        </w:rPr>
        <w:t>68</w:t>
      </w:r>
      <w:r w:rsidRPr="004521EA">
        <w:rPr>
          <w:color w:val="auto"/>
        </w:rPr>
        <w:t xml:space="preserve">Ga-DOTATATE in patients with neuroendocrine tumours: a prospective intra-patient evaluation. </w:t>
      </w:r>
      <w:r w:rsidRPr="004521EA">
        <w:rPr>
          <w:i/>
          <w:color w:val="auto"/>
        </w:rPr>
        <w:t xml:space="preserve">European Journal of Nuclear Medicine and </w:t>
      </w:r>
      <w:r w:rsidR="00313C1E" w:rsidRPr="004521EA">
        <w:rPr>
          <w:i/>
          <w:color w:val="auto"/>
        </w:rPr>
        <w:t xml:space="preserve">Molecular </w:t>
      </w:r>
      <w:r w:rsidRPr="004521EA">
        <w:rPr>
          <w:i/>
          <w:color w:val="auto"/>
        </w:rPr>
        <w:t>Imaging</w:t>
      </w:r>
      <w:r w:rsidRPr="004521EA">
        <w:rPr>
          <w:color w:val="auto"/>
        </w:rPr>
        <w:t>. In Press (2018).</w:t>
      </w:r>
    </w:p>
    <w:p w14:paraId="07DCF19F" w14:textId="77777777" w:rsidR="009F659A" w:rsidRPr="004521EA" w:rsidRDefault="009F659A" w:rsidP="008337F6">
      <w:pPr>
        <w:widowControl/>
        <w:rPr>
          <w:color w:val="808080" w:themeColor="background1" w:themeShade="80"/>
        </w:rPr>
      </w:pPr>
    </w:p>
    <w:sectPr w:rsidR="009F659A" w:rsidRPr="004521EA" w:rsidSect="00CC33E4">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2894" w14:textId="77777777" w:rsidR="00D925AF" w:rsidRDefault="00D925AF" w:rsidP="00621C4E">
      <w:r>
        <w:separator/>
      </w:r>
    </w:p>
  </w:endnote>
  <w:endnote w:type="continuationSeparator" w:id="0">
    <w:p w14:paraId="7408ABFC" w14:textId="77777777" w:rsidR="00D925AF" w:rsidRDefault="00D925A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429DD6F" w:rsidR="001D5EC6" w:rsidRDefault="001D5EC6">
        <w:pPr>
          <w:pStyle w:val="Footer"/>
        </w:pPr>
        <w:r>
          <w:rPr>
            <w:noProof/>
          </w:rPr>
          <w:tab/>
        </w:r>
        <w:r>
          <w:rPr>
            <w:noProof/>
          </w:rPr>
          <w:tab/>
        </w:r>
      </w:p>
    </w:sdtContent>
  </w:sdt>
  <w:p w14:paraId="6B50C955" w14:textId="71AB2B06" w:rsidR="001D5EC6" w:rsidRDefault="001D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D5EC6" w:rsidRDefault="001D5E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4F2F" w14:textId="77777777" w:rsidR="00D925AF" w:rsidRDefault="00D925AF" w:rsidP="00621C4E">
      <w:r>
        <w:separator/>
      </w:r>
    </w:p>
  </w:footnote>
  <w:footnote w:type="continuationSeparator" w:id="0">
    <w:p w14:paraId="6822E1F0" w14:textId="77777777" w:rsidR="00D925AF" w:rsidRDefault="00D925A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D5EC6" w:rsidRPr="006F06E4" w:rsidRDefault="001D5EC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F6E6355" w:rsidR="001D5EC6" w:rsidRPr="006F06E4" w:rsidRDefault="001D5EC6" w:rsidP="006F06E4">
    <w:pPr>
      <w:pStyle w:val="Header"/>
      <w:jc w:val="right"/>
      <w:rPr>
        <w:b/>
        <w:color w:val="1F497D"/>
        <w:sz w:val="32"/>
        <w:szCs w:val="32"/>
      </w:rPr>
    </w:pP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C41"/>
    <w:multiLevelType w:val="hybridMultilevel"/>
    <w:tmpl w:val="D0B2BCD4"/>
    <w:lvl w:ilvl="0" w:tplc="2FBED548">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02A08"/>
    <w:multiLevelType w:val="multilevel"/>
    <w:tmpl w:val="F0E63A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EA01E19"/>
    <w:multiLevelType w:val="hybridMultilevel"/>
    <w:tmpl w:val="7B222532"/>
    <w:lvl w:ilvl="0" w:tplc="F9EEC6E2">
      <w:start w:val="1"/>
      <w:numFmt w:val="decimal"/>
      <w:suff w:val="space"/>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C214F"/>
    <w:multiLevelType w:val="multilevel"/>
    <w:tmpl w:val="190057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61556A"/>
    <w:multiLevelType w:val="multilevel"/>
    <w:tmpl w:val="0413001F"/>
    <w:styleLink w:val="Stijl1"/>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0"/>
  </w:num>
  <w:num w:numId="3">
    <w:abstractNumId w:val="4"/>
  </w:num>
  <w:num w:numId="4">
    <w:abstractNumId w:val="18"/>
  </w:num>
  <w:num w:numId="5">
    <w:abstractNumId w:val="11"/>
  </w:num>
  <w:num w:numId="6">
    <w:abstractNumId w:val="17"/>
  </w:num>
  <w:num w:numId="7">
    <w:abstractNumId w:val="1"/>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9"/>
  </w:num>
  <w:num w:numId="26">
    <w:abstractNumId w:val="5"/>
  </w:num>
  <w:num w:numId="27">
    <w:abstractNumId w:val="23"/>
  </w:num>
  <w:num w:numId="28">
    <w:abstractNumId w:val="8"/>
  </w:num>
  <w:num w:numId="29">
    <w:abstractNumId w:val="0"/>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17F"/>
    <w:rsid w:val="00005815"/>
    <w:rsid w:val="00007DBC"/>
    <w:rsid w:val="00007EA1"/>
    <w:rsid w:val="000100F0"/>
    <w:rsid w:val="000129B2"/>
    <w:rsid w:val="00012FF9"/>
    <w:rsid w:val="0001389C"/>
    <w:rsid w:val="00014314"/>
    <w:rsid w:val="00015E0A"/>
    <w:rsid w:val="000164FD"/>
    <w:rsid w:val="00021434"/>
    <w:rsid w:val="00021774"/>
    <w:rsid w:val="00021DF3"/>
    <w:rsid w:val="00023869"/>
    <w:rsid w:val="00024598"/>
    <w:rsid w:val="00027336"/>
    <w:rsid w:val="00032769"/>
    <w:rsid w:val="0003311E"/>
    <w:rsid w:val="00037B58"/>
    <w:rsid w:val="000416CD"/>
    <w:rsid w:val="00043CD9"/>
    <w:rsid w:val="00051B73"/>
    <w:rsid w:val="000559F5"/>
    <w:rsid w:val="00060ABE"/>
    <w:rsid w:val="00061A50"/>
    <w:rsid w:val="00062DEA"/>
    <w:rsid w:val="0006361B"/>
    <w:rsid w:val="00064104"/>
    <w:rsid w:val="000652E3"/>
    <w:rsid w:val="00066025"/>
    <w:rsid w:val="000701D1"/>
    <w:rsid w:val="00077A46"/>
    <w:rsid w:val="000807D8"/>
    <w:rsid w:val="00080A20"/>
    <w:rsid w:val="00082796"/>
    <w:rsid w:val="00082DF4"/>
    <w:rsid w:val="00087C0A"/>
    <w:rsid w:val="00093BC4"/>
    <w:rsid w:val="00095F83"/>
    <w:rsid w:val="00097929"/>
    <w:rsid w:val="000A1E80"/>
    <w:rsid w:val="000A3B70"/>
    <w:rsid w:val="000A5153"/>
    <w:rsid w:val="000A6C7C"/>
    <w:rsid w:val="000B10AE"/>
    <w:rsid w:val="000B1829"/>
    <w:rsid w:val="000B30BF"/>
    <w:rsid w:val="000B566B"/>
    <w:rsid w:val="000B662E"/>
    <w:rsid w:val="000B7294"/>
    <w:rsid w:val="000B75D0"/>
    <w:rsid w:val="000C1CF8"/>
    <w:rsid w:val="000C397C"/>
    <w:rsid w:val="000C49CF"/>
    <w:rsid w:val="000C52E9"/>
    <w:rsid w:val="000C5CDC"/>
    <w:rsid w:val="000C65DC"/>
    <w:rsid w:val="000C66F3"/>
    <w:rsid w:val="000C6900"/>
    <w:rsid w:val="000D31E8"/>
    <w:rsid w:val="000D76E4"/>
    <w:rsid w:val="000D7D37"/>
    <w:rsid w:val="000E2251"/>
    <w:rsid w:val="000E3816"/>
    <w:rsid w:val="000E4F77"/>
    <w:rsid w:val="000F265C"/>
    <w:rsid w:val="000F3AFA"/>
    <w:rsid w:val="000F5712"/>
    <w:rsid w:val="000F6611"/>
    <w:rsid w:val="000F7E22"/>
    <w:rsid w:val="00105C2D"/>
    <w:rsid w:val="00107A62"/>
    <w:rsid w:val="001104F3"/>
    <w:rsid w:val="00112EEB"/>
    <w:rsid w:val="001173FF"/>
    <w:rsid w:val="001230E8"/>
    <w:rsid w:val="0012563A"/>
    <w:rsid w:val="001264DE"/>
    <w:rsid w:val="00126580"/>
    <w:rsid w:val="001313A7"/>
    <w:rsid w:val="0013276F"/>
    <w:rsid w:val="00134069"/>
    <w:rsid w:val="00135C84"/>
    <w:rsid w:val="0013621E"/>
    <w:rsid w:val="0013642E"/>
    <w:rsid w:val="00136833"/>
    <w:rsid w:val="001379B1"/>
    <w:rsid w:val="00142993"/>
    <w:rsid w:val="00152A23"/>
    <w:rsid w:val="00162CB7"/>
    <w:rsid w:val="00171E5B"/>
    <w:rsid w:val="00171F94"/>
    <w:rsid w:val="00175D4E"/>
    <w:rsid w:val="0017668A"/>
    <w:rsid w:val="001766FE"/>
    <w:rsid w:val="001771E7"/>
    <w:rsid w:val="001872C6"/>
    <w:rsid w:val="001911FF"/>
    <w:rsid w:val="001912C0"/>
    <w:rsid w:val="00192006"/>
    <w:rsid w:val="00193180"/>
    <w:rsid w:val="00196792"/>
    <w:rsid w:val="001A0200"/>
    <w:rsid w:val="001B1519"/>
    <w:rsid w:val="001B16AC"/>
    <w:rsid w:val="001B2E2D"/>
    <w:rsid w:val="001B5CD2"/>
    <w:rsid w:val="001C0BEE"/>
    <w:rsid w:val="001C1E49"/>
    <w:rsid w:val="001C25F5"/>
    <w:rsid w:val="001C2A98"/>
    <w:rsid w:val="001C4034"/>
    <w:rsid w:val="001C4A6D"/>
    <w:rsid w:val="001C7BD1"/>
    <w:rsid w:val="001D3D7D"/>
    <w:rsid w:val="001D3FFF"/>
    <w:rsid w:val="001D5EC6"/>
    <w:rsid w:val="001D625F"/>
    <w:rsid w:val="001D68A4"/>
    <w:rsid w:val="001D6B89"/>
    <w:rsid w:val="001D7576"/>
    <w:rsid w:val="001E0E3F"/>
    <w:rsid w:val="001E14A0"/>
    <w:rsid w:val="001E7376"/>
    <w:rsid w:val="001E7B34"/>
    <w:rsid w:val="001F091A"/>
    <w:rsid w:val="001F225C"/>
    <w:rsid w:val="00200309"/>
    <w:rsid w:val="00201CFA"/>
    <w:rsid w:val="0020220D"/>
    <w:rsid w:val="00202448"/>
    <w:rsid w:val="00202D15"/>
    <w:rsid w:val="00206008"/>
    <w:rsid w:val="00212EAE"/>
    <w:rsid w:val="00214BEE"/>
    <w:rsid w:val="002205B8"/>
    <w:rsid w:val="00225720"/>
    <w:rsid w:val="002259E5"/>
    <w:rsid w:val="00226140"/>
    <w:rsid w:val="002274F3"/>
    <w:rsid w:val="0023094C"/>
    <w:rsid w:val="00234BE3"/>
    <w:rsid w:val="00235A90"/>
    <w:rsid w:val="00236E9F"/>
    <w:rsid w:val="00241E48"/>
    <w:rsid w:val="0024214E"/>
    <w:rsid w:val="00242623"/>
    <w:rsid w:val="00250558"/>
    <w:rsid w:val="00250B4E"/>
    <w:rsid w:val="0025481A"/>
    <w:rsid w:val="00260652"/>
    <w:rsid w:val="00261F25"/>
    <w:rsid w:val="002648A9"/>
    <w:rsid w:val="0026536F"/>
    <w:rsid w:val="0026553C"/>
    <w:rsid w:val="002655BB"/>
    <w:rsid w:val="00267DD5"/>
    <w:rsid w:val="00274A0A"/>
    <w:rsid w:val="00277593"/>
    <w:rsid w:val="002802B5"/>
    <w:rsid w:val="00280909"/>
    <w:rsid w:val="00280918"/>
    <w:rsid w:val="00282AF6"/>
    <w:rsid w:val="00282D0B"/>
    <w:rsid w:val="0028596A"/>
    <w:rsid w:val="002864D4"/>
    <w:rsid w:val="00287085"/>
    <w:rsid w:val="00287B9E"/>
    <w:rsid w:val="00290AF9"/>
    <w:rsid w:val="002967CF"/>
    <w:rsid w:val="00296B93"/>
    <w:rsid w:val="00297788"/>
    <w:rsid w:val="002A484B"/>
    <w:rsid w:val="002A64A6"/>
    <w:rsid w:val="002B24F1"/>
    <w:rsid w:val="002B3301"/>
    <w:rsid w:val="002C47D4"/>
    <w:rsid w:val="002C6BB3"/>
    <w:rsid w:val="002D0D71"/>
    <w:rsid w:val="002D0F38"/>
    <w:rsid w:val="002D13C0"/>
    <w:rsid w:val="002D4DB1"/>
    <w:rsid w:val="002D77E3"/>
    <w:rsid w:val="002E09E5"/>
    <w:rsid w:val="002E5939"/>
    <w:rsid w:val="002F2859"/>
    <w:rsid w:val="002F6E3C"/>
    <w:rsid w:val="0030117D"/>
    <w:rsid w:val="00301F30"/>
    <w:rsid w:val="00302863"/>
    <w:rsid w:val="003038FD"/>
    <w:rsid w:val="00303C87"/>
    <w:rsid w:val="00305C28"/>
    <w:rsid w:val="003108E5"/>
    <w:rsid w:val="003120CB"/>
    <w:rsid w:val="00313C1E"/>
    <w:rsid w:val="00320153"/>
    <w:rsid w:val="00320367"/>
    <w:rsid w:val="00322871"/>
    <w:rsid w:val="003255BC"/>
    <w:rsid w:val="00326FB3"/>
    <w:rsid w:val="003316D4"/>
    <w:rsid w:val="00333822"/>
    <w:rsid w:val="00334E5D"/>
    <w:rsid w:val="00336715"/>
    <w:rsid w:val="00340DFD"/>
    <w:rsid w:val="00344954"/>
    <w:rsid w:val="00347A29"/>
    <w:rsid w:val="00350CD7"/>
    <w:rsid w:val="00360C17"/>
    <w:rsid w:val="00360C24"/>
    <w:rsid w:val="003621C6"/>
    <w:rsid w:val="003622B8"/>
    <w:rsid w:val="00366B76"/>
    <w:rsid w:val="00373051"/>
    <w:rsid w:val="00373B8F"/>
    <w:rsid w:val="00376D95"/>
    <w:rsid w:val="00377FBB"/>
    <w:rsid w:val="00385140"/>
    <w:rsid w:val="0038605C"/>
    <w:rsid w:val="003A16FC"/>
    <w:rsid w:val="003A3B80"/>
    <w:rsid w:val="003A4FCD"/>
    <w:rsid w:val="003A7BCF"/>
    <w:rsid w:val="003B0375"/>
    <w:rsid w:val="003B06DF"/>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401D"/>
    <w:rsid w:val="00400939"/>
    <w:rsid w:val="0040379C"/>
    <w:rsid w:val="004048D7"/>
    <w:rsid w:val="0040578F"/>
    <w:rsid w:val="00407EC8"/>
    <w:rsid w:val="0041110A"/>
    <w:rsid w:val="00411624"/>
    <w:rsid w:val="0041375E"/>
    <w:rsid w:val="00413791"/>
    <w:rsid w:val="004148E1"/>
    <w:rsid w:val="00414CFA"/>
    <w:rsid w:val="00415EC0"/>
    <w:rsid w:val="00417B02"/>
    <w:rsid w:val="00420BE9"/>
    <w:rsid w:val="00423AD8"/>
    <w:rsid w:val="00423FDD"/>
    <w:rsid w:val="00424C85"/>
    <w:rsid w:val="004260BD"/>
    <w:rsid w:val="0043012F"/>
    <w:rsid w:val="00430F1F"/>
    <w:rsid w:val="004326EA"/>
    <w:rsid w:val="004406E7"/>
    <w:rsid w:val="0044434C"/>
    <w:rsid w:val="0044456B"/>
    <w:rsid w:val="00445AEF"/>
    <w:rsid w:val="00447BD1"/>
    <w:rsid w:val="004507F3"/>
    <w:rsid w:val="00450AF4"/>
    <w:rsid w:val="004513A0"/>
    <w:rsid w:val="004521EA"/>
    <w:rsid w:val="00456A57"/>
    <w:rsid w:val="004607DE"/>
    <w:rsid w:val="004608B6"/>
    <w:rsid w:val="004671C7"/>
    <w:rsid w:val="00472F4D"/>
    <w:rsid w:val="004730BF"/>
    <w:rsid w:val="00474DCB"/>
    <w:rsid w:val="0047535C"/>
    <w:rsid w:val="004762F6"/>
    <w:rsid w:val="00485870"/>
    <w:rsid w:val="00485FE8"/>
    <w:rsid w:val="00486729"/>
    <w:rsid w:val="00492EB5"/>
    <w:rsid w:val="00492ECF"/>
    <w:rsid w:val="0049417D"/>
    <w:rsid w:val="00494B7E"/>
    <w:rsid w:val="00494F77"/>
    <w:rsid w:val="00497721"/>
    <w:rsid w:val="004978C9"/>
    <w:rsid w:val="004A0229"/>
    <w:rsid w:val="004A2506"/>
    <w:rsid w:val="004A35D2"/>
    <w:rsid w:val="004A71E4"/>
    <w:rsid w:val="004B2DBA"/>
    <w:rsid w:val="004B2F00"/>
    <w:rsid w:val="004B6E31"/>
    <w:rsid w:val="004B7B4E"/>
    <w:rsid w:val="004C1D66"/>
    <w:rsid w:val="004C31D7"/>
    <w:rsid w:val="004C4AD2"/>
    <w:rsid w:val="004C6981"/>
    <w:rsid w:val="004D1F21"/>
    <w:rsid w:val="004D268C"/>
    <w:rsid w:val="004D2FE0"/>
    <w:rsid w:val="004D59D8"/>
    <w:rsid w:val="004D5DA1"/>
    <w:rsid w:val="004D6329"/>
    <w:rsid w:val="004E127B"/>
    <w:rsid w:val="004E150F"/>
    <w:rsid w:val="004E1DCA"/>
    <w:rsid w:val="004E23A1"/>
    <w:rsid w:val="004E2B62"/>
    <w:rsid w:val="004E3489"/>
    <w:rsid w:val="004E358A"/>
    <w:rsid w:val="004E3AFA"/>
    <w:rsid w:val="004E6588"/>
    <w:rsid w:val="00502A0A"/>
    <w:rsid w:val="005036AB"/>
    <w:rsid w:val="0050779A"/>
    <w:rsid w:val="00507C50"/>
    <w:rsid w:val="00517C3A"/>
    <w:rsid w:val="005267DE"/>
    <w:rsid w:val="00527BF4"/>
    <w:rsid w:val="005324BE"/>
    <w:rsid w:val="00533CBE"/>
    <w:rsid w:val="00534F6C"/>
    <w:rsid w:val="00535994"/>
    <w:rsid w:val="0053646D"/>
    <w:rsid w:val="00540AAD"/>
    <w:rsid w:val="005430E6"/>
    <w:rsid w:val="00543EC1"/>
    <w:rsid w:val="00546458"/>
    <w:rsid w:val="005475C3"/>
    <w:rsid w:val="0055087C"/>
    <w:rsid w:val="00553413"/>
    <w:rsid w:val="00555983"/>
    <w:rsid w:val="00560E31"/>
    <w:rsid w:val="00563A60"/>
    <w:rsid w:val="00564D0C"/>
    <w:rsid w:val="00581B23"/>
    <w:rsid w:val="0058219C"/>
    <w:rsid w:val="00585D7D"/>
    <w:rsid w:val="0058707F"/>
    <w:rsid w:val="0059020C"/>
    <w:rsid w:val="0059058E"/>
    <w:rsid w:val="005931FE"/>
    <w:rsid w:val="0059509C"/>
    <w:rsid w:val="00595109"/>
    <w:rsid w:val="005A2EFF"/>
    <w:rsid w:val="005A434F"/>
    <w:rsid w:val="005B0072"/>
    <w:rsid w:val="005B0732"/>
    <w:rsid w:val="005B38A0"/>
    <w:rsid w:val="005B491C"/>
    <w:rsid w:val="005B4DBF"/>
    <w:rsid w:val="005B5DE2"/>
    <w:rsid w:val="005B674C"/>
    <w:rsid w:val="005C1EF4"/>
    <w:rsid w:val="005C24F2"/>
    <w:rsid w:val="005C7561"/>
    <w:rsid w:val="005D1E57"/>
    <w:rsid w:val="005D2F57"/>
    <w:rsid w:val="005D34F6"/>
    <w:rsid w:val="005D4F1A"/>
    <w:rsid w:val="005D76CF"/>
    <w:rsid w:val="005E1884"/>
    <w:rsid w:val="005E6223"/>
    <w:rsid w:val="005E6F9E"/>
    <w:rsid w:val="005F373A"/>
    <w:rsid w:val="005F4F87"/>
    <w:rsid w:val="005F688A"/>
    <w:rsid w:val="005F6B0E"/>
    <w:rsid w:val="005F760E"/>
    <w:rsid w:val="005F7B1D"/>
    <w:rsid w:val="0060222A"/>
    <w:rsid w:val="0060317C"/>
    <w:rsid w:val="00610C21"/>
    <w:rsid w:val="00611907"/>
    <w:rsid w:val="00613116"/>
    <w:rsid w:val="006202A6"/>
    <w:rsid w:val="0062054B"/>
    <w:rsid w:val="006217CF"/>
    <w:rsid w:val="00621C4E"/>
    <w:rsid w:val="00624EAE"/>
    <w:rsid w:val="006305D7"/>
    <w:rsid w:val="00633A01"/>
    <w:rsid w:val="00633B97"/>
    <w:rsid w:val="006341F7"/>
    <w:rsid w:val="00635014"/>
    <w:rsid w:val="006369CE"/>
    <w:rsid w:val="00637683"/>
    <w:rsid w:val="006411CA"/>
    <w:rsid w:val="0064605E"/>
    <w:rsid w:val="00647979"/>
    <w:rsid w:val="00650245"/>
    <w:rsid w:val="006619C8"/>
    <w:rsid w:val="00671710"/>
    <w:rsid w:val="00673414"/>
    <w:rsid w:val="00673DDB"/>
    <w:rsid w:val="00676079"/>
    <w:rsid w:val="00676D6F"/>
    <w:rsid w:val="00676ECD"/>
    <w:rsid w:val="00677D0A"/>
    <w:rsid w:val="0068185F"/>
    <w:rsid w:val="00687BAE"/>
    <w:rsid w:val="00694689"/>
    <w:rsid w:val="00695535"/>
    <w:rsid w:val="006956F9"/>
    <w:rsid w:val="006A01CF"/>
    <w:rsid w:val="006A60DD"/>
    <w:rsid w:val="006B0679"/>
    <w:rsid w:val="006B074C"/>
    <w:rsid w:val="006B3B84"/>
    <w:rsid w:val="006B48CC"/>
    <w:rsid w:val="006B4E7C"/>
    <w:rsid w:val="006B5D8C"/>
    <w:rsid w:val="006B72AD"/>
    <w:rsid w:val="006B72D4"/>
    <w:rsid w:val="006C0BD6"/>
    <w:rsid w:val="006C11CC"/>
    <w:rsid w:val="006C1AEB"/>
    <w:rsid w:val="006C57FE"/>
    <w:rsid w:val="006C5A81"/>
    <w:rsid w:val="006E4AFF"/>
    <w:rsid w:val="006E4B63"/>
    <w:rsid w:val="006E5791"/>
    <w:rsid w:val="006F06E4"/>
    <w:rsid w:val="006F6DFC"/>
    <w:rsid w:val="006F7B41"/>
    <w:rsid w:val="00702766"/>
    <w:rsid w:val="00702B5D"/>
    <w:rsid w:val="00703ED2"/>
    <w:rsid w:val="00707B8D"/>
    <w:rsid w:val="00707C6B"/>
    <w:rsid w:val="00710A18"/>
    <w:rsid w:val="00713636"/>
    <w:rsid w:val="00714B8C"/>
    <w:rsid w:val="0071675D"/>
    <w:rsid w:val="00717736"/>
    <w:rsid w:val="00730852"/>
    <w:rsid w:val="00730ED8"/>
    <w:rsid w:val="00735CF5"/>
    <w:rsid w:val="007375CA"/>
    <w:rsid w:val="0074063A"/>
    <w:rsid w:val="00742AA4"/>
    <w:rsid w:val="00743BA1"/>
    <w:rsid w:val="00743F5C"/>
    <w:rsid w:val="00745F1E"/>
    <w:rsid w:val="007465A3"/>
    <w:rsid w:val="00750F29"/>
    <w:rsid w:val="007515FE"/>
    <w:rsid w:val="00757870"/>
    <w:rsid w:val="007601D0"/>
    <w:rsid w:val="007603BB"/>
    <w:rsid w:val="0076109D"/>
    <w:rsid w:val="00767107"/>
    <w:rsid w:val="00773617"/>
    <w:rsid w:val="00773BFD"/>
    <w:rsid w:val="007743B3"/>
    <w:rsid w:val="00774490"/>
    <w:rsid w:val="007819FF"/>
    <w:rsid w:val="0078360C"/>
    <w:rsid w:val="00784A4C"/>
    <w:rsid w:val="00784BC6"/>
    <w:rsid w:val="0078523D"/>
    <w:rsid w:val="00785247"/>
    <w:rsid w:val="007931DF"/>
    <w:rsid w:val="007A0172"/>
    <w:rsid w:val="007A0806"/>
    <w:rsid w:val="007A12BC"/>
    <w:rsid w:val="007A1804"/>
    <w:rsid w:val="007A2511"/>
    <w:rsid w:val="007A260E"/>
    <w:rsid w:val="007A4D4C"/>
    <w:rsid w:val="007A4DD6"/>
    <w:rsid w:val="007A5CB9"/>
    <w:rsid w:val="007B20AE"/>
    <w:rsid w:val="007B6B07"/>
    <w:rsid w:val="007B6D43"/>
    <w:rsid w:val="007B749A"/>
    <w:rsid w:val="007B7C6E"/>
    <w:rsid w:val="007C1473"/>
    <w:rsid w:val="007C38F1"/>
    <w:rsid w:val="007D44D7"/>
    <w:rsid w:val="007D621A"/>
    <w:rsid w:val="007E058A"/>
    <w:rsid w:val="007E21FB"/>
    <w:rsid w:val="007E2887"/>
    <w:rsid w:val="007E5278"/>
    <w:rsid w:val="007E749C"/>
    <w:rsid w:val="007F1B5C"/>
    <w:rsid w:val="00801257"/>
    <w:rsid w:val="00803B0A"/>
    <w:rsid w:val="00804DED"/>
    <w:rsid w:val="00805B96"/>
    <w:rsid w:val="008105BE"/>
    <w:rsid w:val="008115A5"/>
    <w:rsid w:val="00811D46"/>
    <w:rsid w:val="0081415D"/>
    <w:rsid w:val="0081442A"/>
    <w:rsid w:val="0081719B"/>
    <w:rsid w:val="00820229"/>
    <w:rsid w:val="00821F67"/>
    <w:rsid w:val="00822448"/>
    <w:rsid w:val="00822ABE"/>
    <w:rsid w:val="00823C5C"/>
    <w:rsid w:val="008244D1"/>
    <w:rsid w:val="00827F51"/>
    <w:rsid w:val="0083104E"/>
    <w:rsid w:val="008337F6"/>
    <w:rsid w:val="008343BE"/>
    <w:rsid w:val="00836535"/>
    <w:rsid w:val="00840FB4"/>
    <w:rsid w:val="008410B2"/>
    <w:rsid w:val="008463A4"/>
    <w:rsid w:val="008500A0"/>
    <w:rsid w:val="00850724"/>
    <w:rsid w:val="008524E5"/>
    <w:rsid w:val="0085351C"/>
    <w:rsid w:val="008542FB"/>
    <w:rsid w:val="008549CA"/>
    <w:rsid w:val="008556C3"/>
    <w:rsid w:val="008557FD"/>
    <w:rsid w:val="008567C2"/>
    <w:rsid w:val="0085687C"/>
    <w:rsid w:val="00862260"/>
    <w:rsid w:val="008655F8"/>
    <w:rsid w:val="008706C5"/>
    <w:rsid w:val="00873707"/>
    <w:rsid w:val="00874B20"/>
    <w:rsid w:val="008757C6"/>
    <w:rsid w:val="008763E1"/>
    <w:rsid w:val="0087775C"/>
    <w:rsid w:val="00877810"/>
    <w:rsid w:val="00877EC8"/>
    <w:rsid w:val="00880F36"/>
    <w:rsid w:val="00885530"/>
    <w:rsid w:val="008870B3"/>
    <w:rsid w:val="008910D1"/>
    <w:rsid w:val="0089296C"/>
    <w:rsid w:val="00896ABD"/>
    <w:rsid w:val="00897AB6"/>
    <w:rsid w:val="008A3380"/>
    <w:rsid w:val="008A7A9C"/>
    <w:rsid w:val="008B110E"/>
    <w:rsid w:val="008B5218"/>
    <w:rsid w:val="008B563B"/>
    <w:rsid w:val="008B7102"/>
    <w:rsid w:val="008C11BB"/>
    <w:rsid w:val="008C3B7D"/>
    <w:rsid w:val="008C6F36"/>
    <w:rsid w:val="008C751A"/>
    <w:rsid w:val="008D0F90"/>
    <w:rsid w:val="008D3715"/>
    <w:rsid w:val="008D5465"/>
    <w:rsid w:val="008D7EB7"/>
    <w:rsid w:val="008E3684"/>
    <w:rsid w:val="008E57F5"/>
    <w:rsid w:val="008E7606"/>
    <w:rsid w:val="008F0F6F"/>
    <w:rsid w:val="008F1DAA"/>
    <w:rsid w:val="008F3EBD"/>
    <w:rsid w:val="008F60B2"/>
    <w:rsid w:val="008F6B79"/>
    <w:rsid w:val="008F7556"/>
    <w:rsid w:val="008F7C41"/>
    <w:rsid w:val="0090046A"/>
    <w:rsid w:val="009031E2"/>
    <w:rsid w:val="0091276C"/>
    <w:rsid w:val="009165AC"/>
    <w:rsid w:val="00916FFC"/>
    <w:rsid w:val="009200D3"/>
    <w:rsid w:val="0092053F"/>
    <w:rsid w:val="0092097B"/>
    <w:rsid w:val="0092340A"/>
    <w:rsid w:val="00926C60"/>
    <w:rsid w:val="009313D9"/>
    <w:rsid w:val="00935A72"/>
    <w:rsid w:val="00935B7F"/>
    <w:rsid w:val="00936E7A"/>
    <w:rsid w:val="00941293"/>
    <w:rsid w:val="00941610"/>
    <w:rsid w:val="00946372"/>
    <w:rsid w:val="00950C17"/>
    <w:rsid w:val="00951FAF"/>
    <w:rsid w:val="00953169"/>
    <w:rsid w:val="009537F9"/>
    <w:rsid w:val="00954740"/>
    <w:rsid w:val="009571CB"/>
    <w:rsid w:val="00962E71"/>
    <w:rsid w:val="00963ABC"/>
    <w:rsid w:val="00965D21"/>
    <w:rsid w:val="00965ED8"/>
    <w:rsid w:val="00967764"/>
    <w:rsid w:val="00970B0E"/>
    <w:rsid w:val="00970BB9"/>
    <w:rsid w:val="009726EE"/>
    <w:rsid w:val="009733DD"/>
    <w:rsid w:val="00973A32"/>
    <w:rsid w:val="00975573"/>
    <w:rsid w:val="00976D03"/>
    <w:rsid w:val="00977B30"/>
    <w:rsid w:val="00982F41"/>
    <w:rsid w:val="00985090"/>
    <w:rsid w:val="00985A36"/>
    <w:rsid w:val="00987710"/>
    <w:rsid w:val="0098792F"/>
    <w:rsid w:val="009904AB"/>
    <w:rsid w:val="00992333"/>
    <w:rsid w:val="00995688"/>
    <w:rsid w:val="009958A6"/>
    <w:rsid w:val="00996456"/>
    <w:rsid w:val="009A04F5"/>
    <w:rsid w:val="009A15EF"/>
    <w:rsid w:val="009A2FB4"/>
    <w:rsid w:val="009A38A5"/>
    <w:rsid w:val="009A5B73"/>
    <w:rsid w:val="009B118B"/>
    <w:rsid w:val="009B1737"/>
    <w:rsid w:val="009B3D4B"/>
    <w:rsid w:val="009B4F22"/>
    <w:rsid w:val="009B5B99"/>
    <w:rsid w:val="009B6EFC"/>
    <w:rsid w:val="009C2DF8"/>
    <w:rsid w:val="009C31BF"/>
    <w:rsid w:val="009C68B7"/>
    <w:rsid w:val="009C6CB0"/>
    <w:rsid w:val="009D0834"/>
    <w:rsid w:val="009D0A1E"/>
    <w:rsid w:val="009D2AE3"/>
    <w:rsid w:val="009D52BC"/>
    <w:rsid w:val="009D716D"/>
    <w:rsid w:val="009D7D0A"/>
    <w:rsid w:val="009E09D9"/>
    <w:rsid w:val="009F01B1"/>
    <w:rsid w:val="009F0DBB"/>
    <w:rsid w:val="009F2C3C"/>
    <w:rsid w:val="009F3887"/>
    <w:rsid w:val="009F659A"/>
    <w:rsid w:val="009F732B"/>
    <w:rsid w:val="00A006CE"/>
    <w:rsid w:val="00A01FE0"/>
    <w:rsid w:val="00A06945"/>
    <w:rsid w:val="00A10656"/>
    <w:rsid w:val="00A113C0"/>
    <w:rsid w:val="00A12FA6"/>
    <w:rsid w:val="00A1339B"/>
    <w:rsid w:val="00A14ABA"/>
    <w:rsid w:val="00A21B2C"/>
    <w:rsid w:val="00A2370D"/>
    <w:rsid w:val="00A24CB6"/>
    <w:rsid w:val="00A26CD2"/>
    <w:rsid w:val="00A27667"/>
    <w:rsid w:val="00A31449"/>
    <w:rsid w:val="00A32979"/>
    <w:rsid w:val="00A33F02"/>
    <w:rsid w:val="00A34A67"/>
    <w:rsid w:val="00A37462"/>
    <w:rsid w:val="00A459E1"/>
    <w:rsid w:val="00A46AC4"/>
    <w:rsid w:val="00A52296"/>
    <w:rsid w:val="00A5442D"/>
    <w:rsid w:val="00A55661"/>
    <w:rsid w:val="00A601A5"/>
    <w:rsid w:val="00A61B70"/>
    <w:rsid w:val="00A61FA8"/>
    <w:rsid w:val="00A637F4"/>
    <w:rsid w:val="00A6431B"/>
    <w:rsid w:val="00A64DF2"/>
    <w:rsid w:val="00A65485"/>
    <w:rsid w:val="00A65960"/>
    <w:rsid w:val="00A66E05"/>
    <w:rsid w:val="00A70753"/>
    <w:rsid w:val="00A712D2"/>
    <w:rsid w:val="00A715B6"/>
    <w:rsid w:val="00A72DD8"/>
    <w:rsid w:val="00A82C8A"/>
    <w:rsid w:val="00A8346B"/>
    <w:rsid w:val="00A852FF"/>
    <w:rsid w:val="00A87337"/>
    <w:rsid w:val="00A90C97"/>
    <w:rsid w:val="00A90E37"/>
    <w:rsid w:val="00A911B8"/>
    <w:rsid w:val="00A92DDC"/>
    <w:rsid w:val="00A960C8"/>
    <w:rsid w:val="00A96604"/>
    <w:rsid w:val="00AA03DF"/>
    <w:rsid w:val="00AA1B4F"/>
    <w:rsid w:val="00AA21D8"/>
    <w:rsid w:val="00AA271A"/>
    <w:rsid w:val="00AA3270"/>
    <w:rsid w:val="00AA4A6C"/>
    <w:rsid w:val="00AA52EB"/>
    <w:rsid w:val="00AA54F3"/>
    <w:rsid w:val="00AA6B43"/>
    <w:rsid w:val="00AA720D"/>
    <w:rsid w:val="00AB367A"/>
    <w:rsid w:val="00AB7A60"/>
    <w:rsid w:val="00AC01D1"/>
    <w:rsid w:val="00AC0E9F"/>
    <w:rsid w:val="00AC4724"/>
    <w:rsid w:val="00AC52A5"/>
    <w:rsid w:val="00AC6EFD"/>
    <w:rsid w:val="00AC7134"/>
    <w:rsid w:val="00AC7151"/>
    <w:rsid w:val="00AD460A"/>
    <w:rsid w:val="00AD674E"/>
    <w:rsid w:val="00AD6A05"/>
    <w:rsid w:val="00AE272B"/>
    <w:rsid w:val="00AE3668"/>
    <w:rsid w:val="00AE3BC5"/>
    <w:rsid w:val="00AE3E3A"/>
    <w:rsid w:val="00AE5F95"/>
    <w:rsid w:val="00AE77B4"/>
    <w:rsid w:val="00AE7C1A"/>
    <w:rsid w:val="00AE7DF8"/>
    <w:rsid w:val="00AF0D9C"/>
    <w:rsid w:val="00AF13AB"/>
    <w:rsid w:val="00AF1D36"/>
    <w:rsid w:val="00AF280B"/>
    <w:rsid w:val="00AF5F75"/>
    <w:rsid w:val="00AF6001"/>
    <w:rsid w:val="00B00247"/>
    <w:rsid w:val="00B01A16"/>
    <w:rsid w:val="00B067F8"/>
    <w:rsid w:val="00B07F45"/>
    <w:rsid w:val="00B1021A"/>
    <w:rsid w:val="00B135F6"/>
    <w:rsid w:val="00B1481A"/>
    <w:rsid w:val="00B15A1F"/>
    <w:rsid w:val="00B15FE9"/>
    <w:rsid w:val="00B2134B"/>
    <w:rsid w:val="00B2148A"/>
    <w:rsid w:val="00B218D9"/>
    <w:rsid w:val="00B220C2"/>
    <w:rsid w:val="00B22257"/>
    <w:rsid w:val="00B234BB"/>
    <w:rsid w:val="00B25B32"/>
    <w:rsid w:val="00B26C89"/>
    <w:rsid w:val="00B32616"/>
    <w:rsid w:val="00B3356C"/>
    <w:rsid w:val="00B36C42"/>
    <w:rsid w:val="00B42EA7"/>
    <w:rsid w:val="00B513A1"/>
    <w:rsid w:val="00B51845"/>
    <w:rsid w:val="00B51923"/>
    <w:rsid w:val="00B5337C"/>
    <w:rsid w:val="00B53FDE"/>
    <w:rsid w:val="00B54E80"/>
    <w:rsid w:val="00B560F0"/>
    <w:rsid w:val="00B56397"/>
    <w:rsid w:val="00B571DA"/>
    <w:rsid w:val="00B6027B"/>
    <w:rsid w:val="00B604A4"/>
    <w:rsid w:val="00B636C8"/>
    <w:rsid w:val="00B63758"/>
    <w:rsid w:val="00B65EDB"/>
    <w:rsid w:val="00B67AFF"/>
    <w:rsid w:val="00B70B59"/>
    <w:rsid w:val="00B73657"/>
    <w:rsid w:val="00B739B3"/>
    <w:rsid w:val="00B74CD2"/>
    <w:rsid w:val="00B767C1"/>
    <w:rsid w:val="00B81D45"/>
    <w:rsid w:val="00B850AB"/>
    <w:rsid w:val="00B915AE"/>
    <w:rsid w:val="00B97EFA"/>
    <w:rsid w:val="00BA1735"/>
    <w:rsid w:val="00BA19FA"/>
    <w:rsid w:val="00BA4288"/>
    <w:rsid w:val="00BA6BBE"/>
    <w:rsid w:val="00BB0902"/>
    <w:rsid w:val="00BB1052"/>
    <w:rsid w:val="00BB48E5"/>
    <w:rsid w:val="00BB5607"/>
    <w:rsid w:val="00BB5ACA"/>
    <w:rsid w:val="00BB627F"/>
    <w:rsid w:val="00BC0768"/>
    <w:rsid w:val="00BC0C17"/>
    <w:rsid w:val="00BC3823"/>
    <w:rsid w:val="00BC5841"/>
    <w:rsid w:val="00BD2EF0"/>
    <w:rsid w:val="00BD60B4"/>
    <w:rsid w:val="00BD796B"/>
    <w:rsid w:val="00BE278B"/>
    <w:rsid w:val="00BE40C0"/>
    <w:rsid w:val="00BE4915"/>
    <w:rsid w:val="00BE5F4A"/>
    <w:rsid w:val="00BE7AEF"/>
    <w:rsid w:val="00BF09B0"/>
    <w:rsid w:val="00BF1544"/>
    <w:rsid w:val="00BF1B53"/>
    <w:rsid w:val="00BF246D"/>
    <w:rsid w:val="00BF2682"/>
    <w:rsid w:val="00C0540E"/>
    <w:rsid w:val="00C06C7E"/>
    <w:rsid w:val="00C06F06"/>
    <w:rsid w:val="00C20FAD"/>
    <w:rsid w:val="00C2375F"/>
    <w:rsid w:val="00C247CB"/>
    <w:rsid w:val="00C27CCF"/>
    <w:rsid w:val="00C32E66"/>
    <w:rsid w:val="00C3355F"/>
    <w:rsid w:val="00C33A04"/>
    <w:rsid w:val="00C3569A"/>
    <w:rsid w:val="00C37BDA"/>
    <w:rsid w:val="00C37C3C"/>
    <w:rsid w:val="00C43F48"/>
    <w:rsid w:val="00C448FF"/>
    <w:rsid w:val="00C44BC2"/>
    <w:rsid w:val="00C45E57"/>
    <w:rsid w:val="00C509F3"/>
    <w:rsid w:val="00C5216D"/>
    <w:rsid w:val="00C52F29"/>
    <w:rsid w:val="00C5568D"/>
    <w:rsid w:val="00C56CE6"/>
    <w:rsid w:val="00C5745F"/>
    <w:rsid w:val="00C60005"/>
    <w:rsid w:val="00C61A98"/>
    <w:rsid w:val="00C63201"/>
    <w:rsid w:val="00C63B10"/>
    <w:rsid w:val="00C64E62"/>
    <w:rsid w:val="00C651D5"/>
    <w:rsid w:val="00C65CCC"/>
    <w:rsid w:val="00C66B74"/>
    <w:rsid w:val="00C70AB3"/>
    <w:rsid w:val="00C71EEE"/>
    <w:rsid w:val="00C7618F"/>
    <w:rsid w:val="00C765A9"/>
    <w:rsid w:val="00C8162D"/>
    <w:rsid w:val="00C820E3"/>
    <w:rsid w:val="00C830BB"/>
    <w:rsid w:val="00C83A0B"/>
    <w:rsid w:val="00C842D0"/>
    <w:rsid w:val="00C84ED1"/>
    <w:rsid w:val="00C85FAD"/>
    <w:rsid w:val="00C863CC"/>
    <w:rsid w:val="00C9038F"/>
    <w:rsid w:val="00C92AAB"/>
    <w:rsid w:val="00C97C9D"/>
    <w:rsid w:val="00CA067A"/>
    <w:rsid w:val="00CA2435"/>
    <w:rsid w:val="00CA2A66"/>
    <w:rsid w:val="00CA4068"/>
    <w:rsid w:val="00CA4654"/>
    <w:rsid w:val="00CB37F8"/>
    <w:rsid w:val="00CB5CAC"/>
    <w:rsid w:val="00CB7DC3"/>
    <w:rsid w:val="00CC33E4"/>
    <w:rsid w:val="00CC3B40"/>
    <w:rsid w:val="00CC75A2"/>
    <w:rsid w:val="00CD0E2F"/>
    <w:rsid w:val="00CD1D49"/>
    <w:rsid w:val="00CD2F20"/>
    <w:rsid w:val="00CD6B20"/>
    <w:rsid w:val="00CD794F"/>
    <w:rsid w:val="00CE1339"/>
    <w:rsid w:val="00CE61CC"/>
    <w:rsid w:val="00CE6E42"/>
    <w:rsid w:val="00CF20B7"/>
    <w:rsid w:val="00CF6692"/>
    <w:rsid w:val="00CF7441"/>
    <w:rsid w:val="00D00D16"/>
    <w:rsid w:val="00D03C6C"/>
    <w:rsid w:val="00D04760"/>
    <w:rsid w:val="00D04A95"/>
    <w:rsid w:val="00D06288"/>
    <w:rsid w:val="00D068C7"/>
    <w:rsid w:val="00D1009A"/>
    <w:rsid w:val="00D128A4"/>
    <w:rsid w:val="00D1326D"/>
    <w:rsid w:val="00D147C8"/>
    <w:rsid w:val="00D15131"/>
    <w:rsid w:val="00D15982"/>
    <w:rsid w:val="00D16FA2"/>
    <w:rsid w:val="00D20954"/>
    <w:rsid w:val="00D21884"/>
    <w:rsid w:val="00D21C39"/>
    <w:rsid w:val="00D21FC6"/>
    <w:rsid w:val="00D2243A"/>
    <w:rsid w:val="00D24676"/>
    <w:rsid w:val="00D24E31"/>
    <w:rsid w:val="00D30023"/>
    <w:rsid w:val="00D32B3D"/>
    <w:rsid w:val="00D33393"/>
    <w:rsid w:val="00D33D36"/>
    <w:rsid w:val="00D34D94"/>
    <w:rsid w:val="00D379B0"/>
    <w:rsid w:val="00D409E2"/>
    <w:rsid w:val="00D427D7"/>
    <w:rsid w:val="00D44E62"/>
    <w:rsid w:val="00D51570"/>
    <w:rsid w:val="00D51FC9"/>
    <w:rsid w:val="00D5223C"/>
    <w:rsid w:val="00D556AD"/>
    <w:rsid w:val="00D60381"/>
    <w:rsid w:val="00D616DE"/>
    <w:rsid w:val="00D62201"/>
    <w:rsid w:val="00D62CD3"/>
    <w:rsid w:val="00D651D1"/>
    <w:rsid w:val="00D717BB"/>
    <w:rsid w:val="00D7226B"/>
    <w:rsid w:val="00D72707"/>
    <w:rsid w:val="00D74685"/>
    <w:rsid w:val="00D75A9C"/>
    <w:rsid w:val="00D769D5"/>
    <w:rsid w:val="00D80785"/>
    <w:rsid w:val="00D829C8"/>
    <w:rsid w:val="00D90871"/>
    <w:rsid w:val="00D9155F"/>
    <w:rsid w:val="00D925AF"/>
    <w:rsid w:val="00D9403F"/>
    <w:rsid w:val="00D959B4"/>
    <w:rsid w:val="00D96D21"/>
    <w:rsid w:val="00D96FFF"/>
    <w:rsid w:val="00DA44DE"/>
    <w:rsid w:val="00DA6D7A"/>
    <w:rsid w:val="00DA7555"/>
    <w:rsid w:val="00DA7F04"/>
    <w:rsid w:val="00DB5B49"/>
    <w:rsid w:val="00DB620A"/>
    <w:rsid w:val="00DC3832"/>
    <w:rsid w:val="00DC4955"/>
    <w:rsid w:val="00DC58A9"/>
    <w:rsid w:val="00DC744D"/>
    <w:rsid w:val="00DC7A51"/>
    <w:rsid w:val="00DD0F74"/>
    <w:rsid w:val="00DD3B1E"/>
    <w:rsid w:val="00DD4BFD"/>
    <w:rsid w:val="00DD52B9"/>
    <w:rsid w:val="00DD5FE6"/>
    <w:rsid w:val="00DE2D27"/>
    <w:rsid w:val="00DE3B43"/>
    <w:rsid w:val="00DE4FF2"/>
    <w:rsid w:val="00DE5B5F"/>
    <w:rsid w:val="00DF614E"/>
    <w:rsid w:val="00E00696"/>
    <w:rsid w:val="00E02564"/>
    <w:rsid w:val="00E03651"/>
    <w:rsid w:val="00E03808"/>
    <w:rsid w:val="00E060C2"/>
    <w:rsid w:val="00E06324"/>
    <w:rsid w:val="00E07B81"/>
    <w:rsid w:val="00E10AFD"/>
    <w:rsid w:val="00E12B11"/>
    <w:rsid w:val="00E12FB0"/>
    <w:rsid w:val="00E13324"/>
    <w:rsid w:val="00E14814"/>
    <w:rsid w:val="00E15443"/>
    <w:rsid w:val="00E155B5"/>
    <w:rsid w:val="00E1591B"/>
    <w:rsid w:val="00E16A50"/>
    <w:rsid w:val="00E21E22"/>
    <w:rsid w:val="00E22E1D"/>
    <w:rsid w:val="00E249D5"/>
    <w:rsid w:val="00E25017"/>
    <w:rsid w:val="00E26F73"/>
    <w:rsid w:val="00E27C65"/>
    <w:rsid w:val="00E30A34"/>
    <w:rsid w:val="00E33C68"/>
    <w:rsid w:val="00E34EEB"/>
    <w:rsid w:val="00E3687C"/>
    <w:rsid w:val="00E44EB9"/>
    <w:rsid w:val="00E45BDC"/>
    <w:rsid w:val="00E46358"/>
    <w:rsid w:val="00E471DC"/>
    <w:rsid w:val="00E50EB4"/>
    <w:rsid w:val="00E52171"/>
    <w:rsid w:val="00E532FC"/>
    <w:rsid w:val="00E559B4"/>
    <w:rsid w:val="00E55BB0"/>
    <w:rsid w:val="00E609E5"/>
    <w:rsid w:val="00E60B41"/>
    <w:rsid w:val="00E60F27"/>
    <w:rsid w:val="00E63E3F"/>
    <w:rsid w:val="00E64D93"/>
    <w:rsid w:val="00E65EDB"/>
    <w:rsid w:val="00E6644B"/>
    <w:rsid w:val="00E66927"/>
    <w:rsid w:val="00E677B8"/>
    <w:rsid w:val="00E67FA1"/>
    <w:rsid w:val="00E7387D"/>
    <w:rsid w:val="00E73D53"/>
    <w:rsid w:val="00E75111"/>
    <w:rsid w:val="00E76D43"/>
    <w:rsid w:val="00E77296"/>
    <w:rsid w:val="00E7754F"/>
    <w:rsid w:val="00E84489"/>
    <w:rsid w:val="00E87EF7"/>
    <w:rsid w:val="00E918FD"/>
    <w:rsid w:val="00E93763"/>
    <w:rsid w:val="00E96C4C"/>
    <w:rsid w:val="00EA2AAE"/>
    <w:rsid w:val="00EA2EC0"/>
    <w:rsid w:val="00EA427A"/>
    <w:rsid w:val="00EA723B"/>
    <w:rsid w:val="00EB6350"/>
    <w:rsid w:val="00EB687A"/>
    <w:rsid w:val="00EC2F62"/>
    <w:rsid w:val="00EC2FBA"/>
    <w:rsid w:val="00EC5F2F"/>
    <w:rsid w:val="00EC62EB"/>
    <w:rsid w:val="00EC6E9F"/>
    <w:rsid w:val="00EC7016"/>
    <w:rsid w:val="00ED44F0"/>
    <w:rsid w:val="00ED4B33"/>
    <w:rsid w:val="00ED5993"/>
    <w:rsid w:val="00ED7436"/>
    <w:rsid w:val="00ED7DD6"/>
    <w:rsid w:val="00EE060B"/>
    <w:rsid w:val="00EE15A1"/>
    <w:rsid w:val="00EE2A7C"/>
    <w:rsid w:val="00EE2C42"/>
    <w:rsid w:val="00EE341B"/>
    <w:rsid w:val="00EE4453"/>
    <w:rsid w:val="00EE4F4F"/>
    <w:rsid w:val="00EE5FCE"/>
    <w:rsid w:val="00EE6BBD"/>
    <w:rsid w:val="00EE6E1E"/>
    <w:rsid w:val="00EE705F"/>
    <w:rsid w:val="00EF1462"/>
    <w:rsid w:val="00EF54FD"/>
    <w:rsid w:val="00F13112"/>
    <w:rsid w:val="00F15DD9"/>
    <w:rsid w:val="00F16755"/>
    <w:rsid w:val="00F16FE6"/>
    <w:rsid w:val="00F22A44"/>
    <w:rsid w:val="00F238BD"/>
    <w:rsid w:val="00F24992"/>
    <w:rsid w:val="00F27866"/>
    <w:rsid w:val="00F32F2F"/>
    <w:rsid w:val="00F33F3F"/>
    <w:rsid w:val="00F35BDD"/>
    <w:rsid w:val="00F35E41"/>
    <w:rsid w:val="00F35EF0"/>
    <w:rsid w:val="00F403FD"/>
    <w:rsid w:val="00F40A8A"/>
    <w:rsid w:val="00F41E72"/>
    <w:rsid w:val="00F45BDF"/>
    <w:rsid w:val="00F50300"/>
    <w:rsid w:val="00F51348"/>
    <w:rsid w:val="00F56E39"/>
    <w:rsid w:val="00F602B0"/>
    <w:rsid w:val="00F60E55"/>
    <w:rsid w:val="00F6207A"/>
    <w:rsid w:val="00F623E9"/>
    <w:rsid w:val="00F63951"/>
    <w:rsid w:val="00F63C86"/>
    <w:rsid w:val="00F766BE"/>
    <w:rsid w:val="00F773CC"/>
    <w:rsid w:val="00F776F9"/>
    <w:rsid w:val="00F77EB9"/>
    <w:rsid w:val="00F80635"/>
    <w:rsid w:val="00F8115F"/>
    <w:rsid w:val="00F81378"/>
    <w:rsid w:val="00F815D1"/>
    <w:rsid w:val="00F815E1"/>
    <w:rsid w:val="00F81E7E"/>
    <w:rsid w:val="00F81F0F"/>
    <w:rsid w:val="00F825F4"/>
    <w:rsid w:val="00F8378B"/>
    <w:rsid w:val="00F91A44"/>
    <w:rsid w:val="00F92AA1"/>
    <w:rsid w:val="00F932DE"/>
    <w:rsid w:val="00F963DD"/>
    <w:rsid w:val="00F9641A"/>
    <w:rsid w:val="00F97004"/>
    <w:rsid w:val="00FA2045"/>
    <w:rsid w:val="00FA3220"/>
    <w:rsid w:val="00FA7A66"/>
    <w:rsid w:val="00FB067E"/>
    <w:rsid w:val="00FB1AA9"/>
    <w:rsid w:val="00FB1B00"/>
    <w:rsid w:val="00FB4B5A"/>
    <w:rsid w:val="00FB5963"/>
    <w:rsid w:val="00FB5DAA"/>
    <w:rsid w:val="00FC04B9"/>
    <w:rsid w:val="00FC161A"/>
    <w:rsid w:val="00FC1699"/>
    <w:rsid w:val="00FC23D5"/>
    <w:rsid w:val="00FC4337"/>
    <w:rsid w:val="00FC4C1A"/>
    <w:rsid w:val="00FC6468"/>
    <w:rsid w:val="00FC6D49"/>
    <w:rsid w:val="00FD063B"/>
    <w:rsid w:val="00FD0F5B"/>
    <w:rsid w:val="00FD1C69"/>
    <w:rsid w:val="00FD1EF9"/>
    <w:rsid w:val="00FD4922"/>
    <w:rsid w:val="00FD6461"/>
    <w:rsid w:val="00FE0281"/>
    <w:rsid w:val="00FE3E1A"/>
    <w:rsid w:val="00FE7083"/>
    <w:rsid w:val="00FF019F"/>
    <w:rsid w:val="00FF06C4"/>
    <w:rsid w:val="00FF1B2A"/>
    <w:rsid w:val="00FF2160"/>
    <w:rsid w:val="00FF30DE"/>
    <w:rsid w:val="00FF644B"/>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7D72242-5F41-438C-A314-1FE6E298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numbering" w:customStyle="1" w:styleId="Stijl1">
    <w:name w:val="Stijl1"/>
    <w:uiPriority w:val="99"/>
    <w:rsid w:val="004978C9"/>
    <w:pPr>
      <w:numPr>
        <w:numId w:val="27"/>
      </w:numPr>
    </w:pPr>
  </w:style>
  <w:style w:type="character" w:styleId="PlaceholderText">
    <w:name w:val="Placeholder Text"/>
    <w:basedOn w:val="DefaultParagraphFont"/>
    <w:uiPriority w:val="99"/>
    <w:semiHidden/>
    <w:rsid w:val="00400939"/>
    <w:rPr>
      <w:color w:val="808080"/>
    </w:rPr>
  </w:style>
  <w:style w:type="character" w:styleId="LineNumber">
    <w:name w:val="line number"/>
    <w:basedOn w:val="DefaultParagraphFont"/>
    <w:uiPriority w:val="99"/>
    <w:semiHidden/>
    <w:unhideWhenUsed/>
    <w:rsid w:val="00CC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57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2179">
      <w:bodyDiv w:val="1"/>
      <w:marLeft w:val="0"/>
      <w:marRight w:val="0"/>
      <w:marTop w:val="0"/>
      <w:marBottom w:val="0"/>
      <w:divBdr>
        <w:top w:val="none" w:sz="0" w:space="0" w:color="auto"/>
        <w:left w:val="none" w:sz="0" w:space="0" w:color="auto"/>
        <w:bottom w:val="none" w:sz="0" w:space="0" w:color="auto"/>
        <w:right w:val="none" w:sz="0" w:space="0" w:color="auto"/>
      </w:divBdr>
    </w:div>
    <w:div w:id="880744630">
      <w:bodyDiv w:val="1"/>
      <w:marLeft w:val="0"/>
      <w:marRight w:val="0"/>
      <w:marTop w:val="0"/>
      <w:marBottom w:val="0"/>
      <w:divBdr>
        <w:top w:val="none" w:sz="0" w:space="0" w:color="auto"/>
        <w:left w:val="none" w:sz="0" w:space="0" w:color="auto"/>
        <w:bottom w:val="none" w:sz="0" w:space="0" w:color="auto"/>
        <w:right w:val="none" w:sz="0" w:space="0" w:color="auto"/>
      </w:divBdr>
    </w:div>
    <w:div w:id="10129942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146234">
      <w:bodyDiv w:val="1"/>
      <w:marLeft w:val="0"/>
      <w:marRight w:val="0"/>
      <w:marTop w:val="0"/>
      <w:marBottom w:val="0"/>
      <w:divBdr>
        <w:top w:val="none" w:sz="0" w:space="0" w:color="auto"/>
        <w:left w:val="none" w:sz="0" w:space="0" w:color="auto"/>
        <w:bottom w:val="none" w:sz="0" w:space="0" w:color="auto"/>
        <w:right w:val="none" w:sz="0" w:space="0" w:color="auto"/>
      </w:divBdr>
    </w:div>
    <w:div w:id="1381055858">
      <w:bodyDiv w:val="1"/>
      <w:marLeft w:val="0"/>
      <w:marRight w:val="0"/>
      <w:marTop w:val="0"/>
      <w:marBottom w:val="0"/>
      <w:divBdr>
        <w:top w:val="none" w:sz="0" w:space="0" w:color="auto"/>
        <w:left w:val="none" w:sz="0" w:space="0" w:color="auto"/>
        <w:bottom w:val="none" w:sz="0" w:space="0" w:color="auto"/>
        <w:right w:val="none" w:sz="0" w:space="0" w:color="auto"/>
      </w:divBdr>
    </w:div>
    <w:div w:id="1768692705">
      <w:bodyDiv w:val="1"/>
      <w:marLeft w:val="0"/>
      <w:marRight w:val="0"/>
      <w:marTop w:val="0"/>
      <w:marBottom w:val="0"/>
      <w:divBdr>
        <w:top w:val="none" w:sz="0" w:space="0" w:color="auto"/>
        <w:left w:val="none" w:sz="0" w:space="0" w:color="auto"/>
        <w:bottom w:val="none" w:sz="0" w:space="0" w:color="auto"/>
        <w:right w:val="none" w:sz="0" w:space="0" w:color="auto"/>
      </w:divBdr>
    </w:div>
    <w:div w:id="18413079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7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15BE-8E9D-4F1D-A994-394374D7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4357</Words>
  <Characters>24841</Characters>
  <Application>Microsoft Office Word</Application>
  <DocSecurity>0</DocSecurity>
  <Lines>207</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Antoni van Leeuwenhoek</Company>
  <LinksUpToDate>false</LinksUpToDate>
  <CharactersWithSpaces>29140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Else Aalbersberg</dc:creator>
  <cp:keywords>Aug 2012 rev</cp:keywords>
  <cp:lastModifiedBy>Alisha Dsouza</cp:lastModifiedBy>
  <cp:revision>31</cp:revision>
  <cp:lastPrinted>2013-05-29T14:32:00Z</cp:lastPrinted>
  <dcterms:created xsi:type="dcterms:W3CDTF">2019-01-14T14:20:00Z</dcterms:created>
  <dcterms:modified xsi:type="dcterms:W3CDTF">2019-01-15T05:50:00Z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