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2A" w:rsidRPr="0066064B" w:rsidRDefault="000E6BB4" w:rsidP="0066064B">
      <w:pPr>
        <w:spacing w:line="400" w:lineRule="exact"/>
        <w:rPr>
          <w:rStyle w:val="a3"/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Style w:val="a3"/>
          <w:rFonts w:ascii="Times New Roman" w:hAnsi="Times New Roman" w:cs="Times New Roman"/>
          <w:color w:val="000033"/>
          <w:szCs w:val="21"/>
          <w:shd w:val="clear" w:color="auto" w:fill="FFFFFF"/>
        </w:rPr>
        <w:t>Editorial comments:</w:t>
      </w:r>
    </w:p>
    <w:p w:rsidR="008614E7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1. Several times you mention ‘DNA to protein translation’; this should be ‘RNA to protein translation’ (or just ‘protein translation’).</w:t>
      </w:r>
    </w:p>
    <w:p w:rsidR="008614E7" w:rsidRPr="0066064B" w:rsidRDefault="008614E7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Re: Thanks for this suggestion, the ‘DNA to protein translation’ has been changed to ‘protein translation’.</w:t>
      </w:r>
    </w:p>
    <w:p w:rsidR="00357D8E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2. 1.1: Can you provide references for these gene sequences? Also, it’s unclear if this step can be filmed (although we may be able to work with a diagram of the procedure here).</w:t>
      </w:r>
    </w:p>
    <w:p w:rsidR="00357D8E" w:rsidRPr="0066064B" w:rsidRDefault="00357D8E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R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e: 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The sequences </w:t>
      </w:r>
      <w:r w:rsidR="00C1683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of the </w:t>
      </w:r>
      <w:r w:rsidR="009746E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marker genes and their rare codon-rich derivatives 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were included in t</w:t>
      </w:r>
      <w:r w:rsidR="003205B3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he Supplementary T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able 1</w:t>
      </w:r>
      <w:r w:rsidR="009746E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and the leucine </w:t>
      </w:r>
      <w:r w:rsidR="008B7E1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rare </w:t>
      </w:r>
      <w:r w:rsidR="009746E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codons were highlighted</w:t>
      </w:r>
      <w:r w:rsidR="00B83A6D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</w:t>
      </w:r>
      <w:r w:rsidR="008B7E1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Reference of the </w:t>
      </w:r>
      <w:r w:rsidR="008B7E12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Nat Commun</w:t>
      </w:r>
      <w:r w:rsidR="008B7E1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paper that offered the sequences of marker genes for the identification</w:t>
      </w:r>
      <w:r w:rsidR="00737106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s</w:t>
      </w:r>
      <w:r w:rsidR="008B7E1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of </w:t>
      </w:r>
      <w:r w:rsidR="00737106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L-serine and L-arginine overproducers</w:t>
      </w:r>
      <w:r w:rsidR="008B7E1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was also included</w:t>
      </w:r>
      <w:r w:rsidR="00737106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</w:t>
      </w:r>
      <w:r w:rsidR="00B83A6D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Since the sequences were given, the step 1.1 was unhighlighted</w:t>
      </w:r>
      <w:r w:rsidR="006E5E3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and we agree that </w:t>
      </w:r>
      <w:r w:rsidR="001E3D4D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it is un</w:t>
      </w:r>
      <w:r w:rsidR="006E5E3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necessary to film this step. Instead, w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e would like to use a diagram to </w:t>
      </w:r>
      <w:r w:rsidR="009746E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illustrate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B83A6D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the codon replacement in step 1.2</w:t>
      </w:r>
      <w:r w:rsidR="00440F7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</w:t>
      </w:r>
    </w:p>
    <w:p w:rsidR="00440F75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3. 1.3–1.5: Is it also possible to have the whole gene synthesized?</w:t>
      </w:r>
    </w:p>
    <w:p w:rsidR="00440F75" w:rsidRPr="0066064B" w:rsidRDefault="00440F75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Re: Yes, </w:t>
      </w:r>
      <w:r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the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se genes could be synthesized by commercial gene synthesis services</w:t>
      </w:r>
      <w:r w:rsidR="005E0F0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 This was mentioned in step 1.3 as an alternative choice.</w:t>
      </w:r>
    </w:p>
    <w:p w:rsidR="00937067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4. 1.5: Ligate the gene</w:t>
      </w:r>
      <w:r w:rsidRPr="0066064B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s to what? If the vector, which one, exactly?</w:t>
      </w:r>
    </w:p>
    <w:p w:rsidR="00937067" w:rsidRPr="0066064B" w:rsidRDefault="00937067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Re:</w:t>
      </w:r>
      <w:r w:rsidR="00DC4497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Sorry for this mistake, </w:t>
      </w:r>
      <w:r w:rsidR="00EF0218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we used the pET-28a vector for</w:t>
      </w:r>
      <w:r w:rsidR="00357E7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357E7F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kan</w:t>
      </w:r>
      <w:r w:rsidR="00357E7F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  <w:vertAlign w:val="superscript"/>
        </w:rPr>
        <w:t>R</w:t>
      </w:r>
      <w:r w:rsidR="00357E7F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-RC</w:t>
      </w:r>
      <w:r w:rsidR="00357E7F"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,</w:t>
      </w:r>
      <w:r w:rsidR="00357E7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pSB1C3 for </w:t>
      </w:r>
      <w:r w:rsidR="00357E7F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gfp-RC</w:t>
      </w:r>
      <w:r w:rsidR="00357E7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and CPB-37-441 for </w:t>
      </w:r>
      <w:r w:rsidR="00357E7F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ppg-RC</w:t>
      </w:r>
      <w:r w:rsidR="00357E7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, </w:t>
      </w:r>
      <w:r w:rsidR="00DC4497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reference</w:t>
      </w:r>
      <w:r w:rsidR="00357E7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s for the plasmid maps were included in Note 1.5</w:t>
      </w:r>
      <w:r w:rsidR="00404C44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and the </w:t>
      </w:r>
      <w:r w:rsidR="009546AF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available </w:t>
      </w:r>
      <w:bookmarkStart w:id="0" w:name="_GoBack"/>
      <w:bookmarkEnd w:id="0"/>
      <w:r w:rsidR="00404C44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sequences were given in Supplementary Table 1.</w:t>
      </w:r>
    </w:p>
    <w:p w:rsidR="00937067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5. 1.5.2: Which competent cells do you use? There is nothing in the Table of Materials in general about cells.</w:t>
      </w:r>
    </w:p>
    <w:p w:rsidR="00937F30" w:rsidRPr="0066064B" w:rsidRDefault="00937067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Re: </w:t>
      </w:r>
      <w:r w:rsidR="00937F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The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Pr="0066064B">
        <w:rPr>
          <w:rFonts w:ascii="Times New Roman" w:hAnsi="Times New Roman" w:cs="Times New Roman" w:hint="eastAsia"/>
          <w:i/>
          <w:color w:val="2E74B5" w:themeColor="accent1" w:themeShade="BF"/>
          <w:szCs w:val="21"/>
          <w:shd w:val="clear" w:color="auto" w:fill="FFFFFF"/>
        </w:rPr>
        <w:t>E.</w:t>
      </w:r>
      <w:r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 xml:space="preserve"> </w:t>
      </w:r>
      <w:r w:rsidRPr="0066064B">
        <w:rPr>
          <w:rFonts w:ascii="Times New Roman" w:hAnsi="Times New Roman" w:cs="Times New Roman" w:hint="eastAsia"/>
          <w:i/>
          <w:color w:val="2E74B5" w:themeColor="accent1" w:themeShade="BF"/>
          <w:szCs w:val="21"/>
          <w:shd w:val="clear" w:color="auto" w:fill="FFFFFF"/>
        </w:rPr>
        <w:t>coli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competent cell </w:t>
      </w:r>
      <w:r w:rsidR="00BA646B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XL10-Gold</w:t>
      </w:r>
      <w:r w:rsidR="00937F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was used </w:t>
      </w:r>
      <w:r w:rsidR="005539D6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for cloning </w:t>
      </w:r>
      <w:r w:rsidR="00937F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and the Table of Materials </w:t>
      </w:r>
      <w:r w:rsidR="00BA646B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has been</w:t>
      </w:r>
      <w:r w:rsidR="00937F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updated.</w:t>
      </w:r>
    </w:p>
    <w:p w:rsidR="00B83A6D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6. 4.6.8: This step needs more details if it is to be filmed.</w:t>
      </w:r>
    </w:p>
    <w:p w:rsidR="00B83A6D" w:rsidRPr="0066064B" w:rsidRDefault="0007294F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Re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: </w:t>
      </w:r>
      <w:r w:rsidR="001D049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More details were added in </w:t>
      </w:r>
      <w:r w:rsidR="00835603"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step</w:t>
      </w:r>
      <w:r w:rsidR="00835603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1D049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4.6.8.</w:t>
      </w:r>
    </w:p>
    <w:p w:rsidR="00DC4497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7. Representative results: You mention that ‘the OD600 for strain harboring the rare codon-rich antibiotic resistance gene increases significantly’ in Figure 1c, but only show significance for WT versus RC with no leucine added, not for between RC experiments. Please clarify.</w:t>
      </w:r>
    </w:p>
    <w:p w:rsidR="00D3536D" w:rsidRPr="0066064B" w:rsidRDefault="00DC4497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Re: </w:t>
      </w:r>
      <w:r w:rsidR="009853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Thanks for this suggestion.</w:t>
      </w:r>
      <w:r w:rsidR="00990204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We have 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compared the ODs</w:t>
      </w:r>
      <w:r w:rsidR="001F519A"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 xml:space="preserve"> 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for cells with L-leucine feeding to that without L-leucine feeding for the RC experiment using </w:t>
      </w:r>
      <w:r w:rsidR="006943BC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t</w:t>
      </w:r>
      <w:r w:rsidR="006943B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test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and most comparisons reached significant levels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 The only exception was for the</w:t>
      </w:r>
      <w:r w:rsidR="004175D7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feeding of 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2.0 g L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  <w:vertAlign w:val="superscript"/>
        </w:rPr>
        <w:t>-1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L-leucine due to a high standard deviation</w:t>
      </w:r>
      <w:r w:rsidR="00D82702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in </w:t>
      </w:r>
      <w:r w:rsidR="009C6D73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OD</w:t>
      </w:r>
      <w:r w:rsidR="009C6D73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  <w:vertAlign w:val="subscript"/>
        </w:rPr>
        <w:t>600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for the feeding treatment. To keep it clear, only the most significant difference was marked in the figure 1c. We also compared the fluorescence intensity between the 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lastRenderedPageBreak/>
        <w:t xml:space="preserve">RC experiments in Figure 1d, and the 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feeding of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0.5–2.0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L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  <w:vertAlign w:val="superscript"/>
        </w:rPr>
        <w:t>-1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1F519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L-leucine significantly increased </w:t>
      </w:r>
      <w:r w:rsidR="00DD36E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the fluorescence intensity for cells harboring the </w:t>
      </w:r>
      <w:r w:rsidR="00AE6C6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rare codon-rich </w:t>
      </w:r>
      <w:r w:rsidR="00AE6C65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gfp</w:t>
      </w:r>
      <w:r w:rsidR="00AE6C6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 The Figure 1 has been updated and the</w:t>
      </w:r>
      <w:r w:rsidR="006943B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6943BC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t</w:t>
      </w:r>
      <w:r w:rsidR="006943B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AE6C65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test results were explained in the legend.</w:t>
      </w:r>
    </w:p>
    <w:p w:rsidR="00DC4497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8. Figures 2 and 3: Please use ‘g L-1’, not ‘g l-1’ (uppercase L).</w:t>
      </w:r>
    </w:p>
    <w:p w:rsidR="00D3536D" w:rsidRPr="0066064B" w:rsidRDefault="00B811BC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Re: T</w:t>
      </w:r>
      <w:r w:rsidR="00DC4497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he g l</w:t>
      </w:r>
      <w:r w:rsidR="00DC4497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  <w:vertAlign w:val="superscript"/>
        </w:rPr>
        <w:t>-1</w:t>
      </w:r>
      <w:r w:rsidR="00DC4497" w:rsidRPr="0066064B">
        <w:rPr>
          <w:rFonts w:ascii="Times New Roman" w:hAnsi="Times New Roman" w:cs="Times New Roman"/>
          <w:color w:val="2E74B5" w:themeColor="accent1" w:themeShade="BF"/>
          <w:szCs w:val="21"/>
        </w:rPr>
        <w:t xml:space="preserve">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</w:rPr>
        <w:t xml:space="preserve">was replaced by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g L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  <w:vertAlign w:val="superscript"/>
        </w:rPr>
        <w:t>-1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3023A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in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both figures.</w:t>
      </w:r>
    </w:p>
    <w:p w:rsidR="003023AA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9. Figure 2: There doesn’t appear to be a scale bar here.</w:t>
      </w:r>
    </w:p>
    <w:p w:rsidR="00D3536D" w:rsidRPr="0066064B" w:rsidRDefault="003023AA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Re: The scale bar was added.</w:t>
      </w:r>
    </w:p>
    <w:p w:rsidR="008A4BD3" w:rsidRPr="0066064B" w:rsidRDefault="000E6BB4" w:rsidP="0066064B">
      <w:pPr>
        <w:spacing w:line="400" w:lineRule="exact"/>
        <w:rPr>
          <w:rFonts w:ascii="Times New Roman" w:hAnsi="Times New Roman" w:cs="Times New Roman"/>
          <w:color w:val="000033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000033"/>
          <w:szCs w:val="21"/>
          <w:shd w:val="clear" w:color="auto" w:fill="FFFFFF"/>
        </w:rPr>
        <w:t>10. Figure 3: Please explain the colored circles more clearly-how exactly were they created? Also, it’s unclear how much purple color is supposed to be in the circles in the left panel under RC.</w:t>
      </w:r>
    </w:p>
    <w:p w:rsidR="00A1124F" w:rsidRPr="0066064B" w:rsidRDefault="00573276" w:rsidP="0066064B">
      <w:pPr>
        <w:spacing w:line="400" w:lineRule="exact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Re: The</w:t>
      </w:r>
      <w:r w:rsidR="00C953D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colored circles were generated by picking the colors of the cell cultures and the cell pellets using image processing software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packages</w:t>
      </w:r>
      <w:r w:rsidR="00C953DA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such as Adobe Photoshop.</w:t>
      </w:r>
      <w:r w:rsidR="00CB2F3E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A similar style of using the colored circles to show the </w:t>
      </w:r>
      <w:r w:rsidR="00CB2F3E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color development</w:t>
      </w:r>
      <w:r w:rsidR="00F96726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could be found on the official website of the chromogenic proteins (https://www.atum.bio/products/protein-paintbox?exp=3).</w:t>
      </w:r>
      <w:r w:rsidR="00A1124F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Explanation was included in the Figure 3 caption.</w:t>
      </w:r>
    </w:p>
    <w:p w:rsidR="003C7C0C" w:rsidRPr="0066064B" w:rsidRDefault="00CB2F3E" w:rsidP="0066064B">
      <w:pPr>
        <w:spacing w:line="400" w:lineRule="exact"/>
        <w:ind w:firstLineChars="200" w:firstLine="420"/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</w:pP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It is hard to define a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n expected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purple color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for the RC group because t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he color under RC should be evaluated 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in comparison to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the color of the wild-type strain rather than 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being 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viewed independently.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T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he incorporation of rare codon in the </w:t>
      </w:r>
      <w:r w:rsidR="003C7C0C" w:rsidRPr="0066064B">
        <w:rPr>
          <w:rFonts w:ascii="Times New Roman" w:hAnsi="Times New Roman" w:cs="Times New Roman"/>
          <w:i/>
          <w:color w:val="2E74B5" w:themeColor="accent1" w:themeShade="BF"/>
          <w:szCs w:val="21"/>
          <w:shd w:val="clear" w:color="auto" w:fill="FFFFFF"/>
        </w:rPr>
        <w:t>ppg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="003C7C0C" w:rsidRPr="0066064B">
        <w:rPr>
          <w:rFonts w:ascii="Times New Roman" w:hAnsi="Times New Roman" w:cs="Times New Roman" w:hint="eastAsia"/>
          <w:color w:val="2E74B5" w:themeColor="accent1" w:themeShade="BF"/>
          <w:szCs w:val="21"/>
          <w:shd w:val="clear" w:color="auto" w:fill="FFFFFF"/>
        </w:rPr>
        <w:t>g</w:t>
      </w:r>
      <w:r w:rsidR="003C7C0C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ene is supposed to inhibit the purple pr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otein translation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. T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hus, as long as the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purple 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color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under RC is</w:t>
      </w:r>
      <w:r w:rsidR="00BF623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lighter than that under WT, or in other words, the purple color for the WT group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developed</w:t>
      </w:r>
      <w:r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f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aster than that of the RC under the same culturing conditions, the system is </w:t>
      </w:r>
      <w:r w:rsidR="00573321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applicable</w:t>
      </w:r>
      <w:r w:rsidR="006B5B1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for the 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>screening</w:t>
      </w:r>
      <w:r w:rsidR="006B5B10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of</w:t>
      </w:r>
      <w:r w:rsidR="005D10C9" w:rsidRPr="0066064B">
        <w:rPr>
          <w:rFonts w:ascii="Times New Roman" w:hAnsi="Times New Roman" w:cs="Times New Roman"/>
          <w:color w:val="2E74B5" w:themeColor="accent1" w:themeShade="BF"/>
          <w:szCs w:val="21"/>
          <w:shd w:val="clear" w:color="auto" w:fill="FFFFFF"/>
        </w:rPr>
        <w:t xml:space="preserve"> amino acid overproducers.</w:t>
      </w:r>
    </w:p>
    <w:sectPr w:rsidR="003C7C0C" w:rsidRPr="00660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E8B" w:rsidRDefault="00837E8B" w:rsidP="0007294F">
      <w:r>
        <w:separator/>
      </w:r>
    </w:p>
  </w:endnote>
  <w:endnote w:type="continuationSeparator" w:id="0">
    <w:p w:rsidR="00837E8B" w:rsidRDefault="00837E8B" w:rsidP="0007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E8B" w:rsidRDefault="00837E8B" w:rsidP="0007294F">
      <w:r>
        <w:separator/>
      </w:r>
    </w:p>
  </w:footnote>
  <w:footnote w:type="continuationSeparator" w:id="0">
    <w:p w:rsidR="00837E8B" w:rsidRDefault="00837E8B" w:rsidP="0007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67"/>
    <w:rsid w:val="0007294F"/>
    <w:rsid w:val="0009132E"/>
    <w:rsid w:val="000E6BB4"/>
    <w:rsid w:val="00104F4D"/>
    <w:rsid w:val="001420E9"/>
    <w:rsid w:val="001476B2"/>
    <w:rsid w:val="00183267"/>
    <w:rsid w:val="001D0490"/>
    <w:rsid w:val="001E3D4D"/>
    <w:rsid w:val="001F519A"/>
    <w:rsid w:val="002E02E8"/>
    <w:rsid w:val="003023AA"/>
    <w:rsid w:val="003205B3"/>
    <w:rsid w:val="00357D8E"/>
    <w:rsid w:val="00357E7F"/>
    <w:rsid w:val="0038472A"/>
    <w:rsid w:val="003C7C0C"/>
    <w:rsid w:val="00404C44"/>
    <w:rsid w:val="004175D7"/>
    <w:rsid w:val="00440F75"/>
    <w:rsid w:val="00442260"/>
    <w:rsid w:val="005539D6"/>
    <w:rsid w:val="00573276"/>
    <w:rsid w:val="00573321"/>
    <w:rsid w:val="005D10C9"/>
    <w:rsid w:val="005E0F05"/>
    <w:rsid w:val="0066064B"/>
    <w:rsid w:val="006943BC"/>
    <w:rsid w:val="006B5B10"/>
    <w:rsid w:val="006E5E35"/>
    <w:rsid w:val="00737106"/>
    <w:rsid w:val="00743557"/>
    <w:rsid w:val="007D5E0A"/>
    <w:rsid w:val="007F0B83"/>
    <w:rsid w:val="00835603"/>
    <w:rsid w:val="00837E8B"/>
    <w:rsid w:val="008614E7"/>
    <w:rsid w:val="008A4BD3"/>
    <w:rsid w:val="008A52FD"/>
    <w:rsid w:val="008B7E12"/>
    <w:rsid w:val="00937067"/>
    <w:rsid w:val="00937F30"/>
    <w:rsid w:val="00954308"/>
    <w:rsid w:val="009546AF"/>
    <w:rsid w:val="009746EF"/>
    <w:rsid w:val="0098539A"/>
    <w:rsid w:val="00990204"/>
    <w:rsid w:val="009C6D73"/>
    <w:rsid w:val="00A1124F"/>
    <w:rsid w:val="00AE6C65"/>
    <w:rsid w:val="00B811BC"/>
    <w:rsid w:val="00B83A6D"/>
    <w:rsid w:val="00BA646B"/>
    <w:rsid w:val="00BA73D7"/>
    <w:rsid w:val="00BF6230"/>
    <w:rsid w:val="00C1683A"/>
    <w:rsid w:val="00C47306"/>
    <w:rsid w:val="00C953DA"/>
    <w:rsid w:val="00CB2F3E"/>
    <w:rsid w:val="00D3536D"/>
    <w:rsid w:val="00D82702"/>
    <w:rsid w:val="00DC4497"/>
    <w:rsid w:val="00DD36E9"/>
    <w:rsid w:val="00DF3C7B"/>
    <w:rsid w:val="00E677E7"/>
    <w:rsid w:val="00E864D9"/>
    <w:rsid w:val="00EE465F"/>
    <w:rsid w:val="00EF0218"/>
    <w:rsid w:val="00F72C4A"/>
    <w:rsid w:val="00F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8719"/>
  <w15:chartTrackingRefBased/>
  <w15:docId w15:val="{1E0AC4EF-7A50-4126-95DE-F03BBEC4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6BB4"/>
    <w:rPr>
      <w:b/>
      <w:bCs/>
    </w:rPr>
  </w:style>
  <w:style w:type="paragraph" w:styleId="a4">
    <w:name w:val="header"/>
    <w:basedOn w:val="a"/>
    <w:link w:val="a5"/>
    <w:uiPriority w:val="99"/>
    <w:unhideWhenUsed/>
    <w:rsid w:val="00072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729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72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29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46</cp:revision>
  <dcterms:created xsi:type="dcterms:W3CDTF">2019-01-31T01:37:00Z</dcterms:created>
  <dcterms:modified xsi:type="dcterms:W3CDTF">2019-02-12T11:49:00Z</dcterms:modified>
</cp:coreProperties>
</file>