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37" w:rsidRPr="003B3637" w:rsidRDefault="003B3637" w:rsidP="003B3637">
      <w:pPr>
        <w:pStyle w:val="NormalWeb"/>
        <w:spacing w:before="0" w:beforeAutospacing="0" w:after="0" w:afterAutospacing="0"/>
        <w:contextualSpacing/>
        <w:rPr>
          <w:rFonts w:ascii="Arial" w:hAnsi="Arial" w:cs="Arial"/>
          <w:b/>
          <w:color w:val="auto"/>
          <w:sz w:val="22"/>
        </w:rPr>
      </w:pPr>
      <w:r w:rsidRPr="003B3637">
        <w:rPr>
          <w:rFonts w:ascii="Arial" w:hAnsi="Arial" w:cs="Arial"/>
          <w:b/>
          <w:color w:val="auto"/>
          <w:sz w:val="22"/>
        </w:rPr>
        <w:t>Section 7:</w:t>
      </w:r>
    </w:p>
    <w:p w:rsidR="003B3637" w:rsidRDefault="003B3637" w:rsidP="003B3637">
      <w:pPr>
        <w:pStyle w:val="NormalWeb"/>
        <w:spacing w:before="0" w:beforeAutospacing="0" w:after="0" w:afterAutospacing="0"/>
        <w:contextualSpacing/>
        <w:rPr>
          <w:rFonts w:ascii="Arial" w:hAnsi="Arial" w:cs="Arial"/>
          <w:color w:val="auto"/>
          <w:sz w:val="22"/>
        </w:rPr>
      </w:pPr>
      <w:r>
        <w:rPr>
          <w:rFonts w:ascii="Arial" w:hAnsi="Arial" w:cs="Arial"/>
          <w:color w:val="auto"/>
          <w:sz w:val="22"/>
        </w:rPr>
        <w:t>It is</w:t>
      </w:r>
      <w:r w:rsidRPr="003B3637">
        <w:rPr>
          <w:rFonts w:ascii="Arial" w:hAnsi="Arial" w:cs="Arial"/>
          <w:color w:val="auto"/>
          <w:sz w:val="22"/>
        </w:rPr>
        <w:t xml:space="preserve"> best to just show the creation of the plot in </w:t>
      </w:r>
      <w:r>
        <w:rPr>
          <w:rFonts w:ascii="Arial" w:hAnsi="Arial" w:cs="Arial"/>
          <w:color w:val="auto"/>
          <w:sz w:val="22"/>
        </w:rPr>
        <w:t xml:space="preserve">step </w:t>
      </w:r>
      <w:r w:rsidRPr="003B3637">
        <w:rPr>
          <w:rFonts w:ascii="Arial" w:hAnsi="Arial" w:cs="Arial"/>
          <w:color w:val="auto"/>
          <w:sz w:val="22"/>
        </w:rPr>
        <w:t>7.</w:t>
      </w:r>
      <w:r w:rsidR="0038064F">
        <w:rPr>
          <w:rFonts w:ascii="Arial" w:hAnsi="Arial" w:cs="Arial"/>
          <w:color w:val="auto"/>
          <w:sz w:val="22"/>
        </w:rPr>
        <w:t>3</w:t>
      </w:r>
      <w:r w:rsidRPr="003B3637">
        <w:rPr>
          <w:rFonts w:ascii="Arial" w:hAnsi="Arial" w:cs="Arial"/>
          <w:color w:val="auto"/>
          <w:sz w:val="22"/>
        </w:rPr>
        <w:t xml:space="preserve"> then say </w:t>
      </w:r>
      <w:r>
        <w:rPr>
          <w:rFonts w:ascii="Arial" w:hAnsi="Arial" w:cs="Arial"/>
          <w:color w:val="auto"/>
          <w:sz w:val="22"/>
        </w:rPr>
        <w:t xml:space="preserve">something along the lines of: </w:t>
      </w:r>
      <w:r w:rsidRPr="003B3637">
        <w:rPr>
          <w:rFonts w:ascii="Arial" w:hAnsi="Arial" w:cs="Arial"/>
          <w:color w:val="auto"/>
          <w:sz w:val="22"/>
        </w:rPr>
        <w:t xml:space="preserve">“create the two remaining plots by following </w:t>
      </w:r>
      <w:r>
        <w:rPr>
          <w:rFonts w:ascii="Arial" w:hAnsi="Arial" w:cs="Arial"/>
          <w:color w:val="auto"/>
          <w:sz w:val="22"/>
        </w:rPr>
        <w:t xml:space="preserve">steps </w:t>
      </w:r>
      <w:r w:rsidRPr="003B3637">
        <w:rPr>
          <w:rFonts w:ascii="Arial" w:hAnsi="Arial" w:cs="Arial"/>
          <w:color w:val="auto"/>
          <w:sz w:val="22"/>
        </w:rPr>
        <w:t>7.</w:t>
      </w:r>
      <w:r w:rsidR="0038064F">
        <w:rPr>
          <w:rFonts w:ascii="Arial" w:hAnsi="Arial" w:cs="Arial"/>
          <w:color w:val="auto"/>
          <w:sz w:val="22"/>
        </w:rPr>
        <w:t>4</w:t>
      </w:r>
      <w:r w:rsidRPr="003B3637">
        <w:rPr>
          <w:rFonts w:ascii="Arial" w:hAnsi="Arial" w:cs="Arial"/>
          <w:color w:val="auto"/>
          <w:sz w:val="22"/>
        </w:rPr>
        <w:t xml:space="preserve"> and 7.</w:t>
      </w:r>
      <w:r w:rsidR="0038064F">
        <w:rPr>
          <w:rFonts w:ascii="Arial" w:hAnsi="Arial" w:cs="Arial"/>
          <w:color w:val="auto"/>
          <w:sz w:val="22"/>
        </w:rPr>
        <w:t>5</w:t>
      </w:r>
      <w:r>
        <w:rPr>
          <w:rFonts w:ascii="Arial" w:hAnsi="Arial" w:cs="Arial"/>
          <w:color w:val="auto"/>
          <w:sz w:val="22"/>
        </w:rPr>
        <w:t xml:space="preserve"> in the protocol</w:t>
      </w:r>
      <w:r w:rsidRPr="003B3637">
        <w:rPr>
          <w:rFonts w:ascii="Arial" w:hAnsi="Arial" w:cs="Arial"/>
          <w:color w:val="auto"/>
          <w:sz w:val="22"/>
        </w:rPr>
        <w:t>”</w:t>
      </w:r>
      <w:r>
        <w:rPr>
          <w:rFonts w:ascii="Arial" w:hAnsi="Arial" w:cs="Arial"/>
          <w:color w:val="auto"/>
          <w:sz w:val="22"/>
        </w:rPr>
        <w:t xml:space="preserve">. I don’t think </w:t>
      </w:r>
      <w:r w:rsidR="004D72DC">
        <w:rPr>
          <w:rFonts w:ascii="Arial" w:hAnsi="Arial" w:cs="Arial"/>
          <w:color w:val="auto"/>
          <w:sz w:val="22"/>
        </w:rPr>
        <w:t xml:space="preserve">it is necessary to show </w:t>
      </w:r>
      <w:r w:rsidRPr="003B3637">
        <w:rPr>
          <w:rFonts w:ascii="Arial" w:hAnsi="Arial" w:cs="Arial"/>
          <w:color w:val="auto"/>
          <w:sz w:val="22"/>
        </w:rPr>
        <w:t>the creation of three plots in the video.</w:t>
      </w:r>
    </w:p>
    <w:p w:rsidR="003B3637" w:rsidRPr="003B3637" w:rsidRDefault="003B3637" w:rsidP="003B3637">
      <w:pPr>
        <w:pStyle w:val="NormalWeb"/>
        <w:spacing w:before="0" w:beforeAutospacing="0" w:after="0" w:afterAutospacing="0"/>
        <w:contextualSpacing/>
        <w:rPr>
          <w:rFonts w:ascii="Arial" w:hAnsi="Arial" w:cs="Arial"/>
          <w:color w:val="auto"/>
          <w:sz w:val="22"/>
        </w:rPr>
      </w:pPr>
    </w:p>
    <w:p w:rsidR="00AA0DB4" w:rsidRPr="00085972" w:rsidRDefault="00085972" w:rsidP="003B3637">
      <w:pPr>
        <w:contextualSpacing/>
        <w:rPr>
          <w:rFonts w:cs="Arial"/>
          <w:b/>
          <w:sz w:val="20"/>
        </w:rPr>
      </w:pPr>
      <w:r w:rsidRPr="00085972">
        <w:rPr>
          <w:rFonts w:cs="Arial"/>
          <w:b/>
          <w:sz w:val="20"/>
        </w:rPr>
        <w:t>Section 9:</w:t>
      </w:r>
    </w:p>
    <w:p w:rsidR="00085972" w:rsidRDefault="00391538"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 xml:space="preserve">It might be best </w:t>
      </w:r>
      <w:r w:rsidR="00AB26B4">
        <w:rPr>
          <w:rFonts w:ascii="Arial" w:hAnsi="Arial" w:cs="Arial"/>
          <w:color w:val="auto"/>
          <w:sz w:val="22"/>
        </w:rPr>
        <w:t xml:space="preserve">to show steps 9.3.1 and 9.3.2 then </w:t>
      </w:r>
      <w:r w:rsidRPr="00391538">
        <w:rPr>
          <w:rFonts w:ascii="Arial" w:hAnsi="Arial" w:cs="Arial"/>
          <w:color w:val="auto"/>
          <w:sz w:val="22"/>
        </w:rPr>
        <w:t xml:space="preserve">say something like “follow </w:t>
      </w:r>
      <w:r w:rsidR="00AB26B4">
        <w:rPr>
          <w:rFonts w:ascii="Arial" w:hAnsi="Arial" w:cs="Arial"/>
          <w:color w:val="auto"/>
          <w:sz w:val="22"/>
        </w:rPr>
        <w:t>all steps in Section 9</w:t>
      </w:r>
      <w:r w:rsidRPr="00391538">
        <w:rPr>
          <w:rFonts w:ascii="Arial" w:hAnsi="Arial" w:cs="Arial"/>
          <w:color w:val="auto"/>
          <w:sz w:val="22"/>
        </w:rPr>
        <w:t xml:space="preserve"> in </w:t>
      </w:r>
      <w:r w:rsidRPr="00391538">
        <w:rPr>
          <w:rFonts w:ascii="Arial" w:hAnsi="Arial" w:cs="Arial"/>
          <w:i/>
          <w:color w:val="auto"/>
          <w:sz w:val="22"/>
        </w:rPr>
        <w:t>Supplement 1 – Full Protocol</w:t>
      </w:r>
      <w:r w:rsidRPr="00391538">
        <w:rPr>
          <w:rFonts w:ascii="Arial" w:hAnsi="Arial" w:cs="Arial"/>
          <w:color w:val="auto"/>
          <w:sz w:val="22"/>
        </w:rPr>
        <w:t xml:space="preserve"> to create the masks, features and plots to identify the final BNC population. It is important to realize that region b</w:t>
      </w:r>
      <w:bookmarkStart w:id="0" w:name="_GoBack"/>
      <w:bookmarkEnd w:id="0"/>
      <w:r w:rsidRPr="00391538">
        <w:rPr>
          <w:rFonts w:ascii="Arial" w:hAnsi="Arial" w:cs="Arial"/>
          <w:color w:val="auto"/>
          <w:sz w:val="22"/>
        </w:rPr>
        <w:t>oundaries may have to be modified depending on several factors such as stain intensity and cell type used.”</w:t>
      </w:r>
    </w:p>
    <w:p w:rsidR="00391538" w:rsidRDefault="00391538" w:rsidP="00391538">
      <w:pPr>
        <w:pStyle w:val="NormalWeb"/>
        <w:spacing w:before="0" w:beforeAutospacing="0" w:after="0" w:afterAutospacing="0"/>
        <w:contextualSpacing/>
        <w:rPr>
          <w:rFonts w:ascii="Arial" w:hAnsi="Arial" w:cs="Arial"/>
          <w:color w:val="auto"/>
          <w:sz w:val="22"/>
        </w:rPr>
      </w:pPr>
    </w:p>
    <w:p w:rsidR="00391538" w:rsidRPr="00860F1E" w:rsidRDefault="007927FD" w:rsidP="00391538">
      <w:pPr>
        <w:pStyle w:val="NormalWeb"/>
        <w:spacing w:before="0" w:beforeAutospacing="0" w:after="0" w:afterAutospacing="0"/>
        <w:contextualSpacing/>
        <w:rPr>
          <w:rFonts w:ascii="Arial" w:hAnsi="Arial" w:cs="Arial"/>
          <w:b/>
          <w:color w:val="auto"/>
          <w:sz w:val="22"/>
        </w:rPr>
      </w:pPr>
      <w:r w:rsidRPr="00860F1E">
        <w:rPr>
          <w:rFonts w:ascii="Arial" w:hAnsi="Arial" w:cs="Arial"/>
          <w:b/>
          <w:color w:val="auto"/>
          <w:sz w:val="22"/>
        </w:rPr>
        <w:t>Section 10:</w:t>
      </w:r>
    </w:p>
    <w:p w:rsidR="007927FD" w:rsidRDefault="007927FD"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The creation of the micronucleus mask is very complicated. It may be best to show steps 10.1.2.1</w:t>
      </w:r>
      <w:r w:rsidR="005D6506">
        <w:rPr>
          <w:rFonts w:ascii="Arial" w:hAnsi="Arial" w:cs="Arial"/>
          <w:color w:val="auto"/>
          <w:sz w:val="22"/>
        </w:rPr>
        <w:t xml:space="preserve"> and</w:t>
      </w:r>
      <w:r>
        <w:rPr>
          <w:rFonts w:ascii="Arial" w:hAnsi="Arial" w:cs="Arial"/>
          <w:color w:val="auto"/>
          <w:sz w:val="22"/>
        </w:rPr>
        <w:t xml:space="preserve"> 10.2.1.4 in the video and then make a statement such as “to create the full MN mask, individual MN components masks and other MN-related masks please see steps 10.1.3 to </w:t>
      </w:r>
      <w:r w:rsidR="00860F1E">
        <w:rPr>
          <w:rFonts w:ascii="Arial" w:hAnsi="Arial" w:cs="Arial"/>
          <w:color w:val="auto"/>
          <w:sz w:val="22"/>
        </w:rPr>
        <w:t xml:space="preserve">10.1.8.3 in </w:t>
      </w:r>
      <w:r w:rsidR="00860F1E" w:rsidRPr="00860F1E">
        <w:rPr>
          <w:rFonts w:ascii="Arial" w:hAnsi="Arial" w:cs="Arial"/>
          <w:i/>
          <w:color w:val="auto"/>
          <w:sz w:val="22"/>
        </w:rPr>
        <w:t>Supplement 1 – Full Protocol</w:t>
      </w:r>
      <w:r w:rsidR="00860F1E">
        <w:rPr>
          <w:rFonts w:ascii="Arial" w:hAnsi="Arial" w:cs="Arial"/>
          <w:color w:val="auto"/>
          <w:sz w:val="22"/>
        </w:rPr>
        <w:t>.”</w:t>
      </w:r>
    </w:p>
    <w:p w:rsidR="00860F1E" w:rsidRDefault="00860F1E" w:rsidP="00391538">
      <w:pPr>
        <w:pStyle w:val="NormalWeb"/>
        <w:spacing w:before="0" w:beforeAutospacing="0" w:after="0" w:afterAutospacing="0"/>
        <w:contextualSpacing/>
        <w:rPr>
          <w:rFonts w:ascii="Arial" w:hAnsi="Arial" w:cs="Arial"/>
          <w:color w:val="auto"/>
          <w:sz w:val="22"/>
        </w:rPr>
      </w:pPr>
    </w:p>
    <w:p w:rsidR="00860F1E" w:rsidRDefault="00B922AB"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 xml:space="preserve">Identifying the </w:t>
      </w:r>
      <w:r w:rsidR="00C0342F">
        <w:rPr>
          <w:rFonts w:ascii="Arial" w:hAnsi="Arial" w:cs="Arial"/>
          <w:color w:val="auto"/>
          <w:sz w:val="22"/>
        </w:rPr>
        <w:t xml:space="preserve">final </w:t>
      </w:r>
      <w:r>
        <w:rPr>
          <w:rFonts w:ascii="Arial" w:hAnsi="Arial" w:cs="Arial"/>
          <w:color w:val="auto"/>
          <w:sz w:val="22"/>
        </w:rPr>
        <w:t>micronucleus population also has some complicated steps so it might be good to show the creation of the spot count feature (step 10.2.1) and the spot count histogram (step 10.2.2) but then make a statement like “</w:t>
      </w:r>
      <w:r w:rsidRPr="00B922AB">
        <w:rPr>
          <w:rFonts w:ascii="Arial" w:hAnsi="Arial" w:cs="Arial"/>
          <w:color w:val="auto"/>
          <w:sz w:val="22"/>
        </w:rPr>
        <w:t>Follow steps 10.2.3 and 10.2.4</w:t>
      </w:r>
      <w:r w:rsidR="00C0342F">
        <w:rPr>
          <w:rFonts w:ascii="Arial" w:hAnsi="Arial" w:cs="Arial"/>
          <w:color w:val="auto"/>
          <w:sz w:val="22"/>
        </w:rPr>
        <w:t>.3</w:t>
      </w:r>
      <w:r w:rsidRPr="00B922AB">
        <w:rPr>
          <w:rFonts w:ascii="Arial" w:hAnsi="Arial" w:cs="Arial"/>
          <w:color w:val="auto"/>
          <w:sz w:val="22"/>
        </w:rPr>
        <w:t xml:space="preserve"> to create the remaining features and plots to identify the final micronuclea</w:t>
      </w:r>
      <w:r>
        <w:rPr>
          <w:rFonts w:ascii="Arial" w:hAnsi="Arial" w:cs="Arial"/>
          <w:color w:val="auto"/>
          <w:sz w:val="22"/>
        </w:rPr>
        <w:t>ted binucleated cell population”.</w:t>
      </w:r>
    </w:p>
    <w:p w:rsidR="00B922AB" w:rsidRDefault="00B922AB" w:rsidP="00391538">
      <w:pPr>
        <w:pStyle w:val="NormalWeb"/>
        <w:spacing w:before="0" w:beforeAutospacing="0" w:after="0" w:afterAutospacing="0"/>
        <w:contextualSpacing/>
        <w:rPr>
          <w:rFonts w:ascii="Arial" w:hAnsi="Arial" w:cs="Arial"/>
          <w:color w:val="auto"/>
          <w:sz w:val="22"/>
        </w:rPr>
      </w:pPr>
    </w:p>
    <w:p w:rsidR="00B922AB" w:rsidRPr="005C3852" w:rsidRDefault="00000028" w:rsidP="00391538">
      <w:pPr>
        <w:pStyle w:val="NormalWeb"/>
        <w:spacing w:before="0" w:beforeAutospacing="0" w:after="0" w:afterAutospacing="0"/>
        <w:contextualSpacing/>
        <w:rPr>
          <w:rFonts w:ascii="Arial" w:hAnsi="Arial" w:cs="Arial"/>
          <w:b/>
          <w:color w:val="auto"/>
          <w:sz w:val="22"/>
        </w:rPr>
      </w:pPr>
      <w:r w:rsidRPr="005C3852">
        <w:rPr>
          <w:rFonts w:ascii="Arial" w:hAnsi="Arial" w:cs="Arial"/>
          <w:b/>
          <w:color w:val="auto"/>
          <w:sz w:val="22"/>
        </w:rPr>
        <w:t>Section 11:</w:t>
      </w:r>
    </w:p>
    <w:p w:rsidR="00000028" w:rsidRDefault="005C3852"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 xml:space="preserve">There are many steps in the creation of the mononucleated and polynucleated masks so it would be good to show how the polynucleated mask is created (step 11.1). Following this a statement could be made along these lines: “To create the component masks, features and plots to identify mononucleated, trinucleated and quadranucleated cells, follow all steps in section 11 in </w:t>
      </w:r>
      <w:r w:rsidRPr="002D7DDB">
        <w:rPr>
          <w:rFonts w:ascii="Arial" w:hAnsi="Arial" w:cs="Arial"/>
          <w:i/>
          <w:color w:val="auto"/>
          <w:sz w:val="22"/>
        </w:rPr>
        <w:t>Supplement 1 – Full Protocol</w:t>
      </w:r>
      <w:r w:rsidR="002D7DDB">
        <w:rPr>
          <w:rFonts w:ascii="Arial" w:hAnsi="Arial" w:cs="Arial"/>
          <w:color w:val="auto"/>
          <w:sz w:val="22"/>
        </w:rPr>
        <w:t>.”</w:t>
      </w:r>
    </w:p>
    <w:p w:rsidR="00277D14" w:rsidRDefault="00277D14" w:rsidP="00391538">
      <w:pPr>
        <w:pStyle w:val="NormalWeb"/>
        <w:spacing w:before="0" w:beforeAutospacing="0" w:after="0" w:afterAutospacing="0"/>
        <w:contextualSpacing/>
        <w:rPr>
          <w:rFonts w:ascii="Arial" w:hAnsi="Arial" w:cs="Arial"/>
          <w:color w:val="auto"/>
          <w:sz w:val="22"/>
        </w:rPr>
      </w:pPr>
    </w:p>
    <w:p w:rsidR="00277D14" w:rsidRPr="00030588" w:rsidRDefault="00277D14" w:rsidP="00391538">
      <w:pPr>
        <w:pStyle w:val="NormalWeb"/>
        <w:spacing w:before="0" w:beforeAutospacing="0" w:after="0" w:afterAutospacing="0"/>
        <w:contextualSpacing/>
        <w:rPr>
          <w:rFonts w:ascii="Arial" w:hAnsi="Arial" w:cs="Arial"/>
          <w:b/>
          <w:color w:val="auto"/>
          <w:sz w:val="22"/>
        </w:rPr>
      </w:pPr>
      <w:r w:rsidRPr="00030588">
        <w:rPr>
          <w:rFonts w:ascii="Arial" w:hAnsi="Arial" w:cs="Arial"/>
          <w:b/>
          <w:color w:val="auto"/>
          <w:sz w:val="22"/>
        </w:rPr>
        <w:t>Sections 12 and 13:</w:t>
      </w:r>
    </w:p>
    <w:p w:rsidR="00277D14" w:rsidRDefault="00277D14"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 xml:space="preserve">It would be good to show the first few steps in section 12 (12.1 – 12.4) then say something like “follow all the steps in sections 12 and 13 in </w:t>
      </w:r>
      <w:r w:rsidRPr="00277D14">
        <w:rPr>
          <w:rFonts w:ascii="Arial" w:hAnsi="Arial" w:cs="Arial"/>
          <w:i/>
          <w:color w:val="auto"/>
          <w:sz w:val="22"/>
        </w:rPr>
        <w:t>Supplement 1 – Full Protocol</w:t>
      </w:r>
      <w:r>
        <w:rPr>
          <w:rFonts w:ascii="Arial" w:hAnsi="Arial" w:cs="Arial"/>
          <w:color w:val="auto"/>
          <w:sz w:val="22"/>
        </w:rPr>
        <w:t xml:space="preserve"> to create custom views to show all masks” and then show what the custom views actually look like.</w:t>
      </w:r>
    </w:p>
    <w:p w:rsidR="00030588" w:rsidRDefault="00030588" w:rsidP="00391538">
      <w:pPr>
        <w:pStyle w:val="NormalWeb"/>
        <w:spacing w:before="0" w:beforeAutospacing="0" w:after="0" w:afterAutospacing="0"/>
        <w:contextualSpacing/>
        <w:rPr>
          <w:rFonts w:ascii="Arial" w:hAnsi="Arial" w:cs="Arial"/>
          <w:color w:val="auto"/>
          <w:sz w:val="22"/>
        </w:rPr>
      </w:pPr>
    </w:p>
    <w:p w:rsidR="00030588" w:rsidRPr="00D93DE2" w:rsidRDefault="00030588" w:rsidP="00391538">
      <w:pPr>
        <w:pStyle w:val="NormalWeb"/>
        <w:spacing w:before="0" w:beforeAutospacing="0" w:after="0" w:afterAutospacing="0"/>
        <w:contextualSpacing/>
        <w:rPr>
          <w:rFonts w:ascii="Arial" w:hAnsi="Arial" w:cs="Arial"/>
          <w:b/>
          <w:color w:val="auto"/>
          <w:sz w:val="22"/>
        </w:rPr>
      </w:pPr>
      <w:r w:rsidRPr="00D93DE2">
        <w:rPr>
          <w:rFonts w:ascii="Arial" w:hAnsi="Arial" w:cs="Arial"/>
          <w:b/>
          <w:color w:val="auto"/>
          <w:sz w:val="22"/>
        </w:rPr>
        <w:t>Section 14:</w:t>
      </w:r>
    </w:p>
    <w:p w:rsidR="00030588" w:rsidRDefault="00030588"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Here it should be sufficient to show</w:t>
      </w:r>
      <w:r w:rsidR="00D93DE2">
        <w:rPr>
          <w:rFonts w:ascii="Arial" w:hAnsi="Arial" w:cs="Arial"/>
          <w:color w:val="auto"/>
          <w:sz w:val="22"/>
        </w:rPr>
        <w:t xml:space="preserve"> how to add one statistic to the table and then say something like “follow the remaining steps in section 14 in </w:t>
      </w:r>
      <w:r w:rsidR="00D93DE2" w:rsidRPr="00D93DE2">
        <w:rPr>
          <w:rFonts w:ascii="Arial" w:hAnsi="Arial" w:cs="Arial"/>
          <w:i/>
          <w:color w:val="auto"/>
          <w:sz w:val="22"/>
        </w:rPr>
        <w:t>Supplement 1 – Full Protocol</w:t>
      </w:r>
      <w:r w:rsidR="00D93DE2">
        <w:rPr>
          <w:rFonts w:ascii="Arial" w:hAnsi="Arial" w:cs="Arial"/>
          <w:color w:val="auto"/>
          <w:sz w:val="22"/>
        </w:rPr>
        <w:t xml:space="preserve"> to create the full statistics table”.</w:t>
      </w:r>
      <w:r w:rsidR="005E7F3E">
        <w:rPr>
          <w:rFonts w:ascii="Arial" w:hAnsi="Arial" w:cs="Arial"/>
          <w:color w:val="auto"/>
          <w:sz w:val="22"/>
        </w:rPr>
        <w:t xml:space="preserve"> We can then show the final statistics table in the video.</w:t>
      </w:r>
    </w:p>
    <w:p w:rsidR="005E7F3E" w:rsidRDefault="005E7F3E" w:rsidP="00391538">
      <w:pPr>
        <w:pStyle w:val="NormalWeb"/>
        <w:spacing w:before="0" w:beforeAutospacing="0" w:after="0" w:afterAutospacing="0"/>
        <w:contextualSpacing/>
        <w:rPr>
          <w:rFonts w:ascii="Arial" w:hAnsi="Arial" w:cs="Arial"/>
          <w:color w:val="auto"/>
          <w:sz w:val="22"/>
        </w:rPr>
      </w:pPr>
    </w:p>
    <w:p w:rsidR="005E7F3E" w:rsidRPr="005E7F3E" w:rsidRDefault="005E7F3E" w:rsidP="00391538">
      <w:pPr>
        <w:pStyle w:val="NormalWeb"/>
        <w:spacing w:before="0" w:beforeAutospacing="0" w:after="0" w:afterAutospacing="0"/>
        <w:contextualSpacing/>
        <w:rPr>
          <w:rFonts w:ascii="Arial" w:hAnsi="Arial" w:cs="Arial"/>
          <w:b/>
          <w:color w:val="auto"/>
          <w:sz w:val="22"/>
        </w:rPr>
      </w:pPr>
      <w:r w:rsidRPr="005E7F3E">
        <w:rPr>
          <w:rFonts w:ascii="Arial" w:hAnsi="Arial" w:cs="Arial"/>
          <w:b/>
          <w:color w:val="auto"/>
          <w:sz w:val="22"/>
        </w:rPr>
        <w:t>Section 15:</w:t>
      </w:r>
    </w:p>
    <w:p w:rsidR="005E7F3E" w:rsidRDefault="005E7F3E" w:rsidP="00391538">
      <w:pPr>
        <w:pStyle w:val="NormalWeb"/>
        <w:spacing w:before="0" w:beforeAutospacing="0" w:after="0" w:afterAutospacing="0"/>
        <w:contextualSpacing/>
        <w:rPr>
          <w:rFonts w:ascii="Arial" w:hAnsi="Arial" w:cs="Arial"/>
          <w:color w:val="auto"/>
          <w:sz w:val="22"/>
        </w:rPr>
      </w:pPr>
      <w:r>
        <w:rPr>
          <w:rFonts w:ascii="Arial" w:hAnsi="Arial" w:cs="Arial"/>
          <w:color w:val="auto"/>
          <w:sz w:val="22"/>
        </w:rPr>
        <w:t>Here we can show the first couple of steps to start the batch processing procedure then refer the viewer to all of the steps in section 15 in Supplement 1 – Full Protocol so they can complete the batch processing step.</w:t>
      </w:r>
    </w:p>
    <w:p w:rsidR="005E7F3E" w:rsidRPr="00085972" w:rsidRDefault="005E7F3E" w:rsidP="00391538">
      <w:pPr>
        <w:pStyle w:val="NormalWeb"/>
        <w:spacing w:before="0" w:beforeAutospacing="0" w:after="0" w:afterAutospacing="0"/>
        <w:contextualSpacing/>
        <w:rPr>
          <w:rFonts w:ascii="Arial" w:hAnsi="Arial" w:cs="Arial"/>
          <w:color w:val="auto"/>
          <w:sz w:val="22"/>
        </w:rPr>
      </w:pPr>
    </w:p>
    <w:sectPr w:rsidR="005E7F3E" w:rsidRPr="00085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0E"/>
    <w:rsid w:val="00000028"/>
    <w:rsid w:val="00030588"/>
    <w:rsid w:val="00085972"/>
    <w:rsid w:val="00277D14"/>
    <w:rsid w:val="002D7DDB"/>
    <w:rsid w:val="0038064F"/>
    <w:rsid w:val="00391538"/>
    <w:rsid w:val="00395C28"/>
    <w:rsid w:val="003B3637"/>
    <w:rsid w:val="004D72DC"/>
    <w:rsid w:val="005C3852"/>
    <w:rsid w:val="005D6506"/>
    <w:rsid w:val="005D75D0"/>
    <w:rsid w:val="005E7F3E"/>
    <w:rsid w:val="007927FD"/>
    <w:rsid w:val="00860F1E"/>
    <w:rsid w:val="00A40763"/>
    <w:rsid w:val="00AA0DB4"/>
    <w:rsid w:val="00AB26B4"/>
    <w:rsid w:val="00B87E0E"/>
    <w:rsid w:val="00B922AB"/>
    <w:rsid w:val="00BF3AE7"/>
    <w:rsid w:val="00C0342F"/>
    <w:rsid w:val="00D9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EFB6A-EBBE-4421-8794-FF2C1150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B3637"/>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paragraph" w:styleId="ListParagraph">
    <w:name w:val="List Paragraph"/>
    <w:basedOn w:val="Normal"/>
    <w:uiPriority w:val="34"/>
    <w:qFormat/>
    <w:rsid w:val="00085972"/>
    <w:pPr>
      <w:widowControl w:val="0"/>
      <w:autoSpaceDE w:val="0"/>
      <w:autoSpaceDN w:val="0"/>
      <w:adjustRightInd w:val="0"/>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Rodrigues</dc:creator>
  <cp:keywords/>
  <dc:description/>
  <cp:lastModifiedBy>Matthew Rodrigues</cp:lastModifiedBy>
  <cp:revision>12</cp:revision>
  <dcterms:created xsi:type="dcterms:W3CDTF">2018-10-02T23:22:00Z</dcterms:created>
  <dcterms:modified xsi:type="dcterms:W3CDTF">2018-10-03T18:41:00Z</dcterms:modified>
</cp:coreProperties>
</file>