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A9" w:rsidRDefault="004A02A9" w:rsidP="004A02A9">
      <w:pPr>
        <w:contextualSpacing/>
        <w:jc w:val="both"/>
        <w:rPr>
          <w:rFonts w:cs="Arial"/>
        </w:rPr>
      </w:pPr>
      <w:r>
        <w:rPr>
          <w:rFonts w:cs="Arial"/>
        </w:rPr>
        <w:t>I would like to thank t</w:t>
      </w:r>
      <w:r w:rsidRPr="00201C11">
        <w:rPr>
          <w:rFonts w:cs="Arial"/>
        </w:rPr>
        <w:t>he editors and reviewers for their</w:t>
      </w:r>
      <w:r w:rsidR="00B438C2">
        <w:rPr>
          <w:rFonts w:cs="Arial"/>
        </w:rPr>
        <w:t xml:space="preserve"> thorough</w:t>
      </w:r>
      <w:r w:rsidRPr="00201C11">
        <w:rPr>
          <w:rFonts w:cs="Arial"/>
        </w:rPr>
        <w:t xml:space="preserve"> review of </w:t>
      </w:r>
      <w:r>
        <w:rPr>
          <w:rFonts w:cs="Arial"/>
        </w:rPr>
        <w:t>my manuscript.</w:t>
      </w:r>
      <w:r w:rsidRPr="00201C11">
        <w:rPr>
          <w:rFonts w:cs="Arial"/>
        </w:rPr>
        <w:t xml:space="preserve"> </w:t>
      </w:r>
      <w:r>
        <w:rPr>
          <w:rFonts w:cs="Arial"/>
        </w:rPr>
        <w:t>The</w:t>
      </w:r>
      <w:r w:rsidR="00EC21A6">
        <w:rPr>
          <w:rFonts w:cs="Arial"/>
        </w:rPr>
        <w:t xml:space="preserve">re are several constructive comments </w:t>
      </w:r>
      <w:r w:rsidR="00B438C2">
        <w:rPr>
          <w:rFonts w:cs="Arial"/>
        </w:rPr>
        <w:t>here</w:t>
      </w:r>
      <w:r w:rsidR="00FD6D81">
        <w:rPr>
          <w:rFonts w:cs="Arial"/>
        </w:rPr>
        <w:t xml:space="preserve">, which </w:t>
      </w:r>
      <w:r w:rsidR="00B438C2">
        <w:rPr>
          <w:rFonts w:cs="Arial"/>
        </w:rPr>
        <w:t xml:space="preserve">with </w:t>
      </w:r>
      <w:r w:rsidR="00FD6D81">
        <w:rPr>
          <w:rFonts w:cs="Arial"/>
        </w:rPr>
        <w:t xml:space="preserve">their incorporation, </w:t>
      </w:r>
      <w:r w:rsidR="00EC21A6">
        <w:rPr>
          <w:rFonts w:cs="Arial"/>
        </w:rPr>
        <w:t xml:space="preserve">will enhance the quality of the </w:t>
      </w:r>
      <w:r>
        <w:rPr>
          <w:rFonts w:cs="Arial"/>
        </w:rPr>
        <w:t>manuscript</w:t>
      </w:r>
      <w:r w:rsidR="00EC21A6">
        <w:rPr>
          <w:rFonts w:cs="Arial"/>
        </w:rPr>
        <w:t xml:space="preserve">. </w:t>
      </w:r>
      <w:r>
        <w:rPr>
          <w:rFonts w:cs="Arial"/>
        </w:rPr>
        <w:t xml:space="preserve"> </w:t>
      </w:r>
    </w:p>
    <w:p w:rsidR="00FD6D81" w:rsidRDefault="00FD6D81" w:rsidP="004A02A9">
      <w:pPr>
        <w:contextualSpacing/>
        <w:jc w:val="both"/>
        <w:rPr>
          <w:rFonts w:cs="Arial"/>
        </w:rPr>
      </w:pPr>
    </w:p>
    <w:p w:rsidR="00B438C2" w:rsidRDefault="004A02A9" w:rsidP="004A02A9">
      <w:pPr>
        <w:contextualSpacing/>
        <w:jc w:val="both"/>
        <w:rPr>
          <w:rFonts w:cs="Arial"/>
        </w:rPr>
      </w:pPr>
      <w:r w:rsidRPr="00201C11">
        <w:rPr>
          <w:rFonts w:cs="Arial"/>
        </w:rPr>
        <w:t xml:space="preserve">Below are </w:t>
      </w:r>
      <w:r>
        <w:rPr>
          <w:rFonts w:cs="Arial"/>
        </w:rPr>
        <w:t>my</w:t>
      </w:r>
      <w:r w:rsidRPr="00201C11">
        <w:rPr>
          <w:rFonts w:cs="Arial"/>
        </w:rPr>
        <w:t xml:space="preserve"> responses to </w:t>
      </w:r>
      <w:r w:rsidR="00FD6D81">
        <w:rPr>
          <w:rFonts w:cs="Arial"/>
        </w:rPr>
        <w:t xml:space="preserve">all individual comments and </w:t>
      </w:r>
      <w:r>
        <w:rPr>
          <w:rFonts w:cs="Arial"/>
        </w:rPr>
        <w:t>action items</w:t>
      </w:r>
      <w:r w:rsidRPr="00201C11">
        <w:rPr>
          <w:rFonts w:cs="Arial"/>
        </w:rPr>
        <w:t>. For comments that re</w:t>
      </w:r>
      <w:r>
        <w:rPr>
          <w:rFonts w:cs="Arial"/>
        </w:rPr>
        <w:t xml:space="preserve">quired editing the manuscript I have done so and highlighted the new content in </w:t>
      </w:r>
      <w:r w:rsidR="00FD6D81">
        <w:rPr>
          <w:rFonts w:cs="Arial"/>
        </w:rPr>
        <w:t>red</w:t>
      </w:r>
      <w:r w:rsidR="00B438C2">
        <w:rPr>
          <w:rFonts w:cs="Arial"/>
        </w:rPr>
        <w:t xml:space="preserve"> in the manuscript</w:t>
      </w:r>
      <w:r w:rsidR="00FD6D81">
        <w:rPr>
          <w:rFonts w:cs="Arial"/>
        </w:rPr>
        <w:t>.</w:t>
      </w:r>
    </w:p>
    <w:p w:rsidR="004A02A9" w:rsidRDefault="004A02A9" w:rsidP="004A02A9">
      <w:pPr>
        <w:contextualSpacing/>
        <w:jc w:val="both"/>
        <w:rPr>
          <w:rFonts w:cs="Arial"/>
        </w:rPr>
      </w:pPr>
      <w:r>
        <w:rPr>
          <w:rFonts w:cs="Arial"/>
        </w:rPr>
        <w:t xml:space="preserve">In this </w:t>
      </w:r>
      <w:r w:rsidR="00FD6D81">
        <w:rPr>
          <w:rFonts w:cs="Arial"/>
        </w:rPr>
        <w:t xml:space="preserve">rebuttal letter I have </w:t>
      </w:r>
      <w:r>
        <w:rPr>
          <w:rFonts w:cs="Arial"/>
        </w:rPr>
        <w:t xml:space="preserve">also </w:t>
      </w:r>
      <w:r w:rsidRPr="00201C11">
        <w:rPr>
          <w:rFonts w:cs="Arial"/>
        </w:rPr>
        <w:t xml:space="preserve">included </w:t>
      </w:r>
      <w:r>
        <w:rPr>
          <w:rFonts w:cs="Arial"/>
        </w:rPr>
        <w:t>any text that has been added to the manuscript</w:t>
      </w:r>
      <w:r w:rsidR="00FD6D81">
        <w:rPr>
          <w:rFonts w:cs="Arial"/>
        </w:rPr>
        <w:t xml:space="preserve"> so that you don’t have to search through the manuscript to find details</w:t>
      </w:r>
      <w:r>
        <w:rPr>
          <w:rFonts w:cs="Arial"/>
        </w:rPr>
        <w:t xml:space="preserve">. </w:t>
      </w:r>
      <w:r w:rsidR="00FD6D81">
        <w:rPr>
          <w:rFonts w:cs="Arial"/>
        </w:rPr>
        <w:t>However, should you wish to read the new text within the manuscript, I’ve also included updated line numbers.</w:t>
      </w:r>
    </w:p>
    <w:p w:rsidR="004A02A9" w:rsidRDefault="004A02A9" w:rsidP="004A02A9">
      <w:pPr>
        <w:contextualSpacing/>
        <w:jc w:val="both"/>
        <w:rPr>
          <w:rFonts w:cs="Arial"/>
        </w:rPr>
      </w:pPr>
    </w:p>
    <w:p w:rsidR="004A02A9" w:rsidRDefault="004A02A9" w:rsidP="004A02A9">
      <w:pPr>
        <w:contextualSpacing/>
        <w:jc w:val="both"/>
        <w:rPr>
          <w:rFonts w:cs="Arial"/>
        </w:rPr>
      </w:pPr>
      <w:r>
        <w:rPr>
          <w:rFonts w:cs="Arial"/>
        </w:rPr>
        <w:t>I feel that the modifications made to the manuscript now satisfy all of the requests from the editors and reviewers required for publication.</w:t>
      </w:r>
    </w:p>
    <w:p w:rsidR="004A02A9" w:rsidRDefault="004A02A9" w:rsidP="007C237B"/>
    <w:p w:rsidR="004A02A9" w:rsidRDefault="004A02A9" w:rsidP="007C237B"/>
    <w:p w:rsidR="007C237B" w:rsidRPr="004A02A9" w:rsidRDefault="004A02A9" w:rsidP="004A02A9">
      <w:pPr>
        <w:jc w:val="center"/>
        <w:rPr>
          <w:b/>
          <w:u w:val="single"/>
        </w:rPr>
      </w:pPr>
      <w:r>
        <w:rPr>
          <w:b/>
          <w:u w:val="single"/>
        </w:rPr>
        <w:t>Editorial comments</w:t>
      </w:r>
    </w:p>
    <w:p w:rsidR="004A02A9" w:rsidRDefault="004A02A9" w:rsidP="007C237B"/>
    <w:p w:rsidR="003C123E" w:rsidRPr="00B847AE" w:rsidRDefault="003C123E" w:rsidP="007C237B">
      <w:pPr>
        <w:rPr>
          <w:i/>
        </w:rPr>
      </w:pPr>
      <w:r w:rsidRPr="00B847AE">
        <w:rPr>
          <w:i/>
        </w:rPr>
        <w:t xml:space="preserve">Reviewer #1 </w:t>
      </w:r>
      <w:r w:rsidR="00831939" w:rsidRPr="00B847AE">
        <w:rPr>
          <w:i/>
        </w:rPr>
        <w:t xml:space="preserve">has </w:t>
      </w:r>
      <w:r w:rsidRPr="00B847AE">
        <w:rPr>
          <w:i/>
        </w:rPr>
        <w:t>expressed some concern at the length of the protocol and some seemingly trivial details within (see minor comment #2). Before I make any changes to the protocol, I’d like to ask that you review it to see if you’d like it to be shortened in the main body of the manuscript.</w:t>
      </w:r>
    </w:p>
    <w:p w:rsidR="00831939" w:rsidRPr="00B847AE" w:rsidRDefault="00831939" w:rsidP="007C237B">
      <w:pPr>
        <w:rPr>
          <w:i/>
        </w:rPr>
      </w:pPr>
    </w:p>
    <w:p w:rsidR="00831939" w:rsidRPr="00B847AE" w:rsidRDefault="00831939" w:rsidP="007C237B">
      <w:pPr>
        <w:rPr>
          <w:i/>
        </w:rPr>
      </w:pPr>
      <w:r w:rsidRPr="00B847AE">
        <w:rPr>
          <w:i/>
        </w:rPr>
        <w:t>Reviewer #2 has expressed some concern regarding the existence of this manuscript since the results presented here are very similar to a recent paper that I published in Cytometry Part A. I’d ask that you review the comment (see major comment #2) as well as my rebuttal when considering whether to accept this manuscript.</w:t>
      </w:r>
    </w:p>
    <w:p w:rsidR="003C123E" w:rsidRDefault="003C123E" w:rsidP="007C237B"/>
    <w:p w:rsidR="007C237B" w:rsidRDefault="007C237B" w:rsidP="007C237B">
      <w:r>
        <w:t>Changes to be made by the author(s) regarding the manuscript:</w:t>
      </w:r>
    </w:p>
    <w:p w:rsidR="00CA2117" w:rsidRPr="00C91F7B" w:rsidRDefault="007C237B" w:rsidP="007C237B">
      <w:pPr>
        <w:pStyle w:val="ListParagraph"/>
        <w:numPr>
          <w:ilvl w:val="0"/>
          <w:numId w:val="1"/>
        </w:numPr>
        <w:ind w:left="360"/>
        <w:rPr>
          <w:b/>
        </w:rPr>
      </w:pPr>
      <w:r w:rsidRPr="00C91F7B">
        <w:rPr>
          <w:b/>
        </w:rPr>
        <w:t>Please take this opportunity to thoroughly proofread the manuscript to ensure that there are no spelling or grammar issues.</w:t>
      </w:r>
    </w:p>
    <w:p w:rsidR="0051317B" w:rsidRDefault="0051317B" w:rsidP="00C91F7B">
      <w:pPr>
        <w:pStyle w:val="ListParagraph"/>
        <w:ind w:left="360"/>
      </w:pPr>
    </w:p>
    <w:p w:rsidR="00C91F7B" w:rsidRPr="00B847AE" w:rsidRDefault="00C91F7B" w:rsidP="00C91F7B">
      <w:pPr>
        <w:pStyle w:val="ListParagraph"/>
        <w:ind w:left="360"/>
      </w:pPr>
      <w:r>
        <w:t xml:space="preserve">I have proofread the manuscript and run spellchecker in Word. To the best of my knowledge </w:t>
      </w:r>
      <w:r w:rsidRPr="00B847AE">
        <w:t>there are no grammar or spelling errors.</w:t>
      </w:r>
    </w:p>
    <w:p w:rsidR="00C91F7B" w:rsidRPr="00B847AE" w:rsidRDefault="00C91F7B" w:rsidP="00C91F7B"/>
    <w:p w:rsidR="00CA2117" w:rsidRPr="00EC21A6" w:rsidRDefault="007C237B" w:rsidP="007C237B">
      <w:pPr>
        <w:pStyle w:val="ListParagraph"/>
        <w:numPr>
          <w:ilvl w:val="0"/>
          <w:numId w:val="1"/>
        </w:numPr>
        <w:ind w:left="360"/>
        <w:rPr>
          <w:b/>
        </w:rPr>
      </w:pPr>
      <w:r w:rsidRPr="00B847AE">
        <w:rPr>
          <w:b/>
        </w:rPr>
        <w:t>Lines 660-663: Please rephrase</w:t>
      </w:r>
      <w:r w:rsidRPr="00EC21A6">
        <w:rPr>
          <w:b/>
        </w:rPr>
        <w:t xml:space="preserve"> to avoid direct quotation.</w:t>
      </w:r>
    </w:p>
    <w:p w:rsidR="0051317B" w:rsidRDefault="0051317B" w:rsidP="00EC21A6">
      <w:pPr>
        <w:pStyle w:val="ListParagraph"/>
        <w:ind w:left="360"/>
      </w:pPr>
    </w:p>
    <w:p w:rsidR="00EC21A6" w:rsidRDefault="00EC21A6" w:rsidP="00EC21A6">
      <w:pPr>
        <w:pStyle w:val="ListParagraph"/>
        <w:ind w:left="360"/>
      </w:pPr>
      <w:r>
        <w:t xml:space="preserve">I feel that the quotation from the Verma article is rather eloquent and highlights a rather important gap in this field, which is why I’ve quoted the text directly. Nevertheless, I’ve changed the sentence so that it is no longer a direct quote. The </w:t>
      </w:r>
      <w:r w:rsidRPr="00BB5E75">
        <w:t>sentence now reads</w:t>
      </w:r>
      <w:r w:rsidR="00FD6D81" w:rsidRPr="00BB5E75">
        <w:t xml:space="preserve"> (lines 66</w:t>
      </w:r>
      <w:r w:rsidR="00BB5E75" w:rsidRPr="00BB5E75">
        <w:t>6</w:t>
      </w:r>
      <w:r w:rsidR="00FD6D81" w:rsidRPr="00BB5E75">
        <w:t>-66</w:t>
      </w:r>
      <w:r w:rsidR="00BB5E75" w:rsidRPr="00BB5E75">
        <w:t>8</w:t>
      </w:r>
      <w:r w:rsidR="00FD6D81" w:rsidRPr="00BB5E75">
        <w:t>)</w:t>
      </w:r>
      <w:r w:rsidRPr="00BB5E75">
        <w:t>:</w:t>
      </w:r>
    </w:p>
    <w:p w:rsidR="00B847AE" w:rsidRDefault="00B847AE" w:rsidP="00EC21A6">
      <w:pPr>
        <w:pStyle w:val="ListParagraph"/>
        <w:ind w:left="360"/>
      </w:pPr>
    </w:p>
    <w:p w:rsidR="00EC21A6" w:rsidRPr="00EC21A6" w:rsidRDefault="00EC21A6" w:rsidP="00EC21A6">
      <w:pPr>
        <w:pStyle w:val="ListParagraph"/>
        <w:ind w:left="360"/>
        <w:rPr>
          <w:i/>
        </w:rPr>
      </w:pPr>
      <w:r w:rsidRPr="00EC21A6">
        <w:rPr>
          <w:i/>
        </w:rPr>
        <w:t>In a recent publication Verma et al. underscored the importance of developing a system that combines the high-throughput advantage of flow cytometry with the data and image storage benefits of image analysis</w:t>
      </w:r>
      <w:r>
        <w:rPr>
          <w:i/>
        </w:rPr>
        <w:t>.</w:t>
      </w:r>
    </w:p>
    <w:p w:rsidR="00EC21A6" w:rsidRDefault="00EC21A6" w:rsidP="00EC21A6">
      <w:pPr>
        <w:pStyle w:val="ListParagraph"/>
        <w:ind w:left="360"/>
      </w:pPr>
    </w:p>
    <w:p w:rsidR="00CA2117" w:rsidRPr="00781FB2" w:rsidRDefault="007C237B" w:rsidP="007C237B">
      <w:pPr>
        <w:pStyle w:val="ListParagraph"/>
        <w:numPr>
          <w:ilvl w:val="0"/>
          <w:numId w:val="1"/>
        </w:numPr>
        <w:ind w:left="360"/>
        <w:rPr>
          <w:b/>
        </w:rPr>
      </w:pPr>
      <w:r w:rsidRPr="00781FB2">
        <w:rPr>
          <w:b/>
        </w:rPr>
        <w:t>JoVE article does not have an Abbreviations section. Please remove lines 20-28 and defi</w:t>
      </w:r>
      <w:r w:rsidR="00F738EF" w:rsidRPr="00781FB2">
        <w:rPr>
          <w:b/>
        </w:rPr>
        <w:t>ne all abbreviations before use</w:t>
      </w:r>
    </w:p>
    <w:p w:rsidR="0051317B" w:rsidRDefault="0051317B" w:rsidP="00F738EF">
      <w:pPr>
        <w:pStyle w:val="ListParagraph"/>
        <w:ind w:left="360"/>
      </w:pPr>
    </w:p>
    <w:p w:rsidR="00F738EF" w:rsidRDefault="00781FB2" w:rsidP="00F738EF">
      <w:pPr>
        <w:pStyle w:val="ListParagraph"/>
        <w:ind w:left="360"/>
      </w:pPr>
      <w:r>
        <w:t>I have removed the abbreviations section. Going forward, you might consider allowing flexibility in your formatting to include abbreviations sections for longer manuscripts as they are quite helpful to readers</w:t>
      </w:r>
    </w:p>
    <w:p w:rsidR="00781FB2" w:rsidRDefault="00781FB2" w:rsidP="00F738EF">
      <w:pPr>
        <w:pStyle w:val="ListParagraph"/>
        <w:ind w:left="360"/>
      </w:pPr>
    </w:p>
    <w:p w:rsidR="00CA2117" w:rsidRPr="00047553" w:rsidRDefault="007C237B" w:rsidP="007C237B">
      <w:pPr>
        <w:pStyle w:val="ListParagraph"/>
        <w:numPr>
          <w:ilvl w:val="0"/>
          <w:numId w:val="1"/>
        </w:numPr>
        <w:ind w:left="360"/>
        <w:rPr>
          <w:b/>
        </w:rPr>
      </w:pPr>
      <w:r w:rsidRPr="00047553">
        <w:rPr>
          <w:b/>
        </w:rPr>
        <w:lastRenderedPageBreak/>
        <w:t>Please revise the protocol text to avoid the use of any personal pronouns (e.g., "we", "you", "our" etc.).</w:t>
      </w:r>
    </w:p>
    <w:p w:rsidR="0051317B" w:rsidRDefault="0051317B" w:rsidP="00781FB2">
      <w:pPr>
        <w:pStyle w:val="ListParagraph"/>
        <w:ind w:left="360"/>
      </w:pPr>
    </w:p>
    <w:p w:rsidR="00781FB2" w:rsidRDefault="00047553" w:rsidP="00781FB2">
      <w:pPr>
        <w:pStyle w:val="ListParagraph"/>
        <w:ind w:left="360"/>
      </w:pPr>
      <w:r>
        <w:t xml:space="preserve">After reviewing the manuscript, the only instance I could find with personal pronouns was </w:t>
      </w:r>
      <w:r w:rsidR="00781FB2">
        <w:t>the word “your” in section 14.4. I have changed this to “the”</w:t>
      </w:r>
    </w:p>
    <w:p w:rsidR="00047553" w:rsidRDefault="00047553" w:rsidP="00047553"/>
    <w:p w:rsidR="00CA2117" w:rsidRPr="00047553" w:rsidRDefault="007C237B" w:rsidP="007C237B">
      <w:pPr>
        <w:pStyle w:val="ListParagraph"/>
        <w:numPr>
          <w:ilvl w:val="0"/>
          <w:numId w:val="1"/>
        </w:numPr>
        <w:ind w:left="360"/>
        <w:rPr>
          <w:b/>
        </w:rPr>
      </w:pPr>
      <w:r w:rsidRPr="00047553">
        <w:rPr>
          <w:b/>
        </w:rPr>
        <w:t>Please change the time unit “</w:t>
      </w:r>
      <w:proofErr w:type="spellStart"/>
      <w:r w:rsidRPr="00047553">
        <w:rPr>
          <w:b/>
        </w:rPr>
        <w:t>hr</w:t>
      </w:r>
      <w:proofErr w:type="spellEnd"/>
      <w:r w:rsidRPr="00047553">
        <w:rPr>
          <w:b/>
        </w:rPr>
        <w:t>” to “h”.</w:t>
      </w:r>
    </w:p>
    <w:p w:rsidR="0051317B" w:rsidRDefault="0051317B" w:rsidP="00047553">
      <w:pPr>
        <w:pStyle w:val="ListParagraph"/>
        <w:ind w:left="360"/>
      </w:pPr>
    </w:p>
    <w:p w:rsidR="00047553" w:rsidRDefault="00047553" w:rsidP="00047553">
      <w:pPr>
        <w:pStyle w:val="ListParagraph"/>
        <w:ind w:left="360"/>
      </w:pPr>
      <w:r>
        <w:t>I have made this change throughout the manuscript</w:t>
      </w:r>
    </w:p>
    <w:p w:rsidR="00047553" w:rsidRDefault="00047553" w:rsidP="00047553">
      <w:pPr>
        <w:pStyle w:val="ListParagraph"/>
        <w:ind w:left="360"/>
      </w:pPr>
    </w:p>
    <w:p w:rsidR="00CA2117" w:rsidRPr="00047553" w:rsidRDefault="007C237B" w:rsidP="007C237B">
      <w:pPr>
        <w:pStyle w:val="ListParagraph"/>
        <w:numPr>
          <w:ilvl w:val="0"/>
          <w:numId w:val="1"/>
        </w:numPr>
        <w:ind w:left="360"/>
        <w:rPr>
          <w:b/>
        </w:rPr>
      </w:pPr>
      <w:r w:rsidRPr="00047553">
        <w:rPr>
          <w:b/>
        </w:rPr>
        <w:t>3.1: Please specify the chemical used in this step.</w:t>
      </w:r>
    </w:p>
    <w:p w:rsidR="0051317B" w:rsidRDefault="0051317B" w:rsidP="00047553">
      <w:pPr>
        <w:pStyle w:val="ListParagraph"/>
        <w:ind w:left="360"/>
      </w:pPr>
    </w:p>
    <w:p w:rsidR="00047553" w:rsidRDefault="00047553" w:rsidP="00047553">
      <w:pPr>
        <w:pStyle w:val="ListParagraph"/>
        <w:ind w:left="360"/>
      </w:pPr>
      <w:r>
        <w:t>The chemical used here can be any water soluble chemical which is why I did not indicate a specific chemical. However, I have added (e.g. Mitomycin C) after the words “desired chemical”</w:t>
      </w:r>
    </w:p>
    <w:p w:rsidR="00047553" w:rsidRDefault="00047553" w:rsidP="00047553"/>
    <w:p w:rsidR="00CA2117" w:rsidRPr="005D3081" w:rsidRDefault="007C237B" w:rsidP="007C237B">
      <w:pPr>
        <w:pStyle w:val="ListParagraph"/>
        <w:numPr>
          <w:ilvl w:val="0"/>
          <w:numId w:val="1"/>
        </w:numPr>
        <w:ind w:left="360"/>
        <w:rPr>
          <w:b/>
        </w:rPr>
      </w:pPr>
      <w:r w:rsidRPr="005D3081">
        <w:rPr>
          <w:b/>
        </w:rPr>
        <w:t>3.3: Please specify the recovery time used.</w:t>
      </w:r>
    </w:p>
    <w:p w:rsidR="0051317B" w:rsidRDefault="0051317B" w:rsidP="005D3081">
      <w:pPr>
        <w:pStyle w:val="ListParagraph"/>
        <w:ind w:left="360"/>
      </w:pPr>
    </w:p>
    <w:p w:rsidR="005D3081" w:rsidRDefault="005D3081" w:rsidP="005D3081">
      <w:pPr>
        <w:pStyle w:val="ListParagraph"/>
        <w:ind w:left="360"/>
      </w:pPr>
      <w:r>
        <w:t>As with point 6, I wanted to leave this more general since the doubling times for all cell types are slightly different, which is why I indicated the guidance from the OECD</w:t>
      </w:r>
      <w:r w:rsidR="003104F7">
        <w:t xml:space="preserve"> to use a recovery time of 1.5-2.0 doubling times</w:t>
      </w:r>
      <w:r>
        <w:t xml:space="preserve">. However, to address this comment I have added this line to point 3.3: </w:t>
      </w:r>
      <w:r w:rsidRPr="005D3081">
        <w:rPr>
          <w:i/>
        </w:rPr>
        <w:t>For the TK6 cells used in this work, the recovery time was 24 h.</w:t>
      </w:r>
    </w:p>
    <w:p w:rsidR="005D3081" w:rsidRDefault="005D3081" w:rsidP="005D3081">
      <w:pPr>
        <w:pStyle w:val="ListParagraph"/>
        <w:ind w:left="360"/>
      </w:pPr>
    </w:p>
    <w:p w:rsidR="00CA2117" w:rsidRPr="003104F7" w:rsidRDefault="007C237B" w:rsidP="007C237B">
      <w:pPr>
        <w:pStyle w:val="ListParagraph"/>
        <w:numPr>
          <w:ilvl w:val="0"/>
          <w:numId w:val="1"/>
        </w:numPr>
        <w:ind w:left="360"/>
        <w:rPr>
          <w:b/>
        </w:rPr>
      </w:pPr>
      <w:r w:rsidRPr="003104F7">
        <w:rPr>
          <w:b/>
        </w:rPr>
        <w:t>Please revise the Protocol steps so that individual steps contain only 2-3 actions per step and a maximum of 4 sentences per step. Use sub-steps as necessary.</w:t>
      </w:r>
    </w:p>
    <w:p w:rsidR="003104F7" w:rsidRPr="003104F7" w:rsidRDefault="003104F7" w:rsidP="003104F7">
      <w:pPr>
        <w:pStyle w:val="ListParagraph"/>
        <w:ind w:left="360"/>
      </w:pPr>
    </w:p>
    <w:p w:rsidR="003104F7" w:rsidRDefault="003104F7" w:rsidP="003104F7">
      <w:pPr>
        <w:pStyle w:val="ListParagraph"/>
        <w:ind w:left="360"/>
      </w:pPr>
      <w:r w:rsidRPr="003104F7">
        <w:t>I have made sure that</w:t>
      </w:r>
      <w:r>
        <w:t xml:space="preserve">, for the most part, </w:t>
      </w:r>
      <w:r w:rsidRPr="003104F7">
        <w:t xml:space="preserve">individual </w:t>
      </w:r>
      <w:r>
        <w:t xml:space="preserve">do not contain more than 3 actions. However, in </w:t>
      </w:r>
      <w:r w:rsidR="00DB38A9">
        <w:t xml:space="preserve">a few </w:t>
      </w:r>
      <w:r>
        <w:t xml:space="preserve">cases </w:t>
      </w:r>
      <w:r w:rsidR="00DB38A9">
        <w:t xml:space="preserve">it is necessary to have more than 3 actions in a single step to avoid the instructions from being unnecessarily fragmented. </w:t>
      </w:r>
    </w:p>
    <w:p w:rsidR="00DB38A9" w:rsidRPr="003104F7" w:rsidRDefault="00DB38A9" w:rsidP="003104F7">
      <w:pPr>
        <w:pStyle w:val="ListParagraph"/>
        <w:ind w:left="360"/>
      </w:pPr>
      <w:r>
        <w:t>Examples of this include step 7 that describes how to set up the MIFC, create plots and draw regions. Breaking up steps 7.2 and 7.3, for example, into sub steps will just confuse the reader. In addition, some complicated steps in the data analysis template creation portion of the protocol have more than 3 actions per step. Step 10.1.1.1, for example, has 8-10 actions (depending on what you define as an action). It makes sense in the context of this step to have all of these actions as one step. Fragmenting these steps will make things very confusing for the user.</w:t>
      </w:r>
    </w:p>
    <w:p w:rsidR="005D3081" w:rsidRDefault="005D3081" w:rsidP="003B07BD">
      <w:pPr>
        <w:pStyle w:val="ListParagraph"/>
        <w:ind w:left="360"/>
      </w:pPr>
    </w:p>
    <w:p w:rsidR="00CA2117" w:rsidRPr="009A62C5" w:rsidRDefault="007C237B" w:rsidP="007C237B">
      <w:pPr>
        <w:pStyle w:val="ListParagraph"/>
        <w:numPr>
          <w:ilvl w:val="0"/>
          <w:numId w:val="1"/>
        </w:numPr>
        <w:ind w:left="360"/>
        <w:rPr>
          <w:b/>
        </w:rPr>
      </w:pPr>
      <w:r w:rsidRPr="009A62C5">
        <w:rPr>
          <w:b/>
        </w:rPr>
        <w:t>Please ensure that the highlighted portion identifies the essential steps of the protocol for the video, i.e., the steps that should be visualized to tell the most cohesive story of the Protocol.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51317B" w:rsidRDefault="0051317B" w:rsidP="003B07BD">
      <w:pPr>
        <w:pStyle w:val="ListParagraph"/>
        <w:ind w:left="360"/>
      </w:pPr>
    </w:p>
    <w:p w:rsidR="00186964" w:rsidRDefault="00186964" w:rsidP="003B07BD">
      <w:pPr>
        <w:pStyle w:val="ListParagraph"/>
        <w:ind w:left="360"/>
      </w:pPr>
      <w:r>
        <w:t xml:space="preserve">This is a complicated </w:t>
      </w:r>
      <w:r w:rsidR="00F1032B">
        <w:t>protocol</w:t>
      </w:r>
      <w:r>
        <w:t xml:space="preserve"> in which many steps have multiple sub steps, especially in the data analysis portion of the protocol. Some steps that have been highlighted (e.g. 9.3) contain many sub steps and highlighting all of these steps will make the highlighted portion far exceed the required 2.5 pages. Because of this, I uploaded a document called “Notes for Filming of Protocol” with the submission for you to consult</w:t>
      </w:r>
      <w:r w:rsidR="00BD0A68">
        <w:t xml:space="preserve"> and review</w:t>
      </w:r>
      <w:r>
        <w:t>.</w:t>
      </w:r>
    </w:p>
    <w:p w:rsidR="00186964" w:rsidRDefault="00186964" w:rsidP="003B07BD">
      <w:pPr>
        <w:pStyle w:val="ListParagraph"/>
        <w:ind w:left="360"/>
      </w:pPr>
      <w:r>
        <w:lastRenderedPageBreak/>
        <w:t>In this document I outline my recommendations for filming these sections that do not have every sub step highlighted</w:t>
      </w:r>
      <w:r w:rsidR="00BD0A68">
        <w:t xml:space="preserve"> since the method presented in this manuscript is complex (especially the data analysis)</w:t>
      </w:r>
      <w:r>
        <w:t xml:space="preserve">. </w:t>
      </w:r>
    </w:p>
    <w:p w:rsidR="00186964" w:rsidRDefault="00186964" w:rsidP="003B07BD">
      <w:pPr>
        <w:pStyle w:val="ListParagraph"/>
        <w:ind w:left="360"/>
      </w:pPr>
      <w:r>
        <w:t>In my view, there are two options:</w:t>
      </w:r>
    </w:p>
    <w:p w:rsidR="00186964" w:rsidRDefault="00186964" w:rsidP="003B07BD">
      <w:pPr>
        <w:pStyle w:val="ListParagraph"/>
        <w:ind w:left="360"/>
      </w:pPr>
      <w:r>
        <w:t>1. I can highlight all sub steps which will make the highlighted portion go well beyond 2.5 pages.</w:t>
      </w:r>
    </w:p>
    <w:p w:rsidR="00186964" w:rsidRDefault="00186964" w:rsidP="003B07BD">
      <w:pPr>
        <w:pStyle w:val="ListParagraph"/>
        <w:ind w:left="360"/>
      </w:pPr>
      <w:r>
        <w:t xml:space="preserve">2. </w:t>
      </w:r>
      <w:r w:rsidR="00BD0A68">
        <w:t>Leave the highlighted sections as they are and work with you on a filming protocol that will cover the key portions of each step.</w:t>
      </w:r>
    </w:p>
    <w:p w:rsidR="00BD0A68" w:rsidRDefault="00BD0A68" w:rsidP="003B07BD">
      <w:pPr>
        <w:pStyle w:val="ListParagraph"/>
        <w:ind w:left="360"/>
      </w:pPr>
      <w:r>
        <w:t>I prefer option 2 since I have a vision for how to film each of these complicated steps. This probably deviates from what you are used to, but it may just have to be that way for this manuscript.</w:t>
      </w:r>
    </w:p>
    <w:p w:rsidR="00186964" w:rsidRDefault="00186964" w:rsidP="003B07BD">
      <w:pPr>
        <w:pStyle w:val="ListParagraph"/>
        <w:ind w:left="360"/>
      </w:pPr>
    </w:p>
    <w:p w:rsidR="00CA2117" w:rsidRPr="009A62C5" w:rsidRDefault="007C237B" w:rsidP="007C237B">
      <w:pPr>
        <w:pStyle w:val="ListParagraph"/>
        <w:numPr>
          <w:ilvl w:val="0"/>
          <w:numId w:val="1"/>
        </w:numPr>
        <w:ind w:left="360"/>
        <w:rPr>
          <w:b/>
        </w:rPr>
      </w:pPr>
      <w:r w:rsidRPr="009A62C5">
        <w:rPr>
          <w:b/>
        </w:rPr>
        <w:t>Table of Equipment and Materials: Please sort the items in alphabetical order according to the name of material/equipment.</w:t>
      </w:r>
    </w:p>
    <w:p w:rsidR="003B07BD" w:rsidRDefault="003B07BD" w:rsidP="003B07BD">
      <w:pPr>
        <w:pStyle w:val="ListParagraph"/>
        <w:ind w:left="360"/>
      </w:pPr>
    </w:p>
    <w:p w:rsidR="0051317B" w:rsidRDefault="0051317B" w:rsidP="003B07BD">
      <w:pPr>
        <w:pStyle w:val="ListParagraph"/>
        <w:ind w:left="360"/>
      </w:pPr>
      <w:r>
        <w:t>This has been done.</w:t>
      </w:r>
    </w:p>
    <w:p w:rsidR="0051317B" w:rsidRDefault="0051317B" w:rsidP="003B07BD">
      <w:pPr>
        <w:pStyle w:val="ListParagraph"/>
        <w:ind w:left="360"/>
      </w:pPr>
    </w:p>
    <w:p w:rsidR="007C237B" w:rsidRDefault="007C237B" w:rsidP="007C237B">
      <w:pPr>
        <w:pStyle w:val="ListParagraph"/>
        <w:numPr>
          <w:ilvl w:val="0"/>
          <w:numId w:val="1"/>
        </w:numPr>
        <w:ind w:left="360"/>
        <w:rPr>
          <w:b/>
        </w:rPr>
      </w:pPr>
      <w:r w:rsidRPr="004A02A9">
        <w:rPr>
          <w:b/>
        </w:rPr>
        <w:t>References: Please do not abbreviate journal titles.</w:t>
      </w:r>
    </w:p>
    <w:p w:rsidR="004A02A9" w:rsidRPr="004A02A9" w:rsidRDefault="004A02A9" w:rsidP="004A02A9">
      <w:pPr>
        <w:rPr>
          <w:b/>
        </w:rPr>
      </w:pPr>
    </w:p>
    <w:p w:rsidR="006D62BB" w:rsidRDefault="006D62BB" w:rsidP="006D62BB">
      <w:pPr>
        <w:pStyle w:val="ListParagraph"/>
        <w:ind w:left="360"/>
      </w:pPr>
      <w:r>
        <w:t>Sorry about that</w:t>
      </w:r>
      <w:r w:rsidR="003B07BD">
        <w:t xml:space="preserve">, </w:t>
      </w:r>
      <w:r>
        <w:t>I’ve fixed this. I was looking at older JoVE publications (e.g. before 2018) and those all have abbreviated journal names. Also, you should be aware that the most currently available Endnote library default style</w:t>
      </w:r>
      <w:r w:rsidR="004A02A9">
        <w:t xml:space="preserve"> that I am using for references</w:t>
      </w:r>
      <w:r>
        <w:t xml:space="preserve"> (available from the Endnote website) is to abbreviate journal names. You may want to contact Endnote to have them update the style</w:t>
      </w:r>
      <w:r w:rsidR="00F1032B">
        <w:t xml:space="preserve"> since many researchers use this software</w:t>
      </w:r>
      <w:r>
        <w:t>.</w:t>
      </w:r>
    </w:p>
    <w:p w:rsidR="003B07BD" w:rsidRDefault="003B07BD" w:rsidP="007C237B"/>
    <w:p w:rsidR="00B847AE" w:rsidRDefault="00B847AE" w:rsidP="007C237B"/>
    <w:p w:rsidR="007C237B" w:rsidRPr="003B07BD" w:rsidRDefault="007C237B" w:rsidP="003B07BD">
      <w:pPr>
        <w:jc w:val="center"/>
        <w:rPr>
          <w:b/>
          <w:u w:val="single"/>
        </w:rPr>
      </w:pPr>
      <w:r w:rsidRPr="003B07BD">
        <w:rPr>
          <w:b/>
          <w:u w:val="single"/>
        </w:rPr>
        <w:t>Reviewer</w:t>
      </w:r>
      <w:r w:rsidR="003B07BD" w:rsidRPr="003B07BD">
        <w:rPr>
          <w:b/>
          <w:u w:val="single"/>
        </w:rPr>
        <w:t xml:space="preserve"> #1</w:t>
      </w:r>
      <w:r w:rsidR="003B07BD">
        <w:rPr>
          <w:b/>
          <w:u w:val="single"/>
        </w:rPr>
        <w:t xml:space="preserve"> comments</w:t>
      </w:r>
    </w:p>
    <w:p w:rsidR="007C237B" w:rsidRPr="009A62C5" w:rsidRDefault="007C237B" w:rsidP="007C237B">
      <w:pPr>
        <w:rPr>
          <w:b/>
        </w:rPr>
      </w:pPr>
      <w:r w:rsidRPr="009A62C5">
        <w:rPr>
          <w:b/>
        </w:rPr>
        <w:t>Major Concerns:</w:t>
      </w:r>
    </w:p>
    <w:p w:rsidR="007C237B" w:rsidRPr="009A62C5" w:rsidRDefault="007C237B" w:rsidP="007C237B">
      <w:pPr>
        <w:rPr>
          <w:b/>
        </w:rPr>
      </w:pPr>
      <w:r w:rsidRPr="009A62C5">
        <w:rPr>
          <w:b/>
        </w:rPr>
        <w:t>None.</w:t>
      </w:r>
    </w:p>
    <w:p w:rsidR="007C237B" w:rsidRPr="009A62C5" w:rsidRDefault="007C237B" w:rsidP="007C237B">
      <w:pPr>
        <w:rPr>
          <w:b/>
        </w:rPr>
      </w:pPr>
    </w:p>
    <w:p w:rsidR="007C237B" w:rsidRPr="00B847AE" w:rsidRDefault="007C237B" w:rsidP="007C237B">
      <w:pPr>
        <w:rPr>
          <w:b/>
        </w:rPr>
      </w:pPr>
      <w:r w:rsidRPr="009A62C5">
        <w:rPr>
          <w:b/>
        </w:rPr>
        <w:t xml:space="preserve">Minor </w:t>
      </w:r>
      <w:r w:rsidRPr="00B847AE">
        <w:rPr>
          <w:b/>
        </w:rPr>
        <w:t>Concerns:</w:t>
      </w:r>
    </w:p>
    <w:p w:rsidR="007C237B" w:rsidRPr="009271EE" w:rsidRDefault="007C237B" w:rsidP="009A62C5">
      <w:pPr>
        <w:pStyle w:val="ListParagraph"/>
        <w:numPr>
          <w:ilvl w:val="0"/>
          <w:numId w:val="4"/>
        </w:numPr>
        <w:ind w:left="360"/>
      </w:pPr>
      <w:r w:rsidRPr="00B847AE">
        <w:rPr>
          <w:b/>
        </w:rPr>
        <w:t xml:space="preserve">Clarity is required over the number of chemical </w:t>
      </w:r>
      <w:proofErr w:type="spellStart"/>
      <w:r w:rsidRPr="00B847AE">
        <w:rPr>
          <w:b/>
        </w:rPr>
        <w:t>analysed</w:t>
      </w:r>
      <w:proofErr w:type="spellEnd"/>
      <w:r w:rsidRPr="00B847AE">
        <w:rPr>
          <w:b/>
        </w:rPr>
        <w:t xml:space="preserve"> in this paper. The results presented show the method tested for Mitomycin C, Colchicine, and Mannitol. The abstract, introduction and results sections suggest that results demonstrate significant MN</w:t>
      </w:r>
      <w:r w:rsidRPr="009A62C5">
        <w:rPr>
          <w:b/>
        </w:rPr>
        <w:t xml:space="preserve"> frequencies following exposure to known </w:t>
      </w:r>
      <w:r w:rsidR="00186964" w:rsidRPr="009A62C5">
        <w:rPr>
          <w:b/>
        </w:rPr>
        <w:t>aneugens</w:t>
      </w:r>
      <w:r w:rsidRPr="009A62C5">
        <w:rPr>
          <w:b/>
        </w:rPr>
        <w:t xml:space="preserve"> and clastogens. The use of plurals is misleading suggesting more chemicals have been tested than 2 known positives and 1 known negative. It would be less misleading to name the chemicals tested within the abstract Line 57 and the representative results Lines 576-577</w:t>
      </w:r>
      <w:r w:rsidRPr="009271EE">
        <w:rPr>
          <w:b/>
        </w:rPr>
        <w:t>, whilst referring to other studies which show results for further chemicals.</w:t>
      </w:r>
    </w:p>
    <w:p w:rsidR="007C237B" w:rsidRDefault="007C237B" w:rsidP="007C237B"/>
    <w:p w:rsidR="00661989" w:rsidRDefault="00661989" w:rsidP="00661989">
      <w:pPr>
        <w:pStyle w:val="ListParagraph"/>
        <w:ind w:left="360"/>
      </w:pPr>
      <w:r>
        <w:t xml:space="preserve">This is a good point. This manuscript is a condensed version of a recent paper that I published in Cytometry Part A (93, 706-726, 2018). In that paper I examined 4 well-known MN inducers and Mannitol as a negative control. In the interest of providing condensed results in this manuscript I chose to show results for only two chemicals </w:t>
      </w:r>
      <w:r w:rsidR="00C513A1">
        <w:t>used in that paper</w:t>
      </w:r>
      <w:r>
        <w:t xml:space="preserve"> (Mitomycin C and Colchicine) as well as Mannitol to demonstrate that non-MN inducing chemicals can also be </w:t>
      </w:r>
      <w:r w:rsidR="00C513A1">
        <w:t xml:space="preserve">correctly </w:t>
      </w:r>
      <w:r>
        <w:t xml:space="preserve">identified. </w:t>
      </w:r>
      <w:r w:rsidR="007171FE">
        <w:t>To reflect this</w:t>
      </w:r>
      <w:r>
        <w:t xml:space="preserve">, I have changed the last sentence in the abstract to </w:t>
      </w:r>
      <w:r w:rsidRPr="00BB5E75">
        <w:t xml:space="preserve">read (lines </w:t>
      </w:r>
      <w:r w:rsidR="00BB5E75" w:rsidRPr="00BB5E75">
        <w:t>44-48</w:t>
      </w:r>
      <w:r w:rsidRPr="00BB5E75">
        <w:t>):</w:t>
      </w:r>
    </w:p>
    <w:p w:rsidR="00661989" w:rsidRDefault="00661989" w:rsidP="00661989">
      <w:pPr>
        <w:pStyle w:val="ListParagraph"/>
        <w:ind w:left="360"/>
      </w:pPr>
    </w:p>
    <w:p w:rsidR="00661989" w:rsidRPr="00661989" w:rsidRDefault="00661989" w:rsidP="00661989">
      <w:pPr>
        <w:pStyle w:val="ListParagraph"/>
        <w:ind w:left="360"/>
        <w:rPr>
          <w:i/>
        </w:rPr>
      </w:pPr>
      <w:r w:rsidRPr="00661989">
        <w:rPr>
          <w:i/>
        </w:rPr>
        <w:t xml:space="preserve">Results demonstrate that using MIFC to perform the in vitro MN assay allows statistically significant increases in MN frequency to be detected at several different levels of cytotoxicity when compared to solvent controls following exposure of TK6 cells </w:t>
      </w:r>
      <w:r w:rsidR="00342188">
        <w:rPr>
          <w:i/>
        </w:rPr>
        <w:t xml:space="preserve">to </w:t>
      </w:r>
      <w:r w:rsidRPr="00661989">
        <w:rPr>
          <w:i/>
        </w:rPr>
        <w:t xml:space="preserve">Mitomycin C and </w:t>
      </w:r>
      <w:r w:rsidRPr="00661989">
        <w:rPr>
          <w:i/>
        </w:rPr>
        <w:lastRenderedPageBreak/>
        <w:t>Colchicine, and that no significant increases in MN frequency are observed following exposure to Mannitol.</w:t>
      </w:r>
    </w:p>
    <w:p w:rsidR="00661989" w:rsidRDefault="00661989" w:rsidP="00661989">
      <w:pPr>
        <w:pStyle w:val="ListParagraph"/>
        <w:ind w:left="360"/>
      </w:pPr>
    </w:p>
    <w:p w:rsidR="00661989" w:rsidRDefault="00661989" w:rsidP="00661989">
      <w:pPr>
        <w:pStyle w:val="ListParagraph"/>
        <w:ind w:left="360"/>
      </w:pPr>
      <w:r>
        <w:t xml:space="preserve">I have also changed the text in the results section to read </w:t>
      </w:r>
      <w:r w:rsidRPr="00BB5E75">
        <w:t xml:space="preserve">(lines </w:t>
      </w:r>
      <w:r w:rsidR="00BB5E75" w:rsidRPr="00BB5E75">
        <w:t>576-581</w:t>
      </w:r>
      <w:r>
        <w:t>):</w:t>
      </w:r>
    </w:p>
    <w:p w:rsidR="00C513A1" w:rsidRDefault="00C513A1" w:rsidP="00C513A1">
      <w:pPr>
        <w:ind w:left="360"/>
        <w:rPr>
          <w:i/>
        </w:rPr>
      </w:pPr>
      <w:r w:rsidRPr="00C513A1">
        <w:rPr>
          <w:i/>
        </w:rPr>
        <w:t xml:space="preserve">The results presented here indicate that statistically significant increases in MN frequency with increasing cytotoxicity can be detected following exposure of human lymphoblastoid TK6 cells to well-known MN inducing chemicals (Mitomycin C and Colchicine). Similar results for additional chemicals tested have been demonstrated in a separate publication31. In addition, results from the use of Mannitol show that non-MN inducing chemicals can also be correctly identified using the MIFC method outlined here.  </w:t>
      </w:r>
    </w:p>
    <w:p w:rsidR="00C513A1" w:rsidRPr="00C513A1" w:rsidRDefault="00C513A1" w:rsidP="007C237B"/>
    <w:p w:rsidR="007C237B" w:rsidRPr="009A62C5" w:rsidRDefault="007C237B" w:rsidP="009A62C5">
      <w:pPr>
        <w:pStyle w:val="ListParagraph"/>
        <w:numPr>
          <w:ilvl w:val="0"/>
          <w:numId w:val="4"/>
        </w:numPr>
        <w:ind w:left="360"/>
        <w:rPr>
          <w:b/>
        </w:rPr>
      </w:pPr>
      <w:r w:rsidRPr="009A62C5">
        <w:rPr>
          <w:b/>
        </w:rPr>
        <w:t xml:space="preserve">I agree that a detailed SOP is useful for the reader and a valuable guide to reproduce the technique but feel that a much more </w:t>
      </w:r>
      <w:proofErr w:type="spellStart"/>
      <w:r w:rsidRPr="009A62C5">
        <w:rPr>
          <w:b/>
        </w:rPr>
        <w:t>summarised</w:t>
      </w:r>
      <w:proofErr w:type="spellEnd"/>
      <w:r w:rsidRPr="009A62C5">
        <w:rPr>
          <w:b/>
        </w:rPr>
        <w:t xml:space="preserve"> method should be included in the materials and methods section of the paper with the absolute finer details incorporated into the supplementary section. For example, details of how to prepare each chemical used in the methods such as how to prepare 10 mL of 4% formalin, is not required by the reader.</w:t>
      </w:r>
    </w:p>
    <w:p w:rsidR="007C237B" w:rsidRDefault="007C237B" w:rsidP="007C237B"/>
    <w:p w:rsidR="003C123E" w:rsidRDefault="003C123E" w:rsidP="003C123E">
      <w:pPr>
        <w:pStyle w:val="ListParagraph"/>
        <w:ind w:left="360"/>
      </w:pPr>
      <w:r>
        <w:t xml:space="preserve">In principle I agree with you on </w:t>
      </w:r>
      <w:r w:rsidR="00FE1F5F">
        <w:t xml:space="preserve">the fact that including these rather trivial steps is not necessary. However, </w:t>
      </w:r>
      <w:r>
        <w:t xml:space="preserve">I have seen a number of JoVE papers that have very detailed protocols in the main text, containing </w:t>
      </w:r>
      <w:r w:rsidR="00FE1F5F">
        <w:t xml:space="preserve">similarly simple </w:t>
      </w:r>
      <w:r>
        <w:t xml:space="preserve">details. Since you have listed this as a minor concern, I will leave the protocol as is and request that the editor(s) </w:t>
      </w:r>
      <w:r w:rsidR="00FE1F5F">
        <w:t>review</w:t>
      </w:r>
      <w:r>
        <w:t xml:space="preserve"> the protocol with a critical eye. If they wish for </w:t>
      </w:r>
      <w:r w:rsidR="00FE1F5F">
        <w:t>such small details to be removed from the main and into the supplementary material, I’ll be happy to make this change.</w:t>
      </w:r>
    </w:p>
    <w:p w:rsidR="003C123E" w:rsidRDefault="003C123E" w:rsidP="007C237B"/>
    <w:p w:rsidR="007C237B" w:rsidRPr="009A62C5" w:rsidRDefault="007C237B" w:rsidP="009A62C5">
      <w:pPr>
        <w:pStyle w:val="ListParagraph"/>
        <w:numPr>
          <w:ilvl w:val="0"/>
          <w:numId w:val="4"/>
        </w:numPr>
        <w:ind w:left="360"/>
        <w:rPr>
          <w:b/>
        </w:rPr>
      </w:pPr>
      <w:r w:rsidRPr="009A62C5">
        <w:rPr>
          <w:b/>
        </w:rPr>
        <w:t>Similarly, the number of Notes present in the methods is excessive. One Note at the beginning or end of the SOP is sufficient or Note points should be incorporated into the supplementary materials.</w:t>
      </w:r>
    </w:p>
    <w:p w:rsidR="007C237B" w:rsidRDefault="007C237B" w:rsidP="007C237B"/>
    <w:p w:rsidR="00F41623" w:rsidRDefault="00F41623" w:rsidP="008621A6">
      <w:pPr>
        <w:ind w:left="360"/>
      </w:pPr>
      <w:r>
        <w:t xml:space="preserve">I have put one note of caution for Cytochalasin B and </w:t>
      </w:r>
      <w:r w:rsidRPr="00F41623">
        <w:t>Formalin/formaldehyde</w:t>
      </w:r>
      <w:r>
        <w:t xml:space="preserve"> at the beginning of the protocol</w:t>
      </w:r>
      <w:r w:rsidR="008621A6">
        <w:t xml:space="preserve"> and have incorporated others into sub steps</w:t>
      </w:r>
      <w:r>
        <w:t>. Now there are only three notes in the protocol and, in my view, it is important that they stay where they are to ensure that the method is performed correctly.</w:t>
      </w:r>
    </w:p>
    <w:p w:rsidR="00F41623" w:rsidRDefault="00F41623" w:rsidP="007C237B"/>
    <w:p w:rsidR="00912515" w:rsidRDefault="007C237B" w:rsidP="00912515">
      <w:pPr>
        <w:pStyle w:val="ListParagraph"/>
        <w:numPr>
          <w:ilvl w:val="0"/>
          <w:numId w:val="4"/>
        </w:numPr>
        <w:ind w:left="360"/>
        <w:rPr>
          <w:b/>
        </w:rPr>
      </w:pPr>
      <w:r w:rsidRPr="00B847AE">
        <w:rPr>
          <w:b/>
        </w:rPr>
        <w:t>The methodology used</w:t>
      </w:r>
      <w:r w:rsidRPr="009A62C5">
        <w:rPr>
          <w:b/>
        </w:rPr>
        <w:t xml:space="preserve"> to produce the representative results is not stated clearly. For example in point 2. </w:t>
      </w:r>
      <w:proofErr w:type="gramStart"/>
      <w:r w:rsidRPr="009A62C5">
        <w:rPr>
          <w:b/>
        </w:rPr>
        <w:t>of</w:t>
      </w:r>
      <w:proofErr w:type="gramEnd"/>
      <w:r w:rsidRPr="009A62C5">
        <w:rPr>
          <w:b/>
        </w:rPr>
        <w:t xml:space="preserve"> the Protocol Lines 147-163, a separate section should be included stating the actual methods used (i.e. the chemicals </w:t>
      </w:r>
      <w:proofErr w:type="spellStart"/>
      <w:r w:rsidRPr="009A62C5">
        <w:rPr>
          <w:b/>
        </w:rPr>
        <w:t>utilised</w:t>
      </w:r>
      <w:proofErr w:type="spellEnd"/>
      <w:r w:rsidRPr="009A62C5">
        <w:rPr>
          <w:b/>
        </w:rPr>
        <w:t xml:space="preserve"> and dose ranges) to produce the results in Figure 5 and Tables 1, 2, and 3. Reference to the table of materials needs to be included early on the protocol.</w:t>
      </w:r>
    </w:p>
    <w:p w:rsidR="00912515" w:rsidRDefault="00912515" w:rsidP="00912515">
      <w:pPr>
        <w:pStyle w:val="ListParagraph"/>
        <w:ind w:left="360"/>
        <w:rPr>
          <w:b/>
        </w:rPr>
      </w:pPr>
    </w:p>
    <w:p w:rsidR="00912515" w:rsidRDefault="00912515" w:rsidP="00912515">
      <w:pPr>
        <w:ind w:left="360"/>
      </w:pPr>
      <w:r w:rsidRPr="00912515">
        <w:t xml:space="preserve">I have expanded </w:t>
      </w:r>
      <w:r w:rsidRPr="00BB5E75">
        <w:t xml:space="preserve">point 2.3 to include the specific doses used to produce the results in Figure 5. That point now reads (lines </w:t>
      </w:r>
      <w:r w:rsidR="00BB5E75" w:rsidRPr="00BB5E75">
        <w:t>163-166</w:t>
      </w:r>
      <w:r w:rsidRPr="00BB5E75">
        <w:t>):</w:t>
      </w:r>
    </w:p>
    <w:p w:rsidR="00912515" w:rsidRPr="00912515" w:rsidRDefault="00912515" w:rsidP="00912515">
      <w:pPr>
        <w:ind w:left="360"/>
      </w:pPr>
    </w:p>
    <w:p w:rsidR="00912515" w:rsidRPr="00912515" w:rsidRDefault="00912515" w:rsidP="00912515">
      <w:pPr>
        <w:ind w:left="360"/>
        <w:rPr>
          <w:i/>
        </w:rPr>
      </w:pPr>
      <w:r w:rsidRPr="00912515">
        <w:rPr>
          <w:i/>
        </w:rPr>
        <w:t>For Mitomycin C, prepare 3 mL dilutions in sterile water of 0.5, 1.0, 2.0, 3.0, 4.0 and 5.0 µg/mL. For Colchicine, prepare 3 mL dilutions in sterile water of 0.05, 0.1, 0.2, 0.3, 0.4 and 0.5 µg/mL. Finally, for Mannitol, prepare 3 mL dilutions in sterile water of 5, 10, 20, 30, 40 and 50 mg/mL.</w:t>
      </w:r>
    </w:p>
    <w:p w:rsidR="007C237B" w:rsidRDefault="007C237B" w:rsidP="00912515">
      <w:pPr>
        <w:ind w:left="360"/>
      </w:pPr>
    </w:p>
    <w:p w:rsidR="00912515" w:rsidRDefault="008A2F6A" w:rsidP="00912515">
      <w:pPr>
        <w:ind w:left="360"/>
      </w:pPr>
      <w:r>
        <w:t>References to the table of materials has been added to points 1.1, 1.2, 2.1 and 4.</w:t>
      </w:r>
    </w:p>
    <w:p w:rsidR="00912515" w:rsidRDefault="00912515" w:rsidP="007C237B"/>
    <w:p w:rsidR="007C237B" w:rsidRPr="009A62C5" w:rsidRDefault="007C237B" w:rsidP="009A62C5">
      <w:pPr>
        <w:pStyle w:val="ListParagraph"/>
        <w:numPr>
          <w:ilvl w:val="0"/>
          <w:numId w:val="4"/>
        </w:numPr>
        <w:ind w:left="360"/>
        <w:rPr>
          <w:b/>
        </w:rPr>
      </w:pPr>
      <w:r w:rsidRPr="009A62C5">
        <w:rPr>
          <w:b/>
        </w:rPr>
        <w:lastRenderedPageBreak/>
        <w:t>It would be helpful to offer more images of example scatter plots observed during MIFC or refer to the relevant Figures (2, 3 and 4) more in the material and methods. For example in section 7.3 Line 269 a reference to Figure 2 would be useful as a guide to the population of cells that needs to be gated.</w:t>
      </w:r>
    </w:p>
    <w:p w:rsidR="007C237B" w:rsidRDefault="007C237B" w:rsidP="007C237B"/>
    <w:p w:rsidR="005B489A" w:rsidRDefault="009271EE" w:rsidP="009271EE">
      <w:pPr>
        <w:ind w:left="360"/>
      </w:pPr>
      <w:r>
        <w:t xml:space="preserve">This is a good point. </w:t>
      </w:r>
      <w:r w:rsidR="00AA4F1B">
        <w:t>Although there is a very detailed figure explaining this in my recent Cytometry A paper (2018) which is open access, having a similar figure here could help users acquire data</w:t>
      </w:r>
      <w:r w:rsidR="005B489A">
        <w:t xml:space="preserve"> correctly</w:t>
      </w:r>
      <w:r w:rsidR="00AA4F1B">
        <w:t xml:space="preserve">. </w:t>
      </w:r>
    </w:p>
    <w:p w:rsidR="009271EE" w:rsidRDefault="005B489A" w:rsidP="009271EE">
      <w:pPr>
        <w:ind w:left="360"/>
      </w:pPr>
      <w:r>
        <w:t>I</w:t>
      </w:r>
      <w:r w:rsidR="009271EE">
        <w:t xml:space="preserve"> have expanded Figure 1 </w:t>
      </w:r>
      <w:r w:rsidR="00AA4F1B">
        <w:t xml:space="preserve">to include </w:t>
      </w:r>
      <w:r w:rsidR="00942C30">
        <w:t xml:space="preserve">the three </w:t>
      </w:r>
      <w:r w:rsidR="00AA4F1B">
        <w:t xml:space="preserve">plots that should be created during data acquisition and have included reference imagery of what events should and should not be collected. I have </w:t>
      </w:r>
      <w:r w:rsidR="009271EE">
        <w:t xml:space="preserve">referenced </w:t>
      </w:r>
      <w:r w:rsidR="00AA4F1B">
        <w:t xml:space="preserve">this figure </w:t>
      </w:r>
      <w:r w:rsidR="009271EE">
        <w:t>where appropriate in section 7</w:t>
      </w:r>
      <w:r w:rsidR="00942C30">
        <w:t xml:space="preserve"> of the protocol</w:t>
      </w:r>
      <w:r w:rsidR="009271EE">
        <w:t>.</w:t>
      </w:r>
    </w:p>
    <w:p w:rsidR="009271EE" w:rsidRDefault="009271EE" w:rsidP="007C237B"/>
    <w:p w:rsidR="007C237B" w:rsidRPr="009A62C5" w:rsidRDefault="007C237B" w:rsidP="009A62C5">
      <w:pPr>
        <w:pStyle w:val="ListParagraph"/>
        <w:numPr>
          <w:ilvl w:val="0"/>
          <w:numId w:val="4"/>
        </w:numPr>
        <w:ind w:left="360"/>
        <w:rPr>
          <w:b/>
        </w:rPr>
      </w:pPr>
      <w:r w:rsidRPr="009A62C5">
        <w:rPr>
          <w:b/>
        </w:rPr>
        <w:t>There appears to be some self-citation occurring (Refs 26-30).</w:t>
      </w:r>
    </w:p>
    <w:p w:rsidR="009271EE" w:rsidRDefault="009271EE" w:rsidP="009271EE">
      <w:pPr>
        <w:ind w:left="360"/>
      </w:pPr>
    </w:p>
    <w:p w:rsidR="007C237B" w:rsidRDefault="009271EE" w:rsidP="009271EE">
      <w:pPr>
        <w:ind w:left="360"/>
      </w:pPr>
      <w:r>
        <w:t>There is a lot of self-citation occurring (refs 26-32 actually).</w:t>
      </w:r>
      <w:r w:rsidR="005B489A">
        <w:t xml:space="preserve"> Despite five years of research and multiple publications on this topic, the MIFC and the method presented in this manuscript will be new to most readers. Therefore, i</w:t>
      </w:r>
      <w:r>
        <w:t xml:space="preserve">n my view, it is critical that readers are aware of the additional papers that have been published on this work (most of which are open access) since </w:t>
      </w:r>
      <w:r w:rsidR="005B489A">
        <w:t>they</w:t>
      </w:r>
      <w:r>
        <w:t xml:space="preserve"> will no doubt want more information on the protocol, results, chemicals tested, and additional fields of study where the method has been applied.</w:t>
      </w:r>
    </w:p>
    <w:p w:rsidR="007C237B" w:rsidRDefault="007C237B" w:rsidP="007C237B"/>
    <w:p w:rsidR="007C237B" w:rsidRPr="009A62C5" w:rsidRDefault="007C237B" w:rsidP="009A62C5">
      <w:pPr>
        <w:jc w:val="center"/>
        <w:rPr>
          <w:b/>
          <w:u w:val="single"/>
        </w:rPr>
      </w:pPr>
      <w:r w:rsidRPr="009A62C5">
        <w:rPr>
          <w:b/>
          <w:u w:val="single"/>
        </w:rPr>
        <w:t xml:space="preserve">Reviewer #2: </w:t>
      </w:r>
    </w:p>
    <w:p w:rsidR="009A62C5" w:rsidRDefault="009A62C5" w:rsidP="007C237B"/>
    <w:p w:rsidR="007C237B" w:rsidRPr="00B847AE" w:rsidRDefault="007C237B" w:rsidP="007C237B">
      <w:pPr>
        <w:rPr>
          <w:b/>
        </w:rPr>
      </w:pPr>
      <w:r w:rsidRPr="009A62C5">
        <w:rPr>
          <w:b/>
        </w:rPr>
        <w:t xml:space="preserve">Major </w:t>
      </w:r>
      <w:r w:rsidRPr="00B847AE">
        <w:rPr>
          <w:b/>
        </w:rPr>
        <w:t>Concerns:</w:t>
      </w:r>
    </w:p>
    <w:p w:rsidR="009A62C5" w:rsidRDefault="007C237B" w:rsidP="007C237B">
      <w:pPr>
        <w:pStyle w:val="ListParagraph"/>
        <w:numPr>
          <w:ilvl w:val="0"/>
          <w:numId w:val="5"/>
        </w:numPr>
        <w:ind w:left="360"/>
        <w:rPr>
          <w:b/>
        </w:rPr>
      </w:pPr>
      <w:r w:rsidRPr="00B847AE">
        <w:rPr>
          <w:b/>
        </w:rPr>
        <w:t>The author raises several advantages of the method that are brought about by the incorporation of the imaging cytometer. Do any of these address/solve specific regulatory-related</w:t>
      </w:r>
      <w:r w:rsidRPr="009A62C5">
        <w:rPr>
          <w:b/>
        </w:rPr>
        <w:t xml:space="preserve"> issues that other methods struggle with or are they simply characteristics of the instrument/workflow that lend some benefits to certain use cases? In other words it's not as if other existing methods are unable to achieve certain parameters stated by regulatory agencies and your system has overcome them, correct? I raise this not so much as a knock against your approach, rather as recognition that your system arguably has a high bar for entry in terms of instrument cost, operator skill, </w:t>
      </w:r>
      <w:proofErr w:type="spellStart"/>
      <w:r w:rsidRPr="009A62C5">
        <w:rPr>
          <w:b/>
        </w:rPr>
        <w:t>etc</w:t>
      </w:r>
      <w:proofErr w:type="spellEnd"/>
      <w:r w:rsidRPr="009A62C5">
        <w:rPr>
          <w:b/>
        </w:rPr>
        <w:t xml:space="preserve"> and that should be balanced out against what advantages it really brings to the table.</w:t>
      </w:r>
    </w:p>
    <w:p w:rsidR="003306E8" w:rsidRDefault="003306E8" w:rsidP="003306E8">
      <w:pPr>
        <w:pStyle w:val="ListParagraph"/>
        <w:ind w:left="360"/>
        <w:rPr>
          <w:b/>
        </w:rPr>
      </w:pPr>
    </w:p>
    <w:p w:rsidR="007C237B" w:rsidRPr="009A62C5" w:rsidRDefault="007C237B" w:rsidP="009A62C5">
      <w:pPr>
        <w:pStyle w:val="ListParagraph"/>
        <w:ind w:left="360"/>
        <w:rPr>
          <w:b/>
        </w:rPr>
      </w:pPr>
      <w:r w:rsidRPr="009A62C5">
        <w:rPr>
          <w:b/>
        </w:rPr>
        <w:t xml:space="preserve">Further, as stated your method is not miniaturized to a </w:t>
      </w:r>
      <w:proofErr w:type="spellStart"/>
      <w:r w:rsidRPr="009A62C5">
        <w:rPr>
          <w:b/>
        </w:rPr>
        <w:t>microwell</w:t>
      </w:r>
      <w:proofErr w:type="spellEnd"/>
      <w:r w:rsidRPr="009A62C5">
        <w:rPr>
          <w:b/>
        </w:rPr>
        <w:t xml:space="preserve"> format which would enable faster, more efficient screening, so perhaps it's more likely to be used in follow-up work, GLP studies or those that use more labor-intensive models such as cultured human lymphocytes. These considerations factor into the overall positioning of your assay and </w:t>
      </w:r>
      <w:proofErr w:type="spellStart"/>
      <w:proofErr w:type="gramStart"/>
      <w:r w:rsidRPr="009A62C5">
        <w:rPr>
          <w:b/>
        </w:rPr>
        <w:t>it's</w:t>
      </w:r>
      <w:proofErr w:type="spellEnd"/>
      <w:proofErr w:type="gramEnd"/>
      <w:r w:rsidRPr="009A62C5">
        <w:rPr>
          <w:b/>
        </w:rPr>
        <w:t xml:space="preserve"> potential impact on workflow, which again is connected to cost-benefit considerations. It may be worth addressing this to some extent in your introduction or discussion so the reader can be clearly informed as to the most accurate positioning of this approach in their pipeline.</w:t>
      </w:r>
    </w:p>
    <w:p w:rsidR="007C237B" w:rsidRDefault="007C237B" w:rsidP="007C237B"/>
    <w:p w:rsidR="00FC24C2" w:rsidRDefault="00267446" w:rsidP="00FC24C2">
      <w:pPr>
        <w:ind w:left="360"/>
      </w:pPr>
      <w:r>
        <w:t>At this point our method does not overcome any limitations regarding regulatory requirements that other systems struggle with. However, in the context of the requirements of the MN assay, the limitations of other systems are well described (e.g. lack of cytoplasmic visualization with Metafer and lack of any visualization with conventional flow). This may eventually lead to potential limitations or complications within the regulatory guideline framework</w:t>
      </w:r>
      <w:r w:rsidR="00C97FC8">
        <w:t xml:space="preserve"> when using those systems</w:t>
      </w:r>
      <w:r>
        <w:t>. For example, i</w:t>
      </w:r>
      <w:r w:rsidR="00FC24C2">
        <w:t xml:space="preserve">n a recent publication, Verma </w:t>
      </w:r>
      <w:r w:rsidR="00FC24C2" w:rsidRPr="008B7949">
        <w:rPr>
          <w:i/>
        </w:rPr>
        <w:t>et al</w:t>
      </w:r>
      <w:r w:rsidR="00FC24C2">
        <w:t xml:space="preserve">. </w:t>
      </w:r>
      <w:r w:rsidR="008B7949">
        <w:t>(2017, Archives of Toxicology, 90:</w:t>
      </w:r>
      <w:r w:rsidR="008B7949" w:rsidRPr="008B7949">
        <w:t xml:space="preserve"> 2689-2698</w:t>
      </w:r>
      <w:r w:rsidR="008B7949">
        <w:t xml:space="preserve">) </w:t>
      </w:r>
      <w:r w:rsidR="00FC24C2">
        <w:t xml:space="preserve">demonstrated that automated slide scanning </w:t>
      </w:r>
      <w:r w:rsidR="00FC24C2">
        <w:lastRenderedPageBreak/>
        <w:t>(e.g. Metafer) and conventional flow cytometry either under- or overestimate MN frequencies whe</w:t>
      </w:r>
      <w:r w:rsidR="00C97FC8">
        <w:t>n compared to manual microscopy</w:t>
      </w:r>
      <w:r w:rsidR="00FC24C2">
        <w:t xml:space="preserve"> using MMS and </w:t>
      </w:r>
      <w:proofErr w:type="spellStart"/>
      <w:r w:rsidR="00FC24C2">
        <w:t>Carbendazim</w:t>
      </w:r>
      <w:proofErr w:type="spellEnd"/>
      <w:r w:rsidR="00FC24C2">
        <w:t xml:space="preserve"> (the former is in the list of compounds in the paper yo</w:t>
      </w:r>
      <w:r w:rsidR="00C97FC8">
        <w:t>u point out in major concern #</w:t>
      </w:r>
      <w:r w:rsidR="00FC24C2">
        <w:t>3 (</w:t>
      </w:r>
      <w:r w:rsidR="00FC24C2" w:rsidRPr="00FC24C2">
        <w:t xml:space="preserve">Kirkland </w:t>
      </w:r>
      <w:r w:rsidR="00FC24C2" w:rsidRPr="008B7949">
        <w:rPr>
          <w:i/>
        </w:rPr>
        <w:t>et al</w:t>
      </w:r>
      <w:r w:rsidR="008B7949">
        <w:t>.</w:t>
      </w:r>
      <w:r w:rsidR="00FC24C2" w:rsidRPr="00FC24C2">
        <w:t xml:space="preserve"> 2016</w:t>
      </w:r>
      <w:r w:rsidR="008B7949">
        <w:t>,</w:t>
      </w:r>
      <w:r w:rsidR="00FC24C2" w:rsidRPr="00FC24C2">
        <w:t xml:space="preserve"> </w:t>
      </w:r>
      <w:proofErr w:type="spellStart"/>
      <w:r w:rsidR="00FC24C2" w:rsidRPr="00FC24C2">
        <w:t>Mut</w:t>
      </w:r>
      <w:proofErr w:type="spellEnd"/>
      <w:r w:rsidR="00FC24C2" w:rsidRPr="00FC24C2">
        <w:t xml:space="preserve">. Res. Genet. </w:t>
      </w:r>
      <w:proofErr w:type="spellStart"/>
      <w:r w:rsidR="00FC24C2" w:rsidRPr="00FC24C2">
        <w:t>Toxicol</w:t>
      </w:r>
      <w:proofErr w:type="spellEnd"/>
      <w:r w:rsidR="00FC24C2" w:rsidRPr="00FC24C2">
        <w:t xml:space="preserve">. </w:t>
      </w:r>
      <w:proofErr w:type="spellStart"/>
      <w:r w:rsidR="00FC24C2" w:rsidRPr="00FC24C2">
        <w:t>Env</w:t>
      </w:r>
      <w:proofErr w:type="spellEnd"/>
      <w:r w:rsidR="00FC24C2" w:rsidRPr="00FC24C2">
        <w:t>. Mutagen. 795:7-30</w:t>
      </w:r>
      <w:r w:rsidR="00FC24C2">
        <w:t xml:space="preserve">). So, it may be possible that other methods </w:t>
      </w:r>
      <w:r w:rsidR="00C97FC8">
        <w:t xml:space="preserve">do indeed </w:t>
      </w:r>
      <w:r w:rsidR="00FC24C2">
        <w:t xml:space="preserve">have limitations </w:t>
      </w:r>
      <w:r>
        <w:t xml:space="preserve">in the context of regulatory requirements </w:t>
      </w:r>
      <w:r w:rsidR="00FC24C2">
        <w:t xml:space="preserve">that </w:t>
      </w:r>
      <w:r w:rsidR="00C97FC8">
        <w:t xml:space="preserve">the community is not yet aware of, </w:t>
      </w:r>
      <w:r w:rsidR="00FC24C2">
        <w:t xml:space="preserve">and more studies such </w:t>
      </w:r>
      <w:r w:rsidR="00C97FC8">
        <w:t xml:space="preserve">as the one performed by Verma </w:t>
      </w:r>
      <w:r w:rsidR="00C97FC8" w:rsidRPr="00C97FC8">
        <w:rPr>
          <w:i/>
        </w:rPr>
        <w:t>et al</w:t>
      </w:r>
      <w:r w:rsidR="00C97FC8">
        <w:t xml:space="preserve">. </w:t>
      </w:r>
      <w:r w:rsidR="00FC24C2">
        <w:t>are pr</w:t>
      </w:r>
      <w:r>
        <w:t>obably necessary</w:t>
      </w:r>
      <w:r w:rsidR="00C97FC8">
        <w:t xml:space="preserve"> to identify said limitations</w:t>
      </w:r>
      <w:r w:rsidR="00FC24C2">
        <w:t xml:space="preserve">. </w:t>
      </w:r>
    </w:p>
    <w:p w:rsidR="00FC24C2" w:rsidRDefault="00FC24C2" w:rsidP="00FC24C2">
      <w:pPr>
        <w:ind w:left="360"/>
      </w:pPr>
    </w:p>
    <w:p w:rsidR="000B35F7" w:rsidRDefault="008B7949" w:rsidP="00FC24C2">
      <w:pPr>
        <w:ind w:left="360"/>
      </w:pPr>
      <w:r>
        <w:t xml:space="preserve">With respect to our system, we have not </w:t>
      </w:r>
      <w:r w:rsidR="000B35F7">
        <w:t xml:space="preserve">yet done enough validation work to determine whether </w:t>
      </w:r>
      <w:r w:rsidR="00E4609A">
        <w:t>we</w:t>
      </w:r>
      <w:r w:rsidR="000B35F7">
        <w:t xml:space="preserve"> can address </w:t>
      </w:r>
      <w:r w:rsidR="00E4609A">
        <w:t>such limitations</w:t>
      </w:r>
      <w:r>
        <w:t xml:space="preserve">. </w:t>
      </w:r>
      <w:r w:rsidR="000B35F7">
        <w:t>To determine th</w:t>
      </w:r>
      <w:r w:rsidR="00E4609A">
        <w:t>is</w:t>
      </w:r>
      <w:r w:rsidR="000B35F7">
        <w:t xml:space="preserve">, it will be necessary to validate the method against manual microscopy, automated microscopy as well as conventional flow cytometry. </w:t>
      </w:r>
      <w:r w:rsidR="00E4609A">
        <w:t>In my opinion, manual microscopy as a gold standard is inherently flawed and several di</w:t>
      </w:r>
      <w:r w:rsidR="000B35F7">
        <w:t xml:space="preserve">fficulties </w:t>
      </w:r>
      <w:r w:rsidR="00E4609A">
        <w:t xml:space="preserve">have been pointed out in the literature, </w:t>
      </w:r>
      <w:r w:rsidR="000B35F7">
        <w:t>such as a limit on throughput which reduces the dose range that can be reliably tested</w:t>
      </w:r>
      <w:r w:rsidR="00CD6CE0">
        <w:t xml:space="preserve"> and significant </w:t>
      </w:r>
      <w:r w:rsidR="000B35F7">
        <w:t>variability in results between scorers (</w:t>
      </w:r>
      <w:r w:rsidR="00CD6CE0">
        <w:t xml:space="preserve">Fenech </w:t>
      </w:r>
      <w:r w:rsidR="00CD6CE0" w:rsidRPr="00CD6CE0">
        <w:rPr>
          <w:i/>
        </w:rPr>
        <w:t>et al.</w:t>
      </w:r>
      <w:r w:rsidR="00CD6CE0">
        <w:t xml:space="preserve">, 2003, Mutation Research, 534: </w:t>
      </w:r>
      <w:r w:rsidR="00893DD0">
        <w:t>45-64</w:t>
      </w:r>
      <w:r w:rsidR="00CD6CE0">
        <w:t xml:space="preserve">; </w:t>
      </w:r>
      <w:r w:rsidR="000B35F7">
        <w:t xml:space="preserve">Lovell, </w:t>
      </w:r>
      <w:r w:rsidR="000B35F7" w:rsidRPr="008B7949">
        <w:rPr>
          <w:i/>
        </w:rPr>
        <w:t>et al</w:t>
      </w:r>
      <w:r w:rsidR="000B35F7">
        <w:t>.</w:t>
      </w:r>
      <w:r>
        <w:t xml:space="preserve">, </w:t>
      </w:r>
      <w:proofErr w:type="spellStart"/>
      <w:r w:rsidR="000B35F7">
        <w:t>Mutat</w:t>
      </w:r>
      <w:proofErr w:type="spellEnd"/>
      <w:r w:rsidR="000B35F7">
        <w:t xml:space="preserve"> Res Gen </w:t>
      </w:r>
      <w:proofErr w:type="spellStart"/>
      <w:r w:rsidR="000B35F7">
        <w:t>Tox</w:t>
      </w:r>
      <w:proofErr w:type="spellEnd"/>
      <w:r w:rsidR="000B35F7">
        <w:t xml:space="preserve"> En, 825</w:t>
      </w:r>
      <w:r>
        <w:t>:</w:t>
      </w:r>
      <w:r w:rsidR="000B35F7">
        <w:t xml:space="preserve"> 40-50, 2018). </w:t>
      </w:r>
      <w:r w:rsidR="00893DD0">
        <w:t>Large-scale validation studies with many samples using our system will allow us to examine reproducibility of results in both negative controls and samples exposed to chemicals, as well as investigating a wider range of doses than is feasible with manual microscopy.</w:t>
      </w:r>
    </w:p>
    <w:p w:rsidR="008B7949" w:rsidRDefault="008B7949" w:rsidP="00FC24C2">
      <w:pPr>
        <w:ind w:left="360"/>
      </w:pPr>
    </w:p>
    <w:p w:rsidR="001B1908" w:rsidRDefault="000B35F7" w:rsidP="00FC24C2">
      <w:pPr>
        <w:ind w:left="360"/>
      </w:pPr>
      <w:r>
        <w:t xml:space="preserve">With respect to cost, the ImageStream is obviously much more expensive than </w:t>
      </w:r>
      <w:r w:rsidR="00000961">
        <w:t>many</w:t>
      </w:r>
      <w:r>
        <w:t xml:space="preserve"> fluorescent microscope</w:t>
      </w:r>
      <w:r w:rsidR="00000961">
        <w:t>s</w:t>
      </w:r>
      <w:r>
        <w:t xml:space="preserve">. However, with increasing interest in automating scoring, automated slide scanners such as the Metafer system offered by </w:t>
      </w:r>
      <w:proofErr w:type="spellStart"/>
      <w:r>
        <w:t>Metasystems</w:t>
      </w:r>
      <w:proofErr w:type="spellEnd"/>
      <w:r>
        <w:t xml:space="preserve"> </w:t>
      </w:r>
      <w:r w:rsidR="0032189C">
        <w:t>are</w:t>
      </w:r>
      <w:r>
        <w:t xml:space="preserve"> desirable. The cost of the Metafer system and the base model of the ImageStream are very similar so I do not see this as a deterrent. You are correct regarding the operator skill required to perform the current data analysis required with the ImageStream method, which is a disadvantage of this method but </w:t>
      </w:r>
      <w:r w:rsidR="008B7949">
        <w:t xml:space="preserve">underscores the </w:t>
      </w:r>
      <w:r w:rsidR="001E2EC8">
        <w:t xml:space="preserve">importance of this </w:t>
      </w:r>
      <w:r w:rsidR="008B7949">
        <w:t>JoVE protocol</w:t>
      </w:r>
      <w:r>
        <w:t xml:space="preserve"> </w:t>
      </w:r>
      <w:r w:rsidR="001E2EC8">
        <w:t>manuscript</w:t>
      </w:r>
      <w:r>
        <w:t xml:space="preserve">. </w:t>
      </w:r>
      <w:r w:rsidR="00323D52">
        <w:t xml:space="preserve">It is important to mention that some </w:t>
      </w:r>
      <w:r w:rsidR="001B1908">
        <w:t>recent publications</w:t>
      </w:r>
      <w:r w:rsidR="00323D52">
        <w:t xml:space="preserve"> </w:t>
      </w:r>
      <w:r w:rsidR="001B1908">
        <w:t>have demonstrated feasibility of machine learning algorithms to analyze ImageStream data</w:t>
      </w:r>
      <w:r w:rsidR="00360236">
        <w:t xml:space="preserve"> (</w:t>
      </w:r>
      <w:proofErr w:type="spellStart"/>
      <w:r w:rsidR="00360236">
        <w:t>Hennig</w:t>
      </w:r>
      <w:proofErr w:type="spellEnd"/>
      <w:r w:rsidR="00360236">
        <w:t xml:space="preserve"> </w:t>
      </w:r>
      <w:r w:rsidR="00360236" w:rsidRPr="00360236">
        <w:rPr>
          <w:i/>
        </w:rPr>
        <w:t>et al</w:t>
      </w:r>
      <w:r w:rsidR="00360236">
        <w:t xml:space="preserve">. Methods, 112: 201-210, 2017; </w:t>
      </w:r>
      <w:proofErr w:type="spellStart"/>
      <w:r w:rsidR="00360236">
        <w:t>Elunber</w:t>
      </w:r>
      <w:proofErr w:type="spellEnd"/>
      <w:r w:rsidR="00360236">
        <w:t xml:space="preserve"> </w:t>
      </w:r>
      <w:r w:rsidR="00360236" w:rsidRPr="00360236">
        <w:rPr>
          <w:i/>
        </w:rPr>
        <w:t>et al</w:t>
      </w:r>
      <w:r w:rsidR="00360236">
        <w:t xml:space="preserve">. Nature Communications, 8, 463, </w:t>
      </w:r>
      <w:proofErr w:type="gramStart"/>
      <w:r w:rsidR="00360236">
        <w:t>2017 ;</w:t>
      </w:r>
      <w:proofErr w:type="gramEnd"/>
      <w:r w:rsidR="00360236">
        <w:t xml:space="preserve"> </w:t>
      </w:r>
      <w:proofErr w:type="spellStart"/>
      <w:r w:rsidR="00360236">
        <w:t>Blasi</w:t>
      </w:r>
      <w:proofErr w:type="spellEnd"/>
      <w:r w:rsidR="00360236">
        <w:t xml:space="preserve"> </w:t>
      </w:r>
      <w:r w:rsidR="00360236" w:rsidRPr="00360236">
        <w:rPr>
          <w:i/>
        </w:rPr>
        <w:t>et al</w:t>
      </w:r>
      <w:r w:rsidR="00360236">
        <w:t>. Nature Communications, 7: 10256, 2016)</w:t>
      </w:r>
      <w:r w:rsidR="00323D52">
        <w:t>. I</w:t>
      </w:r>
      <w:r w:rsidR="003306E8">
        <w:t xml:space="preserve"> envision that a machine learning </w:t>
      </w:r>
      <w:r w:rsidR="00360236">
        <w:t xml:space="preserve">algorithm </w:t>
      </w:r>
      <w:r w:rsidR="003306E8">
        <w:t xml:space="preserve">could eliminate the need for the advanced IDEAS-based analysis presented in this </w:t>
      </w:r>
      <w:r w:rsidR="00323D52">
        <w:t xml:space="preserve">manuscript, but until that is developed, </w:t>
      </w:r>
      <w:r w:rsidR="001B1908">
        <w:t xml:space="preserve">this is the current best practice to analyze this data. </w:t>
      </w:r>
    </w:p>
    <w:p w:rsidR="001B1908" w:rsidRDefault="001B1908" w:rsidP="00FC24C2">
      <w:pPr>
        <w:ind w:left="360"/>
      </w:pPr>
    </w:p>
    <w:p w:rsidR="00271690" w:rsidRDefault="00271690" w:rsidP="00FC24C2">
      <w:pPr>
        <w:ind w:left="360"/>
      </w:pPr>
      <w:r>
        <w:t>At the moment, no, our method is not miniaturized</w:t>
      </w:r>
      <w:r w:rsidR="001A548F">
        <w:t xml:space="preserve"> since this work is in the proof-of-concept stages and those protocols/optimizations will take time to develop. For example, as far as I can tell from the conventional flow cytometry method to perform the in vitro MN assay, four years passed between the first proof-of-concept studies and the first paper on miniaturization.</w:t>
      </w:r>
      <w:r>
        <w:t xml:space="preserve"> Your points about where this method would fit into the workflow are interesting and I feel like the analytical abilities of the system could certainly enhance a number of aspects of the MN assay in general (and other cytogenetic assays). I have used</w:t>
      </w:r>
      <w:r w:rsidR="00E465D6">
        <w:t xml:space="preserve"> this comment and </w:t>
      </w:r>
      <w:r>
        <w:t xml:space="preserve">attempted to address your concerns </w:t>
      </w:r>
      <w:r w:rsidR="00E465D6">
        <w:t>as part of the new closing paragraph of the discussion</w:t>
      </w:r>
      <w:r w:rsidR="00BB5E75">
        <w:t xml:space="preserve"> (lines 762-770)</w:t>
      </w:r>
      <w:r w:rsidR="00E465D6">
        <w:t>:</w:t>
      </w:r>
      <w:r>
        <w:t xml:space="preserve"> </w:t>
      </w:r>
    </w:p>
    <w:p w:rsidR="00271690" w:rsidRDefault="00271690" w:rsidP="00FC24C2">
      <w:pPr>
        <w:ind w:left="360"/>
      </w:pPr>
    </w:p>
    <w:p w:rsidR="00271690" w:rsidRPr="00E465D6" w:rsidRDefault="00E465D6" w:rsidP="00FC24C2">
      <w:pPr>
        <w:ind w:left="360"/>
        <w:rPr>
          <w:i/>
        </w:rPr>
      </w:pPr>
      <w:r w:rsidRPr="00E465D6">
        <w:rPr>
          <w:i/>
        </w:rPr>
        <w:t xml:space="preserve">The methodology presented here has not yet been miniaturized to a microwell format which would allow more rapid and efficient screening across a larger dose range. As such, in its current form, the MIFC-based in vitro MN assay presented here may be best suited for labor-intensive follow-up studies or research into good laboratory practices. However, the method </w:t>
      </w:r>
      <w:r w:rsidR="004746B6">
        <w:rPr>
          <w:i/>
        </w:rPr>
        <w:t xml:space="preserve">will continue to be </w:t>
      </w:r>
      <w:r w:rsidRPr="00E465D6">
        <w:rPr>
          <w:i/>
        </w:rPr>
        <w:t xml:space="preserve">optimized and validated, </w:t>
      </w:r>
      <w:r w:rsidR="004746B6">
        <w:rPr>
          <w:i/>
        </w:rPr>
        <w:t>and</w:t>
      </w:r>
      <w:r w:rsidRPr="00E465D6">
        <w:rPr>
          <w:i/>
        </w:rPr>
        <w:t xml:space="preserve"> possesses the potential to allow for increased flexibility in detecting chemical specific events related to morphology, such as aneugen exposure that increases the proportion of cells with non-circular nuclei </w:t>
      </w:r>
      <w:r w:rsidR="004746B6">
        <w:rPr>
          <w:i/>
        </w:rPr>
        <w:t>that</w:t>
      </w:r>
      <w:r w:rsidRPr="00E465D6">
        <w:rPr>
          <w:i/>
        </w:rPr>
        <w:t xml:space="preserve"> are still </w:t>
      </w:r>
      <w:r w:rsidRPr="00E465D6">
        <w:rPr>
          <w:i/>
        </w:rPr>
        <w:lastRenderedPageBreak/>
        <w:t>scorable</w:t>
      </w:r>
      <w:r w:rsidRPr="00E465D6">
        <w:rPr>
          <w:i/>
          <w:vertAlign w:val="superscript"/>
        </w:rPr>
        <w:t>37</w:t>
      </w:r>
      <w:r w:rsidRPr="00E465D6">
        <w:rPr>
          <w:i/>
        </w:rPr>
        <w:t>. Finally, the MIFC method presents an opportunity to introduce additional biomarkers into the MN assay (e.g. kinetochore staining) to provide a more comprehensive view of the mechanism of MN induction.</w:t>
      </w:r>
    </w:p>
    <w:p w:rsidR="00E465D6" w:rsidRDefault="00E465D6" w:rsidP="00FC24C2">
      <w:pPr>
        <w:ind w:left="360"/>
      </w:pPr>
    </w:p>
    <w:p w:rsidR="000B35F7" w:rsidRDefault="00271690" w:rsidP="00FC24C2">
      <w:pPr>
        <w:ind w:left="360"/>
      </w:pPr>
      <w:r>
        <w:t xml:space="preserve">In my opinion, </w:t>
      </w:r>
      <w:r w:rsidR="001B1908">
        <w:t xml:space="preserve">what </w:t>
      </w:r>
      <w:r w:rsidR="00C21C77">
        <w:t>our</w:t>
      </w:r>
      <w:r w:rsidR="001B1908">
        <w:t xml:space="preserve"> method brings to </w:t>
      </w:r>
      <w:r w:rsidR="002C1BB7">
        <w:t>the table over other methods is quite substantial even at this very early, proof of concept stage. T</w:t>
      </w:r>
      <w:r w:rsidR="001B1908">
        <w:t>he ability to identify and quantify all key events required for genotoxicity/cytotoxicity simultaneously through automated data analysis</w:t>
      </w:r>
      <w:r>
        <w:t xml:space="preserve"> is</w:t>
      </w:r>
      <w:r w:rsidR="001B1908">
        <w:t xml:space="preserve"> an obvious advantage over manual scoring</w:t>
      </w:r>
      <w:r>
        <w:t xml:space="preserve">. This is also an </w:t>
      </w:r>
      <w:r w:rsidR="001B1908">
        <w:t>improvement over slide-based automated scoring in which multiple scans</w:t>
      </w:r>
      <w:r w:rsidR="00C21C77">
        <w:t xml:space="preserve">, using multiple classifier sets, </w:t>
      </w:r>
      <w:r w:rsidR="001B1908">
        <w:t xml:space="preserve">are </w:t>
      </w:r>
      <w:r>
        <w:t xml:space="preserve">often </w:t>
      </w:r>
      <w:r w:rsidR="001B1908">
        <w:t>required to identify all events</w:t>
      </w:r>
      <w:r w:rsidR="00C21C77">
        <w:t xml:space="preserve">. Moreover, the advantages over </w:t>
      </w:r>
      <w:r w:rsidR="001B1908">
        <w:t>conventional flow cytometry where no image data is obtained at all</w:t>
      </w:r>
      <w:r w:rsidR="00C21C77">
        <w:t xml:space="preserve"> are obvious (to me, the existence of a conventional flow method for the MN assay has always been </w:t>
      </w:r>
      <w:r w:rsidR="001B1908">
        <w:t xml:space="preserve">an odd paradox </w:t>
      </w:r>
      <w:r w:rsidR="00C21C77">
        <w:t xml:space="preserve">in light of the number of publications and guidelines that place high importance on the morphology of the cells and being able to </w:t>
      </w:r>
      <w:r w:rsidR="001B1908">
        <w:t>verify the legitimacy of supposed MN</w:t>
      </w:r>
      <w:r w:rsidR="00C21C77">
        <w:t>)</w:t>
      </w:r>
      <w:r w:rsidR="001B1908">
        <w:t xml:space="preserve">. </w:t>
      </w:r>
    </w:p>
    <w:p w:rsidR="009A62C5" w:rsidRDefault="009A62C5" w:rsidP="007C237B"/>
    <w:p w:rsidR="007C237B" w:rsidRDefault="007C237B" w:rsidP="009A62C5">
      <w:pPr>
        <w:pStyle w:val="ListParagraph"/>
        <w:numPr>
          <w:ilvl w:val="0"/>
          <w:numId w:val="5"/>
        </w:numPr>
        <w:ind w:left="360"/>
        <w:rPr>
          <w:b/>
        </w:rPr>
      </w:pPr>
      <w:r w:rsidRPr="009A62C5">
        <w:rPr>
          <w:b/>
        </w:rPr>
        <w:t>As part of information gathering for this review, I see that the author recently published a very similar article in Cytometry A 2018. While I can potentially rationalize the existence of these two papers based on the unique video format of JOVE, the considerable overlap between these two works is worth considering. Perhaps the best example of this is found in Figure 5. These histograms appear to be exact copies of the ones already published in the Cytometry A paper (Figure 6). Is the author concerned about any potential copyright issues based on the presumed ownership of those images by the publisher of Cytometry A? What other overlap(s) should be considered as part of the review and approval process initiated by JOVE?</w:t>
      </w:r>
    </w:p>
    <w:p w:rsidR="009A62C5" w:rsidRPr="00831939" w:rsidRDefault="009A62C5" w:rsidP="00831939">
      <w:pPr>
        <w:ind w:left="360"/>
      </w:pPr>
    </w:p>
    <w:p w:rsidR="00A54F5C" w:rsidRDefault="00831939" w:rsidP="00831939">
      <w:pPr>
        <w:ind w:left="360"/>
      </w:pPr>
      <w:r w:rsidRPr="00831939">
        <w:t>When I was approached by JoVE about writing this manuscript</w:t>
      </w:r>
      <w:r>
        <w:t xml:space="preserve"> I was very clear with the editor I spoke with (Dr. </w:t>
      </w:r>
      <w:proofErr w:type="spellStart"/>
      <w:r w:rsidRPr="00831939">
        <w:t>Nandita</w:t>
      </w:r>
      <w:proofErr w:type="spellEnd"/>
      <w:r w:rsidRPr="00831939">
        <w:t xml:space="preserve"> Singh</w:t>
      </w:r>
      <w:r>
        <w:t xml:space="preserve">) that I would not have any new data/results to write about within the tight timeline proposed for submission. I also stated that if I were to write a manuscript for JoVE, it would feel very much like the 2018 Cytometry A paper you mention but that it would focus heavily on the data analysis portion of this work. </w:t>
      </w:r>
      <w:r w:rsidR="00A54F5C">
        <w:t xml:space="preserve">Dr. Singh did not express any concerns about this and </w:t>
      </w:r>
      <w:r w:rsidR="001E3A11">
        <w:t xml:space="preserve">we both envisioned a manuscript that would be complementary to the Cytometry A paper, in which a step-by-step protocol to perform the assay would be described. </w:t>
      </w:r>
      <w:r w:rsidR="00A54F5C">
        <w:t xml:space="preserve">I feel like I have written a manuscript that </w:t>
      </w:r>
      <w:r w:rsidR="001E3A11">
        <w:t>is very much in line with what Dr.</w:t>
      </w:r>
      <w:r w:rsidR="00A54F5C">
        <w:t xml:space="preserve"> Singh</w:t>
      </w:r>
      <w:r w:rsidR="001E3A11">
        <w:t xml:space="preserve"> and I spoke of</w:t>
      </w:r>
      <w:r w:rsidR="00A54F5C">
        <w:t>.</w:t>
      </w:r>
    </w:p>
    <w:p w:rsidR="00A54F5C" w:rsidRDefault="00A54F5C" w:rsidP="00831939">
      <w:pPr>
        <w:ind w:left="360"/>
      </w:pPr>
    </w:p>
    <w:p w:rsidR="009A62C5" w:rsidRDefault="00831939" w:rsidP="00831939">
      <w:pPr>
        <w:ind w:left="360"/>
      </w:pPr>
      <w:r>
        <w:t xml:space="preserve">Your concern is certainly valid, as was mine when I began to write the manuscript. However, I </w:t>
      </w:r>
      <w:r w:rsidR="00CB7416">
        <w:t xml:space="preserve">feel that since the manuscript focuses on </w:t>
      </w:r>
      <w:r>
        <w:t xml:space="preserve">working readers through the </w:t>
      </w:r>
      <w:r w:rsidR="00CB7416">
        <w:t xml:space="preserve">collection of MIFC data and the </w:t>
      </w:r>
      <w:r>
        <w:t xml:space="preserve">creation of </w:t>
      </w:r>
      <w:r w:rsidR="00CB7416">
        <w:t>an analysis method</w:t>
      </w:r>
      <w:r>
        <w:t xml:space="preserve">, the two </w:t>
      </w:r>
      <w:r w:rsidR="00CB7416">
        <w:t xml:space="preserve">papers can </w:t>
      </w:r>
      <w:r>
        <w:t>exist as individual entities without concern about overlap.</w:t>
      </w:r>
    </w:p>
    <w:p w:rsidR="00A54F5C" w:rsidRDefault="00A54F5C" w:rsidP="00831939">
      <w:pPr>
        <w:ind w:left="360"/>
      </w:pPr>
    </w:p>
    <w:p w:rsidR="00A54F5C" w:rsidRDefault="00A54F5C" w:rsidP="00831939">
      <w:pPr>
        <w:ind w:left="360"/>
      </w:pPr>
      <w:r>
        <w:t>Regarding Figure 6 (and any other content) from the Cytometry A article, appropriate written permissions have been obtained by Wiley to use the content in this JoVE manuscript</w:t>
      </w:r>
      <w:r w:rsidR="00CB7416">
        <w:t>,</w:t>
      </w:r>
      <w:r>
        <w:t xml:space="preserve"> so </w:t>
      </w:r>
      <w:r w:rsidR="00CB7416">
        <w:t xml:space="preserve">this is not of </w:t>
      </w:r>
      <w:r>
        <w:t xml:space="preserve">concern. In addition, I corrected </w:t>
      </w:r>
      <w:r w:rsidR="005737D7">
        <w:t xml:space="preserve">some </w:t>
      </w:r>
      <w:r>
        <w:t>overlap that appeared between th</w:t>
      </w:r>
      <w:r w:rsidR="005737D7">
        <w:t xml:space="preserve">is article and the Cytometry A article at </w:t>
      </w:r>
      <w:r>
        <w:t>the request of the editors following initial submission and prior to the article advancing to the peer review stage.</w:t>
      </w:r>
    </w:p>
    <w:p w:rsidR="00A54F5C" w:rsidRDefault="00A54F5C" w:rsidP="00831939">
      <w:pPr>
        <w:ind w:left="360"/>
      </w:pPr>
    </w:p>
    <w:p w:rsidR="00A54F5C" w:rsidRPr="00B847AE" w:rsidRDefault="00A54F5C" w:rsidP="00831939">
      <w:pPr>
        <w:ind w:left="360"/>
      </w:pPr>
      <w:r>
        <w:t xml:space="preserve">I will leave it to the editors to review your comment and my rebuttal, and to decide whether </w:t>
      </w:r>
      <w:r w:rsidRPr="00B847AE">
        <w:t xml:space="preserve">to continue with publication of the manuscript. </w:t>
      </w:r>
    </w:p>
    <w:p w:rsidR="007C237B" w:rsidRPr="00B847AE" w:rsidRDefault="007C237B" w:rsidP="00831939">
      <w:pPr>
        <w:ind w:left="360"/>
      </w:pPr>
    </w:p>
    <w:p w:rsidR="009A62C5" w:rsidRDefault="007C237B" w:rsidP="007C237B">
      <w:pPr>
        <w:pStyle w:val="ListParagraph"/>
        <w:numPr>
          <w:ilvl w:val="0"/>
          <w:numId w:val="5"/>
        </w:numPr>
        <w:ind w:left="360"/>
        <w:rPr>
          <w:b/>
        </w:rPr>
      </w:pPr>
      <w:r w:rsidRPr="00B847AE">
        <w:rPr>
          <w:b/>
        </w:rPr>
        <w:t xml:space="preserve">One current issue that is being addressed by the genetic toxicology community is the potential for the in vitro micronucleus test to generate false or irrelevant positive </w:t>
      </w:r>
      <w:r w:rsidRPr="00B847AE">
        <w:rPr>
          <w:b/>
        </w:rPr>
        <w:lastRenderedPageBreak/>
        <w:t xml:space="preserve">compound calls. As part of efforts to address this, there are published lists of compounds that can be used to demonstrate lab proficiency/method validity - See Kirkland et al 2016 </w:t>
      </w:r>
      <w:proofErr w:type="spellStart"/>
      <w:r w:rsidRPr="00B847AE">
        <w:rPr>
          <w:b/>
        </w:rPr>
        <w:t>Mut</w:t>
      </w:r>
      <w:proofErr w:type="spellEnd"/>
      <w:r w:rsidRPr="00B847AE">
        <w:rPr>
          <w:b/>
        </w:rPr>
        <w:t xml:space="preserve">. Res. Genet. </w:t>
      </w:r>
      <w:proofErr w:type="spellStart"/>
      <w:r w:rsidRPr="00B847AE">
        <w:rPr>
          <w:b/>
        </w:rPr>
        <w:t>Toxicol</w:t>
      </w:r>
      <w:proofErr w:type="spellEnd"/>
      <w:r w:rsidRPr="00B847AE">
        <w:rPr>
          <w:b/>
        </w:rPr>
        <w:t xml:space="preserve">. </w:t>
      </w:r>
      <w:proofErr w:type="spellStart"/>
      <w:r w:rsidRPr="00B847AE">
        <w:rPr>
          <w:b/>
        </w:rPr>
        <w:t>Env</w:t>
      </w:r>
      <w:proofErr w:type="spellEnd"/>
      <w:r w:rsidRPr="00B847AE">
        <w:rPr>
          <w:b/>
        </w:rPr>
        <w:t>. Mutagen. 795: 7-30, also Table 1 in OECD 487 (2016). The author's choice of chemicals is okay in terms of positive agents (although a larger, more diverse set would be that much more convincing for the method's performance), however mannitol is hardly a challenging compound and does little to comment on the specificity of your system. Compounds that elicit significant toxicity/apoptosis and/or disrupt other essential cellular functions, aside from those</w:t>
      </w:r>
      <w:r w:rsidRPr="009A62C5">
        <w:rPr>
          <w:b/>
        </w:rPr>
        <w:t xml:space="preserve"> associated with DNA, can give a much better indication of the overall ability of a method to accurately distinguish genotoxicants from non-</w:t>
      </w:r>
      <w:proofErr w:type="spellStart"/>
      <w:r w:rsidRPr="009A62C5">
        <w:rPr>
          <w:b/>
        </w:rPr>
        <w:t>genotoxic</w:t>
      </w:r>
      <w:proofErr w:type="spellEnd"/>
      <w:r w:rsidRPr="009A62C5">
        <w:rPr>
          <w:b/>
        </w:rPr>
        <w:t xml:space="preserve"> </w:t>
      </w:r>
      <w:proofErr w:type="spellStart"/>
      <w:r w:rsidRPr="009A62C5">
        <w:rPr>
          <w:b/>
        </w:rPr>
        <w:t>cytotoxicants</w:t>
      </w:r>
      <w:proofErr w:type="spellEnd"/>
      <w:r w:rsidRPr="009A62C5">
        <w:rPr>
          <w:b/>
        </w:rPr>
        <w:t>. I acknowledge the additional effort it takes to conduct such studies and if they are deemed beyond the scope of this work, you might consider stating as such and cast the current investigation as an early proof-of-concept study that should be followed up by more extensive investigation of a larger, more diverse chemical set that covers multiple classes/mechanisms of genotoxicity and cytotoxicity.</w:t>
      </w:r>
    </w:p>
    <w:p w:rsidR="007C237B" w:rsidRPr="009A62C5" w:rsidRDefault="007C237B" w:rsidP="009A62C5">
      <w:pPr>
        <w:pStyle w:val="ListParagraph"/>
        <w:ind w:left="360"/>
        <w:rPr>
          <w:b/>
        </w:rPr>
      </w:pPr>
      <w:r w:rsidRPr="009A62C5">
        <w:rPr>
          <w:b/>
        </w:rPr>
        <w:t xml:space="preserve">This would also hopefully give you the opportunity to address another issue you raise with your method on line 726. Advising caution in the interpretation of results at low doses could also be seen as lack of ability to clearly identify agents with weak genotoxicity. It's often a simple matter to identify highly potent genotoxic compounds like MMC, but just as important to do the same with less potent examples such as propane </w:t>
      </w:r>
      <w:proofErr w:type="spellStart"/>
      <w:r w:rsidRPr="009A62C5">
        <w:rPr>
          <w:b/>
        </w:rPr>
        <w:t>sultone</w:t>
      </w:r>
      <w:proofErr w:type="spellEnd"/>
      <w:r w:rsidRPr="009A62C5">
        <w:rPr>
          <w:b/>
        </w:rPr>
        <w:t xml:space="preserve"> or 4NQO. You should consider addressing this as part of your discussion around the performance of your system at low doses.</w:t>
      </w:r>
    </w:p>
    <w:p w:rsidR="007C237B" w:rsidRDefault="007C237B" w:rsidP="007C237B"/>
    <w:p w:rsidR="00A35613" w:rsidRDefault="00530CB4" w:rsidP="00530CB4">
      <w:pPr>
        <w:ind w:left="360"/>
      </w:pPr>
      <w:r>
        <w:t xml:space="preserve">The </w:t>
      </w:r>
      <w:r w:rsidR="00FF7C7F">
        <w:t xml:space="preserve">two </w:t>
      </w:r>
      <w:r>
        <w:t>chemicals used here</w:t>
      </w:r>
      <w:r w:rsidR="00FF7C7F">
        <w:t xml:space="preserve"> (Mitomycin C and Colchicine), as well as the two additional chemicals used in the Cytometry A 2018 paper (MMS and Vinblastine Sulfate)</w:t>
      </w:r>
      <w:r>
        <w:t xml:space="preserve"> </w:t>
      </w:r>
      <w:r w:rsidR="00FF7C7F">
        <w:t xml:space="preserve">are all recommended for use </w:t>
      </w:r>
      <w:r>
        <w:t xml:space="preserve">in </w:t>
      </w:r>
      <w:r w:rsidR="00FF7C7F">
        <w:t>Table 1 of the OECD guideline</w:t>
      </w:r>
      <w:r w:rsidR="00FF7C7F">
        <w:t>. They also all appear in the</w:t>
      </w:r>
      <w:r>
        <w:t xml:space="preserve"> </w:t>
      </w:r>
      <w:r w:rsidR="00C2418B">
        <w:t xml:space="preserve">Kirkland </w:t>
      </w:r>
      <w:r w:rsidR="00C2418B" w:rsidRPr="00C2418B">
        <w:rPr>
          <w:i/>
        </w:rPr>
        <w:t>et al</w:t>
      </w:r>
      <w:r w:rsidR="00C2418B">
        <w:t xml:space="preserve">. </w:t>
      </w:r>
      <w:r>
        <w:t>publication you mention (</w:t>
      </w:r>
      <w:r w:rsidR="00FF7C7F">
        <w:t xml:space="preserve">as does </w:t>
      </w:r>
      <w:r>
        <w:t>Mannitol)</w:t>
      </w:r>
      <w:r w:rsidR="00C2418B">
        <w:t xml:space="preserve">. Using these documents as reference is </w:t>
      </w:r>
      <w:r w:rsidR="00FF7C7F">
        <w:t>actually how I chose to use these chemicals to perform experiments for the Cytometry A paper.</w:t>
      </w:r>
      <w:r w:rsidR="00C2418B">
        <w:t xml:space="preserve"> </w:t>
      </w:r>
      <w:r>
        <w:t xml:space="preserve">I do agree that Mitomycin C and Colchicine are relatively simple to use and to observe a statistically significant increase in MN frequency, </w:t>
      </w:r>
      <w:r w:rsidR="00D80A5B">
        <w:t xml:space="preserve">which </w:t>
      </w:r>
      <w:r>
        <w:t xml:space="preserve">is exactly why </w:t>
      </w:r>
      <w:r w:rsidR="00D80A5B">
        <w:t>I used them</w:t>
      </w:r>
      <w:r>
        <w:t xml:space="preserve">. In my view, the first matter of importance was to ensure the method could detect MN frequency increases with strong genotoxicants. </w:t>
      </w:r>
      <w:r w:rsidR="00C2418B">
        <w:t xml:space="preserve">The natural next step is to investigate more compounds that appear in the Kirkland </w:t>
      </w:r>
      <w:r w:rsidR="00C2418B" w:rsidRPr="00C2418B">
        <w:rPr>
          <w:i/>
        </w:rPr>
        <w:t>et al</w:t>
      </w:r>
      <w:r w:rsidR="00C2418B">
        <w:t>. publication</w:t>
      </w:r>
      <w:r w:rsidR="00D80A5B">
        <w:t xml:space="preserve"> that include weaker genotoxicants</w:t>
      </w:r>
      <w:r w:rsidR="00C2418B">
        <w:t>.</w:t>
      </w:r>
    </w:p>
    <w:p w:rsidR="006E18C7" w:rsidRDefault="006E18C7" w:rsidP="00530CB4">
      <w:pPr>
        <w:ind w:left="360"/>
      </w:pPr>
    </w:p>
    <w:p w:rsidR="00C2418B" w:rsidRDefault="00C2418B" w:rsidP="00530CB4">
      <w:pPr>
        <w:ind w:left="360"/>
      </w:pPr>
      <w:r>
        <w:t xml:space="preserve">Regarding Mannitol, I </w:t>
      </w:r>
      <w:r w:rsidR="00E82634">
        <w:t xml:space="preserve">actually feel that its use (and the results obtained) are highly important and I respectfully </w:t>
      </w:r>
      <w:r>
        <w:t>disagree with your assessment</w:t>
      </w:r>
      <w:r w:rsidR="00E82634">
        <w:t>.</w:t>
      </w:r>
      <w:r>
        <w:t xml:space="preserve"> In my opinion, results from a well-known negative control are imperative to demonstrate that the system does not detect false positive MN, and therefore does not generate false positive results. </w:t>
      </w:r>
      <w:r w:rsidR="00C574F5">
        <w:t>It is very important that t</w:t>
      </w:r>
      <w:r>
        <w:t>he results presented here for Mannitol remain in the paper as they demonst</w:t>
      </w:r>
      <w:r w:rsidR="00C574F5">
        <w:t>rate</w:t>
      </w:r>
      <w:r>
        <w:t xml:space="preserve"> that no significant MN frequencies are detected at any of the tested doses</w:t>
      </w:r>
      <w:r w:rsidR="00C574F5">
        <w:t xml:space="preserve">. This is just as </w:t>
      </w:r>
      <w:r>
        <w:t xml:space="preserve">important as </w:t>
      </w:r>
      <w:r w:rsidR="00C574F5">
        <w:t xml:space="preserve">being able to detect increases in </w:t>
      </w:r>
      <w:r>
        <w:t>MN frequencies with well-known genotoxicants.</w:t>
      </w:r>
    </w:p>
    <w:p w:rsidR="00C2418B" w:rsidRDefault="00C2418B" w:rsidP="00530CB4">
      <w:pPr>
        <w:ind w:left="360"/>
      </w:pPr>
    </w:p>
    <w:p w:rsidR="00467C7E" w:rsidRDefault="00A35613" w:rsidP="00530CB4">
      <w:pPr>
        <w:ind w:left="360"/>
      </w:pPr>
      <w:r>
        <w:t>Regarding larger scale studies with many more test chemicals, I agree entirely</w:t>
      </w:r>
      <w:r w:rsidR="008C28B3">
        <w:t xml:space="preserve"> that </w:t>
      </w:r>
      <w:r w:rsidR="00467C7E">
        <w:t>we must perform such studies.</w:t>
      </w:r>
      <w:r>
        <w:t xml:space="preserve"> However, as you point out, these studies are time consuming and require much effort to conduct, so it </w:t>
      </w:r>
      <w:r w:rsidR="00467C7E">
        <w:t xml:space="preserve">will certainly take </w:t>
      </w:r>
      <w:r>
        <w:t>quite a bit of time to perform the experiments and compile and interpret the results</w:t>
      </w:r>
      <w:r w:rsidR="008C28B3">
        <w:t>,</w:t>
      </w:r>
      <w:r w:rsidR="00530CB4">
        <w:t xml:space="preserve"> so I do feel this extra work is outside of the scope of this paper, as you mention</w:t>
      </w:r>
      <w:r>
        <w:t xml:space="preserve">. </w:t>
      </w:r>
      <w:r w:rsidR="00467C7E">
        <w:t>But, this type of investigation will be an absolute requirement if this method is to be adopted for use by the</w:t>
      </w:r>
      <w:r w:rsidR="008C28B3">
        <w:t xml:space="preserve"> wider</w:t>
      </w:r>
      <w:r w:rsidR="00467C7E">
        <w:t xml:space="preserve"> toxicology community. To address this point, I have </w:t>
      </w:r>
      <w:r w:rsidR="008C28B3">
        <w:t xml:space="preserve">added the following text to the </w:t>
      </w:r>
      <w:r w:rsidR="00467C7E">
        <w:t xml:space="preserve">discussion </w:t>
      </w:r>
      <w:r w:rsidR="008C28B3">
        <w:t xml:space="preserve">as part of a new closing </w:t>
      </w:r>
      <w:r w:rsidR="008C28B3" w:rsidRPr="00BB5E75">
        <w:t xml:space="preserve">paragraph </w:t>
      </w:r>
      <w:r w:rsidR="00467C7E" w:rsidRPr="00BB5E75">
        <w:t xml:space="preserve">(lines </w:t>
      </w:r>
      <w:r w:rsidR="00BB5E75" w:rsidRPr="00BB5E75">
        <w:t>756</w:t>
      </w:r>
      <w:r w:rsidR="00BB5E75">
        <w:t>-762)</w:t>
      </w:r>
      <w:r w:rsidR="00467C7E" w:rsidRPr="00530CB4">
        <w:t>:</w:t>
      </w:r>
    </w:p>
    <w:p w:rsidR="00467C7E" w:rsidRDefault="00467C7E" w:rsidP="00530CB4">
      <w:pPr>
        <w:ind w:left="360"/>
      </w:pPr>
    </w:p>
    <w:p w:rsidR="006E18C7" w:rsidRPr="00530CB4" w:rsidRDefault="006E18C7" w:rsidP="00530CB4">
      <w:pPr>
        <w:ind w:left="360"/>
        <w:rPr>
          <w:i/>
        </w:rPr>
      </w:pPr>
      <w:r w:rsidRPr="00530CB4">
        <w:rPr>
          <w:i/>
        </w:rPr>
        <w:t xml:space="preserve">While the results presented in this paper are encouraging, they </w:t>
      </w:r>
      <w:r w:rsidR="004746B6">
        <w:rPr>
          <w:i/>
        </w:rPr>
        <w:t xml:space="preserve">are </w:t>
      </w:r>
      <w:r w:rsidRPr="00530CB4">
        <w:rPr>
          <w:i/>
        </w:rPr>
        <w:t>represent</w:t>
      </w:r>
      <w:r w:rsidR="004746B6">
        <w:rPr>
          <w:i/>
        </w:rPr>
        <w:t>ative of</w:t>
      </w:r>
      <w:r w:rsidRPr="00530CB4">
        <w:rPr>
          <w:i/>
        </w:rPr>
        <w:t xml:space="preserve"> an early proof-of-concept </w:t>
      </w:r>
      <w:r w:rsidR="004746B6">
        <w:rPr>
          <w:i/>
        </w:rPr>
        <w:t>method</w:t>
      </w:r>
      <w:r w:rsidRPr="00530CB4">
        <w:rPr>
          <w:i/>
        </w:rPr>
        <w:t>. This work should be followed up by more thorough investigation of a larger, more diverse chemical set that covers multiple classes and mechanisms of genotoxicity and cytotoxicity such as those suggested by Kirkland et al.</w:t>
      </w:r>
      <w:r w:rsidRPr="00AA45CB">
        <w:rPr>
          <w:i/>
          <w:vertAlign w:val="superscript"/>
        </w:rPr>
        <w:fldChar w:fldCharType="begin"/>
      </w:r>
      <w:r w:rsidRPr="00AA45CB">
        <w:rPr>
          <w:i/>
          <w:vertAlign w:val="superscript"/>
        </w:rPr>
        <w:instrText xml:space="preserve"> ADDIN EN.CITE &lt;EndNote&gt;&lt;Cite&gt;&lt;Author&gt;Kirkland&lt;/Author&gt;&lt;Year&gt;2016&lt;/Year&gt;&lt;RecNum&gt;169&lt;/RecNum&gt;&lt;DisplayText&gt;&lt;style face="superscript"&gt;36&lt;/style&gt;&lt;/DisplayText&gt;&lt;record&gt;&lt;rec-number&gt;169&lt;/rec-number&gt;&lt;foreign-keys&gt;&lt;key app="EN" db-id="pwxe2des8fep5yetapv59pxxaz22stxaza9a" timestamp="1548635099"&gt;169&lt;/key&gt;&lt;/foreign-keys&gt;&lt;ref-type name="Journal Article"&gt;17&lt;/ref-type&gt;&lt;contributors&gt;&lt;authors&gt;&lt;author&gt;Kirkland, David&lt;/author&gt;&lt;author&gt;Kasper, Peter&lt;/author&gt;&lt;author&gt;Martus, Hans-Jörg&lt;/author&gt;&lt;author&gt;Müller, Lutz&lt;/author&gt;&lt;author&gt;van Benthem, Jan&lt;/author&gt;&lt;author&gt;Madia, Federica&lt;/author&gt;&lt;author&gt;Corvi, Raffaella&lt;/author&gt;&lt;/authors&gt;&lt;/contributors&gt;&lt;titles&gt;&lt;title&gt;Updated recommended lists of genotoxic and non-genotoxic chemicals for assessment of the performance of new or improved genotoxicity tests&lt;/title&gt;&lt;secondary-title&gt;Mutation Research/Genetic Toxicology and Environmental Mutagenesis&lt;/secondary-title&gt;&lt;/titles&gt;&lt;periodical&gt;&lt;full-title&gt;Mutation Research/Genetic Toxicology and Environmental Mutagenesis&lt;/full-title&gt;&lt;/periodical&gt;&lt;pages&gt;7-30&lt;/pages&gt;&lt;volume&gt;795&lt;/volume&gt;&lt;keywords&gt;&lt;keyword&gt;Genotoxicity&lt;/keyword&gt;&lt;keyword&gt;test&lt;/keyword&gt;&lt;keyword&gt;Reliability&lt;/keyword&gt;&lt;keyword&gt;Improved tests&lt;/keyword&gt;&lt;keyword&gt;EURL ECVAM&lt;/keyword&gt;&lt;keyword&gt;Reference chemicals&lt;/keyword&gt;&lt;/keywords&gt;&lt;dates&gt;&lt;year&gt;2016&lt;/year&gt;&lt;pub-dates&gt;&lt;date&gt;2016/01/01/&lt;/date&gt;&lt;/pub-dates&gt;&lt;/dates&gt;&lt;isbn&gt;1383-5718&lt;/isbn&gt;&lt;urls&gt;&lt;related-urls&gt;&lt;url&gt;http://www.sciencedirect.com/science/article/pii/S1383571815002673&lt;/url&gt;&lt;/related-urls&gt;&lt;/urls&gt;&lt;electronic-resource-num&gt;https://doi.org/10.1016/j.mrgentox.2015.10.006&lt;/electronic-resource-num&gt;&lt;/record&gt;&lt;/Cite&gt;&lt;/EndNote&gt;</w:instrText>
      </w:r>
      <w:r w:rsidRPr="00AA45CB">
        <w:rPr>
          <w:i/>
          <w:vertAlign w:val="superscript"/>
        </w:rPr>
        <w:fldChar w:fldCharType="separate"/>
      </w:r>
      <w:r w:rsidRPr="00AA45CB">
        <w:rPr>
          <w:i/>
          <w:vertAlign w:val="superscript"/>
        </w:rPr>
        <w:t>36</w:t>
      </w:r>
      <w:r w:rsidRPr="00AA45CB">
        <w:rPr>
          <w:i/>
          <w:vertAlign w:val="superscript"/>
        </w:rPr>
        <w:fldChar w:fldCharType="end"/>
      </w:r>
      <w:r w:rsidRPr="00530CB4">
        <w:rPr>
          <w:i/>
        </w:rPr>
        <w:t>. Conducting such studies are time consuming and labor intensive, and fall outside of the scope of this paper</w:t>
      </w:r>
      <w:r w:rsidR="00EC0117">
        <w:rPr>
          <w:i/>
        </w:rPr>
        <w:t xml:space="preserve"> however, t</w:t>
      </w:r>
      <w:r w:rsidRPr="00530CB4">
        <w:rPr>
          <w:i/>
        </w:rPr>
        <w:t>hese larger scale studies will provide valuable insight into the ability of the method to reliably identify weakly genotoxic agents.</w:t>
      </w:r>
    </w:p>
    <w:p w:rsidR="009A62C5" w:rsidRDefault="009A62C5" w:rsidP="007C237B"/>
    <w:p w:rsidR="007C237B" w:rsidRPr="009A62C5" w:rsidRDefault="007C237B" w:rsidP="009A62C5">
      <w:pPr>
        <w:rPr>
          <w:b/>
        </w:rPr>
      </w:pPr>
      <w:r w:rsidRPr="00B847AE">
        <w:rPr>
          <w:b/>
        </w:rPr>
        <w:t>Minor Concerns</w:t>
      </w: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2, </w:t>
      </w:r>
      <w:proofErr w:type="spellStart"/>
      <w:r w:rsidRPr="003C770A">
        <w:rPr>
          <w:b/>
        </w:rPr>
        <w:t>ln</w:t>
      </w:r>
      <w:proofErr w:type="spellEnd"/>
      <w:r w:rsidRPr="003C770A">
        <w:rPr>
          <w:b/>
        </w:rPr>
        <w:t xml:space="preserve"> 62 - The phrase "a wide variety of various environmental…" is awkward. Replace one use of various with an alternate word, perhaps "diverse"?</w:t>
      </w:r>
    </w:p>
    <w:p w:rsidR="007C237B" w:rsidRDefault="007C237B" w:rsidP="009F72D2">
      <w:pPr>
        <w:ind w:left="360"/>
      </w:pPr>
    </w:p>
    <w:p w:rsidR="009F72D2" w:rsidRDefault="009F72D2" w:rsidP="009F72D2">
      <w:pPr>
        <w:ind w:left="360"/>
      </w:pPr>
      <w:r>
        <w:t xml:space="preserve">You’re right, this is an awkward phrase. I’ve just removed the words “a wide variety of various” and now the sentence </w:t>
      </w:r>
      <w:r w:rsidRPr="00BB5E75">
        <w:t>reads</w:t>
      </w:r>
      <w:r w:rsidR="00D20A22" w:rsidRPr="00BB5E75">
        <w:t xml:space="preserve"> (lines </w:t>
      </w:r>
      <w:r w:rsidR="00BB5E75" w:rsidRPr="00BB5E75">
        <w:t>53-54</w:t>
      </w:r>
      <w:r w:rsidR="00D20A22" w:rsidRPr="00BB5E75">
        <w:t>)</w:t>
      </w:r>
      <w:r w:rsidRPr="00BB5E75">
        <w:t>:</w:t>
      </w:r>
    </w:p>
    <w:p w:rsidR="009F72D2" w:rsidRDefault="009F72D2" w:rsidP="009F72D2">
      <w:pPr>
        <w:ind w:left="360"/>
      </w:pPr>
    </w:p>
    <w:p w:rsidR="009F72D2" w:rsidRPr="00D20A22" w:rsidRDefault="009F72D2" w:rsidP="009F72D2">
      <w:pPr>
        <w:ind w:left="360"/>
        <w:rPr>
          <w:i/>
        </w:rPr>
      </w:pPr>
      <w:r w:rsidRPr="00D20A22">
        <w:rPr>
          <w:i/>
        </w:rPr>
        <w:t>…among individuals exposed to environmental, occupational or lifestyle factors</w:t>
      </w:r>
    </w:p>
    <w:p w:rsidR="009F72D2" w:rsidRDefault="009F72D2" w:rsidP="009F72D2">
      <w:pPr>
        <w:ind w:left="360"/>
      </w:pP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2, </w:t>
      </w:r>
      <w:proofErr w:type="spellStart"/>
      <w:r w:rsidRPr="003C770A">
        <w:rPr>
          <w:b/>
        </w:rPr>
        <w:t>ln</w:t>
      </w:r>
      <w:proofErr w:type="spellEnd"/>
      <w:r w:rsidRPr="003C770A">
        <w:rPr>
          <w:b/>
        </w:rPr>
        <w:t xml:space="preserve"> 64 - Arguably the chromosome fragments aren't generated specifically during metaphase/anaphase transition. They can occur at other points during the cell cycle and are simply revealed as a consequence of the separation of paired chromosomes.</w:t>
      </w:r>
    </w:p>
    <w:p w:rsidR="007C237B" w:rsidRDefault="007C237B" w:rsidP="00D20A22">
      <w:pPr>
        <w:ind w:left="360"/>
      </w:pPr>
    </w:p>
    <w:p w:rsidR="009F72D2" w:rsidRDefault="009F72D2" w:rsidP="00D20A22">
      <w:pPr>
        <w:ind w:left="360"/>
      </w:pPr>
      <w:r>
        <w:t>This is true</w:t>
      </w:r>
      <w:r w:rsidR="00640305">
        <w:t xml:space="preserve">. However, the </w:t>
      </w:r>
      <w:r>
        <w:t xml:space="preserve">explanation of </w:t>
      </w:r>
      <w:r w:rsidR="00640305">
        <w:t xml:space="preserve">where </w:t>
      </w:r>
      <w:r>
        <w:t xml:space="preserve">in the cell cycle that MN are generated </w:t>
      </w:r>
      <w:r w:rsidR="00640305">
        <w:t xml:space="preserve">varies quite a bit in the </w:t>
      </w:r>
      <w:r>
        <w:t>literature. I’ve removed the</w:t>
      </w:r>
      <w:r w:rsidR="00640305">
        <w:t xml:space="preserve"> specific mention of stages of the cell cycle and made this</w:t>
      </w:r>
      <w:r>
        <w:t xml:space="preserve"> sentence more </w:t>
      </w:r>
      <w:r w:rsidRPr="00BB5E75">
        <w:t>general</w:t>
      </w:r>
      <w:r w:rsidR="00D20A22" w:rsidRPr="00BB5E75">
        <w:t xml:space="preserve"> (lines </w:t>
      </w:r>
      <w:r w:rsidR="00BB5E75" w:rsidRPr="00BB5E75">
        <w:t>54-56</w:t>
      </w:r>
      <w:r w:rsidR="00D20A22" w:rsidRPr="00BB5E75">
        <w:t>)</w:t>
      </w:r>
      <w:r w:rsidRPr="00BB5E75">
        <w:t>:</w:t>
      </w:r>
    </w:p>
    <w:p w:rsidR="009F72D2" w:rsidRDefault="009F72D2" w:rsidP="00D20A22">
      <w:pPr>
        <w:ind w:left="360"/>
      </w:pPr>
    </w:p>
    <w:p w:rsidR="009F72D2" w:rsidRPr="00D20A22" w:rsidRDefault="00D20A22" w:rsidP="00D20A22">
      <w:pPr>
        <w:ind w:left="360"/>
        <w:rPr>
          <w:i/>
        </w:rPr>
      </w:pPr>
      <w:r w:rsidRPr="00D20A22">
        <w:rPr>
          <w:i/>
        </w:rPr>
        <w:t xml:space="preserve">MN consist of chromosome fragments or whole chromosomes generated during cell division </w:t>
      </w:r>
      <w:r w:rsidR="00640305">
        <w:rPr>
          <w:i/>
        </w:rPr>
        <w:t xml:space="preserve">that </w:t>
      </w:r>
      <w:r w:rsidRPr="00D20A22">
        <w:rPr>
          <w:i/>
        </w:rPr>
        <w:t>are not incorporated into one of the two main daughter nuclei.</w:t>
      </w:r>
    </w:p>
    <w:p w:rsidR="009F72D2" w:rsidRDefault="009F72D2" w:rsidP="00D20A22">
      <w:pPr>
        <w:ind w:left="360"/>
      </w:pP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2, </w:t>
      </w:r>
      <w:proofErr w:type="spellStart"/>
      <w:r w:rsidRPr="003C770A">
        <w:rPr>
          <w:b/>
        </w:rPr>
        <w:t>ln</w:t>
      </w:r>
      <w:proofErr w:type="spellEnd"/>
      <w:r w:rsidRPr="003C770A">
        <w:rPr>
          <w:b/>
        </w:rPr>
        <w:t xml:space="preserve"> 68 - Micronuclei are often used as an indicator of chromosomal damage, either structural or numerical. They are considered relatively gross effects. Mutation has more to do with actual disruption of the gene sequence through base pair substitution, </w:t>
      </w:r>
      <w:proofErr w:type="spellStart"/>
      <w:r w:rsidRPr="003C770A">
        <w:rPr>
          <w:b/>
        </w:rPr>
        <w:t>frameshifts</w:t>
      </w:r>
      <w:proofErr w:type="spellEnd"/>
      <w:r w:rsidRPr="003C770A">
        <w:rPr>
          <w:b/>
        </w:rPr>
        <w:t xml:space="preserve">, </w:t>
      </w:r>
      <w:proofErr w:type="spellStart"/>
      <w:r w:rsidRPr="003C770A">
        <w:rPr>
          <w:b/>
        </w:rPr>
        <w:t>indels</w:t>
      </w:r>
      <w:proofErr w:type="spellEnd"/>
      <w:r w:rsidRPr="003C770A">
        <w:rPr>
          <w:b/>
        </w:rPr>
        <w:t>, etc. Depending on fidelity of repair and/or initiation of death there may or may not be actual negative consequences to gene sequence, e.g. fixed mutation subsequent to chromosomal damage, but it is not guaranteed. In my estimation it would be inaccurate to refer directly to micronuclei as representing gene mutation. I do recognize that your statement comes directly from an existing paper authored by genetic toxicologists, however I encourage you to consider my points and leave it up to your judgement to keep this statement in your manuscript.</w:t>
      </w:r>
    </w:p>
    <w:p w:rsidR="007C237B" w:rsidRDefault="007C237B" w:rsidP="0010156F">
      <w:pPr>
        <w:ind w:left="360"/>
      </w:pPr>
    </w:p>
    <w:p w:rsidR="00F05224" w:rsidRDefault="00F05224" w:rsidP="0010156F">
      <w:pPr>
        <w:ind w:left="360"/>
      </w:pPr>
      <w:r>
        <w:t xml:space="preserve">You bring up a good point. The process that leads to expression (or not) of chromosomal damage is certainly complex and addressing that complexity within the introduction of this manuscript is probably outside of its scope. As such, I’ve changed the sentence you point out to be a bit more </w:t>
      </w:r>
      <w:r w:rsidRPr="00955AE6">
        <w:t xml:space="preserve">general (lines </w:t>
      </w:r>
      <w:r w:rsidR="00955AE6" w:rsidRPr="00955AE6">
        <w:t>57-59</w:t>
      </w:r>
      <w:r w:rsidRPr="00955AE6">
        <w:t>):</w:t>
      </w:r>
    </w:p>
    <w:p w:rsidR="009F72D2" w:rsidRDefault="009F72D2" w:rsidP="0010156F">
      <w:pPr>
        <w:ind w:left="360"/>
      </w:pPr>
    </w:p>
    <w:p w:rsidR="009F72D2" w:rsidRPr="00F05224" w:rsidRDefault="00F05224" w:rsidP="0010156F">
      <w:pPr>
        <w:ind w:left="360"/>
        <w:rPr>
          <w:i/>
        </w:rPr>
      </w:pPr>
      <w:r w:rsidRPr="00F05224">
        <w:rPr>
          <w:i/>
        </w:rPr>
        <w:t>Therefore, MN are representative of DNA damage and have been used for many years as an endpoint in genotoxicity testing</w:t>
      </w:r>
      <w:r>
        <w:rPr>
          <w:i/>
        </w:rPr>
        <w:t>.</w:t>
      </w:r>
    </w:p>
    <w:p w:rsidR="009F72D2" w:rsidRDefault="009F72D2" w:rsidP="0010156F">
      <w:pPr>
        <w:ind w:left="360"/>
      </w:pP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2, </w:t>
      </w:r>
      <w:proofErr w:type="spellStart"/>
      <w:r w:rsidRPr="003C770A">
        <w:rPr>
          <w:b/>
        </w:rPr>
        <w:t>ln</w:t>
      </w:r>
      <w:proofErr w:type="spellEnd"/>
      <w:r w:rsidRPr="003C770A">
        <w:rPr>
          <w:b/>
        </w:rPr>
        <w:t xml:space="preserve"> 78 - Regarding the lack of visualization of cytoplasm, what about methods that use metachromatic fluorescent dyes like </w:t>
      </w:r>
      <w:proofErr w:type="spellStart"/>
      <w:r w:rsidRPr="003C770A">
        <w:rPr>
          <w:b/>
        </w:rPr>
        <w:t>acridine</w:t>
      </w:r>
      <w:proofErr w:type="spellEnd"/>
      <w:r w:rsidRPr="003C770A">
        <w:rPr>
          <w:b/>
        </w:rPr>
        <w:t xml:space="preserve"> orange that stain the cytoplasm </w:t>
      </w:r>
      <w:r w:rsidRPr="003C770A">
        <w:rPr>
          <w:b/>
        </w:rPr>
        <w:lastRenderedPageBreak/>
        <w:t>red and nuclear material green? Such methods can be used to clearly identify cytoplasm and determine the integrity of the cells being interrogated.</w:t>
      </w:r>
    </w:p>
    <w:p w:rsidR="007C237B" w:rsidRDefault="007C237B" w:rsidP="0010156F">
      <w:pPr>
        <w:ind w:left="360"/>
      </w:pPr>
    </w:p>
    <w:p w:rsidR="007D3E6D" w:rsidRDefault="00F05224" w:rsidP="0010156F">
      <w:pPr>
        <w:ind w:left="360"/>
      </w:pPr>
      <w:r>
        <w:t xml:space="preserve">To the best of my knowledge alcidine orange (AO) is </w:t>
      </w:r>
      <w:r w:rsidR="00B847AE">
        <w:t xml:space="preserve">currently </w:t>
      </w:r>
      <w:r>
        <w:t>not compatible with automated slide scanning (e.g. Metafer). Every study I’ve read in which slides are stained with AO, they are only scored by visual microscopy and the slides scored by automated methods are nearly always stained with DAPI. This has to do with the classifier settings that are required for the Metafer system to perform properly</w:t>
      </w:r>
      <w:r w:rsidR="007D3E6D">
        <w:t xml:space="preserve">, </w:t>
      </w:r>
      <w:r>
        <w:t xml:space="preserve">a limitation that has been </w:t>
      </w:r>
      <w:r w:rsidR="007D3E6D">
        <w:t>mentioned</w:t>
      </w:r>
      <w:r w:rsidR="00B847AE">
        <w:t xml:space="preserve"> in the literature</w:t>
      </w:r>
      <w:r w:rsidR="007D3E6D">
        <w:t xml:space="preserve"> (Verma </w:t>
      </w:r>
      <w:r w:rsidR="007D3E6D" w:rsidRPr="008B7949">
        <w:rPr>
          <w:i/>
        </w:rPr>
        <w:t>et al</w:t>
      </w:r>
      <w:r w:rsidR="007D3E6D">
        <w:t>., 2017, Archives of Toxicology, 90:</w:t>
      </w:r>
      <w:r w:rsidR="007D3E6D" w:rsidRPr="008B7949">
        <w:t xml:space="preserve"> 2689-2698</w:t>
      </w:r>
      <w:r w:rsidR="007D3E6D">
        <w:t>).</w:t>
      </w:r>
    </w:p>
    <w:p w:rsidR="007D3E6D" w:rsidRDefault="007D3E6D" w:rsidP="0010156F">
      <w:pPr>
        <w:ind w:left="360"/>
      </w:pPr>
    </w:p>
    <w:p w:rsidR="007D3E6D" w:rsidRDefault="007D3E6D" w:rsidP="0010156F">
      <w:pPr>
        <w:ind w:left="360"/>
      </w:pPr>
      <w:r>
        <w:t xml:space="preserve">So yes, the cytoplasm can be </w:t>
      </w:r>
      <w:r w:rsidR="00EA6BD3">
        <w:t xml:space="preserve">visualized </w:t>
      </w:r>
      <w:r>
        <w:t>when scor</w:t>
      </w:r>
      <w:r w:rsidR="00EA6BD3">
        <w:t>ing</w:t>
      </w:r>
      <w:r>
        <w:t xml:space="preserve"> slides manually, but not with the automated scoring techniques that I am mentioning in this sentence.</w:t>
      </w:r>
    </w:p>
    <w:p w:rsidR="009F72D2" w:rsidRDefault="009F72D2" w:rsidP="0010156F">
      <w:pPr>
        <w:ind w:left="360"/>
      </w:pP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2, </w:t>
      </w:r>
      <w:proofErr w:type="spellStart"/>
      <w:r w:rsidRPr="003C770A">
        <w:rPr>
          <w:b/>
        </w:rPr>
        <w:t>ln</w:t>
      </w:r>
      <w:proofErr w:type="spellEnd"/>
      <w:r w:rsidRPr="003C770A">
        <w:rPr>
          <w:b/>
        </w:rPr>
        <w:t xml:space="preserve"> 79 - This is a circular argument. In vitro micronucleus methods exist that don't require the use of </w:t>
      </w:r>
      <w:proofErr w:type="spellStart"/>
      <w:r w:rsidRPr="003C770A">
        <w:rPr>
          <w:b/>
        </w:rPr>
        <w:t>cytochalsin</w:t>
      </w:r>
      <w:proofErr w:type="spellEnd"/>
      <w:r w:rsidRPr="003C770A">
        <w:rPr>
          <w:b/>
        </w:rPr>
        <w:t xml:space="preserve"> B and these include mechanisms for the determination of cytotoxicity. The only reason you need to identify polynucleated cells in the in vitro MN method is to enable application of CPBI cytotoxicity metric which is a consequence of using </w:t>
      </w:r>
      <w:proofErr w:type="spellStart"/>
      <w:r w:rsidRPr="003C770A">
        <w:rPr>
          <w:b/>
        </w:rPr>
        <w:t>cytochalsin</w:t>
      </w:r>
      <w:proofErr w:type="spellEnd"/>
      <w:r w:rsidRPr="003C770A">
        <w:rPr>
          <w:b/>
        </w:rPr>
        <w:t xml:space="preserve"> B pushing some fraction of cells into a </w:t>
      </w:r>
      <w:proofErr w:type="spellStart"/>
      <w:r w:rsidRPr="003C770A">
        <w:rPr>
          <w:b/>
        </w:rPr>
        <w:t>polyploid</w:t>
      </w:r>
      <w:proofErr w:type="spellEnd"/>
      <w:r w:rsidRPr="003C770A">
        <w:rPr>
          <w:b/>
        </w:rPr>
        <w:t xml:space="preserve"> state. Please re-word or eliminate this statement.</w:t>
      </w:r>
    </w:p>
    <w:p w:rsidR="007C237B" w:rsidRDefault="007C237B" w:rsidP="0010156F">
      <w:pPr>
        <w:ind w:left="360"/>
      </w:pPr>
    </w:p>
    <w:p w:rsidR="007D3E6D" w:rsidRDefault="007D3E6D" w:rsidP="007D3E6D">
      <w:pPr>
        <w:ind w:left="360"/>
      </w:pPr>
      <w:r>
        <w:t xml:space="preserve">You are correct about why polynucleated cells need to be identified in the Cyt-B version of the assay, but the sentence is not a circular argument. The sentence simply points out that by not being able to identify polynucleated cells, cytotoxicity cannot be determined when using Cyt-B. In addition, it has been pointed out in the literature that the non-Cyt-B versions of the assay may </w:t>
      </w:r>
      <w:r w:rsidR="005A0AF2">
        <w:t xml:space="preserve">overestimate or </w:t>
      </w:r>
      <w:r>
        <w:t xml:space="preserve">underestimate MN frequencies and thus give false </w:t>
      </w:r>
      <w:r w:rsidR="005A0AF2">
        <w:t xml:space="preserve">positive or </w:t>
      </w:r>
      <w:r>
        <w:t>negative results (e.g. Fenech, 2000, Mutagenesis, 15: 329-336 and Fenech, 2006, Mutation Research, 607: 9-12)</w:t>
      </w:r>
    </w:p>
    <w:p w:rsidR="007D3E6D" w:rsidRDefault="007D3E6D" w:rsidP="007D3E6D">
      <w:pPr>
        <w:ind w:left="360"/>
      </w:pPr>
    </w:p>
    <w:p w:rsidR="0011486C" w:rsidRDefault="0011486C" w:rsidP="007D3E6D">
      <w:pPr>
        <w:ind w:left="360"/>
      </w:pPr>
      <w:r>
        <w:t>However</w:t>
      </w:r>
      <w:r w:rsidRPr="00955AE6">
        <w:t xml:space="preserve">, I acknowledge that the sentence is somewhat poorly written, so I have rephrased it (lines </w:t>
      </w:r>
      <w:r w:rsidR="00955AE6" w:rsidRPr="00955AE6">
        <w:t>70-72</w:t>
      </w:r>
      <w:r w:rsidRPr="00955AE6">
        <w:t>):</w:t>
      </w:r>
    </w:p>
    <w:p w:rsidR="0011486C" w:rsidRDefault="0011486C" w:rsidP="007D3E6D">
      <w:pPr>
        <w:ind w:left="360"/>
      </w:pPr>
    </w:p>
    <w:p w:rsidR="007D3E6D" w:rsidRPr="0011486C" w:rsidRDefault="0011486C" w:rsidP="007D3E6D">
      <w:pPr>
        <w:ind w:left="360"/>
        <w:rPr>
          <w:i/>
        </w:rPr>
      </w:pPr>
      <w:r w:rsidRPr="0011486C">
        <w:rPr>
          <w:i/>
        </w:rPr>
        <w:t>Furthermore, these methods have difficulties identifying polynucleated (POLY) cells (including tri- and quadranucleated cells) which are required for the calculation of cytotoxicity when using Cyt-B</w:t>
      </w:r>
      <w:r w:rsidRPr="0011486C">
        <w:rPr>
          <w:i/>
          <w:vertAlign w:val="superscript"/>
        </w:rPr>
        <w:t>9</w:t>
      </w:r>
      <w:r w:rsidRPr="0011486C">
        <w:rPr>
          <w:i/>
        </w:rPr>
        <w:t>.</w:t>
      </w:r>
    </w:p>
    <w:p w:rsidR="009F72D2" w:rsidRDefault="009F72D2" w:rsidP="0010156F">
      <w:pPr>
        <w:ind w:left="360"/>
      </w:pP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2, </w:t>
      </w:r>
      <w:proofErr w:type="spellStart"/>
      <w:r w:rsidRPr="003C770A">
        <w:rPr>
          <w:b/>
        </w:rPr>
        <w:t>ln</w:t>
      </w:r>
      <w:proofErr w:type="spellEnd"/>
      <w:r w:rsidRPr="003C770A">
        <w:rPr>
          <w:b/>
        </w:rPr>
        <w:t xml:space="preserve"> 86 - Similar to above, the regulations specify for which methods it is appropriate to employ </w:t>
      </w:r>
      <w:proofErr w:type="spellStart"/>
      <w:r w:rsidRPr="003C770A">
        <w:rPr>
          <w:b/>
        </w:rPr>
        <w:t>cytochalsin</w:t>
      </w:r>
      <w:proofErr w:type="spellEnd"/>
      <w:r w:rsidRPr="003C770A">
        <w:rPr>
          <w:b/>
        </w:rPr>
        <w:t xml:space="preserve"> B, but it is not required for every established methodology, especially those using immortalized cell lines. Reconsider using lack of ability to use </w:t>
      </w:r>
      <w:proofErr w:type="spellStart"/>
      <w:r w:rsidRPr="003C770A">
        <w:rPr>
          <w:b/>
        </w:rPr>
        <w:t>cyt</w:t>
      </w:r>
      <w:proofErr w:type="spellEnd"/>
      <w:r w:rsidRPr="003C770A">
        <w:rPr>
          <w:b/>
        </w:rPr>
        <w:t xml:space="preserve"> b as a disadvantage of alternative methods.</w:t>
      </w:r>
    </w:p>
    <w:p w:rsidR="007C237B" w:rsidRDefault="007C237B" w:rsidP="0010156F">
      <w:pPr>
        <w:ind w:left="360"/>
      </w:pPr>
    </w:p>
    <w:p w:rsidR="009F72D2" w:rsidRDefault="0047327A" w:rsidP="0010156F">
      <w:pPr>
        <w:ind w:left="360"/>
      </w:pPr>
      <w:r>
        <w:t xml:space="preserve">As with my response to concern #5, you’re correct that not all methods use Cyt-B. However, as I point out above, evidence has been presented that false </w:t>
      </w:r>
      <w:r w:rsidR="005A0AF2">
        <w:t xml:space="preserve">positive or </w:t>
      </w:r>
      <w:r>
        <w:t xml:space="preserve">negative results may be obtained without its use. In addition, many papers in the literature quantify MN frequencies from chemicals with and without Cyt-B, including several papers in a special edition of Mutation Research in 2010 dedicated to the in vitro MN assay (702 - </w:t>
      </w:r>
      <w:r w:rsidRPr="0047327A">
        <w:t>In Vitro MN Trial: Cytotoxicity Measures in the In Vitro Micronucleus Test</w:t>
      </w:r>
      <w:r>
        <w:t>).</w:t>
      </w:r>
    </w:p>
    <w:p w:rsidR="0047327A" w:rsidRDefault="0047327A" w:rsidP="0010156F">
      <w:pPr>
        <w:ind w:left="360"/>
      </w:pPr>
    </w:p>
    <w:p w:rsidR="0047327A" w:rsidRDefault="0047327A" w:rsidP="0010156F">
      <w:pPr>
        <w:ind w:left="360"/>
      </w:pPr>
      <w:r>
        <w:t xml:space="preserve">Therefore, I </w:t>
      </w:r>
      <w:r w:rsidR="00210E42">
        <w:t xml:space="preserve">would like to leave the </w:t>
      </w:r>
      <w:r w:rsidR="00955AE6">
        <w:t xml:space="preserve">lack </w:t>
      </w:r>
      <w:r>
        <w:t xml:space="preserve">of ability to use Cyt-B as a disadvantage of other methods in the manuscript. </w:t>
      </w:r>
    </w:p>
    <w:p w:rsidR="009F72D2" w:rsidRDefault="009F72D2" w:rsidP="0010156F">
      <w:pPr>
        <w:ind w:left="360"/>
      </w:pPr>
    </w:p>
    <w:p w:rsidR="007C237B" w:rsidRPr="003C770A" w:rsidRDefault="007C237B" w:rsidP="003C770A">
      <w:pPr>
        <w:pStyle w:val="ListParagraph"/>
        <w:numPr>
          <w:ilvl w:val="0"/>
          <w:numId w:val="6"/>
        </w:numPr>
        <w:ind w:left="360"/>
        <w:rPr>
          <w:b/>
        </w:rPr>
      </w:pPr>
      <w:proofErr w:type="spellStart"/>
      <w:r w:rsidRPr="003C770A">
        <w:rPr>
          <w:b/>
        </w:rPr>
        <w:lastRenderedPageBreak/>
        <w:t>Pg</w:t>
      </w:r>
      <w:proofErr w:type="spellEnd"/>
      <w:r w:rsidRPr="003C770A">
        <w:rPr>
          <w:b/>
        </w:rPr>
        <w:t xml:space="preserve"> 3, </w:t>
      </w:r>
      <w:proofErr w:type="spellStart"/>
      <w:r w:rsidRPr="003C770A">
        <w:rPr>
          <w:b/>
        </w:rPr>
        <w:t>ln</w:t>
      </w:r>
      <w:proofErr w:type="spellEnd"/>
      <w:r w:rsidRPr="003C770A">
        <w:rPr>
          <w:b/>
        </w:rPr>
        <w:t xml:space="preserve"> 123 - You use the word "simple" to describe the method, but what follows is a protocol description that includes 16 steps each with numerous sub-operations and the "Full Protocol" in the Supplementary files adds even more steps. Simple may not be the operative term, in fact you state later on (</w:t>
      </w:r>
      <w:proofErr w:type="spellStart"/>
      <w:r w:rsidRPr="003C770A">
        <w:rPr>
          <w:b/>
        </w:rPr>
        <w:t>Pg</w:t>
      </w:r>
      <w:proofErr w:type="spellEnd"/>
      <w:r w:rsidRPr="003C770A">
        <w:rPr>
          <w:b/>
        </w:rPr>
        <w:t xml:space="preserve"> 16, </w:t>
      </w:r>
      <w:proofErr w:type="spellStart"/>
      <w:r w:rsidRPr="003C770A">
        <w:rPr>
          <w:b/>
        </w:rPr>
        <w:t>ln</w:t>
      </w:r>
      <w:proofErr w:type="spellEnd"/>
      <w:r w:rsidRPr="003C770A">
        <w:rPr>
          <w:b/>
        </w:rPr>
        <w:t xml:space="preserve"> 693) that the "techniques described here can be difficult". Please rectify this inconsistency.</w:t>
      </w:r>
    </w:p>
    <w:p w:rsidR="007C237B" w:rsidRDefault="007C237B" w:rsidP="0010156F">
      <w:pPr>
        <w:ind w:left="360"/>
      </w:pPr>
    </w:p>
    <w:p w:rsidR="009F72D2" w:rsidRDefault="0047327A" w:rsidP="0010156F">
      <w:pPr>
        <w:ind w:left="360"/>
      </w:pPr>
      <w:r>
        <w:t>This is true. What I meant was that the wet lab portion of the protocol is simple in comparison to other techniques. You are right that the data analysis portion is quite difficult, hence</w:t>
      </w:r>
      <w:r w:rsidR="000E7A3D">
        <w:t xml:space="preserve"> the need for this manuscript.</w:t>
      </w:r>
    </w:p>
    <w:p w:rsidR="0047327A" w:rsidRDefault="0047327A" w:rsidP="0010156F">
      <w:pPr>
        <w:ind w:left="360"/>
      </w:pPr>
    </w:p>
    <w:p w:rsidR="009F72D2" w:rsidRDefault="0047327A" w:rsidP="0010156F">
      <w:pPr>
        <w:ind w:left="360"/>
      </w:pPr>
      <w:r>
        <w:t>I’ve removed the words “simple yet elegant” from the sentence you referred to.</w:t>
      </w:r>
    </w:p>
    <w:p w:rsidR="009F72D2" w:rsidRDefault="009F72D2" w:rsidP="0010156F">
      <w:pPr>
        <w:ind w:left="360"/>
      </w:pP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6, </w:t>
      </w:r>
      <w:proofErr w:type="spellStart"/>
      <w:r w:rsidRPr="003C770A">
        <w:rPr>
          <w:b/>
        </w:rPr>
        <w:t>ln</w:t>
      </w:r>
      <w:proofErr w:type="spellEnd"/>
      <w:r w:rsidRPr="003C770A">
        <w:rPr>
          <w:b/>
        </w:rPr>
        <w:t xml:space="preserve"> 243 - Presumably some portion(s) of sections 6 onward are required for initial set-up, but can then simply be called-up for subsequent analytical runs, similar to loading an analysis template in other flow cytometers? If this is the case it would be wise to mention this so that the reader doesn't assume that all the steps laid out in the Full Protocol are required for every time the machine is turned on and samples are ready for analysis. On a related note it would arguably be useful to include some information on time/effort required to perform the various aspects of the method. How much time does it take for the benchtop processing for a typical study? What about analysis? These metrics speak again to the issues raised in Major Issue 1 above with regard to comparing to other methods, positioning, etc.</w:t>
      </w:r>
    </w:p>
    <w:p w:rsidR="007C237B" w:rsidRDefault="007C237B" w:rsidP="0010156F">
      <w:pPr>
        <w:ind w:left="360"/>
      </w:pPr>
    </w:p>
    <w:p w:rsidR="009F72D2" w:rsidRDefault="007F4809" w:rsidP="0010156F">
      <w:pPr>
        <w:ind w:left="360"/>
      </w:pPr>
      <w:r>
        <w:t xml:space="preserve">I have mentioned in the discussion that once the template is developed, it can simply be applied to all acquired </w:t>
      </w:r>
      <w:r w:rsidRPr="00955AE6">
        <w:t xml:space="preserve">data (lines </w:t>
      </w:r>
      <w:r w:rsidR="00955AE6" w:rsidRPr="00955AE6">
        <w:t>697-700</w:t>
      </w:r>
      <w:r w:rsidRPr="00955AE6">
        <w:t>):</w:t>
      </w:r>
    </w:p>
    <w:p w:rsidR="007F4809" w:rsidRPr="00B847AE" w:rsidRDefault="007F4809" w:rsidP="0010156F">
      <w:pPr>
        <w:ind w:left="360"/>
        <w:rPr>
          <w:i/>
        </w:rPr>
      </w:pPr>
    </w:p>
    <w:p w:rsidR="007F4809" w:rsidRPr="00B847AE" w:rsidRDefault="007F4809" w:rsidP="0010156F">
      <w:pPr>
        <w:ind w:left="360"/>
        <w:rPr>
          <w:i/>
        </w:rPr>
      </w:pPr>
      <w:r w:rsidRPr="00B847AE">
        <w:rPr>
          <w:i/>
        </w:rPr>
        <w:t>Although the image processing techniques described here can be difficult, once an analysis template has been developed in the MIFC software, batch processing allows for data files to be automatically analyzed, eliminating user intervention and therefore, scorer bias.</w:t>
      </w:r>
    </w:p>
    <w:p w:rsidR="009F72D2" w:rsidRPr="00B847AE" w:rsidRDefault="009F72D2" w:rsidP="0010156F">
      <w:pPr>
        <w:ind w:left="360"/>
        <w:rPr>
          <w:i/>
        </w:rPr>
      </w:pPr>
    </w:p>
    <w:p w:rsidR="007F4809" w:rsidRDefault="00556CFC" w:rsidP="0010156F">
      <w:pPr>
        <w:ind w:left="360"/>
      </w:pPr>
      <w:r>
        <w:t xml:space="preserve">I have added more information on the points you mention in the last paragraph of the introduction to give the readers an idea of wet lab time required and that the analysis template doesn’t have to be re-created for each </w:t>
      </w:r>
      <w:r w:rsidRPr="00955AE6">
        <w:t xml:space="preserve">sample (lines </w:t>
      </w:r>
      <w:r w:rsidR="00955AE6" w:rsidRPr="00955AE6">
        <w:t>115-121</w:t>
      </w:r>
      <w:r w:rsidRPr="00955AE6">
        <w:t>):</w:t>
      </w:r>
    </w:p>
    <w:p w:rsidR="00556CFC" w:rsidRDefault="00556CFC" w:rsidP="0010156F">
      <w:pPr>
        <w:ind w:left="360"/>
      </w:pPr>
    </w:p>
    <w:p w:rsidR="00556CFC" w:rsidRPr="00556CFC" w:rsidRDefault="00556CFC" w:rsidP="0010156F">
      <w:pPr>
        <w:ind w:left="360"/>
        <w:rPr>
          <w:i/>
        </w:rPr>
      </w:pPr>
      <w:r w:rsidRPr="00556CFC">
        <w:rPr>
          <w:i/>
        </w:rPr>
        <w:t>The sample processing technique used in this work requires less than 2 h to process a single sample and is relatively easy to perform in comparison to other methods. The data analysis in the MIFC analysis software is complicated, but creation of the analysis template can be accomplished in a few hours following the steps outlined in this paper. Moreover, once the template has been created, it can be automatically applied to all collected data without any further work.</w:t>
      </w:r>
    </w:p>
    <w:p w:rsidR="009F72D2" w:rsidRDefault="009F72D2" w:rsidP="0010156F">
      <w:pPr>
        <w:ind w:left="360"/>
      </w:pP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16, </w:t>
      </w:r>
      <w:proofErr w:type="spellStart"/>
      <w:r w:rsidRPr="003C770A">
        <w:rPr>
          <w:b/>
        </w:rPr>
        <w:t>ln</w:t>
      </w:r>
      <w:proofErr w:type="spellEnd"/>
      <w:r w:rsidRPr="003C770A">
        <w:rPr>
          <w:b/>
        </w:rPr>
        <w:t xml:space="preserve"> 700 - I believe you meant to say "Mitomycin C and Colchicine".</w:t>
      </w:r>
    </w:p>
    <w:p w:rsidR="007C237B" w:rsidRDefault="007C237B" w:rsidP="0010156F">
      <w:pPr>
        <w:ind w:left="360"/>
      </w:pPr>
    </w:p>
    <w:p w:rsidR="009F72D2" w:rsidRDefault="0010156F" w:rsidP="0010156F">
      <w:pPr>
        <w:ind w:left="360"/>
      </w:pPr>
      <w:r>
        <w:t>Yes I did, thanks for catching this. I’ve corrected it.</w:t>
      </w:r>
    </w:p>
    <w:p w:rsidR="009F72D2" w:rsidRDefault="009F72D2" w:rsidP="0010156F">
      <w:pPr>
        <w:ind w:left="360"/>
      </w:pPr>
    </w:p>
    <w:p w:rsidR="007C237B" w:rsidRPr="003C770A" w:rsidRDefault="007C237B" w:rsidP="003C770A">
      <w:pPr>
        <w:pStyle w:val="ListParagraph"/>
        <w:numPr>
          <w:ilvl w:val="0"/>
          <w:numId w:val="6"/>
        </w:numPr>
        <w:ind w:left="360"/>
        <w:rPr>
          <w:b/>
        </w:rPr>
      </w:pPr>
      <w:proofErr w:type="spellStart"/>
      <w:r w:rsidRPr="003C770A">
        <w:rPr>
          <w:b/>
        </w:rPr>
        <w:t>Pg</w:t>
      </w:r>
      <w:proofErr w:type="spellEnd"/>
      <w:r w:rsidRPr="003C770A">
        <w:rPr>
          <w:b/>
        </w:rPr>
        <w:t xml:space="preserve"> 17, </w:t>
      </w:r>
      <w:proofErr w:type="spellStart"/>
      <w:r w:rsidRPr="003C770A">
        <w:rPr>
          <w:b/>
        </w:rPr>
        <w:t>ln</w:t>
      </w:r>
      <w:proofErr w:type="spellEnd"/>
      <w:r w:rsidRPr="003C770A">
        <w:rPr>
          <w:b/>
        </w:rPr>
        <w:t xml:space="preserve"> 735 - Re-word the phrase/sentence "that MIFC method to perform".</w:t>
      </w:r>
    </w:p>
    <w:p w:rsidR="007C237B" w:rsidRDefault="007C237B" w:rsidP="0010156F">
      <w:pPr>
        <w:ind w:left="360"/>
      </w:pPr>
    </w:p>
    <w:p w:rsidR="009F72D2" w:rsidRDefault="006326CD" w:rsidP="0010156F">
      <w:pPr>
        <w:ind w:left="360"/>
      </w:pPr>
      <w:r>
        <w:t xml:space="preserve">I’ve re-worded this sentence so it now </w:t>
      </w:r>
      <w:r w:rsidRPr="00955AE6">
        <w:t>reads (line</w:t>
      </w:r>
      <w:r w:rsidR="00955AE6" w:rsidRPr="00955AE6">
        <w:t xml:space="preserve"> 740</w:t>
      </w:r>
      <w:r w:rsidRPr="00955AE6">
        <w:t>):</w:t>
      </w:r>
      <w:bookmarkStart w:id="0" w:name="_GoBack"/>
      <w:bookmarkEnd w:id="0"/>
    </w:p>
    <w:p w:rsidR="006326CD" w:rsidRDefault="006326CD" w:rsidP="0010156F">
      <w:pPr>
        <w:ind w:left="360"/>
      </w:pPr>
    </w:p>
    <w:p w:rsidR="006326CD" w:rsidRPr="006326CD" w:rsidRDefault="006326CD" w:rsidP="0010156F">
      <w:pPr>
        <w:ind w:left="360"/>
        <w:rPr>
          <w:i/>
        </w:rPr>
      </w:pPr>
      <w:r w:rsidRPr="006326CD">
        <w:rPr>
          <w:i/>
        </w:rPr>
        <w:t xml:space="preserve">This paper shows that the MIFC method </w:t>
      </w:r>
      <w:r w:rsidR="000E7A3D">
        <w:rPr>
          <w:i/>
        </w:rPr>
        <w:t xml:space="preserve">developed </w:t>
      </w:r>
      <w:r w:rsidRPr="006326CD">
        <w:rPr>
          <w:i/>
        </w:rPr>
        <w:t>to perform</w:t>
      </w:r>
      <w:r>
        <w:rPr>
          <w:i/>
        </w:rPr>
        <w:t>…</w:t>
      </w:r>
    </w:p>
    <w:p w:rsidR="009F72D2" w:rsidRDefault="009F72D2" w:rsidP="0010156F">
      <w:pPr>
        <w:ind w:left="360"/>
      </w:pPr>
    </w:p>
    <w:p w:rsidR="007C237B" w:rsidRPr="003C770A" w:rsidRDefault="007C237B" w:rsidP="003C770A">
      <w:pPr>
        <w:pStyle w:val="ListParagraph"/>
        <w:numPr>
          <w:ilvl w:val="0"/>
          <w:numId w:val="6"/>
        </w:numPr>
        <w:ind w:left="360"/>
        <w:rPr>
          <w:b/>
        </w:rPr>
      </w:pPr>
      <w:r w:rsidRPr="003C770A">
        <w:rPr>
          <w:b/>
        </w:rPr>
        <w:lastRenderedPageBreak/>
        <w:t>Figure 5/Table 2 - Was there a specific rationale used to only go to a top concentration of MMC that elicited an approximate 30% cytotoxicity when the guidelines state that you can go as high at 55 +/- 5%? I recognize that this was observed to induce a statistically significant response, but the overall magnitude was relatively low - just under 3-fold compared to control - a level often invoked as a positive response. Also consider adding symbols to your tables to show which concentrations were determined to be statistically significantly different from control.</w:t>
      </w:r>
    </w:p>
    <w:p w:rsidR="007C237B" w:rsidRDefault="007C237B" w:rsidP="0010156F">
      <w:pPr>
        <w:ind w:left="360"/>
      </w:pPr>
    </w:p>
    <w:p w:rsidR="009F72D2" w:rsidRDefault="00E67BAB" w:rsidP="0010156F">
      <w:pPr>
        <w:ind w:left="360"/>
      </w:pPr>
      <w:r>
        <w:t xml:space="preserve">The Cytometry A paper (2018) shows that without the use of Cyt-B, a cytotoxicity of 61.8% was achieved at 0.5 </w:t>
      </w:r>
      <w:r>
        <w:rPr>
          <w:rFonts w:cs="Arial"/>
        </w:rPr>
        <w:t>µ</w:t>
      </w:r>
      <w:r>
        <w:t>g/mL using Mitomycin C</w:t>
      </w:r>
      <w:r w:rsidR="005A0AF2">
        <w:t xml:space="preserve"> when using RPD as the metric to quantify toxicity. So, this dose range did actually exceed the 55</w:t>
      </w:r>
      <w:r w:rsidR="005A0AF2">
        <w:rPr>
          <w:rFonts w:cs="Arial"/>
        </w:rPr>
        <w:t>±</w:t>
      </w:r>
      <w:r w:rsidR="005A0AF2">
        <w:t>5% guideline. However, in the same paper, w</w:t>
      </w:r>
      <w:r>
        <w:t xml:space="preserve">hen </w:t>
      </w:r>
      <w:r w:rsidR="005A0AF2">
        <w:t xml:space="preserve">examining the same dose range in the presence of </w:t>
      </w:r>
      <w:r>
        <w:t>Cyt-B</w:t>
      </w:r>
      <w:r w:rsidR="005A0AF2">
        <w:t xml:space="preserve"> using CBPI as the metric to quantify toxicity, a </w:t>
      </w:r>
      <w:r>
        <w:t xml:space="preserve">cytotoxicity </w:t>
      </w:r>
      <w:r w:rsidR="005A0AF2">
        <w:t xml:space="preserve">of </w:t>
      </w:r>
      <w:r>
        <w:t>only 35%</w:t>
      </w:r>
      <w:r w:rsidR="005A0AF2">
        <w:t xml:space="preserve"> was observed</w:t>
      </w:r>
      <w:r>
        <w:t xml:space="preserve">. The latter </w:t>
      </w:r>
      <w:r w:rsidR="00A1639C">
        <w:t xml:space="preserve">data </w:t>
      </w:r>
      <w:r>
        <w:t xml:space="preserve">is the plot that appears in this </w:t>
      </w:r>
      <w:r w:rsidR="005A0AF2">
        <w:t>manuscript</w:t>
      </w:r>
      <w:r>
        <w:t xml:space="preserve">. </w:t>
      </w:r>
    </w:p>
    <w:p w:rsidR="009F72D2" w:rsidRDefault="009F72D2" w:rsidP="0010156F">
      <w:pPr>
        <w:ind w:left="360"/>
      </w:pPr>
    </w:p>
    <w:p w:rsidR="00E67BAB" w:rsidRDefault="005A0AF2" w:rsidP="0010156F">
      <w:pPr>
        <w:ind w:left="360"/>
      </w:pPr>
      <w:r>
        <w:t xml:space="preserve">Other published studies have shown similar cytotoxicity results for several chemicals when quantifying MN increases in both the presence and absence of Cyt-B (e.g. </w:t>
      </w:r>
      <w:proofErr w:type="spellStart"/>
      <w:r>
        <w:t>Elhajouji</w:t>
      </w:r>
      <w:proofErr w:type="spellEnd"/>
      <w:r>
        <w:t xml:space="preserve">, 2010, Mutation Research, 702: 157-162; Fellows </w:t>
      </w:r>
      <w:r w:rsidRPr="005A0AF2">
        <w:rPr>
          <w:i/>
        </w:rPr>
        <w:t>et al</w:t>
      </w:r>
      <w:r>
        <w:t>., 2008, Mutation Research, 655: 4-21</w:t>
      </w:r>
      <w:r w:rsidR="00A35613">
        <w:t xml:space="preserve"> and</w:t>
      </w:r>
      <w:r>
        <w:t xml:space="preserve"> Fellows and Donovan, 2010, Mutation Research, 702: 163-170) presumably because the method</w:t>
      </w:r>
      <w:r w:rsidR="00A1639C">
        <w:t xml:space="preserve"> to determine </w:t>
      </w:r>
      <w:r>
        <w:t xml:space="preserve">cytotoxicity is different. </w:t>
      </w:r>
      <w:r w:rsidR="00E67BAB">
        <w:t xml:space="preserve">These results, along with the previously mentioned literature that warns of potentially false negative or positive results when not using Cyt-B, illustrate the importance of performing these types of experiments in both the presence and absence of Cyt-B. </w:t>
      </w:r>
    </w:p>
    <w:p w:rsidR="00E67BAB" w:rsidRDefault="00E67BAB" w:rsidP="0010156F">
      <w:pPr>
        <w:ind w:left="360"/>
      </w:pPr>
    </w:p>
    <w:p w:rsidR="009F72D2" w:rsidRDefault="00E67BAB" w:rsidP="0010156F">
      <w:pPr>
        <w:ind w:left="360"/>
      </w:pPr>
      <w:r>
        <w:t>I have added symbols in the tables indicating the doses which produced statistically significant MN increases.</w:t>
      </w:r>
    </w:p>
    <w:p w:rsidR="009F72D2" w:rsidRDefault="009F72D2" w:rsidP="007C237B"/>
    <w:p w:rsidR="00AA0DB4" w:rsidRPr="00A1639C" w:rsidRDefault="007C237B" w:rsidP="003C770A">
      <w:pPr>
        <w:pStyle w:val="ListParagraph"/>
        <w:numPr>
          <w:ilvl w:val="0"/>
          <w:numId w:val="6"/>
        </w:numPr>
        <w:ind w:left="360"/>
        <w:rPr>
          <w:b/>
        </w:rPr>
      </w:pPr>
      <w:r w:rsidRPr="00A1639C">
        <w:rPr>
          <w:b/>
        </w:rPr>
        <w:t xml:space="preserve">Figure 5/Table 3 - Is there typically a variable baseline in the control MN frequency across studies? The mannitol study appears to be less than half what was observed for colchicine or MMC. How might this impact historical control ranges, criteria for establishing a positive response, </w:t>
      </w:r>
      <w:proofErr w:type="spellStart"/>
      <w:r w:rsidRPr="00A1639C">
        <w:rPr>
          <w:b/>
        </w:rPr>
        <w:t>etc</w:t>
      </w:r>
      <w:proofErr w:type="spellEnd"/>
      <w:r w:rsidRPr="00A1639C">
        <w:rPr>
          <w:b/>
        </w:rPr>
        <w:t>?</w:t>
      </w:r>
    </w:p>
    <w:p w:rsidR="0010156F" w:rsidRDefault="0010156F" w:rsidP="0010156F">
      <w:pPr>
        <w:pStyle w:val="ListParagraph"/>
        <w:ind w:left="360"/>
      </w:pPr>
    </w:p>
    <w:p w:rsidR="00C018B2" w:rsidRDefault="00B847AE" w:rsidP="0010156F">
      <w:pPr>
        <w:pStyle w:val="ListParagraph"/>
        <w:ind w:left="360"/>
      </w:pPr>
      <w:r>
        <w:t>The baseline frequency for the two negative control cultures in both the Mitomycin C and Colchicine experiments are 0.36%. For Mannitol the average MN frequencies across the entire dose range is 0.21%. So yes, the frequencies in the Mannitol study are about half of what was observed in the other two studies.</w:t>
      </w:r>
      <w:r w:rsidR="00C018B2">
        <w:t xml:space="preserve"> B</w:t>
      </w:r>
      <w:r>
        <w:t>ased on historically reported negative frequency ranges, I don’t see this as a concern but I do see it as a reason why performing each experiment with at least two solvent control cultures is imperative.</w:t>
      </w:r>
    </w:p>
    <w:p w:rsidR="00C018B2" w:rsidRDefault="00C018B2" w:rsidP="0010156F">
      <w:pPr>
        <w:pStyle w:val="ListParagraph"/>
        <w:ind w:left="360"/>
      </w:pPr>
    </w:p>
    <w:p w:rsidR="00C018B2" w:rsidRDefault="00C018B2" w:rsidP="0010156F">
      <w:pPr>
        <w:pStyle w:val="ListParagraph"/>
        <w:ind w:left="360"/>
      </w:pPr>
      <w:r>
        <w:t xml:space="preserve">Lovell </w:t>
      </w:r>
      <w:r w:rsidRPr="00C018B2">
        <w:rPr>
          <w:i/>
        </w:rPr>
        <w:t>et al</w:t>
      </w:r>
      <w:r>
        <w:t>. recently published two studies examining historical control group data for TK6 cells (</w:t>
      </w:r>
      <w:proofErr w:type="spellStart"/>
      <w:r>
        <w:t>Mutat</w:t>
      </w:r>
      <w:proofErr w:type="spellEnd"/>
      <w:r>
        <w:t xml:space="preserve"> Res Gen </w:t>
      </w:r>
      <w:proofErr w:type="spellStart"/>
      <w:r>
        <w:t>Tox</w:t>
      </w:r>
      <w:proofErr w:type="spellEnd"/>
      <w:r>
        <w:t xml:space="preserve"> En, 2018, 825: 40-50) and human lymphocytes (</w:t>
      </w:r>
      <w:proofErr w:type="spellStart"/>
      <w:r>
        <w:t>Mutat</w:t>
      </w:r>
      <w:proofErr w:type="spellEnd"/>
      <w:r>
        <w:t xml:space="preserve"> Res Gen </w:t>
      </w:r>
      <w:proofErr w:type="spellStart"/>
      <w:r>
        <w:t>Tox</w:t>
      </w:r>
      <w:proofErr w:type="spellEnd"/>
      <w:r>
        <w:t xml:space="preserve"> En, 2019, 837: 52-59). For TK6 cells</w:t>
      </w:r>
      <w:r w:rsidR="002E0777">
        <w:t>,</w:t>
      </w:r>
      <w:r>
        <w:t xml:space="preserve"> results were examined from 13 laboratories and the range of MN frequencies in negative control samples varied between 0.32% and 1.38%. For human lymphocytes, 8 </w:t>
      </w:r>
      <w:r w:rsidR="008034BA">
        <w:t>laboratories</w:t>
      </w:r>
      <w:r>
        <w:t xml:space="preserve"> were examined and the range was even larger, between 0.22 and 1.59%. </w:t>
      </w:r>
    </w:p>
    <w:p w:rsidR="002E0777" w:rsidRDefault="00E23F37" w:rsidP="0010156F">
      <w:pPr>
        <w:pStyle w:val="ListParagraph"/>
        <w:ind w:left="360"/>
      </w:pPr>
      <w:r>
        <w:t>Therefore, the</w:t>
      </w:r>
      <w:r w:rsidR="00C018B2">
        <w:t xml:space="preserve"> MN frequencies from solvent controls and all Mannitol cultures </w:t>
      </w:r>
      <w:r>
        <w:t>shown here are</w:t>
      </w:r>
      <w:r w:rsidR="00C018B2">
        <w:t xml:space="preserve"> on the lower end of the ranges observed by Lovell</w:t>
      </w:r>
      <w:r>
        <w:t xml:space="preserve"> </w:t>
      </w:r>
      <w:r w:rsidRPr="00E23F37">
        <w:rPr>
          <w:i/>
        </w:rPr>
        <w:t>et al</w:t>
      </w:r>
      <w:r>
        <w:t>.</w:t>
      </w:r>
      <w:r w:rsidR="00C018B2">
        <w:t xml:space="preserve">, but the range is </w:t>
      </w:r>
      <w:r w:rsidR="002E0777">
        <w:t xml:space="preserve">smaller and </w:t>
      </w:r>
      <w:r w:rsidR="00C018B2">
        <w:t>is much more consistent between experiments</w:t>
      </w:r>
      <w:r>
        <w:t xml:space="preserve"> than the data they compiled from other laboratories using microscopy or flow cytometry</w:t>
      </w:r>
      <w:r w:rsidR="00C018B2">
        <w:t>.</w:t>
      </w:r>
    </w:p>
    <w:p w:rsidR="0010156F" w:rsidRDefault="00B847AE" w:rsidP="0010156F">
      <w:pPr>
        <w:pStyle w:val="ListParagraph"/>
        <w:ind w:left="360"/>
      </w:pPr>
      <w:r>
        <w:t xml:space="preserve"> </w:t>
      </w:r>
    </w:p>
    <w:p w:rsidR="0010156F" w:rsidRDefault="008034BA" w:rsidP="0010156F">
      <w:pPr>
        <w:pStyle w:val="ListParagraph"/>
        <w:ind w:left="360"/>
      </w:pPr>
      <w:r>
        <w:lastRenderedPageBreak/>
        <w:t>Regarding how this impacts criteria for establishing a positive response, I think th</w:t>
      </w:r>
      <w:r w:rsidR="007E0A61">
        <w:t xml:space="preserve">e results complied by Lovell </w:t>
      </w:r>
      <w:r w:rsidR="007E0A61" w:rsidRPr="007E0A61">
        <w:rPr>
          <w:i/>
        </w:rPr>
        <w:t>et al</w:t>
      </w:r>
      <w:r w:rsidR="007E0A61">
        <w:t xml:space="preserve">. </w:t>
      </w:r>
      <w:r>
        <w:t xml:space="preserve">illustrates the importance of establishing a database of </w:t>
      </w:r>
      <w:r w:rsidR="007E0A61">
        <w:t xml:space="preserve">negative control MN frequencies within </w:t>
      </w:r>
      <w:r w:rsidR="0006085B">
        <w:t>all</w:t>
      </w:r>
      <w:r w:rsidR="007E0A61">
        <w:t xml:space="preserve"> laborator</w:t>
      </w:r>
      <w:r w:rsidR="0006085B">
        <w:t>ies</w:t>
      </w:r>
      <w:r>
        <w:t xml:space="preserve">. Lovell </w:t>
      </w:r>
      <w:r w:rsidRPr="008034BA">
        <w:rPr>
          <w:i/>
        </w:rPr>
        <w:t>et al</w:t>
      </w:r>
      <w:r>
        <w:t>. recommend establishing these baseline frequencies from at least 20 experiments (presumably with and without solvent controls</w:t>
      </w:r>
      <w:r w:rsidR="007E0A61">
        <w:t>,</w:t>
      </w:r>
      <w:r>
        <w:t xml:space="preserve"> and at various</w:t>
      </w:r>
      <w:r w:rsidR="007E0A61">
        <w:t xml:space="preserve"> </w:t>
      </w:r>
      <w:r>
        <w:t>passages</w:t>
      </w:r>
      <w:r w:rsidR="007E0A61">
        <w:t xml:space="preserve"> if using a cell line</w:t>
      </w:r>
      <w:r>
        <w:t>) to create a control database and determine the range of MN frequencies. I am currently working on creating this database for TK6 cells</w:t>
      </w:r>
      <w:r w:rsidR="0006085B">
        <w:t xml:space="preserve"> in our laboratory</w:t>
      </w:r>
      <w:r>
        <w:t xml:space="preserve">. The results are </w:t>
      </w:r>
      <w:r w:rsidR="0006085B">
        <w:t>likely</w:t>
      </w:r>
      <w:r>
        <w:t xml:space="preserve"> not sufficient to write a stand-alone publication on, but will be necessary </w:t>
      </w:r>
      <w:r w:rsidR="0006085B">
        <w:t xml:space="preserve">to quantify positive responses in </w:t>
      </w:r>
      <w:r>
        <w:t xml:space="preserve">large scale studies that must be </w:t>
      </w:r>
      <w:r w:rsidR="0006085B">
        <w:t>performed</w:t>
      </w:r>
      <w:r>
        <w:t xml:space="preserve">, which you </w:t>
      </w:r>
      <w:r w:rsidR="00944AB7">
        <w:t>point out</w:t>
      </w:r>
      <w:r>
        <w:t xml:space="preserve"> in major concern #3.</w:t>
      </w:r>
    </w:p>
    <w:p w:rsidR="0010156F" w:rsidRDefault="0010156F" w:rsidP="0010156F">
      <w:pPr>
        <w:pStyle w:val="ListParagraph"/>
        <w:ind w:left="360"/>
      </w:pPr>
    </w:p>
    <w:p w:rsidR="0010156F" w:rsidRPr="0010156F" w:rsidRDefault="0010156F" w:rsidP="0010156F">
      <w:pPr>
        <w:pStyle w:val="ListParagraph"/>
        <w:ind w:left="360"/>
      </w:pPr>
    </w:p>
    <w:sectPr w:rsidR="0010156F" w:rsidRPr="00101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101B5"/>
    <w:multiLevelType w:val="hybridMultilevel"/>
    <w:tmpl w:val="43B6E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43938"/>
    <w:multiLevelType w:val="hybridMultilevel"/>
    <w:tmpl w:val="6D8C2A22"/>
    <w:lvl w:ilvl="0" w:tplc="ADBCB1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B0234"/>
    <w:multiLevelType w:val="hybridMultilevel"/>
    <w:tmpl w:val="6D8C2A22"/>
    <w:lvl w:ilvl="0" w:tplc="ADBCB1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A6844"/>
    <w:multiLevelType w:val="hybridMultilevel"/>
    <w:tmpl w:val="80BE9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F0676"/>
    <w:multiLevelType w:val="hybridMultilevel"/>
    <w:tmpl w:val="124E9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A617B"/>
    <w:multiLevelType w:val="hybridMultilevel"/>
    <w:tmpl w:val="6D8C2A22"/>
    <w:lvl w:ilvl="0" w:tplc="ADBCB1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0B"/>
    <w:rsid w:val="00000961"/>
    <w:rsid w:val="00047553"/>
    <w:rsid w:val="0006085B"/>
    <w:rsid w:val="000B35F7"/>
    <w:rsid w:val="000C7806"/>
    <w:rsid w:val="000E7A3D"/>
    <w:rsid w:val="0010156F"/>
    <w:rsid w:val="0011486C"/>
    <w:rsid w:val="001759DE"/>
    <w:rsid w:val="00186964"/>
    <w:rsid w:val="001A548F"/>
    <w:rsid w:val="001B1908"/>
    <w:rsid w:val="001E2EC8"/>
    <w:rsid w:val="001E3A11"/>
    <w:rsid w:val="00210E42"/>
    <w:rsid w:val="00262B04"/>
    <w:rsid w:val="00267446"/>
    <w:rsid w:val="00271690"/>
    <w:rsid w:val="00271F23"/>
    <w:rsid w:val="002C1BB7"/>
    <w:rsid w:val="002E0777"/>
    <w:rsid w:val="002F3CD6"/>
    <w:rsid w:val="003104F7"/>
    <w:rsid w:val="0032189C"/>
    <w:rsid w:val="00323D52"/>
    <w:rsid w:val="003306E8"/>
    <w:rsid w:val="00342188"/>
    <w:rsid w:val="00347AE9"/>
    <w:rsid w:val="00360236"/>
    <w:rsid w:val="003B07BD"/>
    <w:rsid w:val="003C123E"/>
    <w:rsid w:val="003C770A"/>
    <w:rsid w:val="003F72E1"/>
    <w:rsid w:val="00467C7E"/>
    <w:rsid w:val="0047327A"/>
    <w:rsid w:val="004746B6"/>
    <w:rsid w:val="004A02A9"/>
    <w:rsid w:val="0051317B"/>
    <w:rsid w:val="00530CB4"/>
    <w:rsid w:val="00556CFC"/>
    <w:rsid w:val="005737D7"/>
    <w:rsid w:val="005A0AF2"/>
    <w:rsid w:val="005B489A"/>
    <w:rsid w:val="005D3081"/>
    <w:rsid w:val="00605627"/>
    <w:rsid w:val="006326CD"/>
    <w:rsid w:val="00640305"/>
    <w:rsid w:val="00661989"/>
    <w:rsid w:val="006D62BB"/>
    <w:rsid w:val="006E18C7"/>
    <w:rsid w:val="006E7CCC"/>
    <w:rsid w:val="007171FE"/>
    <w:rsid w:val="00781FB2"/>
    <w:rsid w:val="007B005A"/>
    <w:rsid w:val="007C237B"/>
    <w:rsid w:val="007D3E6D"/>
    <w:rsid w:val="007E0A61"/>
    <w:rsid w:val="007F4809"/>
    <w:rsid w:val="008034BA"/>
    <w:rsid w:val="00831939"/>
    <w:rsid w:val="008621A6"/>
    <w:rsid w:val="00893DD0"/>
    <w:rsid w:val="008A2F6A"/>
    <w:rsid w:val="008B7949"/>
    <w:rsid w:val="008C28B3"/>
    <w:rsid w:val="00912515"/>
    <w:rsid w:val="009271EE"/>
    <w:rsid w:val="00942C30"/>
    <w:rsid w:val="00944AB7"/>
    <w:rsid w:val="00955AE6"/>
    <w:rsid w:val="00962812"/>
    <w:rsid w:val="0096582B"/>
    <w:rsid w:val="00985962"/>
    <w:rsid w:val="009A62C5"/>
    <w:rsid w:val="009F72D2"/>
    <w:rsid w:val="00A1639C"/>
    <w:rsid w:val="00A35613"/>
    <w:rsid w:val="00A40763"/>
    <w:rsid w:val="00A54F5C"/>
    <w:rsid w:val="00AA0DB4"/>
    <w:rsid w:val="00AA45CB"/>
    <w:rsid w:val="00AA4F1B"/>
    <w:rsid w:val="00AD23EA"/>
    <w:rsid w:val="00B438C2"/>
    <w:rsid w:val="00B847AE"/>
    <w:rsid w:val="00BB5E75"/>
    <w:rsid w:val="00BD0A68"/>
    <w:rsid w:val="00BF3AE7"/>
    <w:rsid w:val="00C018B2"/>
    <w:rsid w:val="00C21C77"/>
    <w:rsid w:val="00C2418B"/>
    <w:rsid w:val="00C37C7F"/>
    <w:rsid w:val="00C513A1"/>
    <w:rsid w:val="00C5450B"/>
    <w:rsid w:val="00C574F5"/>
    <w:rsid w:val="00C624B7"/>
    <w:rsid w:val="00C91F7B"/>
    <w:rsid w:val="00C97FC8"/>
    <w:rsid w:val="00CA2117"/>
    <w:rsid w:val="00CB7416"/>
    <w:rsid w:val="00CD6CE0"/>
    <w:rsid w:val="00D20A22"/>
    <w:rsid w:val="00D80A5B"/>
    <w:rsid w:val="00DB33CB"/>
    <w:rsid w:val="00DB38A9"/>
    <w:rsid w:val="00E23F37"/>
    <w:rsid w:val="00E4609A"/>
    <w:rsid w:val="00E465D6"/>
    <w:rsid w:val="00E67BAB"/>
    <w:rsid w:val="00E727E7"/>
    <w:rsid w:val="00E82634"/>
    <w:rsid w:val="00EA6BD3"/>
    <w:rsid w:val="00EC0117"/>
    <w:rsid w:val="00EC21A6"/>
    <w:rsid w:val="00F05224"/>
    <w:rsid w:val="00F1032B"/>
    <w:rsid w:val="00F2160B"/>
    <w:rsid w:val="00F41623"/>
    <w:rsid w:val="00F6475A"/>
    <w:rsid w:val="00F738EF"/>
    <w:rsid w:val="00FA7247"/>
    <w:rsid w:val="00FC24C2"/>
    <w:rsid w:val="00FD6D81"/>
    <w:rsid w:val="00FE1F5F"/>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76099-8142-4762-9138-B5EE0D44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455">
      <w:bodyDiv w:val="1"/>
      <w:marLeft w:val="0"/>
      <w:marRight w:val="0"/>
      <w:marTop w:val="0"/>
      <w:marBottom w:val="0"/>
      <w:divBdr>
        <w:top w:val="none" w:sz="0" w:space="0" w:color="auto"/>
        <w:left w:val="none" w:sz="0" w:space="0" w:color="auto"/>
        <w:bottom w:val="none" w:sz="0" w:space="0" w:color="auto"/>
        <w:right w:val="none" w:sz="0" w:space="0" w:color="auto"/>
      </w:divBdr>
    </w:div>
    <w:div w:id="1098453584">
      <w:bodyDiv w:val="1"/>
      <w:marLeft w:val="0"/>
      <w:marRight w:val="0"/>
      <w:marTop w:val="0"/>
      <w:marBottom w:val="0"/>
      <w:divBdr>
        <w:top w:val="none" w:sz="0" w:space="0" w:color="auto"/>
        <w:left w:val="none" w:sz="0" w:space="0" w:color="auto"/>
        <w:bottom w:val="none" w:sz="0" w:space="0" w:color="auto"/>
        <w:right w:val="none" w:sz="0" w:space="0" w:color="auto"/>
      </w:divBdr>
    </w:div>
    <w:div w:id="14627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1336</TotalTime>
  <Pages>13</Pages>
  <Words>6206</Words>
  <Characters>35377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Merck KGaA, Darmstadt, Germany</Company>
  <LinksUpToDate>false</LinksUpToDate>
  <CharactersWithSpaces>41501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Rodrigues</dc:creator>
  <cp:keywords/>
  <dc:description/>
  <cp:lastModifiedBy>Matthew Rodrigues</cp:lastModifiedBy>
  <cp:revision>86</cp:revision>
  <dcterms:created xsi:type="dcterms:W3CDTF">2019-01-23T22:25:00Z</dcterms:created>
  <dcterms:modified xsi:type="dcterms:W3CDTF">2019-01-28T23:09:00Z</dcterms:modified>
</cp:coreProperties>
</file>