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E9" w:rsidRDefault="008D43E9" w:rsidP="008D43E9">
      <w:pPr>
        <w:pStyle w:val="Titolo2"/>
        <w:spacing w:before="0" w:beforeAutospacing="0" w:after="0" w:afterAutospacing="0"/>
        <w:jc w:val="both"/>
        <w:rPr>
          <w:rFonts w:asciiTheme="minorHAnsi" w:hAnsiTheme="minorHAnsi" w:cstheme="minorHAnsi"/>
          <w:bCs w:val="0"/>
          <w:sz w:val="24"/>
          <w:szCs w:val="24"/>
        </w:rPr>
      </w:pPr>
      <w:r w:rsidRPr="008009AE">
        <w:rPr>
          <w:rFonts w:asciiTheme="minorHAnsi" w:hAnsiTheme="minorHAnsi" w:cstheme="minorHAnsi"/>
          <w:bCs w:val="0"/>
          <w:sz w:val="24"/>
          <w:szCs w:val="24"/>
        </w:rPr>
        <w:t>PROTOCOLS</w:t>
      </w:r>
    </w:p>
    <w:p w:rsidR="00526AB6" w:rsidRDefault="00526AB6" w:rsidP="008D43E9">
      <w:pPr>
        <w:pStyle w:val="Titolo2"/>
        <w:spacing w:before="0" w:beforeAutospacing="0" w:after="0" w:afterAutospacing="0"/>
        <w:jc w:val="both"/>
        <w:rPr>
          <w:rFonts w:asciiTheme="minorHAnsi" w:hAnsiTheme="minorHAnsi" w:cstheme="minorHAnsi"/>
          <w:bCs w:val="0"/>
          <w:sz w:val="24"/>
          <w:szCs w:val="24"/>
        </w:rPr>
      </w:pPr>
    </w:p>
    <w:p w:rsidR="00526AB6" w:rsidRPr="008009AE" w:rsidRDefault="00526AB6" w:rsidP="00526AB6">
      <w:pPr>
        <w:numPr>
          <w:ilvl w:val="0"/>
          <w:numId w:val="1"/>
        </w:numPr>
        <w:spacing w:after="0" w:line="240" w:lineRule="auto"/>
        <w:jc w:val="both"/>
        <w:rPr>
          <w:rFonts w:eastAsiaTheme="minorEastAsia" w:cstheme="minorHAnsi"/>
          <w:b/>
          <w:sz w:val="24"/>
          <w:szCs w:val="24"/>
          <w:lang w:eastAsia="it-IT"/>
        </w:rPr>
      </w:pPr>
      <w:proofErr w:type="spellStart"/>
      <w:r w:rsidRPr="008009AE">
        <w:rPr>
          <w:rFonts w:eastAsiaTheme="minorEastAsia" w:cstheme="minorHAnsi"/>
          <w:b/>
          <w:sz w:val="24"/>
          <w:szCs w:val="24"/>
          <w:lang w:eastAsia="it-IT"/>
        </w:rPr>
        <w:t>Immunofluorescence</w:t>
      </w:r>
      <w:proofErr w:type="spellEnd"/>
      <w:r w:rsidRPr="008009AE">
        <w:rPr>
          <w:rFonts w:eastAsiaTheme="minorEastAsia" w:cstheme="minorHAnsi"/>
          <w:b/>
          <w:sz w:val="24"/>
          <w:szCs w:val="24"/>
          <w:lang w:eastAsia="it-IT"/>
        </w:rPr>
        <w:t xml:space="preserve"> </w:t>
      </w:r>
      <w:proofErr w:type="spellStart"/>
      <w:r w:rsidRPr="008009AE">
        <w:rPr>
          <w:rFonts w:eastAsiaTheme="minorEastAsia" w:cstheme="minorHAnsi"/>
          <w:b/>
          <w:sz w:val="24"/>
          <w:szCs w:val="24"/>
          <w:lang w:eastAsia="it-IT"/>
        </w:rPr>
        <w:t>protocol</w:t>
      </w:r>
      <w:proofErr w:type="spellEnd"/>
    </w:p>
    <w:p w:rsidR="00526AB6" w:rsidRPr="008009AE" w:rsidRDefault="00526AB6" w:rsidP="008D43E9">
      <w:pPr>
        <w:pStyle w:val="Titolo2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:rsidR="00526AB6" w:rsidRPr="008009AE" w:rsidRDefault="00526AB6" w:rsidP="00526AB6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it-IT"/>
        </w:rPr>
      </w:pPr>
      <w:proofErr w:type="spellStart"/>
      <w:r w:rsidRPr="008009AE">
        <w:rPr>
          <w:rFonts w:eastAsiaTheme="minorEastAsia" w:cstheme="minorHAnsi"/>
          <w:b/>
          <w:sz w:val="24"/>
          <w:szCs w:val="24"/>
          <w:lang w:eastAsia="it-IT"/>
        </w:rPr>
        <w:t>Tissue</w:t>
      </w:r>
      <w:proofErr w:type="spellEnd"/>
      <w:r w:rsidRPr="008009AE">
        <w:rPr>
          <w:rFonts w:eastAsiaTheme="minorEastAsia" w:cstheme="minorHAnsi"/>
          <w:b/>
          <w:sz w:val="24"/>
          <w:szCs w:val="24"/>
          <w:lang w:eastAsia="it-IT"/>
        </w:rPr>
        <w:t xml:space="preserve"> </w:t>
      </w:r>
      <w:proofErr w:type="spellStart"/>
      <w:r w:rsidRPr="008009AE">
        <w:rPr>
          <w:rFonts w:eastAsiaTheme="minorEastAsia" w:cstheme="minorHAnsi"/>
          <w:b/>
          <w:sz w:val="24"/>
          <w:szCs w:val="24"/>
          <w:lang w:eastAsia="it-IT"/>
        </w:rPr>
        <w:t>cutting</w:t>
      </w:r>
      <w:proofErr w:type="spellEnd"/>
    </w:p>
    <w:p w:rsidR="00526AB6" w:rsidRPr="008009AE" w:rsidRDefault="00526AB6" w:rsidP="00526AB6">
      <w:pPr>
        <w:pStyle w:val="Paragrafoelenco"/>
        <w:spacing w:after="0" w:line="240" w:lineRule="auto"/>
        <w:ind w:left="2251"/>
        <w:jc w:val="both"/>
        <w:rPr>
          <w:rFonts w:cstheme="minorHAnsi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cstheme="minorHAnsi"/>
          <w:sz w:val="24"/>
          <w:szCs w:val="24"/>
          <w:lang w:val="en-US"/>
        </w:rPr>
        <w:t xml:space="preserve">Transfer the frozen tissue blocks to a cryostat at −20 °C and cut in coronal or </w:t>
      </w:r>
      <w:proofErr w:type="spellStart"/>
      <w:r w:rsidRPr="008009AE">
        <w:rPr>
          <w:rFonts w:cstheme="minorHAnsi"/>
          <w:sz w:val="24"/>
          <w:szCs w:val="24"/>
          <w:lang w:val="en-US"/>
        </w:rPr>
        <w:t>sagittal</w:t>
      </w:r>
      <w:proofErr w:type="spellEnd"/>
      <w:r w:rsidRPr="008009AE">
        <w:rPr>
          <w:rFonts w:cstheme="minorHAnsi"/>
          <w:sz w:val="24"/>
          <w:szCs w:val="24"/>
          <w:lang w:val="en-US"/>
        </w:rPr>
        <w:t xml:space="preserve">-sections of 10 </w:t>
      </w:r>
      <w:r w:rsidRPr="008009AE">
        <w:rPr>
          <w:rFonts w:cstheme="minorHAnsi"/>
          <w:sz w:val="24"/>
          <w:szCs w:val="24"/>
        </w:rPr>
        <w:t>μ</w:t>
      </w:r>
      <w:r w:rsidRPr="008009AE">
        <w:rPr>
          <w:rFonts w:cstheme="minorHAnsi"/>
          <w:sz w:val="24"/>
          <w:szCs w:val="24"/>
          <w:lang w:val="en-US"/>
        </w:rPr>
        <w:t>m.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cstheme="minorHAnsi"/>
          <w:sz w:val="24"/>
          <w:szCs w:val="24"/>
          <w:lang w:val="en-US"/>
        </w:rPr>
        <w:t xml:space="preserve">Collect the tissues in </w:t>
      </w: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alternate serial </w:t>
      </w:r>
      <w:r w:rsidRPr="008009AE">
        <w:rPr>
          <w:rFonts w:cstheme="minorHAnsi"/>
          <w:sz w:val="24"/>
          <w:szCs w:val="24"/>
          <w:lang w:val="en-US"/>
        </w:rPr>
        <w:t xml:space="preserve">sections onto adhesive glass slides suitable for </w:t>
      </w:r>
      <w:proofErr w:type="spellStart"/>
      <w:r w:rsidRPr="008009AE">
        <w:rPr>
          <w:rFonts w:cstheme="minorHAnsi"/>
          <w:sz w:val="24"/>
          <w:szCs w:val="24"/>
          <w:lang w:val="en-US"/>
        </w:rPr>
        <w:t>immunohistochemistry</w:t>
      </w:r>
      <w:proofErr w:type="spellEnd"/>
      <w:r w:rsidRPr="008009AE">
        <w:rPr>
          <w:rFonts w:cstheme="minorHAnsi"/>
          <w:sz w:val="24"/>
          <w:szCs w:val="24"/>
          <w:lang w:val="en-US"/>
        </w:rPr>
        <w:t xml:space="preserve"> and store them at −20 °C until use.</w:t>
      </w:r>
    </w:p>
    <w:p w:rsidR="00526AB6" w:rsidRPr="00C03E9B" w:rsidRDefault="00526AB6" w:rsidP="00526AB6">
      <w:pPr>
        <w:pStyle w:val="Paragrafoelenco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C03E9B">
        <w:rPr>
          <w:rFonts w:cstheme="minorHAnsi"/>
          <w:b/>
          <w:sz w:val="24"/>
          <w:szCs w:val="24"/>
          <w:lang w:val="en-US"/>
        </w:rPr>
        <w:t>Note: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8009AE">
        <w:rPr>
          <w:rFonts w:cstheme="minorHAnsi"/>
          <w:sz w:val="24"/>
          <w:szCs w:val="24"/>
          <w:lang w:val="en-US"/>
        </w:rPr>
        <w:t>Store slides between -20°C a</w:t>
      </w:r>
      <w:proofErr w:type="spellStart"/>
      <w:r w:rsidRPr="008009AE">
        <w:rPr>
          <w:rFonts w:cstheme="minorHAnsi"/>
          <w:sz w:val="24"/>
          <w:szCs w:val="24"/>
          <w:lang w:val="en-GB"/>
        </w:rPr>
        <w:t>nd</w:t>
      </w:r>
      <w:proofErr w:type="spellEnd"/>
      <w:r w:rsidRPr="008009AE">
        <w:rPr>
          <w:rFonts w:cstheme="minorHAnsi"/>
          <w:sz w:val="24"/>
          <w:szCs w:val="24"/>
          <w:lang w:val="en-GB"/>
        </w:rPr>
        <w:t xml:space="preserve"> 4°C in a dark slide box or slide book.</w:t>
      </w:r>
    </w:p>
    <w:p w:rsidR="00526AB6" w:rsidRPr="008009AE" w:rsidRDefault="00526AB6" w:rsidP="00526AB6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eastAsiaTheme="minorEastAsia" w:cstheme="minorHAnsi"/>
          <w:b/>
          <w:sz w:val="24"/>
          <w:szCs w:val="24"/>
          <w:lang w:val="en-GB" w:eastAsia="it-IT"/>
        </w:rPr>
      </w:pPr>
      <w:r w:rsidRPr="008009AE">
        <w:rPr>
          <w:rFonts w:eastAsiaTheme="minorEastAsia" w:cstheme="minorHAnsi"/>
          <w:b/>
          <w:sz w:val="24"/>
          <w:szCs w:val="24"/>
          <w:lang w:val="en-GB" w:eastAsia="it-IT"/>
        </w:rPr>
        <w:t xml:space="preserve">Blocking of non specific binding sites and tissue </w:t>
      </w:r>
      <w:proofErr w:type="spellStart"/>
      <w:r w:rsidRPr="008009AE">
        <w:rPr>
          <w:rFonts w:eastAsiaTheme="minorEastAsia" w:cstheme="minorHAnsi"/>
          <w:b/>
          <w:sz w:val="24"/>
          <w:szCs w:val="24"/>
          <w:lang w:val="en-GB" w:eastAsia="it-IT"/>
        </w:rPr>
        <w:t>permeabilizzation</w:t>
      </w:r>
      <w:proofErr w:type="spellEnd"/>
    </w:p>
    <w:p w:rsidR="00526AB6" w:rsidRPr="008009AE" w:rsidRDefault="00526AB6" w:rsidP="00526AB6">
      <w:pPr>
        <w:pStyle w:val="Paragrafoelenco"/>
        <w:spacing w:after="0" w:line="240" w:lineRule="auto"/>
        <w:ind w:left="1047"/>
        <w:jc w:val="both"/>
        <w:rPr>
          <w:rFonts w:eastAsiaTheme="minorEastAsia" w:cstheme="minorHAnsi"/>
          <w:b/>
          <w:sz w:val="24"/>
          <w:szCs w:val="24"/>
          <w:lang w:val="en-GB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ind w:right="33"/>
        <w:jc w:val="both"/>
        <w:rPr>
          <w:rFonts w:eastAsiaTheme="minorEastAsia" w:cstheme="minorHAnsi"/>
          <w:sz w:val="24"/>
          <w:szCs w:val="24"/>
          <w:lang w:val="en-US"/>
        </w:rPr>
      </w:pPr>
      <w:r w:rsidRPr="008009AE">
        <w:rPr>
          <w:rFonts w:cstheme="minorHAnsi"/>
          <w:sz w:val="24"/>
          <w:szCs w:val="24"/>
          <w:lang w:val="en-US"/>
        </w:rPr>
        <w:t xml:space="preserve">Demarcate the tissue area on the slide with a solvent resistant pen. </w:t>
      </w:r>
    </w:p>
    <w:p w:rsidR="00526AB6" w:rsidRPr="008009AE" w:rsidRDefault="00526AB6" w:rsidP="00526AB6">
      <w:pPr>
        <w:pStyle w:val="Paragrafoelenco"/>
        <w:spacing w:after="0" w:line="240" w:lineRule="auto"/>
        <w:ind w:left="2421" w:right="33"/>
        <w:jc w:val="both"/>
        <w:rPr>
          <w:rFonts w:eastAsiaTheme="minorEastAsia" w:cstheme="minorHAnsi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cstheme="minorHAnsi"/>
          <w:color w:val="333333"/>
          <w:sz w:val="24"/>
          <w:szCs w:val="24"/>
          <w:lang w:val="en-US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>Rinse the sections 3 times, 5 min each, with PB 0.1M pH7.4.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cstheme="minorHAnsi"/>
          <w:color w:val="333333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cstheme="minorHAnsi"/>
          <w:color w:val="333333"/>
          <w:sz w:val="24"/>
          <w:szCs w:val="24"/>
          <w:lang w:val="en-US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Incubate the sections with 1% normal donkey serum dissolved in the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permeabilization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buffer PB-Triton X-100 0.3% (PB-T) for 30 minutes at RT to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permeabilize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the cell membrane and to block the </w:t>
      </w:r>
      <w:r w:rsidRPr="008009AE">
        <w:rPr>
          <w:rFonts w:cstheme="minorHAnsi"/>
          <w:sz w:val="24"/>
          <w:szCs w:val="24"/>
          <w:lang w:val="en-US"/>
        </w:rPr>
        <w:t>nonspecific binding sites.</w:t>
      </w:r>
    </w:p>
    <w:p w:rsidR="00526AB6" w:rsidRPr="008009AE" w:rsidRDefault="00526AB6" w:rsidP="00526AB6">
      <w:pPr>
        <w:pStyle w:val="Paragrafoelenco"/>
        <w:spacing w:after="0" w:line="240" w:lineRule="auto"/>
        <w:ind w:left="1146"/>
        <w:jc w:val="both"/>
        <w:rPr>
          <w:rFonts w:cstheme="minorHAnsi"/>
          <w:color w:val="333333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numPr>
          <w:ilvl w:val="3"/>
          <w:numId w:val="1"/>
        </w:numPr>
        <w:spacing w:after="0" w:line="240" w:lineRule="auto"/>
        <w:ind w:left="0"/>
        <w:jc w:val="both"/>
        <w:rPr>
          <w:rFonts w:cstheme="minorHAnsi"/>
          <w:color w:val="333333"/>
          <w:sz w:val="24"/>
          <w:szCs w:val="24"/>
          <w:lang w:val="en-US"/>
        </w:rPr>
      </w:pPr>
      <w:r w:rsidRPr="008009AE">
        <w:rPr>
          <w:rFonts w:cstheme="minorHAnsi"/>
          <w:sz w:val="24"/>
          <w:szCs w:val="24"/>
          <w:lang w:val="en-US"/>
        </w:rPr>
        <w:t xml:space="preserve">Prepare </w:t>
      </w: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Triton X-100 </w:t>
      </w:r>
      <w:r w:rsidRPr="008009AE">
        <w:rPr>
          <w:rFonts w:eastAsiaTheme="minorEastAsia" w:cstheme="minorHAnsi"/>
          <w:sz w:val="24"/>
          <w:szCs w:val="24"/>
          <w:lang w:val="en-US"/>
        </w:rPr>
        <w:t xml:space="preserve">0.3% dissolving 0.3 </w:t>
      </w:r>
      <w:proofErr w:type="spellStart"/>
      <w:r>
        <w:rPr>
          <w:rFonts w:eastAsiaTheme="minorEastAsia" w:cstheme="minorHAnsi"/>
          <w:sz w:val="24"/>
          <w:szCs w:val="24"/>
          <w:lang w:val="en-US"/>
        </w:rPr>
        <w:t>mL</w:t>
      </w:r>
      <w:proofErr w:type="spellEnd"/>
      <w:r w:rsidRPr="008009AE">
        <w:rPr>
          <w:rFonts w:eastAsiaTheme="minorEastAsia" w:cstheme="minorHAnsi"/>
          <w:sz w:val="24"/>
          <w:szCs w:val="24"/>
          <w:lang w:val="en-US"/>
        </w:rPr>
        <w:t xml:space="preserve"> </w:t>
      </w:r>
      <w:r w:rsidRPr="008009AE">
        <w:rPr>
          <w:rFonts w:cstheme="minorHAnsi"/>
          <w:color w:val="000000"/>
          <w:sz w:val="24"/>
          <w:szCs w:val="24"/>
          <w:lang w:val="en-US"/>
        </w:rPr>
        <w:t xml:space="preserve">Triton X-100 </w:t>
      </w:r>
      <w:r w:rsidRPr="008009AE">
        <w:rPr>
          <w:rFonts w:eastAsiaTheme="minorEastAsia" w:cstheme="minorHAnsi"/>
          <w:sz w:val="24"/>
          <w:szCs w:val="24"/>
          <w:lang w:val="en-US"/>
        </w:rPr>
        <w:t xml:space="preserve">in 100 </w:t>
      </w:r>
      <w:proofErr w:type="spellStart"/>
      <w:r w:rsidRPr="008009AE">
        <w:rPr>
          <w:rFonts w:eastAsiaTheme="minorEastAsia" w:cstheme="minorHAnsi"/>
          <w:sz w:val="24"/>
          <w:szCs w:val="24"/>
          <w:lang w:val="en-US"/>
        </w:rPr>
        <w:t>m</w:t>
      </w:r>
      <w:r>
        <w:rPr>
          <w:rFonts w:eastAsiaTheme="minorEastAsia" w:cstheme="minorHAnsi"/>
          <w:sz w:val="24"/>
          <w:szCs w:val="24"/>
          <w:lang w:val="en-US"/>
        </w:rPr>
        <w:t>L</w:t>
      </w:r>
      <w:proofErr w:type="spellEnd"/>
      <w:r w:rsidRPr="008009AE">
        <w:rPr>
          <w:rFonts w:eastAsiaTheme="minorEastAsia" w:cstheme="minorHAnsi"/>
          <w:sz w:val="24"/>
          <w:szCs w:val="24"/>
          <w:lang w:val="en-US"/>
        </w:rPr>
        <w:t xml:space="preserve"> of </w:t>
      </w: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PB 0.1M, pH7.4. </w:t>
      </w:r>
    </w:p>
    <w:p w:rsidR="00526AB6" w:rsidRPr="008009AE" w:rsidRDefault="00526AB6" w:rsidP="00526AB6">
      <w:pPr>
        <w:pStyle w:val="Paragrafoelenco"/>
        <w:spacing w:after="0" w:line="240" w:lineRule="auto"/>
        <w:ind w:left="0"/>
        <w:jc w:val="both"/>
        <w:rPr>
          <w:rFonts w:cstheme="minorHAnsi"/>
          <w:color w:val="333333"/>
          <w:sz w:val="24"/>
          <w:szCs w:val="24"/>
          <w:lang w:val="en-US"/>
        </w:rPr>
      </w:pPr>
    </w:p>
    <w:p w:rsidR="00526AB6" w:rsidRPr="008747DF" w:rsidRDefault="00526AB6" w:rsidP="00526AB6">
      <w:pPr>
        <w:pStyle w:val="Paragrafoelenco"/>
        <w:numPr>
          <w:ilvl w:val="3"/>
          <w:numId w:val="1"/>
        </w:numPr>
        <w:spacing w:after="0" w:line="240" w:lineRule="auto"/>
        <w:ind w:left="0"/>
        <w:jc w:val="both"/>
        <w:rPr>
          <w:rFonts w:cstheme="minorHAnsi"/>
          <w:color w:val="333333"/>
          <w:sz w:val="24"/>
          <w:szCs w:val="24"/>
          <w:lang w:val="en-US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>Prepare the blocking solution</w:t>
      </w:r>
      <w:r w:rsidRPr="008009AE">
        <w:rPr>
          <w:rFonts w:eastAsiaTheme="minorEastAsia" w:cstheme="minorHAnsi"/>
          <w:sz w:val="24"/>
          <w:szCs w:val="24"/>
          <w:lang w:val="en-US"/>
        </w:rPr>
        <w:t xml:space="preserve"> dissolving </w:t>
      </w:r>
      <w:r w:rsidRPr="008009AE">
        <w:rPr>
          <w:rFonts w:cstheme="minorHAnsi"/>
          <w:sz w:val="24"/>
          <w:szCs w:val="24"/>
          <w:lang w:val="en-US"/>
        </w:rPr>
        <w:t>1% normal donkey serum in PB containing 0.3% TritonX-100.</w:t>
      </w:r>
      <w:r w:rsidRPr="008009AE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:rsidR="00526AB6" w:rsidRPr="008747DF" w:rsidRDefault="00526AB6" w:rsidP="00526AB6">
      <w:pPr>
        <w:pStyle w:val="Paragrafoelenco"/>
        <w:rPr>
          <w:rFonts w:cstheme="minorHAnsi"/>
          <w:color w:val="333333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spacing w:after="0" w:line="240" w:lineRule="auto"/>
        <w:ind w:left="0"/>
        <w:jc w:val="both"/>
        <w:rPr>
          <w:rFonts w:cstheme="minorHAnsi"/>
          <w:color w:val="333333"/>
          <w:sz w:val="24"/>
          <w:szCs w:val="24"/>
          <w:lang w:val="en-US"/>
        </w:rPr>
      </w:pPr>
      <w:r w:rsidRPr="008747DF">
        <w:rPr>
          <w:rFonts w:cstheme="minorHAnsi"/>
          <w:b/>
          <w:color w:val="333333"/>
          <w:sz w:val="24"/>
          <w:szCs w:val="24"/>
          <w:highlight w:val="yellow"/>
          <w:lang w:val="en-US"/>
        </w:rPr>
        <w:t>Note:</w:t>
      </w:r>
      <w:r w:rsidRPr="008747DF">
        <w:rPr>
          <w:rFonts w:cstheme="minorHAnsi"/>
          <w:color w:val="333333"/>
          <w:sz w:val="24"/>
          <w:szCs w:val="24"/>
          <w:highlight w:val="yellow"/>
          <w:lang w:val="en-US"/>
        </w:rPr>
        <w:t xml:space="preserve"> </w:t>
      </w:r>
      <w:r w:rsidRPr="008747DF">
        <w:rPr>
          <w:rFonts w:eastAsiaTheme="minorEastAsia" w:cstheme="minorHAnsi"/>
          <w:sz w:val="24"/>
          <w:szCs w:val="24"/>
          <w:highlight w:val="yellow"/>
          <w:lang w:val="en-US" w:eastAsia="it-IT"/>
        </w:rPr>
        <w:t xml:space="preserve">The animal </w:t>
      </w:r>
      <w:proofErr w:type="spellStart"/>
      <w:r w:rsidRPr="008747DF">
        <w:rPr>
          <w:rFonts w:eastAsiaTheme="minorEastAsia" w:cstheme="minorHAnsi"/>
          <w:sz w:val="24"/>
          <w:szCs w:val="24"/>
          <w:highlight w:val="yellow"/>
          <w:lang w:val="en-US" w:eastAsia="it-IT"/>
        </w:rPr>
        <w:t>specie</w:t>
      </w:r>
      <w:proofErr w:type="spellEnd"/>
      <w:r w:rsidRPr="008747DF">
        <w:rPr>
          <w:rFonts w:eastAsiaTheme="minorEastAsia" w:cstheme="minorHAnsi"/>
          <w:sz w:val="24"/>
          <w:szCs w:val="24"/>
          <w:highlight w:val="yellow"/>
          <w:lang w:val="en-US" w:eastAsia="it-IT"/>
        </w:rPr>
        <w:t xml:space="preserve"> of the serum used in the </w:t>
      </w:r>
      <w:proofErr w:type="spellStart"/>
      <w:r w:rsidRPr="008747DF">
        <w:rPr>
          <w:rFonts w:eastAsiaTheme="minorEastAsia" w:cstheme="minorHAnsi"/>
          <w:sz w:val="24"/>
          <w:szCs w:val="24"/>
          <w:highlight w:val="yellow"/>
          <w:lang w:val="en-US" w:eastAsia="it-IT"/>
        </w:rPr>
        <w:t>permeabilization</w:t>
      </w:r>
      <w:proofErr w:type="spellEnd"/>
      <w:r w:rsidRPr="008747DF">
        <w:rPr>
          <w:rFonts w:eastAsiaTheme="minorEastAsia" w:cstheme="minorHAnsi"/>
          <w:sz w:val="24"/>
          <w:szCs w:val="24"/>
          <w:highlight w:val="yellow"/>
          <w:lang w:val="en-US" w:eastAsia="it-IT"/>
        </w:rPr>
        <w:t xml:space="preserve"> and blocking buffers are dependent on the host of the secondary antibody.</w:t>
      </w:r>
    </w:p>
    <w:p w:rsidR="00526AB6" w:rsidRPr="008009AE" w:rsidRDefault="00526AB6" w:rsidP="00526AB6">
      <w:pPr>
        <w:pStyle w:val="Paragrafoelenco"/>
        <w:spacing w:after="0" w:line="240" w:lineRule="auto"/>
        <w:ind w:left="2203"/>
        <w:jc w:val="both"/>
        <w:rPr>
          <w:rFonts w:cstheme="minorHAnsi"/>
          <w:color w:val="333333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color w:val="333333"/>
          <w:sz w:val="24"/>
          <w:szCs w:val="24"/>
          <w:lang w:val="en-US"/>
        </w:rPr>
      </w:pPr>
      <w:r w:rsidRPr="008009AE">
        <w:rPr>
          <w:rFonts w:cstheme="minorHAnsi"/>
          <w:b/>
          <w:color w:val="333333"/>
          <w:sz w:val="24"/>
          <w:szCs w:val="24"/>
          <w:lang w:val="en-US"/>
        </w:rPr>
        <w:t xml:space="preserve">Incubation with mix of primary antibodies </w:t>
      </w:r>
    </w:p>
    <w:p w:rsidR="00526AB6" w:rsidRPr="008009AE" w:rsidRDefault="00526AB6" w:rsidP="00526AB6">
      <w:pPr>
        <w:pStyle w:val="Paragrafoelenco"/>
        <w:spacing w:after="0" w:line="240" w:lineRule="auto"/>
        <w:ind w:left="1866"/>
        <w:jc w:val="both"/>
        <w:rPr>
          <w:rFonts w:cstheme="minorHAnsi"/>
          <w:color w:val="333333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cstheme="minorHAnsi"/>
          <w:color w:val="333333"/>
          <w:sz w:val="24"/>
          <w:szCs w:val="24"/>
          <w:lang w:val="en-US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>Rinse the sections 3 times, 5 min each, with PB 0.1M, pH7.4.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cstheme="minorHAnsi"/>
          <w:color w:val="333333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cstheme="minorHAnsi"/>
          <w:color w:val="333333"/>
          <w:sz w:val="24"/>
          <w:szCs w:val="24"/>
          <w:lang w:val="en-US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Incubate the sections overnight </w:t>
      </w:r>
      <w:r w:rsidRPr="008009AE">
        <w:rPr>
          <w:rFonts w:cstheme="minorHAnsi"/>
          <w:sz w:val="24"/>
          <w:szCs w:val="24"/>
          <w:lang w:val="en-US"/>
        </w:rPr>
        <w:t xml:space="preserve">in a humid box </w:t>
      </w:r>
      <w:r w:rsidRPr="008009AE">
        <w:rPr>
          <w:rFonts w:eastAsiaTheme="minorEastAsia" w:cstheme="minorHAnsi"/>
          <w:sz w:val="24"/>
          <w:szCs w:val="24"/>
          <w:lang w:val="en-US" w:eastAsia="it-IT"/>
        </w:rPr>
        <w:t>at RT with a mix of primary antibodies</w:t>
      </w:r>
      <w:r w:rsidRPr="008009AE">
        <w:rPr>
          <w:rFonts w:cstheme="minorHAnsi"/>
          <w:sz w:val="24"/>
          <w:szCs w:val="24"/>
          <w:lang w:val="en-US"/>
        </w:rPr>
        <w:t xml:space="preserve"> </w:t>
      </w: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diluted in PB-T. The following mix of primary antibodies can be used: </w:t>
      </w:r>
    </w:p>
    <w:p w:rsidR="00526AB6" w:rsidRPr="008009AE" w:rsidRDefault="00526AB6" w:rsidP="00526AB6">
      <w:pPr>
        <w:pStyle w:val="Paragrafoelenco"/>
        <w:spacing w:after="0" w:line="240" w:lineRule="auto"/>
        <w:ind w:left="1146"/>
        <w:jc w:val="both"/>
        <w:rPr>
          <w:rFonts w:cstheme="minorHAnsi"/>
          <w:color w:val="333333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numPr>
          <w:ilvl w:val="3"/>
          <w:numId w:val="1"/>
        </w:numPr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goat antibody against OX-2R diluted 1:100/rabbit antibody against </w:t>
      </w:r>
      <w:bookmarkStart w:id="0" w:name="_Hlk516935468"/>
      <w:r w:rsidRPr="008009AE">
        <w:rPr>
          <w:rFonts w:eastAsiaTheme="minorEastAsia" w:cstheme="minorHAnsi"/>
          <w:sz w:val="24"/>
          <w:szCs w:val="24"/>
          <w:lang w:val="en-US" w:eastAsia="it-IT"/>
        </w:rPr>
        <w:t>CB1R diluted 1:100</w:t>
      </w:r>
      <w:bookmarkEnd w:id="0"/>
      <w:r w:rsidRPr="008009AE">
        <w:rPr>
          <w:rFonts w:eastAsiaTheme="minorEastAsia" w:cstheme="minorHAnsi"/>
          <w:sz w:val="24"/>
          <w:szCs w:val="24"/>
          <w:lang w:val="en-US" w:eastAsia="it-IT"/>
        </w:rPr>
        <w:t>.</w:t>
      </w:r>
    </w:p>
    <w:p w:rsidR="00526AB6" w:rsidRPr="008009AE" w:rsidRDefault="00526AB6" w:rsidP="00526AB6">
      <w:pPr>
        <w:pStyle w:val="Paragrafoelenco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3"/>
          <w:numId w:val="1"/>
        </w:numPr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goat antibody against OX-A diluted 1:100/rabbit antibody against CB1R diluted 1:100. </w:t>
      </w:r>
    </w:p>
    <w:p w:rsidR="00526AB6" w:rsidRPr="008009AE" w:rsidRDefault="00526AB6" w:rsidP="00526AB6">
      <w:pPr>
        <w:pStyle w:val="Paragrafoelenco"/>
        <w:spacing w:after="0" w:line="240" w:lineRule="auto"/>
        <w:ind w:left="1920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eastAsiaTheme="minorEastAsia" w:cstheme="minorHAnsi"/>
          <w:b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b/>
          <w:sz w:val="24"/>
          <w:szCs w:val="24"/>
          <w:lang w:val="en-US" w:eastAsia="it-IT"/>
        </w:rPr>
        <w:t>Incubation with mix of secondary antibodies</w:t>
      </w:r>
    </w:p>
    <w:p w:rsidR="00526AB6" w:rsidRPr="008009AE" w:rsidRDefault="00526AB6" w:rsidP="00526AB6">
      <w:pPr>
        <w:pStyle w:val="Paragrafoelenco"/>
        <w:spacing w:after="0" w:line="240" w:lineRule="auto"/>
        <w:ind w:left="1047"/>
        <w:jc w:val="both"/>
        <w:rPr>
          <w:rFonts w:eastAsiaTheme="minorEastAsia" w:cstheme="minorHAnsi"/>
          <w:b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>Rinse the sections 3 times, 5 min each, with PB 0.1M, pH7.4.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lastRenderedPageBreak/>
        <w:t xml:space="preserve">Incubate the sections for 2 hrs at RT with a mix of donkey anti rabbit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Alexa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fluor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488-conjugated secondary antibody/donkey anti goat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Alexa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fluor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594-conjugated secondary antibody diluted 1:100 in PB-T or a mix of donkey anti goat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Alexa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fluor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488-conjugated secondary antibody/donkey anti rabbit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Alexa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fluor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594-conjugated secondary antibody diluted 1:100 in PB-T.</w:t>
      </w:r>
    </w:p>
    <w:p w:rsidR="00526AB6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747DF" w:rsidRDefault="00526AB6" w:rsidP="00526AB6">
      <w:pPr>
        <w:pStyle w:val="Paragrafoelenco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highlight w:val="yellow"/>
          <w:lang w:val="en-US" w:eastAsia="it-IT"/>
        </w:rPr>
      </w:pPr>
      <w:r w:rsidRPr="008747DF">
        <w:rPr>
          <w:rFonts w:cstheme="minorHAnsi"/>
          <w:b/>
          <w:sz w:val="24"/>
          <w:szCs w:val="24"/>
          <w:highlight w:val="yellow"/>
          <w:lang w:val="en-US"/>
        </w:rPr>
        <w:t>Notes:</w:t>
      </w:r>
      <w:r w:rsidRPr="008747DF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8747DF">
        <w:rPr>
          <w:rFonts w:eastAsiaTheme="minorEastAsia" w:cstheme="minorHAnsi"/>
          <w:sz w:val="24"/>
          <w:szCs w:val="24"/>
          <w:highlight w:val="yellow"/>
          <w:lang w:val="en-US" w:eastAsia="it-IT"/>
        </w:rPr>
        <w:t xml:space="preserve">Use secondary antibodies developed in the same animal host and the normal serum must belong to the same specie of the </w:t>
      </w:r>
      <w:proofErr w:type="spellStart"/>
      <w:r w:rsidRPr="008747DF">
        <w:rPr>
          <w:rFonts w:eastAsiaTheme="minorEastAsia" w:cstheme="minorHAnsi"/>
          <w:sz w:val="24"/>
          <w:szCs w:val="24"/>
          <w:highlight w:val="yellow"/>
          <w:lang w:val="en-US" w:eastAsia="it-IT"/>
        </w:rPr>
        <w:t>secondaru</w:t>
      </w:r>
      <w:proofErr w:type="spellEnd"/>
      <w:r w:rsidRPr="008747DF">
        <w:rPr>
          <w:rFonts w:eastAsiaTheme="minorEastAsia" w:cstheme="minorHAnsi"/>
          <w:sz w:val="24"/>
          <w:szCs w:val="24"/>
          <w:highlight w:val="yellow"/>
          <w:lang w:val="en-US" w:eastAsia="it-IT"/>
        </w:rPr>
        <w:t xml:space="preserve"> antibody (e.g. use secondary antibodies developed in donkey and a donkey normal serum). </w:t>
      </w:r>
    </w:p>
    <w:p w:rsidR="00526AB6" w:rsidRPr="008009AE" w:rsidRDefault="00526AB6" w:rsidP="00526AB6">
      <w:pPr>
        <w:pStyle w:val="Paragrafoelenco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747DF">
        <w:rPr>
          <w:rFonts w:cstheme="minorHAnsi"/>
          <w:sz w:val="24"/>
          <w:szCs w:val="24"/>
          <w:highlight w:val="yellow"/>
          <w:lang w:val="en-US"/>
        </w:rPr>
        <w:t xml:space="preserve">Dilute the primary and secondary antibodies with blocking buffer containing the detergent to increase cell </w:t>
      </w:r>
      <w:proofErr w:type="spellStart"/>
      <w:r w:rsidRPr="008747DF">
        <w:rPr>
          <w:rFonts w:cstheme="minorHAnsi"/>
          <w:sz w:val="24"/>
          <w:szCs w:val="24"/>
          <w:highlight w:val="yellow"/>
          <w:lang w:val="en-US"/>
        </w:rPr>
        <w:t>permeabilization</w:t>
      </w:r>
      <w:proofErr w:type="spellEnd"/>
      <w:r w:rsidRPr="008747DF">
        <w:rPr>
          <w:rFonts w:cstheme="minorHAnsi"/>
          <w:sz w:val="24"/>
          <w:szCs w:val="24"/>
          <w:highlight w:val="yellow"/>
          <w:lang w:val="en-US"/>
        </w:rPr>
        <w:t xml:space="preserve"> and reduce the background.</w:t>
      </w:r>
      <w:r w:rsidRPr="008009AE">
        <w:rPr>
          <w:rFonts w:cstheme="minorHAnsi"/>
          <w:sz w:val="24"/>
          <w:szCs w:val="24"/>
          <w:lang w:val="en-US"/>
        </w:rPr>
        <w:t xml:space="preserve"> </w:t>
      </w:r>
    </w:p>
    <w:p w:rsidR="00526AB6" w:rsidRPr="008009AE" w:rsidRDefault="00526AB6" w:rsidP="00526AB6">
      <w:pPr>
        <w:pStyle w:val="Paragrafoelenco"/>
        <w:spacing w:after="0" w:line="240" w:lineRule="auto"/>
        <w:ind w:left="0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eastAsiaTheme="minorEastAsia" w:cstheme="minorHAnsi"/>
          <w:b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b/>
          <w:sz w:val="24"/>
          <w:szCs w:val="24"/>
          <w:lang w:val="en-US" w:eastAsia="it-IT"/>
        </w:rPr>
        <w:t>Tissue mounting</w:t>
      </w:r>
    </w:p>
    <w:p w:rsidR="00526AB6" w:rsidRPr="008009AE" w:rsidRDefault="00526AB6" w:rsidP="00526AB6">
      <w:pPr>
        <w:pStyle w:val="Paragrafoelenco"/>
        <w:spacing w:after="0" w:line="240" w:lineRule="auto"/>
        <w:ind w:left="1047"/>
        <w:jc w:val="both"/>
        <w:rPr>
          <w:rFonts w:eastAsiaTheme="minorEastAsia" w:cstheme="minorHAnsi"/>
          <w:b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Rinse the sections 3 times, 5 min each, with PB 0.1M, pH7.4. 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Counterstain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the sections with </w:t>
      </w:r>
      <w:bookmarkStart w:id="1" w:name="_Hlk507323013"/>
      <w:r w:rsidRPr="008009AE">
        <w:rPr>
          <w:rFonts w:eastAsiaTheme="minorEastAsia" w:cstheme="minorHAnsi"/>
          <w:sz w:val="24"/>
          <w:szCs w:val="24"/>
          <w:lang w:val="en-US" w:eastAsia="it-IT"/>
        </w:rPr>
        <w:t>the common nuclear dye DAPI (4’,6-diamidino-2-phenylindole</w:t>
      </w:r>
      <w:bookmarkEnd w:id="1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) prepared dissolving 1.5µl of DAPI </w:t>
      </w:r>
      <w:r>
        <w:rPr>
          <w:rFonts w:eastAsiaTheme="minorEastAsia" w:cstheme="minorHAnsi"/>
          <w:sz w:val="24"/>
          <w:szCs w:val="24"/>
          <w:lang w:val="en-US" w:eastAsia="it-IT"/>
        </w:rPr>
        <w:t>(1mg/</w:t>
      </w:r>
      <w:proofErr w:type="spellStart"/>
      <w:r>
        <w:rPr>
          <w:rFonts w:eastAsiaTheme="minorEastAsia" w:cstheme="minorHAnsi"/>
          <w:sz w:val="24"/>
          <w:szCs w:val="24"/>
          <w:lang w:val="en-US" w:eastAsia="it-IT"/>
        </w:rPr>
        <w:t>mL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>) in 3</w:t>
      </w:r>
      <w:r>
        <w:rPr>
          <w:rFonts w:eastAsiaTheme="minorEastAsia" w:cstheme="minorHAnsi"/>
          <w:sz w:val="24"/>
          <w:szCs w:val="24"/>
          <w:lang w:val="en-US" w:eastAsia="it-IT"/>
        </w:rPr>
        <w:t xml:space="preserve">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m</w:t>
      </w:r>
      <w:r>
        <w:rPr>
          <w:rFonts w:eastAsiaTheme="minorEastAsia" w:cstheme="minorHAnsi"/>
          <w:sz w:val="24"/>
          <w:szCs w:val="24"/>
          <w:lang w:val="en-US" w:eastAsia="it-IT"/>
        </w:rPr>
        <w:t>L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of PB.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Coverslip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slides with the Microscopy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Aquatex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mounting medium. This aqueous </w:t>
      </w:r>
      <w:r w:rsidRPr="008009AE">
        <w:rPr>
          <w:rFonts w:cstheme="minorHAnsi"/>
          <w:sz w:val="24"/>
          <w:szCs w:val="24"/>
          <w:lang w:val="en-US"/>
        </w:rPr>
        <w:t xml:space="preserve">mounting medium stabilizes the tissue sample and stains for long-term usage. </w:t>
      </w:r>
      <w:r w:rsidRPr="008009AE">
        <w:rPr>
          <w:rFonts w:cstheme="minorHAnsi"/>
          <w:sz w:val="24"/>
          <w:szCs w:val="24"/>
          <w:lang w:val="en-GB"/>
        </w:rPr>
        <w:t xml:space="preserve">Fluorescence samples can be stored in the dark at 4 °C. To prolong the life of </w:t>
      </w:r>
      <w:proofErr w:type="spellStart"/>
      <w:r w:rsidRPr="008009AE">
        <w:rPr>
          <w:rFonts w:cstheme="minorHAnsi"/>
          <w:sz w:val="24"/>
          <w:szCs w:val="24"/>
          <w:lang w:val="en-GB"/>
        </w:rPr>
        <w:t>fluorofores</w:t>
      </w:r>
      <w:proofErr w:type="spellEnd"/>
      <w:r w:rsidRPr="008009AE">
        <w:rPr>
          <w:rFonts w:cstheme="minorHAnsi"/>
          <w:sz w:val="24"/>
          <w:szCs w:val="24"/>
          <w:lang w:val="en-GB"/>
        </w:rPr>
        <w:t xml:space="preserve"> use an </w:t>
      </w:r>
      <w:proofErr w:type="spellStart"/>
      <w:r w:rsidRPr="008009AE">
        <w:rPr>
          <w:rFonts w:cstheme="minorHAnsi"/>
          <w:sz w:val="24"/>
          <w:szCs w:val="24"/>
          <w:lang w:val="en-GB"/>
        </w:rPr>
        <w:t>antifed</w:t>
      </w:r>
      <w:proofErr w:type="spellEnd"/>
      <w:r w:rsidRPr="008009AE">
        <w:rPr>
          <w:rFonts w:cstheme="minorHAnsi"/>
          <w:sz w:val="24"/>
          <w:szCs w:val="24"/>
          <w:lang w:val="en-GB"/>
        </w:rPr>
        <w:t xml:space="preserve"> mounting medium.</w:t>
      </w:r>
    </w:p>
    <w:p w:rsidR="00526AB6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GB" w:eastAsia="it-IT"/>
        </w:rPr>
      </w:pPr>
      <w:r w:rsidRPr="008747DF">
        <w:rPr>
          <w:rFonts w:cstheme="minorHAnsi"/>
          <w:b/>
          <w:sz w:val="24"/>
          <w:szCs w:val="24"/>
          <w:highlight w:val="yellow"/>
          <w:lang w:val="en-GB"/>
        </w:rPr>
        <w:t>Note:</w:t>
      </w:r>
      <w:r w:rsidRPr="008747DF">
        <w:rPr>
          <w:rFonts w:cstheme="minorHAnsi"/>
          <w:sz w:val="24"/>
          <w:szCs w:val="24"/>
          <w:highlight w:val="yellow"/>
          <w:lang w:val="en-GB"/>
        </w:rPr>
        <w:t xml:space="preserve"> Chose a good mounting medium. One of the most important parameters of mounting agents is the refractive index (</w:t>
      </w:r>
      <w:proofErr w:type="spellStart"/>
      <w:r w:rsidRPr="008747DF">
        <w:rPr>
          <w:rFonts w:cstheme="minorHAnsi"/>
          <w:sz w:val="24"/>
          <w:szCs w:val="24"/>
          <w:highlight w:val="yellow"/>
          <w:lang w:val="en-GB"/>
        </w:rPr>
        <w:t>nD</w:t>
      </w:r>
      <w:proofErr w:type="spellEnd"/>
      <w:r w:rsidRPr="008747DF">
        <w:rPr>
          <w:rFonts w:cstheme="minorHAnsi"/>
          <w:sz w:val="24"/>
          <w:szCs w:val="24"/>
          <w:highlight w:val="yellow"/>
          <w:lang w:val="en-GB"/>
        </w:rPr>
        <w:t xml:space="preserve">) which should be around 1.5, the refractive index of glass. </w:t>
      </w:r>
      <w:proofErr w:type="spellStart"/>
      <w:r w:rsidRPr="008747DF">
        <w:rPr>
          <w:rFonts w:cstheme="minorHAnsi"/>
          <w:sz w:val="24"/>
          <w:szCs w:val="24"/>
          <w:highlight w:val="yellow"/>
          <w:lang w:val="en-GB"/>
        </w:rPr>
        <w:t>Aquatex</w:t>
      </w:r>
      <w:proofErr w:type="spellEnd"/>
      <w:r w:rsidRPr="008747DF">
        <w:rPr>
          <w:rFonts w:cstheme="minorHAnsi"/>
          <w:sz w:val="24"/>
          <w:szCs w:val="24"/>
          <w:highlight w:val="yellow"/>
          <w:lang w:val="en-GB"/>
        </w:rPr>
        <w:t>®, an aqueous mounting medium, can be used especially with specimens prepared for enzyme and lipid determinations i.e. specimens that must not be dehydrated with an ascending series of alcohol.</w:t>
      </w:r>
    </w:p>
    <w:p w:rsidR="00526AB6" w:rsidRPr="008009AE" w:rsidRDefault="00526AB6" w:rsidP="00526AB6">
      <w:pPr>
        <w:pStyle w:val="Paragrafoelenco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eastAsiaTheme="minorEastAsia" w:cstheme="minorHAnsi"/>
          <w:b/>
          <w:sz w:val="24"/>
          <w:szCs w:val="24"/>
          <w:lang w:eastAsia="it-IT"/>
        </w:rPr>
      </w:pPr>
      <w:proofErr w:type="spellStart"/>
      <w:r w:rsidRPr="008009AE">
        <w:rPr>
          <w:rFonts w:eastAsiaTheme="minorEastAsia" w:cstheme="minorHAnsi"/>
          <w:b/>
          <w:sz w:val="24"/>
          <w:szCs w:val="24"/>
          <w:lang w:eastAsia="it-IT"/>
        </w:rPr>
        <w:t>Controls</w:t>
      </w:r>
      <w:proofErr w:type="spellEnd"/>
    </w:p>
    <w:p w:rsidR="00526AB6" w:rsidRPr="008009AE" w:rsidRDefault="00526AB6" w:rsidP="00526AB6">
      <w:pPr>
        <w:spacing w:after="0" w:line="240" w:lineRule="auto"/>
        <w:jc w:val="both"/>
        <w:rPr>
          <w:rFonts w:eastAsiaTheme="minorEastAsia" w:cstheme="minorHAnsi"/>
          <w:b/>
          <w:sz w:val="24"/>
          <w:szCs w:val="24"/>
          <w:lang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Repeat all the steps omitting the primary or secondary antibody or substituting, in the specific step, the primary or secondary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antisera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with PB (negative control).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>Repeat all the steps pre-absorbing each primary antibody with an excess of the relative peptide (100 mg of peptide/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m</w:t>
      </w:r>
      <w:r>
        <w:rPr>
          <w:rFonts w:eastAsiaTheme="minorEastAsia" w:cstheme="minorHAnsi"/>
          <w:sz w:val="24"/>
          <w:szCs w:val="24"/>
          <w:lang w:val="en-US" w:eastAsia="it-IT"/>
        </w:rPr>
        <w:t>L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of diluted antiserum). 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>Repeat all the steps on slices of mouse brain (positive control).</w:t>
      </w:r>
    </w:p>
    <w:p w:rsidR="00526AB6" w:rsidRPr="00C03E9B" w:rsidRDefault="00526AB6" w:rsidP="00526AB6">
      <w:pPr>
        <w:pStyle w:val="Paragrafoelenco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747DF" w:rsidRDefault="00526AB6" w:rsidP="00526AB6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  <w:commentRangeStart w:id="2"/>
      <w:r w:rsidRPr="008747DF">
        <w:rPr>
          <w:rFonts w:cstheme="minorHAnsi"/>
          <w:b/>
          <w:sz w:val="24"/>
          <w:szCs w:val="24"/>
          <w:highlight w:val="yellow"/>
          <w:lang w:val="en-US"/>
        </w:rPr>
        <w:t>General Notes</w:t>
      </w:r>
      <w:commentRangeEnd w:id="2"/>
      <w:r w:rsidRPr="008747DF">
        <w:rPr>
          <w:rStyle w:val="Rimandocommento"/>
          <w:highlight w:val="yellow"/>
        </w:rPr>
        <w:commentReference w:id="2"/>
      </w:r>
      <w:r w:rsidRPr="008747DF">
        <w:rPr>
          <w:rFonts w:cstheme="minorHAnsi"/>
          <w:b/>
          <w:sz w:val="24"/>
          <w:szCs w:val="24"/>
          <w:highlight w:val="yellow"/>
          <w:lang w:val="en-US"/>
        </w:rPr>
        <w:t xml:space="preserve">: </w:t>
      </w:r>
      <w:r w:rsidRPr="008747DF">
        <w:rPr>
          <w:rFonts w:cstheme="minorHAnsi"/>
          <w:sz w:val="24"/>
          <w:szCs w:val="24"/>
          <w:highlight w:val="yellow"/>
          <w:lang w:val="en-US"/>
        </w:rPr>
        <w:t xml:space="preserve">Prepare all the buffers freshly shortly before starting. </w:t>
      </w:r>
    </w:p>
    <w:p w:rsidR="00526AB6" w:rsidRPr="008009AE" w:rsidRDefault="00526AB6" w:rsidP="00526AB6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proofErr w:type="spellStart"/>
      <w:r w:rsidRPr="008747DF">
        <w:rPr>
          <w:rFonts w:cstheme="minorHAnsi"/>
          <w:sz w:val="24"/>
          <w:szCs w:val="24"/>
          <w:highlight w:val="yellow"/>
          <w:lang w:val="en-US"/>
        </w:rPr>
        <w:t>Remov</w:t>
      </w:r>
      <w:proofErr w:type="spellEnd"/>
      <w:r w:rsidRPr="008747DF">
        <w:rPr>
          <w:rFonts w:cstheme="minorHAnsi"/>
          <w:sz w:val="24"/>
          <w:szCs w:val="24"/>
          <w:highlight w:val="yellow"/>
          <w:lang w:val="en-GB"/>
        </w:rPr>
        <w:t>e</w:t>
      </w:r>
      <w:r w:rsidRPr="008747DF">
        <w:rPr>
          <w:rFonts w:cstheme="minorHAnsi"/>
          <w:sz w:val="24"/>
          <w:szCs w:val="24"/>
          <w:highlight w:val="yellow"/>
          <w:lang w:val="en-US"/>
        </w:rPr>
        <w:t xml:space="preserve"> the excess of fluid carefully at each step with a pipette, or filter paper around the sections, but</w:t>
      </w:r>
      <w:r w:rsidRPr="008747DF">
        <w:rPr>
          <w:rFonts w:cstheme="minorHAnsi"/>
          <w:sz w:val="24"/>
          <w:szCs w:val="24"/>
          <w:highlight w:val="yellow"/>
          <w:lang w:val="en-GB"/>
        </w:rPr>
        <w:t xml:space="preserve"> keeping </w:t>
      </w:r>
      <w:proofErr w:type="spellStart"/>
      <w:r w:rsidRPr="008747DF">
        <w:rPr>
          <w:rFonts w:cstheme="minorHAnsi"/>
          <w:sz w:val="24"/>
          <w:szCs w:val="24"/>
          <w:highlight w:val="yellow"/>
          <w:lang w:val="en-GB"/>
        </w:rPr>
        <w:t>alwa</w:t>
      </w:r>
      <w:r w:rsidRPr="008747DF">
        <w:rPr>
          <w:rFonts w:eastAsiaTheme="minorEastAsia" w:cstheme="minorHAnsi"/>
          <w:sz w:val="24"/>
          <w:szCs w:val="24"/>
          <w:highlight w:val="yellow"/>
          <w:lang w:val="en-US" w:eastAsia="it-IT"/>
        </w:rPr>
        <w:t>y</w:t>
      </w:r>
      <w:r w:rsidRPr="008747DF">
        <w:rPr>
          <w:rFonts w:cstheme="minorHAnsi"/>
          <w:sz w:val="24"/>
          <w:szCs w:val="24"/>
          <w:highlight w:val="yellow"/>
          <w:lang w:val="en-US"/>
        </w:rPr>
        <w:t>s</w:t>
      </w:r>
      <w:proofErr w:type="spellEnd"/>
      <w:r w:rsidRPr="008747DF">
        <w:rPr>
          <w:rFonts w:cstheme="minorHAnsi"/>
          <w:sz w:val="24"/>
          <w:szCs w:val="24"/>
          <w:highlight w:val="yellow"/>
          <w:lang w:val="en-US"/>
        </w:rPr>
        <w:t xml:space="preserve"> the section humid.</w:t>
      </w:r>
      <w:r w:rsidRPr="008009AE">
        <w:rPr>
          <w:rFonts w:cstheme="minorHAnsi"/>
          <w:sz w:val="24"/>
          <w:szCs w:val="24"/>
          <w:lang w:val="en-US"/>
        </w:rPr>
        <w:t xml:space="preserve"> </w:t>
      </w:r>
    </w:p>
    <w:p w:rsidR="00526AB6" w:rsidRPr="008009AE" w:rsidRDefault="00526AB6" w:rsidP="00526AB6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1"/>
          <w:numId w:val="1"/>
        </w:numPr>
        <w:spacing w:after="0" w:line="240" w:lineRule="auto"/>
        <w:ind w:right="33"/>
        <w:jc w:val="both"/>
        <w:rPr>
          <w:rFonts w:eastAsiaTheme="minorEastAsia" w:cstheme="minorHAnsi"/>
          <w:b/>
          <w:sz w:val="24"/>
          <w:szCs w:val="24"/>
          <w:lang w:val="en-US" w:eastAsia="it-IT"/>
        </w:rPr>
      </w:pPr>
      <w:r w:rsidRPr="008009AE">
        <w:rPr>
          <w:rFonts w:cstheme="minorHAnsi"/>
          <w:b/>
          <w:sz w:val="24"/>
          <w:szCs w:val="24"/>
          <w:lang w:val="en-US"/>
        </w:rPr>
        <w:t>Image acquisition</w:t>
      </w:r>
    </w:p>
    <w:p w:rsidR="00526AB6" w:rsidRPr="008009AE" w:rsidRDefault="00526AB6" w:rsidP="00526AB6">
      <w:pPr>
        <w:pStyle w:val="Paragrafoelenco"/>
        <w:spacing w:after="0" w:line="240" w:lineRule="auto"/>
        <w:ind w:left="1047" w:right="33"/>
        <w:jc w:val="both"/>
        <w:rPr>
          <w:rFonts w:eastAsiaTheme="minorEastAsia" w:cstheme="minorHAnsi"/>
          <w:b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Use a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confocal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microscope equipped with x-y-z motorized stage, a digital camera and the acquisition and Image analysis software </w:t>
      </w:r>
      <w:r>
        <w:rPr>
          <w:rFonts w:eastAsiaTheme="minorEastAsia" w:cstheme="minorHAnsi"/>
          <w:sz w:val="24"/>
          <w:szCs w:val="24"/>
          <w:lang w:val="en-US" w:eastAsia="it-IT"/>
        </w:rPr>
        <w:t xml:space="preserve">like </w:t>
      </w: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NIS-Elements C to observe and analyze the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immunostained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sections. Acquire digital images using the 5-20-40x objectives. 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GB" w:eastAsia="it-IT"/>
        </w:rPr>
      </w:pPr>
      <w:r w:rsidRPr="008009AE">
        <w:rPr>
          <w:rFonts w:eastAsia="Times New Roman" w:cstheme="minorHAnsi"/>
          <w:sz w:val="24"/>
          <w:szCs w:val="24"/>
          <w:lang w:val="en-GB"/>
        </w:rPr>
        <w:lastRenderedPageBreak/>
        <w:t xml:space="preserve">Take the images of each section at low magnification (10X or 20X/objective) in each of the available channels in order to compose a low magnification montage providing an overview of the entire region to facilitate the localization and documentation of OX-2R/CB1R anatomical co-expression. Normalize the fluorescence images to maximal contrast and overlaid before the analysis. </w:t>
      </w:r>
    </w:p>
    <w:p w:rsidR="00526AB6" w:rsidRPr="008009AE" w:rsidRDefault="00526AB6" w:rsidP="00526AB6">
      <w:pPr>
        <w:pStyle w:val="Paragrafoelenco"/>
        <w:spacing w:after="0" w:line="240" w:lineRule="auto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GB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Collect serial Z-stacks of images throughout the area of interest. </w:t>
      </w:r>
      <w:r w:rsidRPr="008009AE">
        <w:rPr>
          <w:rFonts w:eastAsiaTheme="minorEastAsia" w:cstheme="minorHAnsi"/>
          <w:sz w:val="24"/>
          <w:szCs w:val="24"/>
          <w:lang w:val="en-GB" w:eastAsia="it-IT"/>
        </w:rPr>
        <w:t xml:space="preserve">Acquire the images through 6 focal planes (Z-step) with focal steps of 1-1.8 µm to cover the tissue volume in which OX-2R/CB1R </w:t>
      </w:r>
      <w:proofErr w:type="spellStart"/>
      <w:r w:rsidRPr="008009AE">
        <w:rPr>
          <w:rFonts w:eastAsiaTheme="minorEastAsia" w:cstheme="minorHAnsi"/>
          <w:sz w:val="24"/>
          <w:szCs w:val="24"/>
          <w:lang w:val="en-GB" w:eastAsia="it-IT"/>
        </w:rPr>
        <w:t>coexpression</w:t>
      </w:r>
      <w:proofErr w:type="spellEnd"/>
      <w:r w:rsidRPr="008009AE">
        <w:rPr>
          <w:rFonts w:eastAsiaTheme="minorEastAsia" w:cstheme="minorHAnsi"/>
          <w:sz w:val="24"/>
          <w:szCs w:val="24"/>
          <w:lang w:val="en-GB" w:eastAsia="it-IT"/>
        </w:rPr>
        <w:t xml:space="preserve"> is visualized as yellow </w:t>
      </w:r>
      <w:proofErr w:type="spellStart"/>
      <w:r w:rsidRPr="008009AE">
        <w:rPr>
          <w:rFonts w:eastAsiaTheme="minorEastAsia" w:cstheme="minorHAnsi"/>
          <w:sz w:val="24"/>
          <w:szCs w:val="24"/>
          <w:lang w:val="en-GB" w:eastAsia="it-IT"/>
        </w:rPr>
        <w:t>puncta</w:t>
      </w:r>
      <w:proofErr w:type="spellEnd"/>
      <w:r w:rsidRPr="008009AE">
        <w:rPr>
          <w:rFonts w:eastAsiaTheme="minorEastAsia" w:cstheme="minorHAnsi"/>
          <w:sz w:val="24"/>
          <w:szCs w:val="24"/>
          <w:lang w:val="en-GB" w:eastAsia="it-IT"/>
        </w:rPr>
        <w:t xml:space="preserve">. To do this collection for each channel (red, green, blue) separately, by using a Z-motorized microscope. </w:t>
      </w:r>
    </w:p>
    <w:p w:rsidR="00526AB6" w:rsidRPr="008009AE" w:rsidRDefault="00526AB6" w:rsidP="00526AB6">
      <w:pPr>
        <w:pStyle w:val="Paragrafoelenco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8009AE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sz w:val="24"/>
          <w:szCs w:val="24"/>
          <w:lang w:val="en-US" w:eastAsia="it-IT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Use an imaging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deconvolution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software to </w:t>
      </w:r>
      <w:proofErr w:type="spellStart"/>
      <w:r w:rsidRPr="008009AE">
        <w:rPr>
          <w:rFonts w:eastAsiaTheme="minorEastAsia" w:cstheme="minorHAnsi"/>
          <w:sz w:val="24"/>
          <w:szCs w:val="24"/>
          <w:lang w:val="en-US" w:eastAsia="it-IT"/>
        </w:rPr>
        <w:t>deconvolve</w:t>
      </w:r>
      <w:proofErr w:type="spellEnd"/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 images by application of ten iterations and collapse the serial Z planes images into a single maximum projection image. </w:t>
      </w:r>
    </w:p>
    <w:p w:rsidR="00526AB6" w:rsidRPr="008009AE" w:rsidRDefault="00526AB6" w:rsidP="00526AB6">
      <w:pPr>
        <w:pStyle w:val="Paragrafoelenco"/>
        <w:spacing w:after="0" w:line="240" w:lineRule="auto"/>
        <w:ind w:left="2421"/>
        <w:jc w:val="both"/>
        <w:rPr>
          <w:rFonts w:eastAsiaTheme="minorEastAsia" w:cstheme="minorHAnsi"/>
          <w:sz w:val="24"/>
          <w:szCs w:val="24"/>
          <w:lang w:val="en-US" w:eastAsia="it-IT"/>
        </w:rPr>
      </w:pPr>
    </w:p>
    <w:p w:rsidR="00526AB6" w:rsidRPr="00C03E9B" w:rsidRDefault="00526AB6" w:rsidP="00526AB6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009AE">
        <w:rPr>
          <w:rFonts w:eastAsiaTheme="minorEastAsia" w:cstheme="minorHAnsi"/>
          <w:sz w:val="24"/>
          <w:szCs w:val="24"/>
          <w:lang w:val="en-US" w:eastAsia="it-IT"/>
        </w:rPr>
        <w:t>Adjust micrographs for light and contrast using Adobe Photoshop 6.0</w:t>
      </w:r>
      <w:r>
        <w:rPr>
          <w:rFonts w:eastAsiaTheme="minorEastAsia" w:cstheme="minorHAnsi"/>
          <w:sz w:val="24"/>
          <w:szCs w:val="24"/>
          <w:lang w:val="en-US" w:eastAsia="it-IT"/>
        </w:rPr>
        <w:t>1 (Adobe Systems, San Jose, CA)</w:t>
      </w:r>
      <w:r w:rsidRPr="008009AE">
        <w:rPr>
          <w:rFonts w:eastAsiaTheme="minorEastAsia" w:cstheme="minorHAnsi"/>
          <w:sz w:val="24"/>
          <w:szCs w:val="24"/>
          <w:lang w:val="en-US" w:eastAsia="it-IT"/>
        </w:rPr>
        <w:t xml:space="preserve">. </w:t>
      </w:r>
    </w:p>
    <w:p w:rsidR="00526AB6" w:rsidRPr="00C03E9B" w:rsidRDefault="00526AB6" w:rsidP="00526AB6">
      <w:pPr>
        <w:pStyle w:val="Paragrafoelenco"/>
        <w:rPr>
          <w:rFonts w:cstheme="minorHAnsi"/>
          <w:sz w:val="24"/>
          <w:szCs w:val="24"/>
          <w:lang w:val="en-US"/>
        </w:rPr>
      </w:pPr>
    </w:p>
    <w:p w:rsidR="00526AB6" w:rsidRPr="008009AE" w:rsidRDefault="00526AB6" w:rsidP="00526AB6">
      <w:pPr>
        <w:pStyle w:val="Paragrafoelenco"/>
        <w:spacing w:after="0" w:line="240" w:lineRule="auto"/>
        <w:ind w:left="0" w:right="33"/>
        <w:jc w:val="both"/>
        <w:rPr>
          <w:rFonts w:cstheme="minorHAnsi"/>
          <w:sz w:val="24"/>
          <w:szCs w:val="24"/>
          <w:lang w:val="en-US"/>
        </w:rPr>
      </w:pPr>
      <w:r w:rsidRPr="008747DF">
        <w:rPr>
          <w:rFonts w:cstheme="minorHAnsi"/>
          <w:b/>
          <w:sz w:val="24"/>
          <w:szCs w:val="24"/>
          <w:highlight w:val="yellow"/>
          <w:lang w:val="en-US"/>
        </w:rPr>
        <w:t>Notes:</w:t>
      </w:r>
      <w:r w:rsidRPr="008747DF">
        <w:rPr>
          <w:rFonts w:cs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Pr="008747DF">
        <w:rPr>
          <w:rFonts w:cstheme="minorHAnsi"/>
          <w:sz w:val="24"/>
          <w:szCs w:val="24"/>
          <w:highlight w:val="yellow"/>
          <w:lang w:val="en-US"/>
        </w:rPr>
        <w:t>Performe</w:t>
      </w:r>
      <w:proofErr w:type="spellEnd"/>
      <w:r w:rsidRPr="008747DF">
        <w:rPr>
          <w:rFonts w:cstheme="minorHAnsi"/>
          <w:sz w:val="24"/>
          <w:szCs w:val="24"/>
          <w:highlight w:val="yellow"/>
          <w:lang w:val="en-US"/>
        </w:rPr>
        <w:t xml:space="preserve"> the </w:t>
      </w:r>
      <w:proofErr w:type="spellStart"/>
      <w:r w:rsidRPr="008747DF">
        <w:rPr>
          <w:rFonts w:cstheme="minorHAnsi"/>
          <w:sz w:val="24"/>
          <w:szCs w:val="24"/>
          <w:highlight w:val="yellow"/>
          <w:lang w:val="en-US"/>
        </w:rPr>
        <w:t>deconvolution</w:t>
      </w:r>
      <w:proofErr w:type="spellEnd"/>
      <w:r w:rsidRPr="008747DF">
        <w:rPr>
          <w:rFonts w:cstheme="minorHAnsi"/>
          <w:sz w:val="24"/>
          <w:szCs w:val="24"/>
          <w:highlight w:val="yellow"/>
          <w:lang w:val="en-US"/>
        </w:rPr>
        <w:t xml:space="preserve"> step during observation to further decrease the background. Limit the slide exposure to light to prevent </w:t>
      </w:r>
      <w:proofErr w:type="spellStart"/>
      <w:r w:rsidRPr="008747DF">
        <w:rPr>
          <w:rFonts w:cstheme="minorHAnsi"/>
          <w:sz w:val="24"/>
          <w:szCs w:val="24"/>
          <w:highlight w:val="yellow"/>
          <w:lang w:val="en-US"/>
        </w:rPr>
        <w:t>photobleaching</w:t>
      </w:r>
      <w:proofErr w:type="spellEnd"/>
      <w:r w:rsidRPr="008747DF">
        <w:rPr>
          <w:rFonts w:cstheme="minorHAnsi"/>
          <w:sz w:val="24"/>
          <w:szCs w:val="24"/>
          <w:highlight w:val="yellow"/>
          <w:lang w:val="en-US"/>
        </w:rPr>
        <w:t>.</w:t>
      </w:r>
      <w:r w:rsidRPr="008009AE">
        <w:rPr>
          <w:rFonts w:cstheme="minorHAnsi"/>
          <w:sz w:val="24"/>
          <w:szCs w:val="24"/>
          <w:lang w:val="en-US"/>
        </w:rPr>
        <w:t xml:space="preserve"> </w:t>
      </w:r>
    </w:p>
    <w:p w:rsidR="00526AB6" w:rsidRPr="00C03E9B" w:rsidRDefault="00526AB6" w:rsidP="00526A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8D43E9" w:rsidRPr="008009AE" w:rsidRDefault="008D43E9" w:rsidP="00526AB6">
      <w:pPr>
        <w:pStyle w:val="Paragrafoelenco"/>
        <w:spacing w:after="0" w:line="240" w:lineRule="auto"/>
        <w:ind w:left="0" w:right="33"/>
        <w:jc w:val="both"/>
        <w:rPr>
          <w:rFonts w:cstheme="minorHAnsi"/>
          <w:sz w:val="24"/>
          <w:szCs w:val="24"/>
          <w:lang w:val="en-US"/>
        </w:rPr>
      </w:pPr>
    </w:p>
    <w:sectPr w:rsidR="008D43E9" w:rsidRPr="008009AE" w:rsidSect="00BA1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Autore" w:date="2019-02-08T15:30:00Z" w:initials="A">
    <w:p w:rsidR="00526AB6" w:rsidRDefault="00526AB6" w:rsidP="00526AB6">
      <w:pPr>
        <w:pStyle w:val="Testocommento"/>
      </w:pPr>
      <w:r>
        <w:rPr>
          <w:rStyle w:val="Rimandocommento"/>
        </w:rPr>
        <w:annotationRef/>
      </w:r>
      <w:r>
        <w:t xml:space="preserve">As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rPr>
          <w:rStyle w:val="Rimandocommento"/>
        </w:rPr>
        <w:t>it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would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be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better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if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these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were</w:t>
      </w:r>
      <w:proofErr w:type="spellEnd"/>
      <w:r>
        <w:rPr>
          <w:rStyle w:val="Rimandocommento"/>
        </w:rPr>
        <w:t xml:space="preserve"> put </w:t>
      </w:r>
      <w:proofErr w:type="spellStart"/>
      <w:r>
        <w:rPr>
          <w:rStyle w:val="Rimandocommento"/>
        </w:rPr>
        <w:t>as</w:t>
      </w:r>
      <w:proofErr w:type="spellEnd"/>
      <w:r>
        <w:rPr>
          <w:rStyle w:val="Rimandocommento"/>
        </w:rPr>
        <w:t xml:space="preserve"> ‘notes’ </w:t>
      </w:r>
      <w:proofErr w:type="spellStart"/>
      <w:r>
        <w:rPr>
          <w:rStyle w:val="Rimandocommento"/>
        </w:rPr>
        <w:t>where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they</w:t>
      </w:r>
      <w:proofErr w:type="spellEnd"/>
      <w:r>
        <w:rPr>
          <w:rStyle w:val="Rimandocommento"/>
        </w:rPr>
        <w:t xml:space="preserve"> are </w:t>
      </w:r>
      <w:proofErr w:type="spellStart"/>
      <w:r>
        <w:rPr>
          <w:rStyle w:val="Rimandocommento"/>
        </w:rPr>
        <w:t>most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relevant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rather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than</w:t>
      </w:r>
      <w:proofErr w:type="spellEnd"/>
      <w:r>
        <w:rPr>
          <w:rStyle w:val="Rimandocommento"/>
        </w:rPr>
        <w:t xml:space="preserve"> </w:t>
      </w:r>
      <w:proofErr w:type="spellStart"/>
      <w:r>
        <w:rPr>
          <w:rStyle w:val="Rimandocommento"/>
        </w:rPr>
        <w:t>as</w:t>
      </w:r>
      <w:proofErr w:type="spellEnd"/>
      <w:r>
        <w:rPr>
          <w:rStyle w:val="Rimandocommento"/>
        </w:rPr>
        <w:t xml:space="preserve"> a separate </w:t>
      </w:r>
      <w:proofErr w:type="spellStart"/>
      <w:r>
        <w:rPr>
          <w:rStyle w:val="Rimandocommento"/>
        </w:rPr>
        <w:t>section</w:t>
      </w:r>
      <w:proofErr w:type="spellEnd"/>
      <w:r>
        <w:rPr>
          <w:rStyle w:val="Rimandocommento"/>
        </w:rPr>
        <w:t>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53BB"/>
    <w:multiLevelType w:val="multilevel"/>
    <w:tmpl w:val="69622C0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b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D43E9"/>
    <w:rsid w:val="00022BE2"/>
    <w:rsid w:val="00083E45"/>
    <w:rsid w:val="001403A7"/>
    <w:rsid w:val="00251D69"/>
    <w:rsid w:val="00422EAB"/>
    <w:rsid w:val="00526AB6"/>
    <w:rsid w:val="00597495"/>
    <w:rsid w:val="00651887"/>
    <w:rsid w:val="008D43E9"/>
    <w:rsid w:val="008E62D7"/>
    <w:rsid w:val="00A20A28"/>
    <w:rsid w:val="00BA11CC"/>
    <w:rsid w:val="00C6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3E9"/>
  </w:style>
  <w:style w:type="paragraph" w:styleId="Titolo2">
    <w:name w:val="heading 2"/>
    <w:basedOn w:val="Normale"/>
    <w:link w:val="Titolo2Carattere"/>
    <w:uiPriority w:val="9"/>
    <w:qFormat/>
    <w:rsid w:val="008D4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D43E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8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D43E9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8D43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43E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43E9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8D43E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Imperatore</dc:creator>
  <cp:lastModifiedBy>Roberta Imperatore</cp:lastModifiedBy>
  <cp:revision>5</cp:revision>
  <dcterms:created xsi:type="dcterms:W3CDTF">2019-02-06T13:07:00Z</dcterms:created>
  <dcterms:modified xsi:type="dcterms:W3CDTF">2019-02-08T14:33:00Z</dcterms:modified>
</cp:coreProperties>
</file>