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51F14D" w14:textId="77777777" w:rsidR="00274D4F" w:rsidRDefault="00274D4F">
      <w:pPr>
        <w:pStyle w:val="Default"/>
        <w:spacing w:line="276" w:lineRule="auto"/>
        <w:jc w:val="both"/>
        <w:rPr>
          <w:rFonts w:ascii="Arial" w:hAnsi="Arial" w:cs="Arial"/>
          <w:sz w:val="22"/>
        </w:rPr>
      </w:pPr>
    </w:p>
    <w:p w14:paraId="2DA2E653" w14:textId="77777777" w:rsidR="00274D4F" w:rsidRDefault="00F21EA5">
      <w:pPr>
        <w:pStyle w:val="Default"/>
        <w:jc w:val="both"/>
        <w:rPr>
          <w:rFonts w:ascii="Arial" w:hAnsi="Arial" w:cs="Arial"/>
          <w:color w:val="auto"/>
          <w:sz w:val="22"/>
          <w:szCs w:val="22"/>
          <w:highlight w:val="white"/>
        </w:rPr>
      </w:pPr>
      <w:r>
        <w:rPr>
          <w:rFonts w:ascii="Arial" w:hAnsi="Arial" w:cs="Arial"/>
          <w:color w:val="auto"/>
          <w:sz w:val="22"/>
          <w:szCs w:val="22"/>
          <w:highlight w:val="white"/>
        </w:rPr>
        <w:t>Nandita Singh, Ph.D.</w:t>
      </w:r>
    </w:p>
    <w:p w14:paraId="5D6ABF57" w14:textId="77777777" w:rsidR="00274D4F" w:rsidRDefault="00F21EA5">
      <w:pPr>
        <w:pStyle w:val="Default"/>
        <w:jc w:val="both"/>
        <w:rPr>
          <w:rFonts w:ascii="Arial" w:hAnsi="Arial" w:cs="Arial"/>
          <w:color w:val="auto"/>
          <w:sz w:val="22"/>
          <w:szCs w:val="22"/>
          <w:highlight w:val="white"/>
        </w:rPr>
      </w:pPr>
      <w:r>
        <w:rPr>
          <w:rFonts w:ascii="Arial" w:hAnsi="Arial" w:cs="Arial"/>
          <w:color w:val="auto"/>
          <w:sz w:val="22"/>
          <w:szCs w:val="22"/>
          <w:highlight w:val="white"/>
        </w:rPr>
        <w:t>Senior Science Editor</w:t>
      </w:r>
    </w:p>
    <w:p w14:paraId="633B477E" w14:textId="77777777" w:rsidR="00274D4F" w:rsidRDefault="00F21EA5">
      <w:pPr>
        <w:contextualSpacing/>
        <w:jc w:val="both"/>
        <w:rPr>
          <w:rFonts w:ascii="Arial" w:hAnsi="Arial" w:cs="Arial"/>
          <w:i/>
          <w:sz w:val="22"/>
          <w:szCs w:val="22"/>
        </w:rPr>
      </w:pPr>
      <w:r>
        <w:rPr>
          <w:rFonts w:ascii="Arial" w:hAnsi="Arial" w:cs="Arial"/>
          <w:i/>
          <w:sz w:val="22"/>
          <w:szCs w:val="22"/>
        </w:rPr>
        <w:t>Journal of Visualized Experiments</w:t>
      </w:r>
    </w:p>
    <w:p w14:paraId="74329346" w14:textId="77777777" w:rsidR="00274D4F" w:rsidRDefault="00F21EA5">
      <w:pPr>
        <w:pStyle w:val="Default"/>
        <w:jc w:val="both"/>
        <w:rPr>
          <w:rFonts w:ascii="Arial" w:hAnsi="Arial" w:cs="Arial"/>
          <w:color w:val="auto"/>
          <w:sz w:val="22"/>
          <w:szCs w:val="22"/>
          <w:highlight w:val="white"/>
        </w:rPr>
      </w:pPr>
      <w:r>
        <w:rPr>
          <w:rFonts w:ascii="Arial" w:hAnsi="Arial" w:cs="Arial"/>
          <w:color w:val="auto"/>
          <w:sz w:val="22"/>
          <w:szCs w:val="22"/>
          <w:highlight w:val="white"/>
        </w:rPr>
        <w:t>Email: nandita.singh@jove.com</w:t>
      </w:r>
    </w:p>
    <w:p w14:paraId="5348D0DA" w14:textId="77777777" w:rsidR="00274D4F" w:rsidRDefault="00274D4F">
      <w:pPr>
        <w:pStyle w:val="Default"/>
        <w:spacing w:line="276" w:lineRule="auto"/>
        <w:jc w:val="both"/>
        <w:rPr>
          <w:rFonts w:ascii="Arial" w:hAnsi="Arial" w:cs="Arial"/>
          <w:sz w:val="22"/>
          <w:szCs w:val="22"/>
        </w:rPr>
      </w:pPr>
    </w:p>
    <w:p w14:paraId="2B810EBE" w14:textId="29996522" w:rsidR="00274D4F" w:rsidRDefault="00F21EA5">
      <w:pPr>
        <w:pStyle w:val="Default"/>
        <w:spacing w:line="276" w:lineRule="auto"/>
        <w:rPr>
          <w:rFonts w:ascii="Arial" w:hAnsi="Arial" w:cs="Arial"/>
          <w:sz w:val="22"/>
        </w:rPr>
      </w:pPr>
      <w:r>
        <w:rPr>
          <w:rFonts w:ascii="Arial" w:hAnsi="Arial" w:cs="Arial"/>
          <w:sz w:val="22"/>
        </w:rPr>
        <w:t>1</w:t>
      </w:r>
      <w:r w:rsidR="00C02201">
        <w:rPr>
          <w:rFonts w:ascii="Arial" w:hAnsi="Arial" w:cs="Arial"/>
          <w:sz w:val="22"/>
        </w:rPr>
        <w:t>1</w:t>
      </w:r>
      <w:r>
        <w:rPr>
          <w:rFonts w:ascii="Arial" w:hAnsi="Arial" w:cs="Arial"/>
          <w:sz w:val="22"/>
        </w:rPr>
        <w:t xml:space="preserve"> </w:t>
      </w:r>
      <w:r w:rsidR="00C02201">
        <w:rPr>
          <w:rFonts w:ascii="Arial" w:hAnsi="Arial" w:cs="Arial"/>
          <w:sz w:val="22"/>
        </w:rPr>
        <w:t>February</w:t>
      </w:r>
      <w:r>
        <w:rPr>
          <w:rFonts w:ascii="Arial" w:hAnsi="Arial" w:cs="Arial"/>
          <w:sz w:val="22"/>
        </w:rPr>
        <w:t xml:space="preserve"> 201</w:t>
      </w:r>
      <w:r w:rsidR="00C02201">
        <w:rPr>
          <w:rFonts w:ascii="Arial" w:hAnsi="Arial" w:cs="Arial"/>
          <w:sz w:val="22"/>
        </w:rPr>
        <w:t>9</w:t>
      </w:r>
    </w:p>
    <w:p w14:paraId="111F56CF" w14:textId="77777777" w:rsidR="00274D4F" w:rsidRDefault="00274D4F">
      <w:pPr>
        <w:pStyle w:val="Default"/>
        <w:spacing w:line="276" w:lineRule="auto"/>
        <w:jc w:val="both"/>
        <w:rPr>
          <w:rFonts w:ascii="Arial" w:hAnsi="Arial" w:cs="Arial"/>
          <w:sz w:val="22"/>
          <w:szCs w:val="22"/>
        </w:rPr>
      </w:pPr>
    </w:p>
    <w:p w14:paraId="7A51F71F" w14:textId="77777777" w:rsidR="00274D4F" w:rsidRDefault="00F21EA5">
      <w:pPr>
        <w:pStyle w:val="Default"/>
        <w:spacing w:line="276" w:lineRule="auto"/>
        <w:jc w:val="both"/>
        <w:rPr>
          <w:rFonts w:ascii="Arial" w:hAnsi="Arial" w:cs="Arial"/>
          <w:sz w:val="22"/>
          <w:szCs w:val="22"/>
        </w:rPr>
      </w:pPr>
      <w:r>
        <w:rPr>
          <w:rFonts w:ascii="Arial" w:hAnsi="Arial" w:cs="Arial"/>
          <w:sz w:val="22"/>
          <w:szCs w:val="22"/>
        </w:rPr>
        <w:t>Dear Dr. Singh,</w:t>
      </w:r>
    </w:p>
    <w:p w14:paraId="35825BBF" w14:textId="77777777" w:rsidR="00274D4F" w:rsidRDefault="00274D4F">
      <w:pPr>
        <w:pStyle w:val="Default"/>
        <w:spacing w:line="276" w:lineRule="auto"/>
        <w:jc w:val="both"/>
        <w:rPr>
          <w:rFonts w:ascii="Arial" w:hAnsi="Arial" w:cs="Arial"/>
          <w:sz w:val="22"/>
          <w:szCs w:val="22"/>
        </w:rPr>
      </w:pPr>
    </w:p>
    <w:p w14:paraId="65066F0C" w14:textId="77777777" w:rsidR="00274D4F" w:rsidRDefault="00F21EA5">
      <w:pPr>
        <w:contextualSpacing/>
        <w:jc w:val="both"/>
        <w:rPr>
          <w:rFonts w:ascii="Arial" w:hAnsi="Arial" w:cs="Arial"/>
          <w:sz w:val="22"/>
          <w:szCs w:val="22"/>
        </w:rPr>
      </w:pPr>
      <w:r>
        <w:rPr>
          <w:rFonts w:ascii="Arial" w:hAnsi="Arial" w:cs="Arial"/>
          <w:sz w:val="22"/>
          <w:szCs w:val="22"/>
        </w:rPr>
        <w:t>Please find enclosed our revised manuscript entitled, “Studying Normal Tissue Radiation Effects using Extracellular Matrix Hydrogels.” We would like to thank the editorial staff and the reviewers for their supportive statements of the article. We appreciate the feedback and have addressed each comment in the attachment. We have also updated our manuscript to reflect the editorial comments.</w:t>
      </w:r>
    </w:p>
    <w:p w14:paraId="42DF1632" w14:textId="77777777" w:rsidR="00274D4F" w:rsidRDefault="00274D4F">
      <w:pPr>
        <w:contextualSpacing/>
        <w:jc w:val="both"/>
        <w:rPr>
          <w:rFonts w:ascii="Arial" w:hAnsi="Arial" w:cs="Arial"/>
          <w:sz w:val="22"/>
          <w:szCs w:val="22"/>
        </w:rPr>
      </w:pPr>
    </w:p>
    <w:p w14:paraId="03635927" w14:textId="77777777" w:rsidR="00274D4F" w:rsidRDefault="00F21EA5">
      <w:pPr>
        <w:contextualSpacing/>
        <w:jc w:val="both"/>
        <w:rPr>
          <w:rFonts w:ascii="Arial" w:hAnsi="Arial" w:cs="Arial"/>
          <w:sz w:val="22"/>
          <w:szCs w:val="22"/>
        </w:rPr>
      </w:pPr>
      <w:r>
        <w:rPr>
          <w:rFonts w:ascii="Arial" w:hAnsi="Arial" w:cs="Arial"/>
          <w:sz w:val="22"/>
          <w:szCs w:val="22"/>
        </w:rPr>
        <w:t>Thank you for considering our revised manuscript for publication. Please contact us if you have any questions.</w:t>
      </w:r>
    </w:p>
    <w:p w14:paraId="155FF09B" w14:textId="77777777" w:rsidR="00274D4F" w:rsidRDefault="00274D4F">
      <w:pPr>
        <w:tabs>
          <w:tab w:val="left" w:pos="0"/>
        </w:tabs>
        <w:jc w:val="both"/>
        <w:rPr>
          <w:rFonts w:ascii="Arial" w:hAnsi="Arial" w:cs="Arial"/>
          <w:bCs/>
          <w:sz w:val="22"/>
          <w:szCs w:val="22"/>
        </w:rPr>
      </w:pPr>
    </w:p>
    <w:p w14:paraId="1C9E3012" w14:textId="77777777" w:rsidR="00274D4F" w:rsidRDefault="00274D4F">
      <w:pPr>
        <w:tabs>
          <w:tab w:val="left" w:pos="0"/>
        </w:tabs>
        <w:rPr>
          <w:rFonts w:ascii="Arial" w:hAnsi="Arial" w:cs="Arial"/>
          <w:bCs/>
          <w:sz w:val="22"/>
          <w:szCs w:val="22"/>
        </w:rPr>
      </w:pPr>
    </w:p>
    <w:p w14:paraId="7BA6DA22" w14:textId="77777777" w:rsidR="00274D4F" w:rsidRDefault="00F21EA5">
      <w:pPr>
        <w:tabs>
          <w:tab w:val="left" w:pos="0"/>
        </w:tabs>
        <w:rPr>
          <w:rFonts w:ascii="Arial" w:hAnsi="Arial" w:cs="Arial"/>
          <w:sz w:val="22"/>
          <w:szCs w:val="22"/>
        </w:rPr>
      </w:pPr>
      <w:r>
        <w:rPr>
          <w:rFonts w:ascii="Arial" w:hAnsi="Arial" w:cs="Arial"/>
          <w:sz w:val="22"/>
          <w:szCs w:val="22"/>
        </w:rPr>
        <w:t>Sincerely,</w:t>
      </w:r>
    </w:p>
    <w:p w14:paraId="4B0B4203" w14:textId="77777777" w:rsidR="00274D4F" w:rsidRDefault="00F21EA5">
      <w:pPr>
        <w:tabs>
          <w:tab w:val="left" w:pos="0"/>
        </w:tabs>
      </w:pPr>
      <w:r>
        <w:rPr>
          <w:noProof/>
        </w:rPr>
        <w:drawing>
          <wp:inline distT="0" distB="5080" distL="0" distR="0" wp14:anchorId="6D584F02" wp14:editId="6FDBFFC7">
            <wp:extent cx="1870710" cy="394970"/>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7"/>
                    <a:stretch>
                      <a:fillRect/>
                    </a:stretch>
                  </pic:blipFill>
                  <pic:spPr bwMode="auto">
                    <a:xfrm>
                      <a:off x="0" y="0"/>
                      <a:ext cx="1870710" cy="394970"/>
                    </a:xfrm>
                    <a:prstGeom prst="rect">
                      <a:avLst/>
                    </a:prstGeom>
                  </pic:spPr>
                </pic:pic>
              </a:graphicData>
            </a:graphic>
          </wp:inline>
        </w:drawing>
      </w:r>
      <w:r>
        <w:rPr>
          <w:rFonts w:ascii="Arial" w:hAnsi="Arial" w:cs="Arial"/>
          <w:sz w:val="22"/>
          <w:szCs w:val="22"/>
        </w:rPr>
        <w:br/>
      </w:r>
    </w:p>
    <w:p w14:paraId="09F04A14" w14:textId="77777777" w:rsidR="00274D4F" w:rsidRDefault="00F21EA5">
      <w:pPr>
        <w:tabs>
          <w:tab w:val="left" w:pos="0"/>
        </w:tabs>
        <w:rPr>
          <w:rFonts w:ascii="Arial" w:hAnsi="Arial" w:cs="Arial"/>
          <w:sz w:val="22"/>
          <w:szCs w:val="22"/>
        </w:rPr>
      </w:pPr>
      <w:r>
        <w:rPr>
          <w:rFonts w:ascii="Arial" w:hAnsi="Arial" w:cs="Arial"/>
          <w:sz w:val="22"/>
          <w:szCs w:val="22"/>
        </w:rPr>
        <w:t>Marjan Rafat, Ph.D.</w:t>
      </w:r>
    </w:p>
    <w:p w14:paraId="6256A4B3" w14:textId="77777777" w:rsidR="00274D4F" w:rsidRDefault="00F21EA5">
      <w:pPr>
        <w:tabs>
          <w:tab w:val="left" w:pos="0"/>
        </w:tabs>
        <w:rPr>
          <w:rFonts w:ascii="Arial" w:hAnsi="Arial" w:cs="Arial"/>
          <w:sz w:val="22"/>
          <w:szCs w:val="22"/>
        </w:rPr>
      </w:pPr>
      <w:r>
        <w:rPr>
          <w:rFonts w:ascii="Arial" w:hAnsi="Arial" w:cs="Arial"/>
          <w:sz w:val="22"/>
          <w:szCs w:val="22"/>
        </w:rPr>
        <w:t>Assistant Professor of Chemical and Biomolecular Engineering</w:t>
      </w:r>
    </w:p>
    <w:p w14:paraId="30F95326" w14:textId="77777777" w:rsidR="00274D4F" w:rsidRDefault="00F21EA5">
      <w:pPr>
        <w:jc w:val="both"/>
        <w:rPr>
          <w:rFonts w:ascii="Arial" w:hAnsi="Arial" w:cs="Arial"/>
          <w:color w:val="000000"/>
          <w:sz w:val="22"/>
        </w:rPr>
      </w:pPr>
      <w:r>
        <w:rPr>
          <w:rFonts w:ascii="Arial" w:hAnsi="Arial" w:cs="Arial"/>
          <w:color w:val="000000"/>
          <w:sz w:val="22"/>
        </w:rPr>
        <w:t>Assistant Professor of Biomedical Engineering (Secondary)</w:t>
      </w:r>
    </w:p>
    <w:p w14:paraId="67F7B6C3" w14:textId="77777777" w:rsidR="00274D4F" w:rsidRDefault="00F21EA5">
      <w:pPr>
        <w:jc w:val="both"/>
        <w:rPr>
          <w:rFonts w:ascii="Arial" w:hAnsi="Arial" w:cs="Arial"/>
          <w:color w:val="000000"/>
          <w:sz w:val="22"/>
        </w:rPr>
      </w:pPr>
      <w:r>
        <w:rPr>
          <w:rFonts w:ascii="Arial" w:hAnsi="Arial" w:cs="Arial"/>
          <w:color w:val="000000"/>
          <w:sz w:val="22"/>
        </w:rPr>
        <w:t>Assistant Professor of Radiation Oncology (Secondary)</w:t>
      </w:r>
    </w:p>
    <w:p w14:paraId="252B4E81" w14:textId="77777777" w:rsidR="00274D4F" w:rsidRDefault="00F21EA5">
      <w:pPr>
        <w:jc w:val="both"/>
        <w:rPr>
          <w:rFonts w:ascii="Arial" w:hAnsi="Arial" w:cs="Arial"/>
          <w:color w:val="000000"/>
          <w:sz w:val="22"/>
        </w:rPr>
      </w:pPr>
      <w:r>
        <w:rPr>
          <w:rFonts w:ascii="Arial" w:hAnsi="Arial" w:cs="Arial"/>
          <w:color w:val="000000"/>
          <w:sz w:val="22"/>
        </w:rPr>
        <w:t>Faculty Member, Breast Cancer Research Program, Vanderbilt Ingram Cancer Center</w:t>
      </w:r>
    </w:p>
    <w:p w14:paraId="096F616A" w14:textId="77777777" w:rsidR="00274D4F" w:rsidRDefault="00F21EA5">
      <w:pPr>
        <w:tabs>
          <w:tab w:val="left" w:pos="0"/>
        </w:tabs>
        <w:rPr>
          <w:rFonts w:ascii="Arial" w:hAnsi="Arial" w:cs="Arial"/>
          <w:sz w:val="22"/>
          <w:szCs w:val="22"/>
        </w:rPr>
      </w:pPr>
      <w:r>
        <w:rPr>
          <w:rFonts w:ascii="Arial" w:hAnsi="Arial" w:cs="Arial"/>
          <w:sz w:val="22"/>
          <w:szCs w:val="22"/>
        </w:rPr>
        <w:t>Vanderbilt University</w:t>
      </w:r>
    </w:p>
    <w:p w14:paraId="10F8DBFA" w14:textId="48E15CB0" w:rsidR="00274D4F" w:rsidRDefault="00F21EA5">
      <w:pPr>
        <w:spacing w:after="200" w:line="276" w:lineRule="auto"/>
      </w:pPr>
      <w:r>
        <w:br w:type="page"/>
      </w:r>
    </w:p>
    <w:p w14:paraId="131D48AB" w14:textId="77777777" w:rsidR="00166BA5" w:rsidRDefault="00166BA5">
      <w:pPr>
        <w:spacing w:after="200" w:line="276" w:lineRule="auto"/>
        <w:rPr>
          <w:rFonts w:ascii="Arial" w:hAnsi="Arial" w:cs="Arial"/>
          <w:sz w:val="22"/>
          <w:szCs w:val="22"/>
        </w:rPr>
        <w:sectPr w:rsidR="00166BA5">
          <w:footerReference w:type="default" r:id="rId8"/>
          <w:headerReference w:type="first" r:id="rId9"/>
          <w:footerReference w:type="first" r:id="rId10"/>
          <w:pgSz w:w="12240" w:h="15840"/>
          <w:pgMar w:top="1080" w:right="900" w:bottom="417" w:left="1296" w:header="720" w:footer="360" w:gutter="0"/>
          <w:cols w:space="720"/>
          <w:formProt w:val="0"/>
          <w:titlePg/>
          <w:docGrid w:linePitch="100"/>
        </w:sectPr>
      </w:pPr>
    </w:p>
    <w:p w14:paraId="08AD9DD6" w14:textId="30799241" w:rsidR="00166BA5" w:rsidRDefault="00166BA5" w:rsidP="00567F00">
      <w:pPr>
        <w:rPr>
          <w:rFonts w:ascii="Arial" w:hAnsi="Arial" w:cs="Arial"/>
          <w:color w:val="000033"/>
          <w:sz w:val="22"/>
          <w:szCs w:val="22"/>
          <w:shd w:val="clear" w:color="auto" w:fill="FFFFFF"/>
        </w:rPr>
      </w:pPr>
      <w:r>
        <w:rPr>
          <w:rFonts w:ascii="Arial" w:hAnsi="Arial" w:cs="Arial"/>
          <w:sz w:val="22"/>
          <w:szCs w:val="22"/>
        </w:rPr>
        <w:lastRenderedPageBreak/>
        <w:t>Ms. No.</w:t>
      </w:r>
      <w:r w:rsidRPr="00567F00">
        <w:rPr>
          <w:rFonts w:ascii="Arial" w:hAnsi="Arial" w:cs="Arial"/>
          <w:sz w:val="22"/>
          <w:szCs w:val="22"/>
        </w:rPr>
        <w:t xml:space="preserve"> </w:t>
      </w:r>
      <w:r w:rsidR="00567F00" w:rsidRPr="00567F00">
        <w:rPr>
          <w:rFonts w:ascii="Arial" w:hAnsi="Arial" w:cs="Arial"/>
          <w:color w:val="000033"/>
          <w:sz w:val="22"/>
          <w:szCs w:val="22"/>
          <w:shd w:val="clear" w:color="auto" w:fill="FFFFFF"/>
        </w:rPr>
        <w:t>JoVE59304</w:t>
      </w:r>
    </w:p>
    <w:p w14:paraId="42EC8E7F" w14:textId="4648F630" w:rsidR="00567F00" w:rsidRDefault="00567F00" w:rsidP="00567F00">
      <w:pPr>
        <w:rPr>
          <w:rFonts w:ascii="Arial" w:hAnsi="Arial" w:cs="Arial"/>
          <w:sz w:val="22"/>
          <w:szCs w:val="22"/>
        </w:rPr>
      </w:pPr>
      <w:r>
        <w:rPr>
          <w:rFonts w:ascii="Arial" w:hAnsi="Arial" w:cs="Arial"/>
          <w:sz w:val="22"/>
          <w:szCs w:val="22"/>
        </w:rPr>
        <w:t>Title: Studying Normal Tissue Radiation Effects using Extracellular Matrix Hydrogels</w:t>
      </w:r>
    </w:p>
    <w:p w14:paraId="78196899" w14:textId="2A85988D" w:rsidR="00567F00" w:rsidRDefault="00567F00">
      <w:pPr>
        <w:spacing w:after="200" w:line="276" w:lineRule="auto"/>
        <w:rPr>
          <w:rFonts w:ascii="Arial" w:hAnsi="Arial" w:cs="Arial"/>
          <w:sz w:val="22"/>
          <w:szCs w:val="22"/>
        </w:rPr>
      </w:pPr>
    </w:p>
    <w:p w14:paraId="623A23D9" w14:textId="32E5DB8A" w:rsidR="00567F00" w:rsidRDefault="00567F00" w:rsidP="00567F00">
      <w:pPr>
        <w:jc w:val="both"/>
        <w:rPr>
          <w:rFonts w:ascii="Arial" w:hAnsi="Arial" w:cs="Arial"/>
          <w:color w:val="222222"/>
          <w:sz w:val="22"/>
          <w:szCs w:val="22"/>
          <w:shd w:val="clear" w:color="auto" w:fill="FFFFFF"/>
        </w:rPr>
      </w:pPr>
      <w:r w:rsidRPr="00567F00">
        <w:rPr>
          <w:rFonts w:ascii="Arial" w:hAnsi="Arial" w:cs="Arial"/>
          <w:color w:val="222222"/>
          <w:sz w:val="22"/>
          <w:szCs w:val="22"/>
          <w:shd w:val="clear" w:color="auto" w:fill="FFFFFF"/>
        </w:rPr>
        <w:t>We thank the editor and reviewers for their careful feedback, which has helped us to strengthen our manuscript significantly. We believe that we have addressed their comments and criticisms thoroughly. Below, we respond to the specific issues raised by the reviewers and discuss how we have revised the paper to address these points.</w:t>
      </w:r>
    </w:p>
    <w:p w14:paraId="37240AAF" w14:textId="7CBAB556" w:rsidR="00567F00" w:rsidRDefault="00567F00" w:rsidP="00567F00">
      <w:pPr>
        <w:jc w:val="both"/>
        <w:rPr>
          <w:rFonts w:ascii="Arial" w:hAnsi="Arial" w:cs="Arial"/>
          <w:sz w:val="22"/>
          <w:szCs w:val="22"/>
        </w:rPr>
      </w:pPr>
    </w:p>
    <w:p w14:paraId="21CB9550" w14:textId="14AB805E" w:rsidR="00567F00" w:rsidRDefault="00567F00" w:rsidP="00567F00">
      <w:pPr>
        <w:jc w:val="center"/>
        <w:rPr>
          <w:rFonts w:ascii="Arial" w:hAnsi="Arial" w:cs="Arial"/>
          <w:sz w:val="22"/>
          <w:szCs w:val="22"/>
        </w:rPr>
      </w:pPr>
      <w:r>
        <w:rPr>
          <w:rFonts w:ascii="Arial" w:hAnsi="Arial" w:cs="Arial"/>
          <w:sz w:val="22"/>
          <w:szCs w:val="22"/>
        </w:rPr>
        <w:t>Response to Editors</w:t>
      </w:r>
    </w:p>
    <w:tbl>
      <w:tblPr>
        <w:tblStyle w:val="TableGrid"/>
        <w:tblW w:w="0" w:type="auto"/>
        <w:tblLook w:val="04A0" w:firstRow="1" w:lastRow="0" w:firstColumn="1" w:lastColumn="0" w:noHBand="0" w:noVBand="1"/>
      </w:tblPr>
      <w:tblGrid>
        <w:gridCol w:w="5017"/>
        <w:gridCol w:w="5017"/>
      </w:tblGrid>
      <w:tr w:rsidR="00D1128A" w14:paraId="2B04A2BB" w14:textId="77777777" w:rsidTr="002D1105">
        <w:tc>
          <w:tcPr>
            <w:tcW w:w="5017" w:type="dxa"/>
            <w:vAlign w:val="center"/>
          </w:tcPr>
          <w:p w14:paraId="7C1DBD54" w14:textId="2E80666C" w:rsidR="00D1128A" w:rsidRPr="002D1105" w:rsidRDefault="00D1128A" w:rsidP="002D1105">
            <w:pPr>
              <w:jc w:val="center"/>
              <w:rPr>
                <w:rFonts w:ascii="Arial" w:hAnsi="Arial" w:cs="Arial"/>
                <w:b/>
                <w:sz w:val="22"/>
                <w:szCs w:val="22"/>
              </w:rPr>
            </w:pPr>
            <w:r>
              <w:rPr>
                <w:rFonts w:ascii="Arial" w:hAnsi="Arial" w:cs="Arial"/>
                <w:b/>
                <w:sz w:val="22"/>
                <w:szCs w:val="22"/>
              </w:rPr>
              <w:t>Editor Comments</w:t>
            </w:r>
          </w:p>
        </w:tc>
        <w:tc>
          <w:tcPr>
            <w:tcW w:w="5017" w:type="dxa"/>
            <w:vAlign w:val="center"/>
          </w:tcPr>
          <w:p w14:paraId="1BF5427E" w14:textId="1DF64C5F" w:rsidR="00D1128A" w:rsidRPr="002D1105" w:rsidRDefault="00D1128A" w:rsidP="002D1105">
            <w:pPr>
              <w:jc w:val="center"/>
              <w:rPr>
                <w:rFonts w:ascii="Arial" w:hAnsi="Arial" w:cs="Arial"/>
                <w:b/>
                <w:sz w:val="22"/>
                <w:szCs w:val="22"/>
              </w:rPr>
            </w:pPr>
            <w:r>
              <w:rPr>
                <w:rFonts w:ascii="Arial" w:hAnsi="Arial" w:cs="Arial"/>
                <w:b/>
                <w:sz w:val="22"/>
                <w:szCs w:val="22"/>
              </w:rPr>
              <w:t>Response</w:t>
            </w:r>
          </w:p>
        </w:tc>
      </w:tr>
      <w:tr w:rsidR="00D1128A" w14:paraId="286F7CA5" w14:textId="77777777" w:rsidTr="002D1105">
        <w:tc>
          <w:tcPr>
            <w:tcW w:w="5017" w:type="dxa"/>
            <w:vAlign w:val="center"/>
          </w:tcPr>
          <w:p w14:paraId="6BE3BA4B" w14:textId="0FC19D37" w:rsidR="00D1128A" w:rsidRDefault="00D1128A" w:rsidP="002D1105">
            <w:pPr>
              <w:rPr>
                <w:rFonts w:ascii="Arial" w:hAnsi="Arial" w:cs="Arial"/>
                <w:sz w:val="22"/>
                <w:szCs w:val="22"/>
              </w:rPr>
            </w:pPr>
            <w:r>
              <w:rPr>
                <w:rFonts w:ascii="Arial" w:hAnsi="Arial" w:cs="Arial"/>
                <w:sz w:val="22"/>
                <w:szCs w:val="22"/>
              </w:rPr>
              <w:t xml:space="preserve">1. </w:t>
            </w:r>
            <w:r w:rsidRPr="00D1128A">
              <w:rPr>
                <w:rFonts w:ascii="Arial" w:hAnsi="Arial" w:cs="Arial"/>
                <w:sz w:val="22"/>
                <w:szCs w:val="22"/>
              </w:rPr>
              <w:t>Please take this opportunity to thoroughly proofread the manuscript to ensure that there are no spelling or grammar issues.</w:t>
            </w:r>
          </w:p>
        </w:tc>
        <w:tc>
          <w:tcPr>
            <w:tcW w:w="5017" w:type="dxa"/>
            <w:vAlign w:val="center"/>
          </w:tcPr>
          <w:p w14:paraId="1A6ED1B3" w14:textId="2A9A3B54" w:rsidR="00D1128A" w:rsidRDefault="00EB67B5" w:rsidP="002D1105">
            <w:pPr>
              <w:rPr>
                <w:rFonts w:ascii="Arial" w:hAnsi="Arial" w:cs="Arial"/>
                <w:sz w:val="22"/>
                <w:szCs w:val="22"/>
              </w:rPr>
            </w:pPr>
            <w:r>
              <w:rPr>
                <w:rFonts w:ascii="Arial" w:hAnsi="Arial" w:cs="Arial"/>
                <w:sz w:val="22"/>
                <w:szCs w:val="22"/>
              </w:rPr>
              <w:t>Completed.</w:t>
            </w:r>
          </w:p>
        </w:tc>
      </w:tr>
      <w:tr w:rsidR="00D1128A" w14:paraId="04487DDC" w14:textId="77777777" w:rsidTr="002D1105">
        <w:tc>
          <w:tcPr>
            <w:tcW w:w="5017" w:type="dxa"/>
            <w:vAlign w:val="center"/>
          </w:tcPr>
          <w:p w14:paraId="580D9DC2" w14:textId="56CF133A" w:rsidR="00D1128A" w:rsidRDefault="00D1128A" w:rsidP="002D1105">
            <w:pPr>
              <w:rPr>
                <w:rFonts w:ascii="Arial" w:hAnsi="Arial" w:cs="Arial"/>
                <w:sz w:val="22"/>
                <w:szCs w:val="22"/>
              </w:rPr>
            </w:pPr>
            <w:r>
              <w:rPr>
                <w:rFonts w:ascii="Arial" w:hAnsi="Arial" w:cs="Arial"/>
                <w:sz w:val="22"/>
                <w:szCs w:val="22"/>
              </w:rPr>
              <w:t xml:space="preserve">2. </w:t>
            </w:r>
            <w:proofErr w:type="spellStart"/>
            <w:r w:rsidRPr="00D1128A">
              <w:rPr>
                <w:rFonts w:ascii="Arial" w:hAnsi="Arial" w:cs="Arial"/>
                <w:sz w:val="22"/>
                <w:szCs w:val="22"/>
              </w:rPr>
              <w:t>JoVE</w:t>
            </w:r>
            <w:proofErr w:type="spellEnd"/>
            <w:r w:rsidRPr="00D1128A">
              <w:rPr>
                <w:rFonts w:ascii="Arial" w:hAnsi="Arial" w:cs="Arial"/>
                <w:sz w:val="22"/>
                <w:szCs w:val="22"/>
              </w:rPr>
              <w:t xml:space="preserve"> cannot publish manuscripts containing commercial language. This includes trademark symbols (™), registered symbols (®), and company names before an instrument or reagent. Please remove all commercial language from your manuscript and use generic terms instead. All commercial products should be sufficiently referenced in the Table of Materials and Reagents. You may use the generic term followed by “(see table of materials)” to draw the readers’ attention to specific commercial names. Examples of commercial sounding language in your manuscript are: Kimwipe, Triton x-100, IVIS Lumina, Whatman, TA Instruments, </w:t>
            </w:r>
            <w:proofErr w:type="spellStart"/>
            <w:r w:rsidRPr="00D1128A">
              <w:rPr>
                <w:rFonts w:ascii="Arial" w:hAnsi="Arial" w:cs="Arial"/>
                <w:sz w:val="22"/>
                <w:szCs w:val="22"/>
              </w:rPr>
              <w:t>Fluoromount</w:t>
            </w:r>
            <w:proofErr w:type="spellEnd"/>
            <w:r w:rsidRPr="00D1128A">
              <w:rPr>
                <w:rFonts w:ascii="Arial" w:hAnsi="Arial" w:cs="Arial"/>
                <w:sz w:val="22"/>
                <w:szCs w:val="22"/>
              </w:rPr>
              <w:t>, etc.</w:t>
            </w:r>
          </w:p>
        </w:tc>
        <w:tc>
          <w:tcPr>
            <w:tcW w:w="5017" w:type="dxa"/>
            <w:vAlign w:val="center"/>
          </w:tcPr>
          <w:p w14:paraId="1D69F0D3" w14:textId="54B246E4" w:rsidR="00D1128A" w:rsidRDefault="00945FFE" w:rsidP="002D1105">
            <w:pPr>
              <w:rPr>
                <w:rFonts w:ascii="Arial" w:hAnsi="Arial" w:cs="Arial"/>
                <w:sz w:val="22"/>
                <w:szCs w:val="22"/>
              </w:rPr>
            </w:pPr>
            <w:r>
              <w:rPr>
                <w:rFonts w:ascii="Arial" w:hAnsi="Arial" w:cs="Arial"/>
                <w:sz w:val="22"/>
                <w:szCs w:val="22"/>
              </w:rPr>
              <w:t>Completed.</w:t>
            </w:r>
          </w:p>
        </w:tc>
      </w:tr>
      <w:tr w:rsidR="00D1128A" w14:paraId="2276B2B0" w14:textId="77777777" w:rsidTr="002D1105">
        <w:tc>
          <w:tcPr>
            <w:tcW w:w="5017" w:type="dxa"/>
            <w:vAlign w:val="center"/>
          </w:tcPr>
          <w:p w14:paraId="6C112508" w14:textId="43FB339F" w:rsidR="00D1128A" w:rsidRDefault="00D1128A" w:rsidP="002D1105">
            <w:pPr>
              <w:rPr>
                <w:rFonts w:ascii="Arial" w:hAnsi="Arial" w:cs="Arial"/>
                <w:sz w:val="22"/>
                <w:szCs w:val="22"/>
              </w:rPr>
            </w:pPr>
            <w:r>
              <w:rPr>
                <w:rFonts w:ascii="Arial" w:hAnsi="Arial" w:cs="Arial"/>
                <w:sz w:val="22"/>
                <w:szCs w:val="22"/>
              </w:rPr>
              <w:t xml:space="preserve">3. </w:t>
            </w:r>
            <w:r w:rsidRPr="00D1128A">
              <w:rPr>
                <w:rFonts w:ascii="Arial" w:hAnsi="Arial" w:cs="Arial"/>
                <w:sz w:val="22"/>
                <w:szCs w:val="22"/>
              </w:rPr>
              <w:t>Please add more details to your protocol steps. There should be enough detail in each step to supplement the actions seen in the video so that viewers can easily replicate the protocol. Please ensure you answer the “how” question, i.e., how is the step performed? Alternatively, add references to published material specifying how to perform the protocol action. See examples below.</w:t>
            </w:r>
          </w:p>
        </w:tc>
        <w:tc>
          <w:tcPr>
            <w:tcW w:w="5017" w:type="dxa"/>
            <w:vAlign w:val="center"/>
          </w:tcPr>
          <w:p w14:paraId="68C68204" w14:textId="4C04E9C9" w:rsidR="00D1128A" w:rsidRDefault="00945FFE" w:rsidP="002D1105">
            <w:pPr>
              <w:rPr>
                <w:rFonts w:ascii="Arial" w:hAnsi="Arial" w:cs="Arial"/>
                <w:sz w:val="22"/>
                <w:szCs w:val="22"/>
              </w:rPr>
            </w:pPr>
            <w:r>
              <w:rPr>
                <w:rFonts w:ascii="Arial" w:hAnsi="Arial" w:cs="Arial"/>
                <w:sz w:val="22"/>
                <w:szCs w:val="22"/>
              </w:rPr>
              <w:t>Completed.</w:t>
            </w:r>
          </w:p>
        </w:tc>
      </w:tr>
      <w:tr w:rsidR="00D1128A" w14:paraId="0028C4AB" w14:textId="77777777" w:rsidTr="002D1105">
        <w:tc>
          <w:tcPr>
            <w:tcW w:w="5017" w:type="dxa"/>
            <w:vAlign w:val="center"/>
          </w:tcPr>
          <w:p w14:paraId="3EB1DE9B" w14:textId="2515731D" w:rsidR="00D1128A" w:rsidRDefault="00D1128A" w:rsidP="002D1105">
            <w:pPr>
              <w:rPr>
                <w:rFonts w:ascii="Arial" w:hAnsi="Arial" w:cs="Arial"/>
                <w:sz w:val="22"/>
                <w:szCs w:val="22"/>
              </w:rPr>
            </w:pPr>
            <w:r>
              <w:rPr>
                <w:rFonts w:ascii="Arial" w:hAnsi="Arial" w:cs="Arial"/>
                <w:sz w:val="22"/>
                <w:szCs w:val="22"/>
              </w:rPr>
              <w:t xml:space="preserve">4. </w:t>
            </w:r>
            <w:r w:rsidRPr="00D1128A">
              <w:rPr>
                <w:rFonts w:ascii="Arial" w:hAnsi="Arial" w:cs="Arial"/>
                <w:sz w:val="22"/>
                <w:szCs w:val="22"/>
              </w:rPr>
              <w:t>Please add more details to your protocol steps. There should be enough detail in each step to supplement the actions seen in the video so that viewers can easily replicate the protocol. Please ensure you answer the “how” question, i.e., how is the step performed? Alternatively, add references to published material specifying how to perform the protocol action. See examples below.</w:t>
            </w:r>
          </w:p>
        </w:tc>
        <w:tc>
          <w:tcPr>
            <w:tcW w:w="5017" w:type="dxa"/>
            <w:vAlign w:val="center"/>
          </w:tcPr>
          <w:p w14:paraId="48B5C3E3" w14:textId="2509AD55" w:rsidR="00D1128A" w:rsidRDefault="00945FFE" w:rsidP="002D1105">
            <w:pPr>
              <w:rPr>
                <w:rFonts w:ascii="Arial" w:hAnsi="Arial" w:cs="Arial"/>
                <w:sz w:val="22"/>
                <w:szCs w:val="22"/>
              </w:rPr>
            </w:pPr>
            <w:r w:rsidRPr="00945FFE">
              <w:rPr>
                <w:rFonts w:ascii="Arial" w:hAnsi="Arial" w:cs="Arial"/>
                <w:sz w:val="22"/>
                <w:szCs w:val="22"/>
              </w:rPr>
              <w:t xml:space="preserve">MFPs are collected into a 15 mL conical tube containing RPMI media supplemented with 1% penicillin-streptomycin </w:t>
            </w:r>
            <w:r>
              <w:rPr>
                <w:rFonts w:ascii="Arial" w:hAnsi="Arial" w:cs="Arial"/>
                <w:sz w:val="22"/>
                <w:szCs w:val="22"/>
              </w:rPr>
              <w:t xml:space="preserve">and </w:t>
            </w:r>
            <w:r w:rsidRPr="00945FFE">
              <w:rPr>
                <w:rFonts w:ascii="Arial" w:hAnsi="Arial" w:cs="Arial"/>
                <w:sz w:val="22"/>
                <w:szCs w:val="22"/>
              </w:rPr>
              <w:t xml:space="preserve">10% </w:t>
            </w:r>
            <w:r>
              <w:rPr>
                <w:rFonts w:ascii="Arial" w:hAnsi="Arial" w:cs="Arial"/>
                <w:sz w:val="22"/>
                <w:szCs w:val="22"/>
              </w:rPr>
              <w:t>fetal bovine serum</w:t>
            </w:r>
            <w:r w:rsidRPr="00945FFE">
              <w:rPr>
                <w:rFonts w:ascii="Arial" w:hAnsi="Arial" w:cs="Arial"/>
                <w:sz w:val="22"/>
                <w:szCs w:val="22"/>
              </w:rPr>
              <w:t>.</w:t>
            </w:r>
          </w:p>
        </w:tc>
      </w:tr>
      <w:tr w:rsidR="00D1128A" w14:paraId="6003FE13" w14:textId="77777777" w:rsidTr="002D1105">
        <w:tc>
          <w:tcPr>
            <w:tcW w:w="5017" w:type="dxa"/>
            <w:vAlign w:val="center"/>
          </w:tcPr>
          <w:p w14:paraId="370D887F" w14:textId="26B45CD3" w:rsidR="00D1128A" w:rsidRDefault="00D1128A" w:rsidP="002D1105">
            <w:pPr>
              <w:rPr>
                <w:rFonts w:ascii="Arial" w:hAnsi="Arial" w:cs="Arial"/>
                <w:sz w:val="22"/>
                <w:szCs w:val="22"/>
              </w:rPr>
            </w:pPr>
            <w:r>
              <w:rPr>
                <w:rFonts w:ascii="Arial" w:hAnsi="Arial" w:cs="Arial"/>
                <w:sz w:val="22"/>
                <w:szCs w:val="22"/>
              </w:rPr>
              <w:t xml:space="preserve">5. </w:t>
            </w:r>
            <w:r w:rsidRPr="00D1128A">
              <w:rPr>
                <w:rFonts w:ascii="Arial" w:hAnsi="Arial" w:cs="Arial"/>
                <w:sz w:val="22"/>
                <w:szCs w:val="22"/>
              </w:rPr>
              <w:t>1.6: Please specify the size of the tube used.</w:t>
            </w:r>
          </w:p>
        </w:tc>
        <w:tc>
          <w:tcPr>
            <w:tcW w:w="5017" w:type="dxa"/>
            <w:vAlign w:val="center"/>
          </w:tcPr>
          <w:p w14:paraId="1D3A48B5" w14:textId="44FA6702" w:rsidR="00D1128A" w:rsidRDefault="00945FFE" w:rsidP="002D1105">
            <w:pPr>
              <w:rPr>
                <w:rFonts w:ascii="Arial" w:hAnsi="Arial" w:cs="Arial"/>
                <w:sz w:val="22"/>
                <w:szCs w:val="22"/>
              </w:rPr>
            </w:pPr>
            <w:r>
              <w:rPr>
                <w:rFonts w:ascii="Arial" w:hAnsi="Arial" w:cs="Arial"/>
                <w:sz w:val="22"/>
                <w:szCs w:val="22"/>
              </w:rPr>
              <w:t>15 mL.</w:t>
            </w:r>
          </w:p>
        </w:tc>
      </w:tr>
      <w:tr w:rsidR="00D1128A" w14:paraId="257C2376" w14:textId="77777777" w:rsidTr="002D1105">
        <w:tc>
          <w:tcPr>
            <w:tcW w:w="5017" w:type="dxa"/>
            <w:vAlign w:val="center"/>
          </w:tcPr>
          <w:p w14:paraId="14371332" w14:textId="684754FC" w:rsidR="00D1128A" w:rsidRDefault="00D1128A" w:rsidP="002D1105">
            <w:pPr>
              <w:rPr>
                <w:rFonts w:ascii="Arial" w:hAnsi="Arial" w:cs="Arial"/>
                <w:sz w:val="22"/>
                <w:szCs w:val="22"/>
              </w:rPr>
            </w:pPr>
            <w:r>
              <w:rPr>
                <w:rFonts w:ascii="Arial" w:hAnsi="Arial" w:cs="Arial"/>
                <w:sz w:val="22"/>
                <w:szCs w:val="22"/>
              </w:rPr>
              <w:t xml:space="preserve">6. </w:t>
            </w:r>
            <w:r w:rsidRPr="00D1128A">
              <w:rPr>
                <w:rFonts w:ascii="Arial" w:hAnsi="Arial" w:cs="Arial"/>
                <w:sz w:val="22"/>
                <w:szCs w:val="22"/>
              </w:rPr>
              <w:t>2.3: How to divide the tissue?</w:t>
            </w:r>
          </w:p>
        </w:tc>
        <w:tc>
          <w:tcPr>
            <w:tcW w:w="5017" w:type="dxa"/>
            <w:vAlign w:val="center"/>
          </w:tcPr>
          <w:p w14:paraId="1FE8150C" w14:textId="401F7146" w:rsidR="00D1128A" w:rsidRDefault="00945FFE" w:rsidP="002D1105">
            <w:pPr>
              <w:rPr>
                <w:rFonts w:ascii="Arial" w:hAnsi="Arial" w:cs="Arial"/>
                <w:sz w:val="22"/>
                <w:szCs w:val="22"/>
              </w:rPr>
            </w:pPr>
            <w:r w:rsidRPr="00945FFE">
              <w:rPr>
                <w:rFonts w:ascii="Arial" w:hAnsi="Arial" w:cs="Arial"/>
                <w:sz w:val="22"/>
                <w:szCs w:val="22"/>
              </w:rPr>
              <w:t>Now 2.4. It is suggested to use a pair of forceps with scissors or a scalpel.</w:t>
            </w:r>
          </w:p>
        </w:tc>
      </w:tr>
      <w:tr w:rsidR="00D1128A" w14:paraId="171206E1" w14:textId="77777777" w:rsidTr="002D1105">
        <w:tc>
          <w:tcPr>
            <w:tcW w:w="5017" w:type="dxa"/>
            <w:vAlign w:val="center"/>
          </w:tcPr>
          <w:p w14:paraId="26691EE4" w14:textId="5494D683" w:rsidR="00D1128A" w:rsidRDefault="00D1128A" w:rsidP="002D1105">
            <w:pPr>
              <w:rPr>
                <w:rFonts w:ascii="Arial" w:hAnsi="Arial" w:cs="Arial"/>
                <w:sz w:val="22"/>
                <w:szCs w:val="22"/>
              </w:rPr>
            </w:pPr>
            <w:r>
              <w:rPr>
                <w:rFonts w:ascii="Arial" w:hAnsi="Arial" w:cs="Arial"/>
                <w:sz w:val="22"/>
                <w:szCs w:val="22"/>
              </w:rPr>
              <w:t xml:space="preserve">7. </w:t>
            </w:r>
            <w:r w:rsidRPr="00D1128A">
              <w:rPr>
                <w:rFonts w:ascii="Arial" w:hAnsi="Arial" w:cs="Arial"/>
                <w:sz w:val="22"/>
                <w:szCs w:val="22"/>
              </w:rPr>
              <w:t>2.6: Please split into two or three steps so that each step contains only 2-3 actions and a maximum of 4 sentences per step.</w:t>
            </w:r>
          </w:p>
        </w:tc>
        <w:tc>
          <w:tcPr>
            <w:tcW w:w="5017" w:type="dxa"/>
            <w:vAlign w:val="center"/>
          </w:tcPr>
          <w:p w14:paraId="29D2CD12" w14:textId="3F8975A8" w:rsidR="00D1128A" w:rsidRDefault="00945FFE" w:rsidP="002D1105">
            <w:pPr>
              <w:rPr>
                <w:rFonts w:ascii="Arial" w:hAnsi="Arial" w:cs="Arial"/>
                <w:sz w:val="22"/>
                <w:szCs w:val="22"/>
              </w:rPr>
            </w:pPr>
            <w:r w:rsidRPr="00945FFE">
              <w:rPr>
                <w:rFonts w:ascii="Arial" w:hAnsi="Arial" w:cs="Arial"/>
                <w:sz w:val="22"/>
                <w:szCs w:val="22"/>
              </w:rPr>
              <w:t>Now 2.8.</w:t>
            </w:r>
            <w:r>
              <w:rPr>
                <w:rFonts w:ascii="Arial" w:hAnsi="Arial" w:cs="Arial"/>
                <w:sz w:val="22"/>
                <w:szCs w:val="22"/>
              </w:rPr>
              <w:t xml:space="preserve"> Completed.</w:t>
            </w:r>
          </w:p>
        </w:tc>
      </w:tr>
      <w:tr w:rsidR="00D1128A" w14:paraId="1AA4628D" w14:textId="77777777" w:rsidTr="002D1105">
        <w:tc>
          <w:tcPr>
            <w:tcW w:w="5017" w:type="dxa"/>
            <w:vAlign w:val="center"/>
          </w:tcPr>
          <w:p w14:paraId="299EA953" w14:textId="4D7627E6" w:rsidR="00D1128A" w:rsidRDefault="00D1128A" w:rsidP="002D1105">
            <w:pPr>
              <w:rPr>
                <w:rFonts w:ascii="Arial" w:hAnsi="Arial" w:cs="Arial"/>
                <w:sz w:val="22"/>
                <w:szCs w:val="22"/>
              </w:rPr>
            </w:pPr>
            <w:r>
              <w:rPr>
                <w:rFonts w:ascii="Arial" w:hAnsi="Arial" w:cs="Arial"/>
                <w:sz w:val="22"/>
                <w:szCs w:val="22"/>
              </w:rPr>
              <w:t xml:space="preserve">8. </w:t>
            </w:r>
            <w:r w:rsidRPr="00D1128A">
              <w:rPr>
                <w:rFonts w:ascii="Arial" w:hAnsi="Arial" w:cs="Arial"/>
                <w:sz w:val="22"/>
                <w:szCs w:val="22"/>
              </w:rPr>
              <w:t>2.9: Please specify the mesh size of the strainer.</w:t>
            </w:r>
          </w:p>
        </w:tc>
        <w:tc>
          <w:tcPr>
            <w:tcW w:w="5017" w:type="dxa"/>
            <w:vAlign w:val="center"/>
          </w:tcPr>
          <w:p w14:paraId="46D2A8D9" w14:textId="2AAA4D0A" w:rsidR="00D1128A" w:rsidRDefault="008F47FC" w:rsidP="002D1105">
            <w:pPr>
              <w:rPr>
                <w:rFonts w:ascii="Arial" w:hAnsi="Arial" w:cs="Arial"/>
                <w:sz w:val="22"/>
                <w:szCs w:val="22"/>
              </w:rPr>
            </w:pPr>
            <w:r>
              <w:rPr>
                <w:rFonts w:ascii="Arial" w:hAnsi="Arial" w:cs="Arial"/>
                <w:sz w:val="22"/>
                <w:szCs w:val="22"/>
              </w:rPr>
              <w:t>Size 25 mesh strainers.</w:t>
            </w:r>
          </w:p>
        </w:tc>
      </w:tr>
      <w:tr w:rsidR="00D1128A" w14:paraId="45F861CF" w14:textId="77777777" w:rsidTr="002D1105">
        <w:tc>
          <w:tcPr>
            <w:tcW w:w="5017" w:type="dxa"/>
            <w:vAlign w:val="center"/>
          </w:tcPr>
          <w:p w14:paraId="2F658D45" w14:textId="692EED44" w:rsidR="00D1128A" w:rsidRDefault="00D1128A" w:rsidP="002D1105">
            <w:pPr>
              <w:rPr>
                <w:rFonts w:ascii="Arial" w:hAnsi="Arial" w:cs="Arial"/>
                <w:sz w:val="22"/>
                <w:szCs w:val="22"/>
              </w:rPr>
            </w:pPr>
            <w:r>
              <w:rPr>
                <w:rFonts w:ascii="Arial" w:hAnsi="Arial" w:cs="Arial"/>
                <w:sz w:val="22"/>
                <w:szCs w:val="22"/>
              </w:rPr>
              <w:lastRenderedPageBreak/>
              <w:t xml:space="preserve">9. </w:t>
            </w:r>
            <w:r w:rsidRPr="00D1128A">
              <w:rPr>
                <w:rFonts w:ascii="Arial" w:hAnsi="Arial" w:cs="Arial"/>
                <w:sz w:val="22"/>
                <w:szCs w:val="22"/>
              </w:rPr>
              <w:t>7.13: What is the incubation temperature?</w:t>
            </w:r>
          </w:p>
        </w:tc>
        <w:tc>
          <w:tcPr>
            <w:tcW w:w="5017" w:type="dxa"/>
            <w:vAlign w:val="center"/>
          </w:tcPr>
          <w:p w14:paraId="65E965EF" w14:textId="6B8EF450" w:rsidR="00D1128A" w:rsidRDefault="00945FFE" w:rsidP="002D1105">
            <w:pPr>
              <w:rPr>
                <w:rFonts w:ascii="Arial" w:hAnsi="Arial" w:cs="Arial"/>
                <w:sz w:val="22"/>
                <w:szCs w:val="22"/>
              </w:rPr>
            </w:pPr>
            <w:r w:rsidRPr="00945FFE">
              <w:rPr>
                <w:rFonts w:ascii="Arial" w:hAnsi="Arial" w:cs="Arial"/>
                <w:sz w:val="22"/>
                <w:szCs w:val="22"/>
              </w:rPr>
              <w:t>H&amp;E slides are incubated with eosin for 90 seconds at room temperature.</w:t>
            </w:r>
          </w:p>
        </w:tc>
      </w:tr>
      <w:tr w:rsidR="00D1128A" w14:paraId="4F33868C" w14:textId="77777777" w:rsidTr="002D1105">
        <w:tc>
          <w:tcPr>
            <w:tcW w:w="5017" w:type="dxa"/>
            <w:vAlign w:val="center"/>
          </w:tcPr>
          <w:p w14:paraId="64CD0FD3" w14:textId="5F3C9514" w:rsidR="00D1128A" w:rsidRDefault="00D1128A" w:rsidP="002D1105">
            <w:pPr>
              <w:rPr>
                <w:rFonts w:ascii="Arial" w:hAnsi="Arial" w:cs="Arial"/>
                <w:sz w:val="22"/>
                <w:szCs w:val="22"/>
              </w:rPr>
            </w:pPr>
            <w:r>
              <w:rPr>
                <w:rFonts w:ascii="Arial" w:hAnsi="Arial" w:cs="Arial"/>
                <w:sz w:val="22"/>
                <w:szCs w:val="22"/>
              </w:rPr>
              <w:t xml:space="preserve">10. </w:t>
            </w:r>
            <w:r w:rsidRPr="00D1128A">
              <w:rPr>
                <w:rFonts w:ascii="Arial" w:hAnsi="Arial" w:cs="Arial"/>
                <w:sz w:val="22"/>
                <w:szCs w:val="22"/>
              </w:rPr>
              <w:t>Please combine some of the shorter Protocol steps so that individual steps contain 2-3 actions and maximum of 4 sentences per step.</w:t>
            </w:r>
          </w:p>
        </w:tc>
        <w:tc>
          <w:tcPr>
            <w:tcW w:w="5017" w:type="dxa"/>
            <w:vAlign w:val="center"/>
          </w:tcPr>
          <w:p w14:paraId="29E4F263" w14:textId="5FF7E566" w:rsidR="00D1128A" w:rsidRDefault="00945FFE" w:rsidP="002D1105">
            <w:pPr>
              <w:rPr>
                <w:rFonts w:ascii="Arial" w:hAnsi="Arial" w:cs="Arial"/>
                <w:sz w:val="22"/>
                <w:szCs w:val="22"/>
              </w:rPr>
            </w:pPr>
            <w:r>
              <w:rPr>
                <w:rFonts w:ascii="Arial" w:hAnsi="Arial" w:cs="Arial"/>
                <w:sz w:val="22"/>
                <w:szCs w:val="22"/>
              </w:rPr>
              <w:t>Completed.</w:t>
            </w:r>
          </w:p>
        </w:tc>
      </w:tr>
      <w:tr w:rsidR="00D1128A" w14:paraId="4F85A883" w14:textId="77777777" w:rsidTr="002D1105">
        <w:tc>
          <w:tcPr>
            <w:tcW w:w="5017" w:type="dxa"/>
            <w:vAlign w:val="center"/>
          </w:tcPr>
          <w:p w14:paraId="06BD86C0" w14:textId="00941663" w:rsidR="00D1128A" w:rsidRDefault="00D1128A" w:rsidP="002D1105">
            <w:pPr>
              <w:rPr>
                <w:rFonts w:ascii="Arial" w:hAnsi="Arial" w:cs="Arial"/>
                <w:sz w:val="22"/>
                <w:szCs w:val="22"/>
              </w:rPr>
            </w:pPr>
            <w:r>
              <w:rPr>
                <w:rFonts w:ascii="Arial" w:hAnsi="Arial" w:cs="Arial"/>
                <w:sz w:val="22"/>
                <w:szCs w:val="22"/>
              </w:rPr>
              <w:t xml:space="preserve">11. </w:t>
            </w:r>
            <w:r w:rsidRPr="00D1128A">
              <w:rPr>
                <w:rFonts w:ascii="Arial" w:hAnsi="Arial" w:cs="Arial"/>
                <w:sz w:val="22"/>
                <w:szCs w:val="22"/>
              </w:rPr>
              <w:t>Please include single-line spaces between all paragraphs, headings, steps, etc.</w:t>
            </w:r>
          </w:p>
        </w:tc>
        <w:tc>
          <w:tcPr>
            <w:tcW w:w="5017" w:type="dxa"/>
            <w:vAlign w:val="center"/>
          </w:tcPr>
          <w:p w14:paraId="2FE717B8" w14:textId="7D270926" w:rsidR="00D1128A" w:rsidRDefault="00945FFE" w:rsidP="002D1105">
            <w:pPr>
              <w:rPr>
                <w:rFonts w:ascii="Arial" w:hAnsi="Arial" w:cs="Arial"/>
                <w:sz w:val="22"/>
                <w:szCs w:val="22"/>
              </w:rPr>
            </w:pPr>
            <w:r>
              <w:rPr>
                <w:rFonts w:ascii="Arial" w:hAnsi="Arial" w:cs="Arial"/>
                <w:sz w:val="22"/>
                <w:szCs w:val="22"/>
              </w:rPr>
              <w:t>Completed.</w:t>
            </w:r>
          </w:p>
        </w:tc>
      </w:tr>
      <w:tr w:rsidR="00D1128A" w14:paraId="550585AB" w14:textId="77777777" w:rsidTr="002D1105">
        <w:tc>
          <w:tcPr>
            <w:tcW w:w="5017" w:type="dxa"/>
            <w:vAlign w:val="center"/>
          </w:tcPr>
          <w:p w14:paraId="559E8C0B" w14:textId="04275973" w:rsidR="00D1128A" w:rsidRDefault="00D1128A" w:rsidP="002D1105">
            <w:pPr>
              <w:rPr>
                <w:rFonts w:ascii="Arial" w:hAnsi="Arial" w:cs="Arial"/>
                <w:sz w:val="22"/>
                <w:szCs w:val="22"/>
              </w:rPr>
            </w:pPr>
            <w:r>
              <w:rPr>
                <w:rFonts w:ascii="Arial" w:hAnsi="Arial" w:cs="Arial"/>
                <w:sz w:val="22"/>
                <w:szCs w:val="22"/>
              </w:rPr>
              <w:t xml:space="preserve">12. </w:t>
            </w:r>
            <w:r w:rsidRPr="00D1128A">
              <w:rPr>
                <w:rFonts w:ascii="Arial" w:hAnsi="Arial" w:cs="Arial"/>
                <w:sz w:val="22"/>
                <w:szCs w:val="22"/>
              </w:rPr>
              <w:t>After you have made all the recommended changes to your protocol (listed above), please highlight 2.75 pages or less of the Protocol (including headings and spacing) that identifies the essential steps of the protocol for the video, i.e., the steps that should be visualized to tell the most cohesive story of the Protocol.</w:t>
            </w:r>
          </w:p>
        </w:tc>
        <w:tc>
          <w:tcPr>
            <w:tcW w:w="5017" w:type="dxa"/>
            <w:vAlign w:val="center"/>
          </w:tcPr>
          <w:p w14:paraId="3E6F75C3" w14:textId="40C643B6" w:rsidR="00D1128A" w:rsidRDefault="00945FFE" w:rsidP="002D1105">
            <w:pPr>
              <w:rPr>
                <w:rFonts w:ascii="Arial" w:hAnsi="Arial" w:cs="Arial"/>
                <w:sz w:val="22"/>
                <w:szCs w:val="22"/>
              </w:rPr>
            </w:pPr>
            <w:r>
              <w:rPr>
                <w:rFonts w:ascii="Arial" w:hAnsi="Arial" w:cs="Arial"/>
                <w:sz w:val="22"/>
                <w:szCs w:val="22"/>
              </w:rPr>
              <w:t>Completed.</w:t>
            </w:r>
          </w:p>
        </w:tc>
      </w:tr>
      <w:tr w:rsidR="00D1128A" w14:paraId="52547815" w14:textId="77777777" w:rsidTr="002D1105">
        <w:tc>
          <w:tcPr>
            <w:tcW w:w="5017" w:type="dxa"/>
            <w:vAlign w:val="center"/>
          </w:tcPr>
          <w:p w14:paraId="4FE5C411" w14:textId="65351E9F" w:rsidR="00D1128A" w:rsidRDefault="00D1128A" w:rsidP="002D1105">
            <w:pPr>
              <w:rPr>
                <w:rFonts w:ascii="Arial" w:hAnsi="Arial" w:cs="Arial"/>
                <w:sz w:val="22"/>
                <w:szCs w:val="22"/>
              </w:rPr>
            </w:pPr>
            <w:r>
              <w:rPr>
                <w:rFonts w:ascii="Arial" w:hAnsi="Arial" w:cs="Arial"/>
                <w:sz w:val="22"/>
                <w:szCs w:val="22"/>
              </w:rPr>
              <w:t xml:space="preserve">13. </w:t>
            </w:r>
            <w:r w:rsidRPr="00D1128A">
              <w:rPr>
                <w:rFonts w:ascii="Arial" w:hAnsi="Arial" w:cs="Arial"/>
                <w:sz w:val="22"/>
                <w:szCs w:val="22"/>
              </w:rPr>
              <w:t>Please highlight complete sentences (not parts of sentences). Please ensure that the highlighted part of the step includes at least one action that is written in imperative tense. Please do not highlight any steps describing anesthetization and euthanasia.</w:t>
            </w:r>
          </w:p>
        </w:tc>
        <w:tc>
          <w:tcPr>
            <w:tcW w:w="5017" w:type="dxa"/>
            <w:vAlign w:val="center"/>
          </w:tcPr>
          <w:p w14:paraId="3C9F9CF0" w14:textId="618911B3" w:rsidR="00D1128A" w:rsidRDefault="00945FFE" w:rsidP="002D1105">
            <w:pPr>
              <w:rPr>
                <w:rFonts w:ascii="Arial" w:hAnsi="Arial" w:cs="Arial"/>
                <w:sz w:val="22"/>
                <w:szCs w:val="22"/>
              </w:rPr>
            </w:pPr>
            <w:r>
              <w:rPr>
                <w:rFonts w:ascii="Arial" w:hAnsi="Arial" w:cs="Arial"/>
                <w:sz w:val="22"/>
                <w:szCs w:val="22"/>
              </w:rPr>
              <w:t>Completed.</w:t>
            </w:r>
          </w:p>
        </w:tc>
      </w:tr>
      <w:tr w:rsidR="00D1128A" w14:paraId="7A99775A" w14:textId="77777777" w:rsidTr="002D1105">
        <w:tc>
          <w:tcPr>
            <w:tcW w:w="5017" w:type="dxa"/>
            <w:vAlign w:val="center"/>
          </w:tcPr>
          <w:p w14:paraId="0D8F8FC1" w14:textId="5578E992" w:rsidR="00D1128A" w:rsidRDefault="00D1128A" w:rsidP="002D1105">
            <w:pPr>
              <w:rPr>
                <w:rFonts w:ascii="Arial" w:hAnsi="Arial" w:cs="Arial"/>
                <w:sz w:val="22"/>
                <w:szCs w:val="22"/>
              </w:rPr>
            </w:pPr>
            <w:r>
              <w:rPr>
                <w:rFonts w:ascii="Arial" w:hAnsi="Arial" w:cs="Arial"/>
                <w:sz w:val="22"/>
                <w:szCs w:val="22"/>
              </w:rPr>
              <w:t xml:space="preserve">14. </w:t>
            </w:r>
            <w:r w:rsidRPr="00D1128A">
              <w:rPr>
                <w:rFonts w:ascii="Arial" w:hAnsi="Arial" w:cs="Arial"/>
                <w:sz w:val="22"/>
                <w:szCs w:val="22"/>
              </w:rPr>
              <w:t>Please include all relevant details that are required to perform the step in the highlighting. For example: If step 2.5 is highlighted for filming and the details of how to perform the step are given in steps 2.5.1 and 2.5.2, then the sub-steps where the details are provided must be highlighted.</w:t>
            </w:r>
          </w:p>
        </w:tc>
        <w:tc>
          <w:tcPr>
            <w:tcW w:w="5017" w:type="dxa"/>
            <w:vAlign w:val="center"/>
          </w:tcPr>
          <w:p w14:paraId="578A9596" w14:textId="0FF181A7" w:rsidR="00D1128A" w:rsidRDefault="00945FFE" w:rsidP="002D1105">
            <w:pPr>
              <w:rPr>
                <w:rFonts w:ascii="Arial" w:hAnsi="Arial" w:cs="Arial"/>
                <w:sz w:val="22"/>
                <w:szCs w:val="22"/>
              </w:rPr>
            </w:pPr>
            <w:r>
              <w:rPr>
                <w:rFonts w:ascii="Arial" w:hAnsi="Arial" w:cs="Arial"/>
                <w:sz w:val="22"/>
                <w:szCs w:val="22"/>
              </w:rPr>
              <w:t>Completed.</w:t>
            </w:r>
          </w:p>
        </w:tc>
      </w:tr>
      <w:tr w:rsidR="00D1128A" w14:paraId="28F543AF" w14:textId="77777777" w:rsidTr="002D1105">
        <w:tc>
          <w:tcPr>
            <w:tcW w:w="5017" w:type="dxa"/>
            <w:vAlign w:val="center"/>
          </w:tcPr>
          <w:p w14:paraId="6C84AC0E" w14:textId="17DCDB66" w:rsidR="00D1128A" w:rsidRDefault="00D1128A" w:rsidP="002D1105">
            <w:pPr>
              <w:rPr>
                <w:rFonts w:ascii="Arial" w:hAnsi="Arial" w:cs="Arial"/>
                <w:sz w:val="22"/>
                <w:szCs w:val="22"/>
              </w:rPr>
            </w:pPr>
            <w:r>
              <w:rPr>
                <w:rFonts w:ascii="Arial" w:hAnsi="Arial" w:cs="Arial"/>
                <w:sz w:val="22"/>
                <w:szCs w:val="22"/>
              </w:rPr>
              <w:t xml:space="preserve">15. </w:t>
            </w:r>
            <w:r w:rsidRPr="00D1128A">
              <w:rPr>
                <w:rFonts w:ascii="Arial" w:hAnsi="Arial" w:cs="Arial"/>
                <w:sz w:val="22"/>
                <w:szCs w:val="22"/>
              </w:rPr>
              <w:t>Table of Materials: Please sort the items in alphabetical order according to the name of material/equipment.</w:t>
            </w:r>
          </w:p>
        </w:tc>
        <w:tc>
          <w:tcPr>
            <w:tcW w:w="5017" w:type="dxa"/>
            <w:vAlign w:val="center"/>
          </w:tcPr>
          <w:p w14:paraId="38C998BC" w14:textId="2F7DF984" w:rsidR="00D1128A" w:rsidRDefault="00945FFE" w:rsidP="002D1105">
            <w:pPr>
              <w:rPr>
                <w:rFonts w:ascii="Arial" w:hAnsi="Arial" w:cs="Arial"/>
                <w:sz w:val="22"/>
                <w:szCs w:val="22"/>
              </w:rPr>
            </w:pPr>
            <w:r>
              <w:rPr>
                <w:rFonts w:ascii="Arial" w:hAnsi="Arial" w:cs="Arial"/>
                <w:sz w:val="22"/>
                <w:szCs w:val="22"/>
              </w:rPr>
              <w:t>Completed.</w:t>
            </w:r>
          </w:p>
        </w:tc>
      </w:tr>
    </w:tbl>
    <w:p w14:paraId="414C83C2" w14:textId="2F678185" w:rsidR="00567F00" w:rsidRDefault="00567F00" w:rsidP="00567F00">
      <w:pPr>
        <w:rPr>
          <w:rFonts w:ascii="Arial" w:hAnsi="Arial" w:cs="Arial"/>
          <w:sz w:val="22"/>
          <w:szCs w:val="22"/>
        </w:rPr>
      </w:pPr>
    </w:p>
    <w:p w14:paraId="30E08F34" w14:textId="31E28719" w:rsidR="00567F00" w:rsidRDefault="00567F00" w:rsidP="00567F00">
      <w:pPr>
        <w:rPr>
          <w:rFonts w:ascii="Arial" w:hAnsi="Arial" w:cs="Arial"/>
          <w:sz w:val="22"/>
          <w:szCs w:val="22"/>
        </w:rPr>
      </w:pPr>
    </w:p>
    <w:p w14:paraId="5A658F51" w14:textId="0537E9FA" w:rsidR="00567F00" w:rsidRDefault="00567F00" w:rsidP="00567F00">
      <w:pPr>
        <w:rPr>
          <w:rFonts w:ascii="Arial" w:hAnsi="Arial" w:cs="Arial"/>
          <w:sz w:val="22"/>
          <w:szCs w:val="22"/>
        </w:rPr>
      </w:pPr>
    </w:p>
    <w:p w14:paraId="10CE4EDA" w14:textId="56E3EE05" w:rsidR="00567F00" w:rsidRDefault="00567F00">
      <w:pPr>
        <w:rPr>
          <w:rFonts w:ascii="Arial" w:hAnsi="Arial" w:cs="Arial"/>
          <w:sz w:val="22"/>
          <w:szCs w:val="22"/>
        </w:rPr>
      </w:pPr>
      <w:r>
        <w:rPr>
          <w:rFonts w:ascii="Arial" w:hAnsi="Arial" w:cs="Arial"/>
          <w:sz w:val="22"/>
          <w:szCs w:val="22"/>
        </w:rPr>
        <w:br w:type="page"/>
      </w:r>
    </w:p>
    <w:p w14:paraId="012F0E16" w14:textId="2F1A6863" w:rsidR="00274D4F" w:rsidRDefault="00567F00" w:rsidP="00567F00">
      <w:pPr>
        <w:tabs>
          <w:tab w:val="left" w:pos="0"/>
        </w:tabs>
        <w:jc w:val="center"/>
        <w:rPr>
          <w:rFonts w:ascii="Arial" w:hAnsi="Arial" w:cs="Arial"/>
          <w:sz w:val="22"/>
          <w:szCs w:val="22"/>
        </w:rPr>
      </w:pPr>
      <w:r>
        <w:rPr>
          <w:rFonts w:ascii="Arial" w:hAnsi="Arial" w:cs="Arial"/>
          <w:sz w:val="22"/>
          <w:szCs w:val="22"/>
        </w:rPr>
        <w:lastRenderedPageBreak/>
        <w:t xml:space="preserve"> Response to Reviewer #1</w:t>
      </w:r>
    </w:p>
    <w:p w14:paraId="23235BC8" w14:textId="77777777" w:rsidR="00567F00" w:rsidRDefault="00567F00" w:rsidP="00567F00">
      <w:pPr>
        <w:tabs>
          <w:tab w:val="left" w:pos="0"/>
        </w:tabs>
        <w:jc w:val="center"/>
        <w:rPr>
          <w:rFonts w:ascii="Arial" w:hAnsi="Arial" w:cs="Arial"/>
          <w:sz w:val="22"/>
          <w:szCs w:val="22"/>
        </w:rPr>
      </w:pPr>
    </w:p>
    <w:tbl>
      <w:tblPr>
        <w:tblStyle w:val="TableGrid"/>
        <w:tblW w:w="0" w:type="auto"/>
        <w:jc w:val="center"/>
        <w:tblLook w:val="04A0" w:firstRow="1" w:lastRow="0" w:firstColumn="1" w:lastColumn="0" w:noHBand="0" w:noVBand="1"/>
      </w:tblPr>
      <w:tblGrid>
        <w:gridCol w:w="3465"/>
        <w:gridCol w:w="6569"/>
      </w:tblGrid>
      <w:tr w:rsidR="00567F00" w14:paraId="348873ED" w14:textId="77777777" w:rsidTr="00567F00">
        <w:trPr>
          <w:jc w:val="center"/>
        </w:trPr>
        <w:tc>
          <w:tcPr>
            <w:tcW w:w="3528" w:type="dxa"/>
          </w:tcPr>
          <w:p w14:paraId="6E134BA6" w14:textId="26CA5A88" w:rsidR="00567F00" w:rsidRDefault="00567F00" w:rsidP="00567F00">
            <w:pPr>
              <w:tabs>
                <w:tab w:val="left" w:pos="0"/>
              </w:tabs>
              <w:jc w:val="center"/>
              <w:rPr>
                <w:rFonts w:ascii="Arial" w:hAnsi="Arial" w:cs="Arial"/>
                <w:sz w:val="22"/>
                <w:szCs w:val="22"/>
              </w:rPr>
            </w:pPr>
            <w:r>
              <w:rPr>
                <w:rFonts w:ascii="Arial" w:hAnsi="Arial" w:cs="Arial"/>
                <w:b/>
                <w:sz w:val="22"/>
              </w:rPr>
              <w:t>Reviewer 1 Comments</w:t>
            </w:r>
          </w:p>
        </w:tc>
        <w:tc>
          <w:tcPr>
            <w:tcW w:w="6732" w:type="dxa"/>
          </w:tcPr>
          <w:p w14:paraId="754A0AAD" w14:textId="3BFFCF6D" w:rsidR="00567F00" w:rsidRDefault="00567F00" w:rsidP="00567F00">
            <w:pPr>
              <w:tabs>
                <w:tab w:val="left" w:pos="0"/>
              </w:tabs>
              <w:jc w:val="center"/>
              <w:rPr>
                <w:rFonts w:ascii="Arial" w:hAnsi="Arial" w:cs="Arial"/>
                <w:sz w:val="22"/>
                <w:szCs w:val="22"/>
              </w:rPr>
            </w:pPr>
            <w:r>
              <w:rPr>
                <w:rFonts w:ascii="Arial" w:eastAsia="Batang" w:hAnsi="Arial" w:cs="Arial"/>
                <w:b/>
                <w:sz w:val="22"/>
              </w:rPr>
              <w:t>Response</w:t>
            </w:r>
          </w:p>
        </w:tc>
      </w:tr>
      <w:tr w:rsidR="00567F00" w14:paraId="54AE2F58" w14:textId="77777777" w:rsidTr="00567F00">
        <w:trPr>
          <w:jc w:val="center"/>
        </w:trPr>
        <w:tc>
          <w:tcPr>
            <w:tcW w:w="3528" w:type="dxa"/>
          </w:tcPr>
          <w:p w14:paraId="71D42648" w14:textId="572FAF39" w:rsidR="00567F00" w:rsidRDefault="00567F00" w:rsidP="00567F00">
            <w:pPr>
              <w:tabs>
                <w:tab w:val="left" w:pos="0"/>
              </w:tabs>
              <w:rPr>
                <w:rFonts w:ascii="Arial" w:hAnsi="Arial" w:cs="Arial"/>
                <w:sz w:val="22"/>
                <w:szCs w:val="22"/>
              </w:rPr>
            </w:pPr>
            <w:r>
              <w:rPr>
                <w:rFonts w:ascii="Arial" w:hAnsi="Arial" w:cs="Arial"/>
                <w:sz w:val="22"/>
                <w:szCs w:val="22"/>
              </w:rPr>
              <w:t xml:space="preserve">1. </w:t>
            </w:r>
            <w:r>
              <w:rPr>
                <w:rFonts w:ascii="Arial" w:hAnsi="Arial"/>
                <w:sz w:val="22"/>
                <w:szCs w:val="22"/>
              </w:rPr>
              <w:t>There would be benefit to adding minor rationale to some of the steps of the protocol or discussion. For example, what is expected to change in the tissue upon radiation? Further, are there concerns with the irradiated tissue not decellularizing as well under the same conditions as the control tissue? How was this checked?</w:t>
            </w:r>
          </w:p>
        </w:tc>
        <w:tc>
          <w:tcPr>
            <w:tcW w:w="6732" w:type="dxa"/>
          </w:tcPr>
          <w:p w14:paraId="043C1D52" w14:textId="432AC7C9" w:rsidR="00567F00" w:rsidRPr="00956AF1" w:rsidRDefault="00567F00" w:rsidP="00567F00">
            <w:pPr>
              <w:tabs>
                <w:tab w:val="left" w:pos="0"/>
              </w:tabs>
              <w:rPr>
                <w:rFonts w:ascii="Arial" w:hAnsi="Arial" w:cs="Arial"/>
                <w:color w:val="000000"/>
                <w:sz w:val="22"/>
                <w:szCs w:val="22"/>
              </w:rPr>
            </w:pPr>
            <w:r>
              <w:rPr>
                <w:rFonts w:ascii="Arial" w:hAnsi="Arial" w:cs="Arial"/>
                <w:color w:val="000000"/>
                <w:sz w:val="22"/>
                <w:szCs w:val="22"/>
              </w:rPr>
              <w:t>We thank the reviewer for this comment. It has been well documented that radiation induces fibrosis (</w:t>
            </w:r>
            <w:proofErr w:type="spellStart"/>
            <w:r>
              <w:rPr>
                <w:rFonts w:ascii="Arial" w:hAnsi="Arial" w:cs="Arial"/>
                <w:color w:val="000000"/>
                <w:sz w:val="22"/>
                <w:szCs w:val="22"/>
              </w:rPr>
              <w:t>Haubner</w:t>
            </w:r>
            <w:proofErr w:type="spellEnd"/>
            <w:r>
              <w:rPr>
                <w:rFonts w:ascii="Arial" w:hAnsi="Arial" w:cs="Arial"/>
                <w:color w:val="000000"/>
                <w:sz w:val="22"/>
                <w:szCs w:val="22"/>
              </w:rPr>
              <w:t xml:space="preserve">, F. et al. Wound healing after radiation therapy: Review of the literature. </w:t>
            </w:r>
            <w:r>
              <w:rPr>
                <w:rFonts w:ascii="Arial" w:hAnsi="Arial" w:cs="Arial"/>
                <w:i/>
                <w:color w:val="000000"/>
                <w:sz w:val="22"/>
                <w:szCs w:val="22"/>
              </w:rPr>
              <w:t>Radiation Oncology</w:t>
            </w:r>
            <w:r>
              <w:rPr>
                <w:rFonts w:ascii="Arial" w:hAnsi="Arial" w:cs="Arial"/>
                <w:color w:val="000000"/>
                <w:sz w:val="22"/>
                <w:szCs w:val="22"/>
              </w:rPr>
              <w:t xml:space="preserve">. </w:t>
            </w:r>
            <w:r>
              <w:rPr>
                <w:rFonts w:ascii="Arial" w:hAnsi="Arial" w:cs="Arial"/>
                <w:b/>
                <w:color w:val="000000"/>
                <w:sz w:val="22"/>
                <w:szCs w:val="22"/>
              </w:rPr>
              <w:t>7</w:t>
            </w:r>
            <w:r>
              <w:rPr>
                <w:rFonts w:ascii="Arial" w:hAnsi="Arial" w:cs="Arial"/>
                <w:color w:val="000000"/>
                <w:sz w:val="22"/>
                <w:szCs w:val="22"/>
              </w:rPr>
              <w:t xml:space="preserve"> (1), 1–9, </w:t>
            </w:r>
            <w:proofErr w:type="spellStart"/>
            <w:r>
              <w:rPr>
                <w:rFonts w:ascii="Arial" w:hAnsi="Arial" w:cs="Arial"/>
                <w:color w:val="000000"/>
                <w:sz w:val="22"/>
                <w:szCs w:val="22"/>
              </w:rPr>
              <w:t>doi</w:t>
            </w:r>
            <w:proofErr w:type="spellEnd"/>
            <w:r>
              <w:rPr>
                <w:rFonts w:ascii="Arial" w:hAnsi="Arial" w:cs="Arial"/>
                <w:color w:val="000000"/>
                <w:sz w:val="22"/>
                <w:szCs w:val="22"/>
              </w:rPr>
              <w:t>: 10.1186/1748-717X-7-162 (2012))</w:t>
            </w:r>
            <w:r w:rsidR="003C18AF">
              <w:rPr>
                <w:rFonts w:ascii="Arial" w:hAnsi="Arial" w:cs="Arial"/>
                <w:color w:val="000000"/>
                <w:sz w:val="22"/>
                <w:szCs w:val="22"/>
              </w:rPr>
              <w:t>, and we expect to see changes to extracellular matrix</w:t>
            </w:r>
            <w:r w:rsidR="00956AF1">
              <w:rPr>
                <w:rFonts w:ascii="Arial" w:hAnsi="Arial" w:cs="Arial"/>
                <w:color w:val="000000"/>
                <w:sz w:val="22"/>
                <w:szCs w:val="22"/>
              </w:rPr>
              <w:t xml:space="preserve"> remodeling</w:t>
            </w:r>
            <w:r>
              <w:rPr>
                <w:rFonts w:ascii="Arial" w:hAnsi="Arial" w:cs="Arial"/>
                <w:color w:val="000000"/>
                <w:sz w:val="22"/>
                <w:szCs w:val="22"/>
              </w:rPr>
              <w:t xml:space="preserve">. </w:t>
            </w:r>
            <w:r w:rsidR="003C18AF">
              <w:rPr>
                <w:rFonts w:ascii="Arial" w:hAnsi="Arial" w:cs="Arial"/>
                <w:color w:val="000000"/>
                <w:sz w:val="22"/>
                <w:szCs w:val="22"/>
              </w:rPr>
              <w:t xml:space="preserve">In future studies, we will characterize these changes. For clarification, we have added the following sentence to the </w:t>
            </w:r>
            <w:r w:rsidR="00956AF1">
              <w:rPr>
                <w:rFonts w:ascii="Arial" w:hAnsi="Arial" w:cs="Arial"/>
                <w:color w:val="000000"/>
                <w:sz w:val="22"/>
                <w:szCs w:val="22"/>
              </w:rPr>
              <w:t>discussion</w:t>
            </w:r>
            <w:r w:rsidR="003C18AF">
              <w:rPr>
                <w:rFonts w:ascii="Arial" w:hAnsi="Arial" w:cs="Arial"/>
                <w:color w:val="000000"/>
                <w:sz w:val="22"/>
                <w:szCs w:val="22"/>
              </w:rPr>
              <w:t>:</w:t>
            </w:r>
          </w:p>
          <w:p w14:paraId="1F17A562" w14:textId="6E8C02C6" w:rsidR="003C18AF" w:rsidRPr="00956AF1" w:rsidRDefault="003C18AF" w:rsidP="00567F00">
            <w:pPr>
              <w:tabs>
                <w:tab w:val="left" w:pos="0"/>
              </w:tabs>
              <w:rPr>
                <w:rFonts w:ascii="Arial" w:hAnsi="Arial" w:cs="Arial"/>
                <w:color w:val="000000"/>
                <w:sz w:val="22"/>
                <w:szCs w:val="22"/>
              </w:rPr>
            </w:pPr>
            <w:r w:rsidRPr="00956AF1">
              <w:rPr>
                <w:rFonts w:ascii="Arial" w:hAnsi="Arial" w:cs="Arial"/>
                <w:color w:val="000000"/>
                <w:sz w:val="22"/>
                <w:szCs w:val="22"/>
              </w:rPr>
              <w:t>“</w:t>
            </w:r>
            <w:r w:rsidR="00956AF1" w:rsidRPr="002D1105">
              <w:rPr>
                <w:rFonts w:ascii="Arial" w:hAnsi="Arial" w:cs="Arial"/>
                <w:sz w:val="22"/>
                <w:szCs w:val="22"/>
              </w:rPr>
              <w:t>We expect</w:t>
            </w:r>
            <w:r w:rsidR="00956AF1">
              <w:rPr>
                <w:rFonts w:ascii="Arial" w:hAnsi="Arial" w:cs="Arial"/>
                <w:sz w:val="22"/>
                <w:szCs w:val="22"/>
              </w:rPr>
              <w:t xml:space="preserve"> that irradiation of MFPs will alter</w:t>
            </w:r>
            <w:r w:rsidR="00956AF1" w:rsidRPr="002D1105">
              <w:rPr>
                <w:rFonts w:ascii="Arial" w:hAnsi="Arial" w:cs="Arial"/>
                <w:sz w:val="22"/>
                <w:szCs w:val="22"/>
              </w:rPr>
              <w:t xml:space="preserve"> ECM remodeling</w:t>
            </w:r>
            <w:r w:rsidR="00956AF1">
              <w:rPr>
                <w:rFonts w:ascii="Arial" w:hAnsi="Arial" w:cs="Arial"/>
                <w:sz w:val="22"/>
                <w:szCs w:val="22"/>
              </w:rPr>
              <w:t xml:space="preserve"> and composition, and these compositional changes will be characterized i</w:t>
            </w:r>
            <w:r w:rsidR="00956AF1" w:rsidRPr="002D1105">
              <w:rPr>
                <w:rFonts w:ascii="Arial" w:hAnsi="Arial" w:cs="Arial"/>
                <w:sz w:val="22"/>
                <w:szCs w:val="22"/>
              </w:rPr>
              <w:t>n future studies.</w:t>
            </w:r>
            <w:r w:rsidRPr="00956AF1">
              <w:rPr>
                <w:rFonts w:ascii="Arial" w:hAnsi="Arial" w:cs="Arial"/>
                <w:color w:val="000000"/>
                <w:sz w:val="22"/>
                <w:szCs w:val="22"/>
              </w:rPr>
              <w:t>”</w:t>
            </w:r>
          </w:p>
          <w:p w14:paraId="02496493" w14:textId="77777777" w:rsidR="003C18AF" w:rsidRDefault="003C18AF" w:rsidP="00567F00">
            <w:pPr>
              <w:tabs>
                <w:tab w:val="left" w:pos="0"/>
              </w:tabs>
              <w:rPr>
                <w:rFonts w:ascii="Arial" w:hAnsi="Arial" w:cs="Arial"/>
                <w:color w:val="000000"/>
                <w:sz w:val="22"/>
                <w:szCs w:val="22"/>
              </w:rPr>
            </w:pPr>
          </w:p>
          <w:p w14:paraId="72CD9A87" w14:textId="4AC406B3" w:rsidR="00567F00" w:rsidRDefault="00956AF1" w:rsidP="00567F00">
            <w:pPr>
              <w:tabs>
                <w:tab w:val="left" w:pos="0"/>
              </w:tabs>
              <w:rPr>
                <w:rFonts w:ascii="Arial" w:hAnsi="Arial" w:cs="Arial"/>
                <w:sz w:val="22"/>
                <w:szCs w:val="22"/>
              </w:rPr>
            </w:pPr>
            <w:r>
              <w:rPr>
                <w:rFonts w:ascii="Arial" w:hAnsi="Arial" w:cs="Arial"/>
                <w:color w:val="000000"/>
                <w:sz w:val="22"/>
                <w:szCs w:val="22"/>
              </w:rPr>
              <w:t xml:space="preserve">We evaluated decellularization and </w:t>
            </w:r>
            <w:proofErr w:type="spellStart"/>
            <w:r>
              <w:rPr>
                <w:rFonts w:ascii="Arial" w:hAnsi="Arial" w:cs="Arial"/>
                <w:color w:val="000000"/>
                <w:sz w:val="22"/>
                <w:szCs w:val="22"/>
              </w:rPr>
              <w:t>delipidation</w:t>
            </w:r>
            <w:proofErr w:type="spellEnd"/>
            <w:r>
              <w:rPr>
                <w:rFonts w:ascii="Arial" w:hAnsi="Arial" w:cs="Arial"/>
                <w:color w:val="000000"/>
                <w:sz w:val="22"/>
                <w:szCs w:val="22"/>
              </w:rPr>
              <w:t xml:space="preserve"> by H&amp;E staining and Oil Red O staining, respectively. </w:t>
            </w:r>
            <w:r w:rsidR="00567F00">
              <w:rPr>
                <w:rFonts w:ascii="Arial" w:hAnsi="Arial" w:cs="Arial"/>
                <w:color w:val="000000"/>
                <w:sz w:val="22"/>
                <w:szCs w:val="22"/>
              </w:rPr>
              <w:t>Figure 2 shows the</w:t>
            </w:r>
            <w:r>
              <w:rPr>
                <w:rFonts w:ascii="Arial" w:hAnsi="Arial" w:cs="Arial"/>
                <w:color w:val="000000"/>
                <w:sz w:val="22"/>
                <w:szCs w:val="22"/>
              </w:rPr>
              <w:t>se</w:t>
            </w:r>
            <w:r w:rsidR="00567F00">
              <w:rPr>
                <w:rFonts w:ascii="Arial" w:hAnsi="Arial" w:cs="Arial"/>
                <w:color w:val="000000"/>
                <w:sz w:val="22"/>
                <w:szCs w:val="22"/>
              </w:rPr>
              <w:t xml:space="preserve"> results</w:t>
            </w:r>
            <w:r w:rsidR="00E90D67">
              <w:rPr>
                <w:rFonts w:ascii="Arial" w:hAnsi="Arial" w:cs="Arial"/>
                <w:color w:val="000000"/>
                <w:sz w:val="22"/>
                <w:szCs w:val="22"/>
              </w:rPr>
              <w:t xml:space="preserve"> in the unirradiated condition</w:t>
            </w:r>
            <w:r w:rsidR="00567F00">
              <w:rPr>
                <w:rFonts w:ascii="Arial" w:hAnsi="Arial" w:cs="Arial"/>
                <w:color w:val="000000"/>
                <w:sz w:val="22"/>
                <w:szCs w:val="22"/>
              </w:rPr>
              <w:t>, which was representative of irradiated condition</w:t>
            </w:r>
            <w:r w:rsidR="00E90D67">
              <w:rPr>
                <w:rFonts w:ascii="Arial" w:hAnsi="Arial" w:cs="Arial"/>
                <w:color w:val="000000"/>
                <w:sz w:val="22"/>
                <w:szCs w:val="22"/>
              </w:rPr>
              <w:t xml:space="preserve"> as well</w:t>
            </w:r>
            <w:r w:rsidR="00567F00">
              <w:rPr>
                <w:rFonts w:ascii="Arial" w:hAnsi="Arial" w:cs="Arial"/>
                <w:color w:val="000000"/>
                <w:sz w:val="22"/>
                <w:szCs w:val="22"/>
              </w:rPr>
              <w:t>. Based on the results of these stains, incomplete decellularization was not considered an issue.</w:t>
            </w:r>
          </w:p>
        </w:tc>
      </w:tr>
    </w:tbl>
    <w:p w14:paraId="478B5909" w14:textId="77777777" w:rsidR="00567F00" w:rsidRDefault="00567F00" w:rsidP="00567F00">
      <w:pPr>
        <w:tabs>
          <w:tab w:val="left" w:pos="0"/>
        </w:tabs>
        <w:rPr>
          <w:rFonts w:ascii="Arial" w:hAnsi="Arial" w:cs="Arial"/>
          <w:sz w:val="22"/>
          <w:szCs w:val="22"/>
        </w:rPr>
      </w:pPr>
    </w:p>
    <w:p w14:paraId="509BE859" w14:textId="082D8FB4" w:rsidR="00567F00" w:rsidRDefault="00567F00" w:rsidP="00567F00">
      <w:pPr>
        <w:tabs>
          <w:tab w:val="left" w:pos="0"/>
        </w:tabs>
        <w:rPr>
          <w:rFonts w:ascii="Arial" w:hAnsi="Arial" w:cs="Arial"/>
          <w:sz w:val="22"/>
          <w:szCs w:val="22"/>
        </w:rPr>
      </w:pPr>
    </w:p>
    <w:p w14:paraId="56EE990C" w14:textId="7914C54A" w:rsidR="00567F00" w:rsidRDefault="00567F00">
      <w:pPr>
        <w:rPr>
          <w:rFonts w:ascii="Arial" w:hAnsi="Arial" w:cs="Arial"/>
          <w:sz w:val="22"/>
          <w:szCs w:val="22"/>
        </w:rPr>
      </w:pPr>
    </w:p>
    <w:p w14:paraId="0853342A" w14:textId="77777777" w:rsidR="00567F00" w:rsidRDefault="00567F00">
      <w:pPr>
        <w:rPr>
          <w:rFonts w:ascii="Arial" w:hAnsi="Arial" w:cs="Arial"/>
          <w:sz w:val="22"/>
          <w:szCs w:val="22"/>
        </w:rPr>
      </w:pPr>
      <w:r>
        <w:rPr>
          <w:rFonts w:ascii="Arial" w:hAnsi="Arial" w:cs="Arial"/>
          <w:sz w:val="22"/>
          <w:szCs w:val="22"/>
        </w:rPr>
        <w:br w:type="page"/>
      </w:r>
    </w:p>
    <w:p w14:paraId="39B9079E" w14:textId="020B589D" w:rsidR="00567F00" w:rsidRDefault="00567F00" w:rsidP="00567F00">
      <w:pPr>
        <w:tabs>
          <w:tab w:val="left" w:pos="0"/>
        </w:tabs>
        <w:jc w:val="center"/>
        <w:rPr>
          <w:rFonts w:ascii="Arial" w:hAnsi="Arial" w:cs="Arial"/>
          <w:sz w:val="22"/>
          <w:szCs w:val="22"/>
        </w:rPr>
      </w:pPr>
      <w:r>
        <w:rPr>
          <w:rFonts w:ascii="Arial" w:hAnsi="Arial" w:cs="Arial"/>
          <w:sz w:val="22"/>
          <w:szCs w:val="22"/>
        </w:rPr>
        <w:lastRenderedPageBreak/>
        <w:t>Response to Reviewer #2</w:t>
      </w:r>
    </w:p>
    <w:p w14:paraId="1D163C52" w14:textId="77777777" w:rsidR="00567F00" w:rsidRDefault="00567F00" w:rsidP="00567F00">
      <w:pPr>
        <w:tabs>
          <w:tab w:val="left" w:pos="0"/>
        </w:tabs>
        <w:jc w:val="center"/>
        <w:rPr>
          <w:rFonts w:ascii="Arial" w:hAnsi="Arial" w:cs="Arial"/>
          <w:sz w:val="22"/>
          <w:szCs w:val="22"/>
        </w:rPr>
      </w:pPr>
    </w:p>
    <w:tbl>
      <w:tblPr>
        <w:tblW w:w="99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0"/>
        <w:gridCol w:w="7403"/>
      </w:tblGrid>
      <w:tr w:rsidR="00274D4F" w14:paraId="4CA8C0EF" w14:textId="77777777">
        <w:trPr>
          <w:jc w:val="center"/>
        </w:trPr>
        <w:tc>
          <w:tcPr>
            <w:tcW w:w="2992" w:type="dxa"/>
            <w:tcBorders>
              <w:top w:val="single" w:sz="4" w:space="0" w:color="000000"/>
              <w:left w:val="single" w:sz="4" w:space="0" w:color="000000"/>
              <w:bottom w:val="single" w:sz="4" w:space="0" w:color="000000"/>
              <w:right w:val="single" w:sz="4" w:space="0" w:color="000000"/>
            </w:tcBorders>
            <w:shd w:val="clear" w:color="auto" w:fill="auto"/>
          </w:tcPr>
          <w:p w14:paraId="55B3CCA6" w14:textId="77777777" w:rsidR="00274D4F" w:rsidRDefault="00F21EA5">
            <w:pPr>
              <w:tabs>
                <w:tab w:val="center" w:pos="4320"/>
                <w:tab w:val="right" w:pos="8640"/>
              </w:tabs>
              <w:jc w:val="center"/>
              <w:rPr>
                <w:rFonts w:ascii="Arial" w:hAnsi="Arial" w:cs="Arial"/>
                <w:b/>
                <w:sz w:val="22"/>
              </w:rPr>
            </w:pPr>
            <w:r>
              <w:rPr>
                <w:rFonts w:ascii="Arial" w:hAnsi="Arial" w:cs="Arial"/>
                <w:b/>
                <w:sz w:val="22"/>
              </w:rPr>
              <w:t>Reviewer 2 Comments</w:t>
            </w:r>
          </w:p>
        </w:tc>
        <w:tc>
          <w:tcPr>
            <w:tcW w:w="6911" w:type="dxa"/>
            <w:tcBorders>
              <w:top w:val="single" w:sz="4" w:space="0" w:color="000000"/>
              <w:left w:val="single" w:sz="4" w:space="0" w:color="000000"/>
              <w:bottom w:val="single" w:sz="4" w:space="0" w:color="000000"/>
              <w:right w:val="single" w:sz="4" w:space="0" w:color="000000"/>
            </w:tcBorders>
            <w:shd w:val="clear" w:color="auto" w:fill="auto"/>
          </w:tcPr>
          <w:p w14:paraId="6DBED2C5" w14:textId="77777777" w:rsidR="00274D4F" w:rsidRDefault="00F21EA5">
            <w:pPr>
              <w:tabs>
                <w:tab w:val="center" w:pos="4320"/>
                <w:tab w:val="right" w:pos="8640"/>
              </w:tabs>
              <w:jc w:val="center"/>
              <w:rPr>
                <w:rFonts w:ascii="Arial" w:eastAsia="Batang" w:hAnsi="Arial" w:cs="Arial"/>
                <w:b/>
                <w:sz w:val="22"/>
              </w:rPr>
            </w:pPr>
            <w:r>
              <w:rPr>
                <w:rFonts w:ascii="Arial" w:eastAsia="Batang" w:hAnsi="Arial" w:cs="Arial"/>
                <w:b/>
                <w:sz w:val="22"/>
              </w:rPr>
              <w:t>Response</w:t>
            </w:r>
          </w:p>
        </w:tc>
      </w:tr>
      <w:tr w:rsidR="00274D4F" w14:paraId="146A9432" w14:textId="77777777">
        <w:trPr>
          <w:jc w:val="center"/>
        </w:trPr>
        <w:tc>
          <w:tcPr>
            <w:tcW w:w="2992" w:type="dxa"/>
            <w:tcBorders>
              <w:top w:val="single" w:sz="4" w:space="0" w:color="000000"/>
              <w:left w:val="single" w:sz="4" w:space="0" w:color="000000"/>
              <w:bottom w:val="single" w:sz="4" w:space="0" w:color="000000"/>
              <w:right w:val="single" w:sz="4" w:space="0" w:color="000000"/>
            </w:tcBorders>
            <w:shd w:val="clear" w:color="auto" w:fill="auto"/>
          </w:tcPr>
          <w:p w14:paraId="00FE63ED" w14:textId="77777777" w:rsidR="00274D4F" w:rsidRDefault="00F21EA5">
            <w:pPr>
              <w:tabs>
                <w:tab w:val="center" w:pos="4320"/>
                <w:tab w:val="right" w:pos="8640"/>
              </w:tabs>
              <w:rPr>
                <w:rFonts w:ascii="Arial" w:hAnsi="Arial"/>
                <w:sz w:val="22"/>
                <w:szCs w:val="22"/>
              </w:rPr>
            </w:pPr>
            <w:r>
              <w:rPr>
                <w:rFonts w:ascii="Arial" w:hAnsi="Arial" w:cs="Arial"/>
                <w:sz w:val="22"/>
                <w:szCs w:val="22"/>
              </w:rPr>
              <w:t xml:space="preserve">1. </w:t>
            </w:r>
            <w:r>
              <w:rPr>
                <w:rFonts w:ascii="Arial" w:hAnsi="Arial"/>
                <w:sz w:val="22"/>
                <w:szCs w:val="22"/>
              </w:rPr>
              <w:t>The tissues were weighed before and after decellularization, but no data were presented related to the weight in the manuscript. Could the authors give the data related to weight change or the water contents before and after decellularization?</w:t>
            </w:r>
          </w:p>
        </w:tc>
        <w:tc>
          <w:tcPr>
            <w:tcW w:w="6911" w:type="dxa"/>
            <w:tcBorders>
              <w:top w:val="single" w:sz="4" w:space="0" w:color="000000"/>
              <w:left w:val="single" w:sz="4" w:space="0" w:color="000000"/>
              <w:bottom w:val="single" w:sz="4" w:space="0" w:color="000000"/>
              <w:right w:val="single" w:sz="4" w:space="0" w:color="000000"/>
            </w:tcBorders>
            <w:shd w:val="clear" w:color="auto" w:fill="auto"/>
          </w:tcPr>
          <w:p w14:paraId="235A7FE7" w14:textId="77777777" w:rsidR="00274D4F" w:rsidRDefault="00F21EA5">
            <w:pPr>
              <w:tabs>
                <w:tab w:val="center" w:pos="4320"/>
                <w:tab w:val="right" w:pos="8640"/>
              </w:tabs>
              <w:rPr>
                <w:rFonts w:ascii="Arial" w:hAnsi="Arial" w:cs="Arial"/>
                <w:color w:val="000000"/>
                <w:sz w:val="22"/>
                <w:szCs w:val="22"/>
              </w:rPr>
            </w:pPr>
            <w:r>
              <w:rPr>
                <w:rFonts w:ascii="Arial" w:hAnsi="Arial" w:cs="Arial"/>
                <w:color w:val="000000"/>
                <w:sz w:val="22"/>
                <w:szCs w:val="22"/>
              </w:rPr>
              <w:t>We thank the reviewer for this suggestion. The data related to weight change is provided in</w:t>
            </w:r>
            <w:r w:rsidR="003C18AF">
              <w:rPr>
                <w:rFonts w:ascii="Arial" w:hAnsi="Arial" w:cs="Arial"/>
                <w:color w:val="000000"/>
                <w:sz w:val="22"/>
                <w:szCs w:val="22"/>
              </w:rPr>
              <w:t xml:space="preserve"> the added Table 1.</w:t>
            </w:r>
          </w:p>
          <w:p w14:paraId="5118FD50" w14:textId="77777777" w:rsidR="00BE0900" w:rsidRDefault="00BE0900">
            <w:pPr>
              <w:tabs>
                <w:tab w:val="center" w:pos="4320"/>
                <w:tab w:val="right" w:pos="8640"/>
              </w:tabs>
              <w:rPr>
                <w:rFonts w:ascii="Arial" w:hAnsi="Arial" w:cs="Arial"/>
                <w:color w:val="000000"/>
                <w:sz w:val="22"/>
                <w:szCs w:val="22"/>
              </w:rPr>
            </w:pPr>
          </w:p>
          <w:p w14:paraId="3A4C1912" w14:textId="778554FE" w:rsidR="00BE0900" w:rsidRDefault="00EB67B5" w:rsidP="00BE0900">
            <w:pPr>
              <w:tabs>
                <w:tab w:val="center" w:pos="4320"/>
                <w:tab w:val="right" w:pos="8640"/>
              </w:tabs>
              <w:jc w:val="center"/>
              <w:rPr>
                <w:rFonts w:ascii="Arial" w:hAnsi="Arial" w:cs="Arial"/>
                <w:color w:val="000000"/>
                <w:sz w:val="22"/>
                <w:szCs w:val="22"/>
              </w:rPr>
            </w:pPr>
            <w:r>
              <w:rPr>
                <w:rFonts w:ascii="Arial" w:hAnsi="Arial" w:cs="Arial"/>
                <w:noProof/>
                <w:color w:val="000000"/>
                <w:sz w:val="22"/>
                <w:szCs w:val="22"/>
              </w:rPr>
              <w:drawing>
                <wp:inline distT="0" distB="0" distL="0" distR="0" wp14:anchorId="22B812A8" wp14:editId="6A569391">
                  <wp:extent cx="3701761" cy="2143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9875" cy="2147822"/>
                          </a:xfrm>
                          <a:prstGeom prst="rect">
                            <a:avLst/>
                          </a:prstGeom>
                          <a:noFill/>
                          <a:ln>
                            <a:noFill/>
                          </a:ln>
                        </pic:spPr>
                      </pic:pic>
                    </a:graphicData>
                  </a:graphic>
                </wp:inline>
              </w:drawing>
            </w:r>
          </w:p>
        </w:tc>
      </w:tr>
      <w:tr w:rsidR="00274D4F" w14:paraId="3CE75014" w14:textId="77777777">
        <w:trPr>
          <w:jc w:val="center"/>
        </w:trPr>
        <w:tc>
          <w:tcPr>
            <w:tcW w:w="2992" w:type="dxa"/>
            <w:tcBorders>
              <w:top w:val="single" w:sz="4" w:space="0" w:color="000000"/>
              <w:left w:val="single" w:sz="4" w:space="0" w:color="000000"/>
              <w:bottom w:val="single" w:sz="4" w:space="0" w:color="000000"/>
              <w:right w:val="single" w:sz="4" w:space="0" w:color="000000"/>
            </w:tcBorders>
            <w:shd w:val="clear" w:color="auto" w:fill="auto"/>
          </w:tcPr>
          <w:p w14:paraId="57C3FA22" w14:textId="77777777" w:rsidR="00274D4F" w:rsidRDefault="00F21EA5">
            <w:pPr>
              <w:tabs>
                <w:tab w:val="center" w:pos="4320"/>
                <w:tab w:val="right" w:pos="8640"/>
              </w:tabs>
              <w:rPr>
                <w:rFonts w:ascii="Arial" w:hAnsi="Arial"/>
                <w:sz w:val="22"/>
                <w:szCs w:val="22"/>
              </w:rPr>
            </w:pPr>
            <w:r>
              <w:rPr>
                <w:rFonts w:ascii="Arial" w:hAnsi="Arial" w:cs="Arial"/>
                <w:sz w:val="22"/>
                <w:szCs w:val="22"/>
              </w:rPr>
              <w:t xml:space="preserve">2. </w:t>
            </w:r>
            <w:r>
              <w:rPr>
                <w:rFonts w:ascii="Arial" w:hAnsi="Arial"/>
                <w:sz w:val="22"/>
                <w:szCs w:val="22"/>
              </w:rPr>
              <w:t>What is the advantage of the decellularization procedure in this study over the others in the literature employing SDS treatment? Could the authors compare their method to others?</w:t>
            </w:r>
          </w:p>
        </w:tc>
        <w:tc>
          <w:tcPr>
            <w:tcW w:w="6911" w:type="dxa"/>
            <w:tcBorders>
              <w:top w:val="single" w:sz="4" w:space="0" w:color="000000"/>
              <w:left w:val="single" w:sz="4" w:space="0" w:color="000000"/>
              <w:bottom w:val="single" w:sz="4" w:space="0" w:color="000000"/>
              <w:right w:val="single" w:sz="4" w:space="0" w:color="000000"/>
            </w:tcBorders>
            <w:shd w:val="clear" w:color="auto" w:fill="auto"/>
          </w:tcPr>
          <w:p w14:paraId="223B0145" w14:textId="77777777" w:rsidR="00274D4F" w:rsidRPr="00956AF1" w:rsidRDefault="00F21EA5">
            <w:pPr>
              <w:tabs>
                <w:tab w:val="center" w:pos="4320"/>
                <w:tab w:val="right" w:pos="8640"/>
              </w:tabs>
              <w:rPr>
                <w:rFonts w:ascii="Arial" w:eastAsia="Batang" w:hAnsi="Arial" w:cs="Arial"/>
                <w:color w:val="000000"/>
                <w:sz w:val="22"/>
                <w:szCs w:val="22"/>
              </w:rPr>
            </w:pPr>
            <w:r>
              <w:rPr>
                <w:rFonts w:ascii="Arial" w:eastAsia="Batang" w:hAnsi="Arial" w:cs="Arial"/>
                <w:sz w:val="22"/>
                <w:szCs w:val="22"/>
              </w:rPr>
              <w:t xml:space="preserve">We thank the reviewer for this comment. While SDS treatment and sodium deoxycholate treatments are comparable in removing cellular material, sodium deoxycholate has been shown to be more effective at removing DNA (Young, D.A. et al. Injectable hydrogel scaffold from decellularized human lipoaspirate. </w:t>
            </w:r>
            <w:r>
              <w:rPr>
                <w:rFonts w:ascii="Arial" w:eastAsia="Batang" w:hAnsi="Arial" w:cs="Arial"/>
                <w:i/>
                <w:color w:val="000000"/>
                <w:sz w:val="22"/>
                <w:szCs w:val="22"/>
              </w:rPr>
              <w:t xml:space="preserve">Acta </w:t>
            </w:r>
            <w:proofErr w:type="spellStart"/>
            <w:r>
              <w:rPr>
                <w:rFonts w:ascii="Arial" w:eastAsia="Batang" w:hAnsi="Arial" w:cs="Arial"/>
                <w:i/>
                <w:color w:val="000000"/>
                <w:sz w:val="22"/>
                <w:szCs w:val="22"/>
              </w:rPr>
              <w:t>Biomaterialia</w:t>
            </w:r>
            <w:proofErr w:type="spellEnd"/>
            <w:r>
              <w:rPr>
                <w:rFonts w:ascii="Arial" w:eastAsia="Batang" w:hAnsi="Arial" w:cs="Arial"/>
                <w:sz w:val="22"/>
                <w:szCs w:val="22"/>
              </w:rPr>
              <w:t xml:space="preserve">. </w:t>
            </w:r>
            <w:r>
              <w:rPr>
                <w:rFonts w:ascii="Arial" w:eastAsia="Batang" w:hAnsi="Arial" w:cs="Arial"/>
                <w:b/>
                <w:color w:val="000000"/>
                <w:sz w:val="22"/>
                <w:szCs w:val="22"/>
              </w:rPr>
              <w:t>7</w:t>
            </w:r>
            <w:r>
              <w:rPr>
                <w:rFonts w:ascii="Arial" w:eastAsia="Batang" w:hAnsi="Arial" w:cs="Arial"/>
                <w:color w:val="000000"/>
                <w:sz w:val="22"/>
                <w:szCs w:val="22"/>
              </w:rPr>
              <w:t xml:space="preserve"> (3), 1040–1049, </w:t>
            </w:r>
            <w:proofErr w:type="spellStart"/>
            <w:r>
              <w:rPr>
                <w:rFonts w:ascii="Arial" w:eastAsia="Batang" w:hAnsi="Arial" w:cs="Arial"/>
                <w:color w:val="000000"/>
                <w:sz w:val="22"/>
                <w:szCs w:val="22"/>
              </w:rPr>
              <w:t>doi</w:t>
            </w:r>
            <w:proofErr w:type="spellEnd"/>
            <w:r>
              <w:rPr>
                <w:rFonts w:ascii="Arial" w:eastAsia="Batang" w:hAnsi="Arial" w:cs="Arial"/>
                <w:color w:val="000000"/>
                <w:sz w:val="22"/>
                <w:szCs w:val="22"/>
              </w:rPr>
              <w:t xml:space="preserve">: 10.1016/j.actbio.2010.09.035 (2011)). This cited publication studies the effect of decellularization on human </w:t>
            </w:r>
            <w:proofErr w:type="spellStart"/>
            <w:r>
              <w:rPr>
                <w:rFonts w:ascii="Arial" w:eastAsia="Batang" w:hAnsi="Arial" w:cs="Arial"/>
                <w:color w:val="000000"/>
                <w:sz w:val="22"/>
                <w:szCs w:val="22"/>
              </w:rPr>
              <w:t>lipoasiprate</w:t>
            </w:r>
            <w:proofErr w:type="spellEnd"/>
            <w:r>
              <w:rPr>
                <w:rFonts w:ascii="Arial" w:eastAsia="Batang" w:hAnsi="Arial" w:cs="Arial"/>
                <w:color w:val="000000"/>
                <w:sz w:val="22"/>
                <w:szCs w:val="22"/>
              </w:rPr>
              <w:t>, which is comparable to the adipose in murine mammary fat pads.</w:t>
            </w:r>
            <w:r w:rsidR="003C18AF">
              <w:rPr>
                <w:rFonts w:ascii="Arial" w:eastAsia="Batang" w:hAnsi="Arial" w:cs="Arial"/>
                <w:color w:val="000000"/>
                <w:sz w:val="22"/>
                <w:szCs w:val="22"/>
              </w:rPr>
              <w:t xml:space="preserve"> We have added the following</w:t>
            </w:r>
            <w:r w:rsidR="00956AF1">
              <w:rPr>
                <w:rFonts w:ascii="Arial" w:eastAsia="Batang" w:hAnsi="Arial" w:cs="Arial"/>
                <w:color w:val="000000"/>
                <w:sz w:val="22"/>
                <w:szCs w:val="22"/>
              </w:rPr>
              <w:t xml:space="preserve"> to the protocol for </w:t>
            </w:r>
            <w:r w:rsidR="00956AF1" w:rsidRPr="00956AF1">
              <w:rPr>
                <w:rFonts w:ascii="Arial" w:eastAsia="Batang" w:hAnsi="Arial" w:cs="Arial"/>
                <w:color w:val="000000"/>
                <w:sz w:val="22"/>
                <w:szCs w:val="22"/>
              </w:rPr>
              <w:t>clarification:</w:t>
            </w:r>
          </w:p>
          <w:p w14:paraId="145FDE7E" w14:textId="6A1F5F7F" w:rsidR="00956AF1" w:rsidRDefault="00956AF1">
            <w:pPr>
              <w:tabs>
                <w:tab w:val="center" w:pos="4320"/>
                <w:tab w:val="right" w:pos="8640"/>
              </w:tabs>
              <w:rPr>
                <w:color w:val="000000"/>
              </w:rPr>
            </w:pPr>
            <w:r w:rsidRPr="00956AF1">
              <w:rPr>
                <w:rFonts w:ascii="Arial" w:hAnsi="Arial" w:cs="Arial"/>
                <w:color w:val="000000"/>
                <w:sz w:val="22"/>
                <w:szCs w:val="22"/>
              </w:rPr>
              <w:t>“</w:t>
            </w:r>
            <w:r w:rsidRPr="00956AF1">
              <w:rPr>
                <w:rFonts w:ascii="Arial" w:hAnsi="Arial" w:cs="Arial"/>
                <w:sz w:val="22"/>
                <w:szCs w:val="22"/>
              </w:rPr>
              <w:t>This procedure was adapted from previously published methods focused on adipose decellularization, which included the sodium deoxycholate ionic detergent rather than sodium dodecyl sulfate to remove DNA</w:t>
            </w:r>
            <w:r>
              <w:rPr>
                <w:rFonts w:ascii="Arial" w:hAnsi="Arial" w:cs="Arial"/>
                <w:sz w:val="22"/>
                <w:szCs w:val="22"/>
              </w:rPr>
              <w:t xml:space="preserve"> efficiently </w:t>
            </w:r>
            <w:r w:rsidRPr="00956AF1">
              <w:rPr>
                <w:rFonts w:ascii="Arial" w:hAnsi="Arial" w:cs="Arial"/>
                <w:sz w:val="22"/>
                <w:szCs w:val="22"/>
              </w:rPr>
              <w:fldChar w:fldCharType="begin"/>
            </w:r>
            <w:r w:rsidRPr="00956AF1">
              <w:rPr>
                <w:rFonts w:ascii="Arial" w:hAnsi="Arial" w:cs="Arial"/>
                <w:b/>
                <w:sz w:val="22"/>
                <w:szCs w:val="22"/>
                <w:vertAlign w:val="superscript"/>
              </w:rPr>
              <w:instrText>ADDIN CSL_CITATION {"citationItems":[{"id":"ITEM-1","itemData":{"DOI":"10.1016/j.actbio.2010.09.035","ISBN":"1878-7568 (Electronic)\\r1742-7061 (Linking)","ISSN":"17427061","PMID":"20932943","abstract":"Soft tissue fillers are rapidly gaining popularity for aesthetic improvements or repair of adipose tissue deficits. Several injectable biopolymers have been investigated for this purpose, but often show rapid resorption or limited adipogenesis and do not mimic the native adipose extracellular matrix (ECM). We have generated an injectable adipose matrix scaffold by efficiently removing both the cellular and lipid contents of human lipoaspirate. The decellularized material retained the complex composition of peptides and glycosaminoglycans found in native adipose ECM. This matrix can be further processed by solubilizing the extracted ECM to generate a thermally responsive hydrogel that self-assembles upon subcutaneous injection. This hydrogel also supports the growth and survival of patient matched adipose-derived stem cells in vitro. The development of an injectable hydrogel from human lipoaspirate represents a minimally invasive option for adipose tissue engineering in terms of both the collection of source material and delivery of the scaffold. © 2010 Acta Materialia Inc. Published by Elsevier Ltd. All rights reserved.","author":[{"dropping-particle":"","family":"Young","given":"D. Adam","non-dropping-particle":"","parse-names":false,"suffix":""},{"dropping-particle":"","family":"Ibrahim","given":"Dina O.","non-dropping-particle":"","parse-names":false,"suffix":""},{"dropping-particle":"","family":"Hu","given":"Diane","non-dropping-particle":"","parse-names":false,"suffix":""},{"dropping-particle":"","family":"Christman","given":"Karen L.","non-dropping-particle":"","parse-names":false,"suffix":""}],"container-title":"Acta Biomaterialia","id":"ITEM-1","issue":"3","issued":{"date-parts":[["2011"]]},"page":"1040-1049","publisher":"Acta Materialia Inc.","title":"Injectable hydrogel scaffold from decellularized human lipoaspirate","type":"article-journal","volume":"7"},"uris":["http://www.mendeley.com/documents/?uuid=1b07afa9-e220-476f-8b1a-00210ff8115a"]}],"mendeley":{"formattedCitation":"&lt;sup&gt;12&lt;/sup&gt;","plainTextFormattedCitation":"12","previouslyFormattedCitation":"&lt;sup&gt;12&lt;/sup&gt;"},"properties":{"noteIndex":0},"schema":"https://github.com/citation-style-language/schema/raw/master/csl-citation.json"}</w:instrText>
            </w:r>
            <w:r w:rsidRPr="00956AF1">
              <w:rPr>
                <w:rFonts w:ascii="Arial" w:hAnsi="Arial" w:cs="Arial"/>
                <w:b/>
                <w:sz w:val="22"/>
                <w:szCs w:val="22"/>
                <w:vertAlign w:val="superscript"/>
              </w:rPr>
              <w:fldChar w:fldCharType="separate"/>
            </w:r>
            <w:r w:rsidRPr="00956AF1">
              <w:rPr>
                <w:rFonts w:ascii="Arial" w:hAnsi="Arial" w:cs="Arial"/>
                <w:b/>
                <w:sz w:val="22"/>
                <w:szCs w:val="22"/>
                <w:vertAlign w:val="superscript"/>
              </w:rPr>
              <w:t>12</w:t>
            </w:r>
            <w:r w:rsidRPr="00956AF1">
              <w:rPr>
                <w:rFonts w:ascii="Arial" w:hAnsi="Arial" w:cs="Arial"/>
                <w:sz w:val="22"/>
                <w:szCs w:val="22"/>
              </w:rPr>
              <w:fldChar w:fldCharType="end"/>
            </w:r>
            <w:r w:rsidRPr="00956AF1">
              <w:rPr>
                <w:rFonts w:ascii="Arial" w:hAnsi="Arial" w:cs="Arial"/>
                <w:b/>
                <w:sz w:val="22"/>
                <w:szCs w:val="22"/>
                <w:vertAlign w:val="superscript"/>
              </w:rPr>
              <w:t>,</w:t>
            </w:r>
            <w:r w:rsidRPr="00956AF1">
              <w:rPr>
                <w:rFonts w:ascii="Arial" w:hAnsi="Arial" w:cs="Arial"/>
                <w:sz w:val="22"/>
                <w:szCs w:val="22"/>
              </w:rPr>
              <w:fldChar w:fldCharType="begin"/>
            </w:r>
            <w:r w:rsidRPr="00956AF1">
              <w:rPr>
                <w:rFonts w:ascii="Arial" w:hAnsi="Arial" w:cs="Arial"/>
                <w:b/>
                <w:sz w:val="22"/>
                <w:szCs w:val="22"/>
                <w:vertAlign w:val="superscript"/>
              </w:rPr>
              <w:instrText>ADDIN CSL_CITATION {"citationItems":[{"id":"ITEM-1","itemData":{"DOI":"10.1089/ten.tec.2010.0342","ISBN":"1937-3384","ISSN":"1937-3384","PMID":"21043998","abstract":"Extracellular matrix (ECM)-based scaffold materials have been used successfully in both preclinical and clinical tissue engineering and regenerative medicine approaches to tissue reconstruction. Results of numerous studies have shown that ECM scaffolds are capable of supporting the growth and differentiation of multiple cell types in vitro and of acting as inductive templates for constructive tissue remodeling after implantation in vivo. Adipose tissue represents a potentially abundant source of ECM and may represent an ideal substrate for the growth and adipogenic differentiation of stem cells harvested from this tissue. Numerous studies have shown that the methods by which ECM scaffold materials are prepared have a dramatic effect upon both the biochemical and structural properties of the resultant ECM scaffold material as well as the ability of the material to support a positive tissue remodeling outcome after implantation. The objective of the present study was to characterize the adipose ECM material...","author":[{"dropping-particle":"","family":"Brown","given":"Bryan N.","non-dropping-particle":"","parse-names":false,"suffix":""},{"dropping-particle":"","family":"Freund","given":"John M.","non-dropping-particle":"","parse-names":false,"suffix":""},{"dropping-particle":"","family":"Han","given":"Li","non-dropping-particle":"","parse-names":false,"suffix":""},{"dropping-particle":"","family":"Rubin","given":"J. Peter","non-dropping-particle":"","parse-names":false,"suffix":""},{"dropping-particle":"","family":"Reing","given":"Janet E.","non-dropping-particle":"","parse-names":false,"suffix":""},{"dropping-particle":"","family":"Jeffries","given":"Eric M.","non-dropping-particle":"","parse-names":false,"suffix":""},{"dropping-particle":"","family":"Wolf","given":"Mathew T.","non-dropping-particle":"","parse-names":false,"suffix":""},{"dropping-particle":"","family":"Tottey","given":"Stephen","non-dropping-particle":"","parse-names":false,"suffix":""},{"dropping-particle":"","family":"Barnes","given":"Christopher A.","non-dropping-particle":"","parse-names":false,"suffix":""},{"dropping-particle":"","family":"Ratner","given":"Buddy D.","non-dropping-particle":"","parse-names":false,"suffix":""},{"dropping-particle":"","family":"Badylak","given":"Stephen F.","non-dropping-particle":"","parse-names":false,"suffix":""}],"container-title":"Tissue Engineering Part C: Methods","id":"ITEM-1","issue":"4","issued":{"date-parts":[["2011"]]},"page":"411-421","title":"Comparison of Three Methods for the Derivation of a Biologic Scaffold Composed of Adipose Tissue Extracellular Matrix","type":"article-journal","volume":"17"},"uris":["http://www.mendeley.com/documents/?uuid=69e66ef8-cf07-4af3-94d4-a8257fc6086d"]}],"mendeley":{"formattedCitation":"&lt;sup&gt;16&lt;/sup&gt;","plainTextFormattedCitation":"16","previouslyFormattedCitation":"&lt;sup&gt;16&lt;/sup&gt;"},"properties":{"noteIndex":0},"schema":"https://github.com/citation-style-language/schema/raw/master/csl-citation.json"}</w:instrText>
            </w:r>
            <w:r w:rsidRPr="00956AF1">
              <w:rPr>
                <w:rFonts w:ascii="Arial" w:hAnsi="Arial" w:cs="Arial"/>
                <w:b/>
                <w:sz w:val="22"/>
                <w:szCs w:val="22"/>
                <w:vertAlign w:val="superscript"/>
              </w:rPr>
              <w:fldChar w:fldCharType="separate"/>
            </w:r>
            <w:r w:rsidRPr="00956AF1">
              <w:rPr>
                <w:rFonts w:ascii="Arial" w:hAnsi="Arial" w:cs="Arial"/>
                <w:b/>
                <w:sz w:val="22"/>
                <w:szCs w:val="22"/>
                <w:vertAlign w:val="superscript"/>
              </w:rPr>
              <w:t>16</w:t>
            </w:r>
            <w:r w:rsidRPr="00956AF1">
              <w:rPr>
                <w:rFonts w:ascii="Arial" w:hAnsi="Arial" w:cs="Arial"/>
                <w:sz w:val="22"/>
                <w:szCs w:val="22"/>
              </w:rPr>
              <w:fldChar w:fldCharType="end"/>
            </w:r>
            <w:r w:rsidRPr="00956AF1">
              <w:rPr>
                <w:rFonts w:ascii="Arial" w:hAnsi="Arial" w:cs="Arial"/>
                <w:b/>
                <w:sz w:val="22"/>
                <w:szCs w:val="22"/>
                <w:vertAlign w:val="superscript"/>
              </w:rPr>
              <w:t>,</w:t>
            </w:r>
            <w:r w:rsidRPr="00956AF1">
              <w:rPr>
                <w:rFonts w:ascii="Arial" w:hAnsi="Arial" w:cs="Arial"/>
                <w:sz w:val="22"/>
                <w:szCs w:val="22"/>
              </w:rPr>
              <w:fldChar w:fldCharType="begin"/>
            </w:r>
            <w:r w:rsidRPr="00956AF1">
              <w:rPr>
                <w:rFonts w:ascii="Arial" w:hAnsi="Arial" w:cs="Arial"/>
                <w:b/>
                <w:sz w:val="22"/>
                <w:szCs w:val="22"/>
                <w:vertAlign w:val="superscript"/>
              </w:rPr>
              <w:instrText>ADDIN CSL_CITATION {"citationItems":[{"id":"ITEM-1","itemData":{"DOI":"10.3791/55094","ISSN":"1940-087X","PMID":"28117788","abstract":"Here we present a method for establishing multiple component cell culture hydrogels for in vitro lung cell culture. Beginning with healthy en bloc lung tissue from porcine, rat, or mouse, the tissue is perfused and submerged in subsequent chemical detergents to remove the cellular debris. Histological comparison of the tissue before and after processing confirms removal of over 95% of double stranded DNA and alpha galactosidase staining suggests the majority of cellular debris is removed. After decellularization, the tissue is lyophilized and then cryomilled into a powder. The matrix powder is digested for 48 hr in an acidic pepsin digestion solution and then neutralized to form the pregel solution. Gelation of the pregel solution can be induced by incubation at 37 °C and can be used immediately following neutralization or stored at 4 °C for up to two weeks. Coatings can be formed using the pregel solution on a non-treated plate for cell attachment. Cells can be suspended in the pregel prior to self-assembly to achieve a 3D culture, plated on the surface of a formed gel from which the cells can migrate through the scaffold, or plated on the coatings. Alterations to the strategy presented can impact gelation temperature, strength, or protein fragment sizes. Beyond hydrogel formation, the hydrogel stiffness may be increased using genipin.","author":[{"dropping-particle":"","family":"Link","given":"Patrick A.","non-dropping-particle":"","parse-names":false,"suffix":""},{"dropping-particle":"","family":"Pouliot","given":"Robert A.","non-dropping-particle":"","parse-names":false,"suffix":""},{"dropping-particle":"","family":"Mikhaiel","given":"Nabil S.","non-dropping-particle":"","parse-names":false,"suffix":""},{"dropping-particle":"","family":"Young","given":"Bethany M.","non-dropping-particle":"","parse-names":false,"suffix":""},{"dropping-particle":"","family":"Heise","given":"Rebecca L.","non-dropping-particle":"","parse-names":false,"suffix":""}],"container-title":"Journal of Visualized Experiments","id":"ITEM-1","issue":"119","issued":{"date-parts":[["2017"]]},"page":"1-9","title":"Tunable Hydrogels from Pulmonary Extracellular Matrix for 3D Cell Culture","type":"article-journal"},"uris":["http://www.mendeley.com/documents/?uuid=fa5eea67-d107-4c40-a123-04b74d2f4ac0"]}],"mendeley":{"formattedCitation":"&lt;sup&gt;17&lt;/sup&gt;","plainTextFormattedCitation":"17","previouslyFormattedCitation":"&lt;sup&gt;17&lt;/sup&gt;"},"properties":{"noteIndex":0},"schema":"https://github.com/citation-style-language/schema/raw/master/csl-citation.json"}</w:instrText>
            </w:r>
            <w:r w:rsidRPr="00956AF1">
              <w:rPr>
                <w:rFonts w:ascii="Arial" w:hAnsi="Arial" w:cs="Arial"/>
                <w:b/>
                <w:sz w:val="22"/>
                <w:szCs w:val="22"/>
                <w:vertAlign w:val="superscript"/>
              </w:rPr>
              <w:fldChar w:fldCharType="separate"/>
            </w:r>
            <w:r w:rsidRPr="00956AF1">
              <w:rPr>
                <w:rFonts w:ascii="Arial" w:hAnsi="Arial" w:cs="Arial"/>
                <w:b/>
                <w:sz w:val="22"/>
                <w:szCs w:val="22"/>
                <w:vertAlign w:val="superscript"/>
              </w:rPr>
              <w:t>17</w:t>
            </w:r>
            <w:r w:rsidRPr="00956AF1">
              <w:rPr>
                <w:rFonts w:ascii="Arial" w:hAnsi="Arial" w:cs="Arial"/>
                <w:sz w:val="22"/>
                <w:szCs w:val="22"/>
              </w:rPr>
              <w:fldChar w:fldCharType="end"/>
            </w:r>
            <w:r w:rsidRPr="00956AF1">
              <w:rPr>
                <w:rFonts w:ascii="Arial" w:hAnsi="Arial" w:cs="Arial"/>
                <w:color w:val="000000"/>
                <w:sz w:val="22"/>
                <w:szCs w:val="22"/>
              </w:rPr>
              <w:t>.”</w:t>
            </w:r>
          </w:p>
        </w:tc>
      </w:tr>
      <w:tr w:rsidR="00274D4F" w14:paraId="1C9C4E88" w14:textId="77777777">
        <w:trPr>
          <w:jc w:val="center"/>
        </w:trPr>
        <w:tc>
          <w:tcPr>
            <w:tcW w:w="2992" w:type="dxa"/>
            <w:tcBorders>
              <w:top w:val="single" w:sz="4" w:space="0" w:color="000000"/>
              <w:left w:val="single" w:sz="4" w:space="0" w:color="000000"/>
              <w:bottom w:val="single" w:sz="4" w:space="0" w:color="000000"/>
              <w:right w:val="single" w:sz="4" w:space="0" w:color="000000"/>
            </w:tcBorders>
            <w:shd w:val="clear" w:color="auto" w:fill="auto"/>
          </w:tcPr>
          <w:p w14:paraId="10F7F3F9" w14:textId="77777777" w:rsidR="00274D4F" w:rsidRDefault="00F21EA5">
            <w:pPr>
              <w:tabs>
                <w:tab w:val="center" w:pos="4320"/>
                <w:tab w:val="right" w:pos="8640"/>
              </w:tabs>
              <w:rPr>
                <w:rFonts w:ascii="Arial" w:hAnsi="Arial"/>
                <w:sz w:val="22"/>
                <w:szCs w:val="22"/>
              </w:rPr>
            </w:pPr>
            <w:r>
              <w:rPr>
                <w:rFonts w:ascii="Arial" w:hAnsi="Arial" w:cs="Arial"/>
                <w:sz w:val="22"/>
                <w:szCs w:val="22"/>
              </w:rPr>
              <w:t xml:space="preserve">3. </w:t>
            </w:r>
            <w:r>
              <w:rPr>
                <w:rFonts w:ascii="Arial" w:hAnsi="Arial"/>
                <w:sz w:val="22"/>
                <w:szCs w:val="22"/>
              </w:rPr>
              <w:t>Do the authors have images with lower magnification to show an overall picture of the tissues after H&amp;E and Oil Red O staining (Figure 2)?</w:t>
            </w:r>
          </w:p>
        </w:tc>
        <w:tc>
          <w:tcPr>
            <w:tcW w:w="6911" w:type="dxa"/>
            <w:tcBorders>
              <w:top w:val="single" w:sz="4" w:space="0" w:color="000000"/>
              <w:left w:val="single" w:sz="4" w:space="0" w:color="000000"/>
              <w:bottom w:val="single" w:sz="4" w:space="0" w:color="000000"/>
              <w:right w:val="single" w:sz="4" w:space="0" w:color="000000"/>
            </w:tcBorders>
            <w:shd w:val="clear" w:color="auto" w:fill="auto"/>
          </w:tcPr>
          <w:p w14:paraId="504219CB" w14:textId="18AEE639" w:rsidR="000E3CB3" w:rsidRPr="00956AF1" w:rsidRDefault="00F21EA5">
            <w:pPr>
              <w:rPr>
                <w:rFonts w:ascii="Arial" w:hAnsi="Arial" w:cs="Arial"/>
                <w:sz w:val="22"/>
                <w:szCs w:val="22"/>
              </w:rPr>
            </w:pPr>
            <w:r>
              <w:rPr>
                <w:rFonts w:ascii="Arial" w:hAnsi="Arial" w:cs="Arial"/>
                <w:sz w:val="22"/>
                <w:szCs w:val="22"/>
              </w:rPr>
              <w:t xml:space="preserve">We thank the reviewer for this suggestion. Sectioning adipose </w:t>
            </w:r>
            <w:r w:rsidR="003C18AF">
              <w:rPr>
                <w:rFonts w:ascii="Arial" w:hAnsi="Arial" w:cs="Arial"/>
                <w:sz w:val="22"/>
                <w:szCs w:val="22"/>
              </w:rPr>
              <w:t>was technically challenging</w:t>
            </w:r>
            <w:r>
              <w:rPr>
                <w:rFonts w:ascii="Arial" w:hAnsi="Arial" w:cs="Arial"/>
                <w:sz w:val="22"/>
                <w:szCs w:val="22"/>
              </w:rPr>
              <w:t xml:space="preserve"> and resulted in few images at lower magnifications</w:t>
            </w:r>
            <w:r w:rsidR="003C18AF">
              <w:rPr>
                <w:rFonts w:ascii="Arial" w:hAnsi="Arial" w:cs="Arial"/>
                <w:sz w:val="22"/>
                <w:szCs w:val="22"/>
              </w:rPr>
              <w:t xml:space="preserve"> due to </w:t>
            </w:r>
            <w:r w:rsidR="000E3CB3">
              <w:rPr>
                <w:rFonts w:ascii="Arial" w:hAnsi="Arial" w:cs="Arial"/>
                <w:sz w:val="22"/>
                <w:szCs w:val="22"/>
              </w:rPr>
              <w:t>the inability of OCT to retain tissue morphology</w:t>
            </w:r>
            <w:r>
              <w:rPr>
                <w:rFonts w:ascii="Arial" w:hAnsi="Arial" w:cs="Arial"/>
                <w:sz w:val="22"/>
                <w:szCs w:val="22"/>
              </w:rPr>
              <w:t>. Included</w:t>
            </w:r>
            <w:r w:rsidR="003C18AF">
              <w:rPr>
                <w:rFonts w:ascii="Arial" w:hAnsi="Arial" w:cs="Arial"/>
                <w:sz w:val="22"/>
                <w:szCs w:val="22"/>
              </w:rPr>
              <w:t xml:space="preserve"> here</w:t>
            </w:r>
            <w:r>
              <w:rPr>
                <w:rFonts w:ascii="Arial" w:hAnsi="Arial" w:cs="Arial"/>
                <w:sz w:val="22"/>
                <w:szCs w:val="22"/>
              </w:rPr>
              <w:t xml:space="preserve"> are images of H&amp;E staining at 20x magnification as opposed to 64x shown in Figure 2</w:t>
            </w:r>
            <w:r w:rsidR="000E3CB3">
              <w:rPr>
                <w:rFonts w:ascii="Arial" w:hAnsi="Arial" w:cs="Arial"/>
                <w:sz w:val="22"/>
                <w:szCs w:val="22"/>
              </w:rPr>
              <w:t>, which demonstrates again</w:t>
            </w:r>
            <w:r w:rsidR="003C18AF">
              <w:rPr>
                <w:rFonts w:ascii="Arial" w:hAnsi="Arial" w:cs="Arial"/>
                <w:sz w:val="22"/>
                <w:szCs w:val="22"/>
              </w:rPr>
              <w:t xml:space="preserve"> the </w:t>
            </w:r>
            <w:r w:rsidR="000E3CB3">
              <w:rPr>
                <w:rFonts w:ascii="Arial" w:hAnsi="Arial" w:cs="Arial"/>
                <w:sz w:val="22"/>
                <w:szCs w:val="22"/>
              </w:rPr>
              <w:t xml:space="preserve">successful </w:t>
            </w:r>
            <w:r w:rsidR="003C18AF">
              <w:rPr>
                <w:rFonts w:ascii="Arial" w:hAnsi="Arial" w:cs="Arial"/>
                <w:sz w:val="22"/>
                <w:szCs w:val="22"/>
              </w:rPr>
              <w:t xml:space="preserve">removal of cellular material following </w:t>
            </w:r>
            <w:r w:rsidR="000E3CB3">
              <w:rPr>
                <w:rFonts w:ascii="Arial" w:hAnsi="Arial" w:cs="Arial"/>
                <w:sz w:val="22"/>
                <w:szCs w:val="22"/>
              </w:rPr>
              <w:t>decellularization</w:t>
            </w:r>
            <w:r>
              <w:rPr>
                <w:rFonts w:ascii="Arial" w:hAnsi="Arial" w:cs="Arial"/>
                <w:sz w:val="22"/>
                <w:szCs w:val="22"/>
              </w:rPr>
              <w:t xml:space="preserve">. </w:t>
            </w:r>
            <w:r w:rsidR="000E3CB3">
              <w:rPr>
                <w:rFonts w:ascii="Arial" w:hAnsi="Arial" w:cs="Arial"/>
                <w:sz w:val="22"/>
                <w:szCs w:val="22"/>
              </w:rPr>
              <w:t>We unfortunately cannot provide Oil Red O stained slides at lower magnifications due to the aforementioned</w:t>
            </w:r>
            <w:r w:rsidR="00956AF1">
              <w:rPr>
                <w:rFonts w:ascii="Arial" w:hAnsi="Arial" w:cs="Arial"/>
                <w:sz w:val="22"/>
                <w:szCs w:val="22"/>
              </w:rPr>
              <w:t xml:space="preserve"> </w:t>
            </w:r>
            <w:r w:rsidR="000E3CB3">
              <w:rPr>
                <w:rFonts w:ascii="Arial" w:hAnsi="Arial" w:cs="Arial"/>
                <w:sz w:val="22"/>
                <w:szCs w:val="22"/>
              </w:rPr>
              <w:t>technical difficulties. We would like to note that the staining shown in Figure 2 is confirmed by other previously published work, and we are confident that</w:t>
            </w:r>
            <w:r w:rsidR="00956AF1">
              <w:rPr>
                <w:rFonts w:ascii="Arial" w:hAnsi="Arial" w:cs="Arial"/>
                <w:sz w:val="22"/>
                <w:szCs w:val="22"/>
              </w:rPr>
              <w:t xml:space="preserve"> we observed</w:t>
            </w:r>
            <w:r w:rsidR="000E3CB3">
              <w:rPr>
                <w:rFonts w:ascii="Arial" w:hAnsi="Arial" w:cs="Arial"/>
                <w:sz w:val="22"/>
                <w:szCs w:val="22"/>
              </w:rPr>
              <w:t xml:space="preserve"> de</w:t>
            </w:r>
            <w:r w:rsidR="00956AF1">
              <w:rPr>
                <w:rFonts w:ascii="Arial" w:hAnsi="Arial" w:cs="Arial"/>
                <w:sz w:val="22"/>
                <w:szCs w:val="22"/>
              </w:rPr>
              <w:t>-</w:t>
            </w:r>
            <w:r w:rsidR="000E3CB3">
              <w:rPr>
                <w:rFonts w:ascii="Arial" w:hAnsi="Arial" w:cs="Arial"/>
                <w:sz w:val="22"/>
                <w:szCs w:val="22"/>
              </w:rPr>
              <w:t>lipidation</w:t>
            </w:r>
            <w:r w:rsidR="00956AF1">
              <w:rPr>
                <w:rFonts w:ascii="Arial" w:hAnsi="Arial" w:cs="Arial"/>
                <w:sz w:val="22"/>
                <w:szCs w:val="22"/>
              </w:rPr>
              <w:t xml:space="preserve">: Brown BN et al. </w:t>
            </w:r>
            <w:r w:rsidR="00956AF1">
              <w:rPr>
                <w:rFonts w:ascii="Arial" w:hAnsi="Arial" w:cs="Arial"/>
                <w:i/>
                <w:sz w:val="22"/>
                <w:szCs w:val="22"/>
              </w:rPr>
              <w:t>Tissue Engineering</w:t>
            </w:r>
            <w:r w:rsidR="00956AF1">
              <w:rPr>
                <w:rFonts w:ascii="Arial" w:hAnsi="Arial" w:cs="Arial"/>
                <w:sz w:val="22"/>
                <w:szCs w:val="22"/>
              </w:rPr>
              <w:t>.</w:t>
            </w:r>
            <w:r w:rsidR="00956AF1" w:rsidRPr="00956AF1">
              <w:rPr>
                <w:rFonts w:ascii="Arial" w:hAnsi="Arial" w:cs="Arial"/>
                <w:i/>
                <w:sz w:val="22"/>
                <w:szCs w:val="22"/>
              </w:rPr>
              <w:t xml:space="preserve"> Part C, Methods</w:t>
            </w:r>
            <w:r w:rsidR="00956AF1">
              <w:rPr>
                <w:rFonts w:ascii="Arial" w:hAnsi="Arial" w:cs="Arial"/>
                <w:sz w:val="22"/>
                <w:szCs w:val="22"/>
              </w:rPr>
              <w:t xml:space="preserve">. 2011; 17(4): 411-421 and Choi YS et al. </w:t>
            </w:r>
            <w:proofErr w:type="spellStart"/>
            <w:r w:rsidR="00956AF1">
              <w:rPr>
                <w:rFonts w:ascii="Arial" w:hAnsi="Arial" w:cs="Arial"/>
                <w:i/>
                <w:sz w:val="22"/>
                <w:szCs w:val="22"/>
              </w:rPr>
              <w:t>Biochem</w:t>
            </w:r>
            <w:proofErr w:type="spellEnd"/>
            <w:r w:rsidR="00956AF1">
              <w:rPr>
                <w:rFonts w:ascii="Arial" w:hAnsi="Arial" w:cs="Arial"/>
                <w:i/>
                <w:sz w:val="22"/>
                <w:szCs w:val="22"/>
              </w:rPr>
              <w:t xml:space="preserve"> </w:t>
            </w:r>
            <w:proofErr w:type="spellStart"/>
            <w:r w:rsidR="00956AF1">
              <w:rPr>
                <w:rFonts w:ascii="Arial" w:hAnsi="Arial" w:cs="Arial"/>
                <w:i/>
                <w:sz w:val="22"/>
                <w:szCs w:val="22"/>
              </w:rPr>
              <w:t>Biophys</w:t>
            </w:r>
            <w:proofErr w:type="spellEnd"/>
            <w:r w:rsidR="00956AF1">
              <w:rPr>
                <w:rFonts w:ascii="Arial" w:hAnsi="Arial" w:cs="Arial"/>
                <w:i/>
                <w:sz w:val="22"/>
                <w:szCs w:val="22"/>
              </w:rPr>
              <w:t xml:space="preserve"> Res </w:t>
            </w:r>
            <w:proofErr w:type="spellStart"/>
            <w:r w:rsidR="00956AF1">
              <w:rPr>
                <w:rFonts w:ascii="Arial" w:hAnsi="Arial" w:cs="Arial"/>
                <w:i/>
                <w:sz w:val="22"/>
                <w:szCs w:val="22"/>
              </w:rPr>
              <w:t>Commun</w:t>
            </w:r>
            <w:proofErr w:type="spellEnd"/>
            <w:r w:rsidR="00956AF1">
              <w:rPr>
                <w:rFonts w:ascii="Arial" w:hAnsi="Arial" w:cs="Arial"/>
                <w:sz w:val="22"/>
                <w:szCs w:val="22"/>
              </w:rPr>
              <w:t xml:space="preserve">. 2006; 345(2): 613-637 both show similar Oil Red O staining in adipose tissue. </w:t>
            </w:r>
          </w:p>
          <w:p w14:paraId="188B6E15" w14:textId="77777777" w:rsidR="000E3CB3" w:rsidRDefault="000E3CB3">
            <w:pPr>
              <w:rPr>
                <w:rFonts w:ascii="Arial" w:hAnsi="Arial" w:cs="Arial"/>
                <w:sz w:val="22"/>
                <w:szCs w:val="22"/>
              </w:rPr>
            </w:pPr>
          </w:p>
          <w:p w14:paraId="13574FBB" w14:textId="35426C50" w:rsidR="00274D4F" w:rsidRDefault="00F21EA5">
            <w:pPr>
              <w:rPr>
                <w:rFonts w:ascii="Arial" w:hAnsi="Arial" w:cs="Arial"/>
                <w:sz w:val="22"/>
                <w:szCs w:val="22"/>
              </w:rPr>
            </w:pPr>
            <w:r>
              <w:rPr>
                <w:rFonts w:ascii="Arial" w:hAnsi="Arial" w:cs="Arial"/>
                <w:sz w:val="22"/>
                <w:szCs w:val="22"/>
              </w:rPr>
              <w:t xml:space="preserve">H&amp;E staining before decellularization (A) and after decellularization (B). Scale bars represent 100 </w:t>
            </w:r>
            <w:proofErr w:type="spellStart"/>
            <w:r>
              <w:rPr>
                <w:rFonts w:ascii="Arial" w:hAnsi="Arial" w:cs="Arial"/>
                <w:color w:val="000000"/>
                <w:sz w:val="22"/>
                <w:szCs w:val="22"/>
              </w:rPr>
              <w:t>μm</w:t>
            </w:r>
            <w:proofErr w:type="spellEnd"/>
            <w:r>
              <w:rPr>
                <w:rFonts w:ascii="Arial" w:hAnsi="Arial" w:cs="Arial"/>
                <w:color w:val="000000"/>
                <w:sz w:val="22"/>
                <w:szCs w:val="22"/>
              </w:rPr>
              <w:t>.</w:t>
            </w:r>
          </w:p>
          <w:p w14:paraId="179A7C39" w14:textId="77777777" w:rsidR="00274D4F" w:rsidRDefault="00F21EA5">
            <w:pPr>
              <w:rPr>
                <w:rFonts w:ascii="Arial" w:hAnsi="Arial" w:cs="Arial"/>
                <w:sz w:val="22"/>
                <w:szCs w:val="22"/>
              </w:rPr>
            </w:pPr>
            <w:r>
              <w:rPr>
                <w:rFonts w:ascii="Arial" w:hAnsi="Arial" w:cs="Arial"/>
                <w:noProof/>
                <w:sz w:val="22"/>
                <w:szCs w:val="22"/>
              </w:rPr>
              <w:lastRenderedPageBreak/>
              <w:drawing>
                <wp:anchor distT="0" distB="0" distL="0" distR="0" simplePos="0" relativeHeight="21" behindDoc="0" locked="0" layoutInCell="1" allowOverlap="1" wp14:anchorId="65F05F77" wp14:editId="518B40E8">
                  <wp:simplePos x="0" y="0"/>
                  <wp:positionH relativeFrom="column">
                    <wp:align>center</wp:align>
                  </wp:positionH>
                  <wp:positionV relativeFrom="paragraph">
                    <wp:posOffset>635</wp:posOffset>
                  </wp:positionV>
                  <wp:extent cx="4248785" cy="1927860"/>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2"/>
                          <a:stretch>
                            <a:fillRect/>
                          </a:stretch>
                        </pic:blipFill>
                        <pic:spPr bwMode="auto">
                          <a:xfrm>
                            <a:off x="0" y="0"/>
                            <a:ext cx="4248785" cy="1927860"/>
                          </a:xfrm>
                          <a:prstGeom prst="rect">
                            <a:avLst/>
                          </a:prstGeom>
                        </pic:spPr>
                      </pic:pic>
                    </a:graphicData>
                  </a:graphic>
                </wp:anchor>
              </w:drawing>
            </w:r>
          </w:p>
        </w:tc>
      </w:tr>
      <w:tr w:rsidR="00274D4F" w14:paraId="17369248" w14:textId="77777777">
        <w:trPr>
          <w:jc w:val="center"/>
        </w:trPr>
        <w:tc>
          <w:tcPr>
            <w:tcW w:w="2992" w:type="dxa"/>
            <w:tcBorders>
              <w:top w:val="single" w:sz="4" w:space="0" w:color="000000"/>
              <w:left w:val="single" w:sz="4" w:space="0" w:color="000000"/>
              <w:bottom w:val="single" w:sz="4" w:space="0" w:color="000000"/>
              <w:right w:val="single" w:sz="4" w:space="0" w:color="000000"/>
            </w:tcBorders>
            <w:shd w:val="clear" w:color="auto" w:fill="auto"/>
          </w:tcPr>
          <w:p w14:paraId="337D773F" w14:textId="77777777" w:rsidR="00274D4F" w:rsidRDefault="00F21EA5">
            <w:pPr>
              <w:tabs>
                <w:tab w:val="center" w:pos="4320"/>
                <w:tab w:val="right" w:pos="8640"/>
              </w:tabs>
              <w:rPr>
                <w:rFonts w:ascii="Arial" w:hAnsi="Arial"/>
                <w:sz w:val="22"/>
                <w:szCs w:val="22"/>
              </w:rPr>
            </w:pPr>
            <w:r>
              <w:rPr>
                <w:rFonts w:ascii="Arial" w:hAnsi="Arial" w:cs="Arial"/>
                <w:sz w:val="22"/>
                <w:szCs w:val="22"/>
              </w:rPr>
              <w:lastRenderedPageBreak/>
              <w:t xml:space="preserve">4. </w:t>
            </w:r>
            <w:r>
              <w:rPr>
                <w:rFonts w:ascii="Arial" w:hAnsi="Arial"/>
                <w:sz w:val="22"/>
                <w:szCs w:val="22"/>
              </w:rPr>
              <w:t xml:space="preserve">In Figure 4C, bioluminescence data show a significant difference between the cells embedded in hydrogels from radiation-treated and untreated matrices. How do the authors explain such a difference after only one dose of 20 </w:t>
            </w:r>
            <w:proofErr w:type="spellStart"/>
            <w:r>
              <w:rPr>
                <w:rFonts w:ascii="Arial" w:hAnsi="Arial"/>
                <w:sz w:val="22"/>
                <w:szCs w:val="22"/>
              </w:rPr>
              <w:t>Gy</w:t>
            </w:r>
            <w:proofErr w:type="spellEnd"/>
            <w:r>
              <w:rPr>
                <w:rFonts w:ascii="Arial" w:hAnsi="Arial"/>
                <w:sz w:val="22"/>
                <w:szCs w:val="22"/>
              </w:rPr>
              <w:t xml:space="preserve"> of radiation as compared to multiple doses of 40-50 </w:t>
            </w:r>
            <w:proofErr w:type="spellStart"/>
            <w:r>
              <w:rPr>
                <w:rFonts w:ascii="Arial" w:hAnsi="Arial"/>
                <w:sz w:val="22"/>
                <w:szCs w:val="22"/>
              </w:rPr>
              <w:t>Gy</w:t>
            </w:r>
            <w:proofErr w:type="spellEnd"/>
            <w:r>
              <w:rPr>
                <w:rFonts w:ascii="Arial" w:hAnsi="Arial"/>
                <w:sz w:val="22"/>
                <w:szCs w:val="22"/>
              </w:rPr>
              <w:t xml:space="preserve"> of radiation applied clinically for radiotherapy? In Figure 4A and B, GFP results also show higher staining in the irradiated gels. However, whether the cells in the control are alive or dead is not clear. Live/dead assay would be of importance to compare the cells in the control and irradiated samples.</w:t>
            </w:r>
          </w:p>
        </w:tc>
        <w:tc>
          <w:tcPr>
            <w:tcW w:w="6911" w:type="dxa"/>
            <w:tcBorders>
              <w:top w:val="single" w:sz="4" w:space="0" w:color="000000"/>
              <w:left w:val="single" w:sz="4" w:space="0" w:color="000000"/>
              <w:bottom w:val="single" w:sz="4" w:space="0" w:color="000000"/>
              <w:right w:val="single" w:sz="4" w:space="0" w:color="000000"/>
            </w:tcBorders>
            <w:shd w:val="clear" w:color="auto" w:fill="auto"/>
          </w:tcPr>
          <w:p w14:paraId="36F72DF0" w14:textId="5A8EEE1C" w:rsidR="00274D4F" w:rsidRDefault="000E3CB3">
            <w:pPr>
              <w:tabs>
                <w:tab w:val="center" w:pos="4320"/>
                <w:tab w:val="right" w:pos="8640"/>
              </w:tabs>
              <w:rPr>
                <w:rFonts w:ascii="Arial" w:eastAsia="Batang" w:hAnsi="Arial" w:cs="Arial"/>
                <w:sz w:val="22"/>
                <w:szCs w:val="22"/>
              </w:rPr>
            </w:pPr>
            <w:r>
              <w:rPr>
                <w:rFonts w:ascii="Arial" w:eastAsia="Batang" w:hAnsi="Arial" w:cs="Arial"/>
                <w:sz w:val="22"/>
                <w:szCs w:val="22"/>
              </w:rPr>
              <w:t xml:space="preserve">We thank the reviewer for these questions. We have updated Figure 4 to include data from additional replicates of the </w:t>
            </w:r>
            <w:r w:rsidR="00956AF1">
              <w:rPr>
                <w:rFonts w:ascii="Arial" w:eastAsia="Batang" w:hAnsi="Arial" w:cs="Arial"/>
                <w:sz w:val="22"/>
                <w:szCs w:val="22"/>
              </w:rPr>
              <w:t xml:space="preserve">proliferation </w:t>
            </w:r>
            <w:r>
              <w:rPr>
                <w:rFonts w:ascii="Arial" w:eastAsia="Batang" w:hAnsi="Arial" w:cs="Arial"/>
                <w:sz w:val="22"/>
                <w:szCs w:val="22"/>
              </w:rPr>
              <w:t xml:space="preserve">experiment. </w:t>
            </w:r>
            <w:r w:rsidR="00956AF1">
              <w:rPr>
                <w:rFonts w:ascii="Arial" w:eastAsia="Batang" w:hAnsi="Arial" w:cs="Arial"/>
                <w:sz w:val="22"/>
                <w:szCs w:val="22"/>
              </w:rPr>
              <w:t xml:space="preserve">In the clinic, patients are given approximately 50 </w:t>
            </w:r>
            <w:proofErr w:type="spellStart"/>
            <w:r w:rsidR="00956AF1">
              <w:rPr>
                <w:rFonts w:ascii="Arial" w:eastAsia="Batang" w:hAnsi="Arial" w:cs="Arial"/>
                <w:sz w:val="22"/>
                <w:szCs w:val="22"/>
              </w:rPr>
              <w:t>Gy</w:t>
            </w:r>
            <w:proofErr w:type="spellEnd"/>
            <w:r w:rsidR="00956AF1">
              <w:rPr>
                <w:rFonts w:ascii="Arial" w:eastAsia="Batang" w:hAnsi="Arial" w:cs="Arial"/>
                <w:sz w:val="22"/>
                <w:szCs w:val="22"/>
              </w:rPr>
              <w:t xml:space="preserve"> in 28 fractions post-mastectomy or 50 </w:t>
            </w:r>
            <w:proofErr w:type="spellStart"/>
            <w:r w:rsidR="00956AF1">
              <w:rPr>
                <w:rFonts w:ascii="Arial" w:eastAsia="Batang" w:hAnsi="Arial" w:cs="Arial"/>
                <w:sz w:val="22"/>
                <w:szCs w:val="22"/>
              </w:rPr>
              <w:t>Gy</w:t>
            </w:r>
            <w:proofErr w:type="spellEnd"/>
            <w:r w:rsidR="00956AF1">
              <w:rPr>
                <w:rFonts w:ascii="Arial" w:eastAsia="Batang" w:hAnsi="Arial" w:cs="Arial"/>
                <w:sz w:val="22"/>
                <w:szCs w:val="22"/>
              </w:rPr>
              <w:t xml:space="preserve"> with a 10 </w:t>
            </w:r>
            <w:proofErr w:type="spellStart"/>
            <w:r w:rsidR="00956AF1">
              <w:rPr>
                <w:rFonts w:ascii="Arial" w:eastAsia="Batang" w:hAnsi="Arial" w:cs="Arial"/>
                <w:sz w:val="22"/>
                <w:szCs w:val="22"/>
              </w:rPr>
              <w:t>Gy</w:t>
            </w:r>
            <w:proofErr w:type="spellEnd"/>
            <w:r w:rsidR="00956AF1">
              <w:rPr>
                <w:rFonts w:ascii="Arial" w:eastAsia="Batang" w:hAnsi="Arial" w:cs="Arial"/>
                <w:sz w:val="22"/>
                <w:szCs w:val="22"/>
              </w:rPr>
              <w:t xml:space="preserve"> boost following lumpectomy. We chose </w:t>
            </w:r>
            <w:r>
              <w:rPr>
                <w:rFonts w:ascii="Arial" w:eastAsia="Batang" w:hAnsi="Arial" w:cs="Arial"/>
                <w:sz w:val="22"/>
                <w:szCs w:val="22"/>
              </w:rPr>
              <w:t xml:space="preserve">to irradiate to a single dose </w:t>
            </w:r>
            <w:r w:rsidR="00956AF1">
              <w:rPr>
                <w:rFonts w:ascii="Arial" w:eastAsia="Batang" w:hAnsi="Arial" w:cs="Arial"/>
                <w:sz w:val="22"/>
                <w:szCs w:val="22"/>
              </w:rPr>
              <w:t xml:space="preserve">of 20 </w:t>
            </w:r>
            <w:proofErr w:type="spellStart"/>
            <w:r w:rsidR="00956AF1">
              <w:rPr>
                <w:rFonts w:ascii="Arial" w:eastAsia="Batang" w:hAnsi="Arial" w:cs="Arial"/>
                <w:sz w:val="22"/>
                <w:szCs w:val="22"/>
              </w:rPr>
              <w:t>Gy</w:t>
            </w:r>
            <w:proofErr w:type="spellEnd"/>
            <w:r w:rsidR="00956AF1">
              <w:rPr>
                <w:rFonts w:ascii="Arial" w:eastAsia="Batang" w:hAnsi="Arial" w:cs="Arial"/>
                <w:sz w:val="22"/>
                <w:szCs w:val="22"/>
              </w:rPr>
              <w:t xml:space="preserve"> </w:t>
            </w:r>
            <w:r>
              <w:rPr>
                <w:rFonts w:ascii="Arial" w:eastAsia="Batang" w:hAnsi="Arial" w:cs="Arial"/>
                <w:sz w:val="22"/>
                <w:szCs w:val="22"/>
              </w:rPr>
              <w:t>as opposed to fractionated doses</w:t>
            </w:r>
            <w:r w:rsidR="00956AF1">
              <w:rPr>
                <w:rFonts w:ascii="Arial" w:eastAsia="Batang" w:hAnsi="Arial" w:cs="Arial"/>
                <w:sz w:val="22"/>
                <w:szCs w:val="22"/>
              </w:rPr>
              <w:t xml:space="preserve"> given the time constraints in our previous </w:t>
            </w:r>
            <w:r w:rsidR="00956AF1" w:rsidRPr="00956AF1">
              <w:rPr>
                <w:rFonts w:ascii="Arial" w:eastAsia="Batang" w:hAnsi="Arial" w:cs="Arial"/>
                <w:i/>
                <w:sz w:val="22"/>
                <w:szCs w:val="22"/>
              </w:rPr>
              <w:t>in vivo</w:t>
            </w:r>
            <w:r w:rsidR="00956AF1">
              <w:rPr>
                <w:rFonts w:ascii="Arial" w:eastAsia="Batang" w:hAnsi="Arial" w:cs="Arial"/>
                <w:sz w:val="22"/>
                <w:szCs w:val="22"/>
              </w:rPr>
              <w:t xml:space="preserve"> study that would influence overall tumor burden. It is well known that fractionating doses results in higher cell survival due to the possibility for repair of double-strand breaks in between fractions that is not possible when giving a single dose (see Hall EJ and </w:t>
            </w:r>
            <w:proofErr w:type="spellStart"/>
            <w:r w:rsidR="00956AF1">
              <w:rPr>
                <w:rFonts w:ascii="Arial" w:eastAsia="Batang" w:hAnsi="Arial" w:cs="Arial"/>
                <w:sz w:val="22"/>
                <w:szCs w:val="22"/>
              </w:rPr>
              <w:t>Giaccia</w:t>
            </w:r>
            <w:proofErr w:type="spellEnd"/>
            <w:r w:rsidR="00956AF1">
              <w:rPr>
                <w:rFonts w:ascii="Arial" w:eastAsia="Batang" w:hAnsi="Arial" w:cs="Arial"/>
                <w:sz w:val="22"/>
                <w:szCs w:val="22"/>
              </w:rPr>
              <w:t xml:space="preserve"> AJ. </w:t>
            </w:r>
            <w:r w:rsidR="00956AF1">
              <w:rPr>
                <w:rFonts w:ascii="Arial" w:eastAsia="Batang" w:hAnsi="Arial" w:cs="Arial"/>
                <w:i/>
                <w:sz w:val="22"/>
                <w:szCs w:val="22"/>
              </w:rPr>
              <w:t>Radiobiology for the Radiologist</w:t>
            </w:r>
            <w:r w:rsidR="00956AF1">
              <w:rPr>
                <w:rFonts w:ascii="Arial" w:eastAsia="Batang" w:hAnsi="Arial" w:cs="Arial"/>
                <w:sz w:val="22"/>
                <w:szCs w:val="22"/>
              </w:rPr>
              <w:t>. 2012, 7</w:t>
            </w:r>
            <w:r w:rsidR="00956AF1" w:rsidRPr="00956AF1">
              <w:rPr>
                <w:rFonts w:ascii="Arial" w:eastAsia="Batang" w:hAnsi="Arial" w:cs="Arial"/>
                <w:sz w:val="22"/>
                <w:szCs w:val="22"/>
                <w:vertAlign w:val="superscript"/>
              </w:rPr>
              <w:t>th</w:t>
            </w:r>
            <w:r w:rsidR="00956AF1">
              <w:rPr>
                <w:rFonts w:ascii="Arial" w:eastAsia="Batang" w:hAnsi="Arial" w:cs="Arial"/>
                <w:sz w:val="22"/>
                <w:szCs w:val="22"/>
              </w:rPr>
              <w:t xml:space="preserve"> edition). We therefore used a 20 </w:t>
            </w:r>
            <w:proofErr w:type="spellStart"/>
            <w:r w:rsidR="00956AF1">
              <w:rPr>
                <w:rFonts w:ascii="Arial" w:eastAsia="Batang" w:hAnsi="Arial" w:cs="Arial"/>
                <w:sz w:val="22"/>
                <w:szCs w:val="22"/>
              </w:rPr>
              <w:t>Gy</w:t>
            </w:r>
            <w:proofErr w:type="spellEnd"/>
            <w:r w:rsidR="00956AF1">
              <w:rPr>
                <w:rFonts w:ascii="Arial" w:eastAsia="Batang" w:hAnsi="Arial" w:cs="Arial"/>
                <w:sz w:val="22"/>
                <w:szCs w:val="22"/>
              </w:rPr>
              <w:t xml:space="preserve"> dose in a single fraction to ensure tissue damage.</w:t>
            </w:r>
          </w:p>
          <w:p w14:paraId="00AAE5CB" w14:textId="77777777" w:rsidR="00956AF1" w:rsidRDefault="00956AF1">
            <w:pPr>
              <w:tabs>
                <w:tab w:val="center" w:pos="4320"/>
                <w:tab w:val="right" w:pos="8640"/>
              </w:tabs>
              <w:rPr>
                <w:rFonts w:ascii="Arial" w:eastAsia="Batang" w:hAnsi="Arial" w:cs="Arial"/>
                <w:sz w:val="22"/>
                <w:szCs w:val="22"/>
              </w:rPr>
            </w:pPr>
          </w:p>
          <w:p w14:paraId="44491930" w14:textId="6BAB612D" w:rsidR="00956AF1" w:rsidRPr="00E6627D" w:rsidRDefault="00DB3718">
            <w:pPr>
              <w:tabs>
                <w:tab w:val="center" w:pos="4320"/>
                <w:tab w:val="right" w:pos="8640"/>
              </w:tabs>
              <w:rPr>
                <w:rFonts w:ascii="Arial" w:eastAsia="Batang" w:hAnsi="Arial" w:cs="Arial"/>
                <w:sz w:val="22"/>
                <w:szCs w:val="22"/>
              </w:rPr>
            </w:pPr>
            <w:r>
              <w:rPr>
                <w:rFonts w:ascii="Arial" w:eastAsia="Batang" w:hAnsi="Arial" w:cs="Arial"/>
                <w:sz w:val="22"/>
                <w:szCs w:val="22"/>
              </w:rPr>
              <w:t>After multiple experiments</w:t>
            </w:r>
            <w:r w:rsidR="00E6627D">
              <w:rPr>
                <w:rFonts w:ascii="Arial" w:eastAsia="Batang" w:hAnsi="Arial" w:cs="Arial"/>
                <w:sz w:val="22"/>
                <w:szCs w:val="22"/>
              </w:rPr>
              <w:t>, our results continue to show an increasing trend toward higher proliferation using bioluminescence imaging</w:t>
            </w:r>
            <w:r>
              <w:rPr>
                <w:rFonts w:ascii="Arial" w:eastAsia="Batang" w:hAnsi="Arial" w:cs="Arial"/>
                <w:sz w:val="22"/>
                <w:szCs w:val="22"/>
              </w:rPr>
              <w:t xml:space="preserve">. </w:t>
            </w:r>
            <w:r w:rsidR="000E3CB3">
              <w:rPr>
                <w:rFonts w:ascii="Arial" w:eastAsia="Batang" w:hAnsi="Arial" w:cs="Arial"/>
                <w:sz w:val="22"/>
                <w:szCs w:val="22"/>
              </w:rPr>
              <w:t xml:space="preserve">We have also added live/dead staining analysis </w:t>
            </w:r>
            <w:r w:rsidR="00956AF1">
              <w:rPr>
                <w:rFonts w:ascii="Arial" w:eastAsia="Batang" w:hAnsi="Arial" w:cs="Arial"/>
                <w:sz w:val="22"/>
                <w:szCs w:val="22"/>
              </w:rPr>
              <w:t xml:space="preserve">in Figure 4 </w:t>
            </w:r>
            <w:r w:rsidR="000E3CB3">
              <w:rPr>
                <w:rFonts w:ascii="Arial" w:eastAsia="Batang" w:hAnsi="Arial" w:cs="Arial"/>
                <w:sz w:val="22"/>
                <w:szCs w:val="22"/>
              </w:rPr>
              <w:t xml:space="preserve">to </w:t>
            </w:r>
            <w:r w:rsidR="00956AF1">
              <w:rPr>
                <w:rFonts w:ascii="Arial" w:eastAsia="Batang" w:hAnsi="Arial" w:cs="Arial"/>
                <w:sz w:val="22"/>
                <w:szCs w:val="22"/>
              </w:rPr>
              <w:t>evaluate whether interaction with ECM hydrogels altered cytotoxicity</w:t>
            </w:r>
            <w:r w:rsidR="00D7631B">
              <w:rPr>
                <w:rFonts w:ascii="Arial" w:eastAsia="Batang" w:hAnsi="Arial" w:cs="Arial"/>
                <w:sz w:val="22"/>
                <w:szCs w:val="22"/>
              </w:rPr>
              <w:t xml:space="preserve"> (see below)</w:t>
            </w:r>
            <w:r w:rsidR="00956AF1">
              <w:rPr>
                <w:rFonts w:ascii="Arial" w:eastAsia="Batang" w:hAnsi="Arial" w:cs="Arial"/>
                <w:sz w:val="22"/>
                <w:szCs w:val="22"/>
              </w:rPr>
              <w:t xml:space="preserve">. We found that </w:t>
            </w:r>
            <w:r>
              <w:rPr>
                <w:rFonts w:ascii="Arial" w:eastAsia="Batang" w:hAnsi="Arial" w:cs="Arial"/>
                <w:sz w:val="22"/>
                <w:szCs w:val="22"/>
              </w:rPr>
              <w:t xml:space="preserve">there was </w:t>
            </w:r>
            <w:r w:rsidR="00E6627D">
              <w:rPr>
                <w:rFonts w:ascii="Arial" w:eastAsia="Batang" w:hAnsi="Arial" w:cs="Arial"/>
                <w:sz w:val="22"/>
                <w:szCs w:val="22"/>
              </w:rPr>
              <w:t>a trend</w:t>
            </w:r>
            <w:r>
              <w:rPr>
                <w:rFonts w:ascii="Arial" w:eastAsia="Batang" w:hAnsi="Arial" w:cs="Arial"/>
                <w:sz w:val="22"/>
                <w:szCs w:val="22"/>
              </w:rPr>
              <w:t xml:space="preserve"> toward a higher live/dead ratio in the irradiated ECM hydrogels, indicating that the ECM hydrogels </w:t>
            </w:r>
            <w:r w:rsidRPr="00E6627D">
              <w:rPr>
                <w:rFonts w:ascii="Arial" w:eastAsia="Batang" w:hAnsi="Arial" w:cs="Arial"/>
                <w:sz w:val="22"/>
                <w:szCs w:val="22"/>
              </w:rPr>
              <w:t>are not cytotoxic and that the irradiated ECM hydrogels may promote increased proliferation</w:t>
            </w:r>
            <w:r w:rsidR="00956AF1" w:rsidRPr="00E6627D">
              <w:rPr>
                <w:rFonts w:ascii="Arial" w:eastAsia="Batang" w:hAnsi="Arial" w:cs="Arial"/>
                <w:sz w:val="22"/>
                <w:szCs w:val="22"/>
              </w:rPr>
              <w:t xml:space="preserve">. We have added the following to the </w:t>
            </w:r>
            <w:r w:rsidR="00E6627D" w:rsidRPr="00E6627D">
              <w:rPr>
                <w:rFonts w:ascii="Arial" w:eastAsia="Batang" w:hAnsi="Arial" w:cs="Arial"/>
                <w:sz w:val="22"/>
                <w:szCs w:val="22"/>
              </w:rPr>
              <w:t>Discussion</w:t>
            </w:r>
            <w:r w:rsidR="00956AF1" w:rsidRPr="00E6627D">
              <w:rPr>
                <w:rFonts w:ascii="Arial" w:eastAsia="Batang" w:hAnsi="Arial" w:cs="Arial"/>
                <w:sz w:val="22"/>
                <w:szCs w:val="22"/>
              </w:rPr>
              <w:t xml:space="preserve"> section to describe this finding:</w:t>
            </w:r>
          </w:p>
          <w:p w14:paraId="721B7E6B" w14:textId="5247E059" w:rsidR="00956AF1" w:rsidRDefault="00956AF1">
            <w:pPr>
              <w:tabs>
                <w:tab w:val="center" w:pos="4320"/>
                <w:tab w:val="right" w:pos="8640"/>
              </w:tabs>
              <w:rPr>
                <w:rFonts w:ascii="Arial" w:eastAsia="Batang" w:hAnsi="Arial" w:cs="Arial"/>
                <w:sz w:val="22"/>
                <w:szCs w:val="22"/>
              </w:rPr>
            </w:pPr>
            <w:r w:rsidRPr="00E6627D">
              <w:rPr>
                <w:rFonts w:ascii="Arial" w:eastAsia="Batang" w:hAnsi="Arial" w:cs="Arial"/>
                <w:sz w:val="22"/>
                <w:szCs w:val="22"/>
              </w:rPr>
              <w:t>“</w:t>
            </w:r>
            <w:r w:rsidR="00E6627D" w:rsidRPr="00E6627D">
              <w:rPr>
                <w:rFonts w:ascii="Arial" w:hAnsi="Arial" w:cs="Arial"/>
                <w:sz w:val="22"/>
                <w:szCs w:val="22"/>
              </w:rPr>
              <w:t xml:space="preserve">We observed an increasing trend in the proliferation of 4T1 cells within irradiated ECM hydrogels using both bioluminescence imaging and </w:t>
            </w:r>
            <w:r w:rsidR="000947A5">
              <w:rPr>
                <w:rFonts w:ascii="Arial" w:hAnsi="Arial" w:cs="Arial"/>
                <w:sz w:val="22"/>
                <w:szCs w:val="22"/>
              </w:rPr>
              <w:t>viability</w:t>
            </w:r>
            <w:r w:rsidR="00E6627D" w:rsidRPr="00E6627D">
              <w:rPr>
                <w:rFonts w:ascii="Arial" w:hAnsi="Arial" w:cs="Arial"/>
                <w:sz w:val="22"/>
                <w:szCs w:val="22"/>
              </w:rPr>
              <w:t xml:space="preserve"> staining (Figure 4)</w:t>
            </w:r>
            <w:r w:rsidRPr="00E6627D">
              <w:rPr>
                <w:rFonts w:ascii="Arial" w:eastAsia="Batang" w:hAnsi="Arial" w:cs="Arial"/>
                <w:sz w:val="22"/>
                <w:szCs w:val="22"/>
              </w:rPr>
              <w:t>.”</w:t>
            </w:r>
          </w:p>
          <w:p w14:paraId="2A769498" w14:textId="78937021" w:rsidR="00F8663F" w:rsidRPr="00E6627D" w:rsidRDefault="00F8663F">
            <w:pPr>
              <w:tabs>
                <w:tab w:val="center" w:pos="4320"/>
                <w:tab w:val="right" w:pos="8640"/>
              </w:tabs>
              <w:rPr>
                <w:rFonts w:ascii="Arial" w:eastAsia="Batang" w:hAnsi="Arial" w:cs="Arial"/>
                <w:sz w:val="22"/>
                <w:szCs w:val="22"/>
              </w:rPr>
            </w:pPr>
            <w:r>
              <w:rPr>
                <w:rFonts w:ascii="Arial" w:eastAsia="Batang" w:hAnsi="Arial" w:cs="Arial"/>
                <w:sz w:val="22"/>
                <w:szCs w:val="22"/>
              </w:rPr>
              <w:t xml:space="preserve">Scale bars represent 200 </w:t>
            </w:r>
            <w:proofErr w:type="spellStart"/>
            <w:r>
              <w:rPr>
                <w:rFonts w:ascii="Arial" w:hAnsi="Arial" w:cs="Arial"/>
                <w:color w:val="000000"/>
                <w:sz w:val="22"/>
                <w:szCs w:val="22"/>
              </w:rPr>
              <w:t>μm</w:t>
            </w:r>
            <w:proofErr w:type="spellEnd"/>
            <w:r>
              <w:rPr>
                <w:rFonts w:ascii="Arial" w:hAnsi="Arial" w:cs="Arial"/>
                <w:color w:val="000000"/>
                <w:sz w:val="22"/>
                <w:szCs w:val="22"/>
              </w:rPr>
              <w:t>.</w:t>
            </w:r>
          </w:p>
          <w:p w14:paraId="25BF696B" w14:textId="77777777" w:rsidR="00DB3718" w:rsidRDefault="00DB3718">
            <w:pPr>
              <w:tabs>
                <w:tab w:val="center" w:pos="4320"/>
                <w:tab w:val="right" w:pos="8640"/>
              </w:tabs>
              <w:rPr>
                <w:rFonts w:ascii="Arial" w:eastAsia="Batang" w:hAnsi="Arial" w:cs="Arial"/>
                <w:sz w:val="22"/>
                <w:szCs w:val="22"/>
              </w:rPr>
            </w:pPr>
          </w:p>
          <w:p w14:paraId="6F547C6F" w14:textId="231EEC89" w:rsidR="00DB3718" w:rsidRDefault="00F8663F" w:rsidP="00F8663F">
            <w:pPr>
              <w:tabs>
                <w:tab w:val="center" w:pos="4320"/>
                <w:tab w:val="right" w:pos="8640"/>
              </w:tabs>
              <w:jc w:val="center"/>
              <w:rPr>
                <w:rFonts w:ascii="Arial" w:eastAsia="Batang" w:hAnsi="Arial" w:cs="Arial"/>
                <w:sz w:val="22"/>
                <w:szCs w:val="22"/>
              </w:rPr>
            </w:pPr>
            <w:r>
              <w:rPr>
                <w:rFonts w:ascii="Arial" w:eastAsia="Batang" w:hAnsi="Arial" w:cs="Arial"/>
                <w:noProof/>
                <w:sz w:val="22"/>
                <w:szCs w:val="22"/>
                <w:highlight w:val="yellow"/>
              </w:rPr>
              <w:drawing>
                <wp:inline distT="0" distB="0" distL="0" distR="0" wp14:anchorId="64604E13" wp14:editId="0BF5C46E">
                  <wp:extent cx="4453247" cy="2487964"/>
                  <wp:effectExtent l="0" t="0" r="508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2184" cy="2515304"/>
                          </a:xfrm>
                          <a:prstGeom prst="rect">
                            <a:avLst/>
                          </a:prstGeom>
                          <a:noFill/>
                          <a:ln>
                            <a:noFill/>
                          </a:ln>
                        </pic:spPr>
                      </pic:pic>
                    </a:graphicData>
                  </a:graphic>
                </wp:inline>
              </w:drawing>
            </w:r>
          </w:p>
        </w:tc>
      </w:tr>
      <w:tr w:rsidR="00274D4F" w14:paraId="144C9236" w14:textId="77777777">
        <w:trPr>
          <w:jc w:val="center"/>
        </w:trPr>
        <w:tc>
          <w:tcPr>
            <w:tcW w:w="2992" w:type="dxa"/>
            <w:tcBorders>
              <w:top w:val="single" w:sz="4" w:space="0" w:color="000000"/>
              <w:left w:val="single" w:sz="4" w:space="0" w:color="000000"/>
              <w:bottom w:val="single" w:sz="4" w:space="0" w:color="000000"/>
              <w:right w:val="single" w:sz="4" w:space="0" w:color="000000"/>
            </w:tcBorders>
            <w:shd w:val="clear" w:color="auto" w:fill="auto"/>
          </w:tcPr>
          <w:p w14:paraId="2396939F" w14:textId="77777777" w:rsidR="00274D4F" w:rsidRDefault="00F21EA5">
            <w:pPr>
              <w:tabs>
                <w:tab w:val="center" w:pos="4320"/>
                <w:tab w:val="right" w:pos="8640"/>
              </w:tabs>
              <w:rPr>
                <w:rFonts w:ascii="Arial" w:hAnsi="Arial"/>
                <w:sz w:val="22"/>
                <w:szCs w:val="22"/>
              </w:rPr>
            </w:pPr>
            <w:r>
              <w:rPr>
                <w:rFonts w:ascii="Arial" w:hAnsi="Arial" w:cs="Arial"/>
                <w:sz w:val="22"/>
                <w:szCs w:val="22"/>
              </w:rPr>
              <w:lastRenderedPageBreak/>
              <w:t xml:space="preserve">5. </w:t>
            </w:r>
            <w:r>
              <w:rPr>
                <w:rFonts w:ascii="Arial" w:hAnsi="Arial"/>
                <w:sz w:val="22"/>
                <w:szCs w:val="22"/>
              </w:rPr>
              <w:t>In Fig. 5, the image of the cells on the untreated control is missing. It would be more complete if the authors provide an image for the control. That would also show the cell number on the untreated control and support Fig. 4.</w:t>
            </w:r>
          </w:p>
        </w:tc>
        <w:tc>
          <w:tcPr>
            <w:tcW w:w="6911" w:type="dxa"/>
            <w:tcBorders>
              <w:top w:val="single" w:sz="4" w:space="0" w:color="000000"/>
              <w:left w:val="single" w:sz="4" w:space="0" w:color="000000"/>
              <w:bottom w:val="single" w:sz="4" w:space="0" w:color="000000"/>
              <w:right w:val="single" w:sz="4" w:space="0" w:color="000000"/>
            </w:tcBorders>
            <w:shd w:val="clear" w:color="auto" w:fill="auto"/>
          </w:tcPr>
          <w:p w14:paraId="2F10D56E" w14:textId="36030BD7" w:rsidR="00956AF1" w:rsidRPr="004B0561" w:rsidRDefault="00F21EA5">
            <w:pPr>
              <w:tabs>
                <w:tab w:val="center" w:pos="4320"/>
                <w:tab w:val="right" w:pos="8640"/>
              </w:tabs>
              <w:rPr>
                <w:rFonts w:ascii="Arial" w:eastAsia="Batang" w:hAnsi="Arial" w:cs="Arial"/>
                <w:sz w:val="22"/>
                <w:szCs w:val="22"/>
              </w:rPr>
            </w:pPr>
            <w:r>
              <w:rPr>
                <w:rFonts w:ascii="Arial" w:eastAsia="Batang" w:hAnsi="Arial" w:cs="Arial"/>
                <w:sz w:val="22"/>
                <w:szCs w:val="22"/>
              </w:rPr>
              <w:t xml:space="preserve">We thank the reviewer for this observation. </w:t>
            </w:r>
            <w:r w:rsidR="000E3CB3">
              <w:rPr>
                <w:rFonts w:ascii="Arial" w:eastAsia="Batang" w:hAnsi="Arial" w:cs="Arial"/>
                <w:sz w:val="22"/>
                <w:szCs w:val="22"/>
              </w:rPr>
              <w:t xml:space="preserve">We have updated Figure 5 to compare </w:t>
            </w:r>
            <w:r w:rsidR="00956AF1">
              <w:rPr>
                <w:rFonts w:ascii="Arial" w:eastAsia="Batang" w:hAnsi="Arial" w:cs="Arial"/>
                <w:sz w:val="22"/>
                <w:szCs w:val="22"/>
              </w:rPr>
              <w:t xml:space="preserve">the cytoskeleton in </w:t>
            </w:r>
            <w:r w:rsidR="000E3CB3">
              <w:rPr>
                <w:rFonts w:ascii="Arial" w:eastAsia="Batang" w:hAnsi="Arial" w:cs="Arial"/>
                <w:sz w:val="22"/>
                <w:szCs w:val="22"/>
              </w:rPr>
              <w:t>cells grown in the control and irradiated ECM hydrogels</w:t>
            </w:r>
            <w:r w:rsidR="00251F2F">
              <w:rPr>
                <w:rFonts w:ascii="Arial" w:eastAsia="Batang" w:hAnsi="Arial" w:cs="Arial"/>
                <w:sz w:val="22"/>
                <w:szCs w:val="22"/>
              </w:rPr>
              <w:t xml:space="preserve"> (see below)</w:t>
            </w:r>
            <w:r>
              <w:rPr>
                <w:rFonts w:ascii="Arial" w:eastAsia="Batang" w:hAnsi="Arial" w:cs="Arial"/>
                <w:sz w:val="22"/>
                <w:szCs w:val="22"/>
              </w:rPr>
              <w:t>.</w:t>
            </w:r>
            <w:r w:rsidR="00956AF1">
              <w:rPr>
                <w:rFonts w:ascii="Arial" w:eastAsia="Batang" w:hAnsi="Arial" w:cs="Arial"/>
                <w:sz w:val="22"/>
                <w:szCs w:val="22"/>
              </w:rPr>
              <w:t xml:space="preserve"> We observed that cells grown on irradiated ECM exhibited </w:t>
            </w:r>
            <w:r w:rsidR="00956AF1" w:rsidRPr="004B0561">
              <w:rPr>
                <w:rFonts w:ascii="Arial" w:eastAsia="Batang" w:hAnsi="Arial" w:cs="Arial"/>
                <w:sz w:val="22"/>
                <w:szCs w:val="22"/>
              </w:rPr>
              <w:t>enhanced</w:t>
            </w:r>
            <w:r w:rsidR="00137ABB" w:rsidRPr="004B0561">
              <w:rPr>
                <w:rFonts w:ascii="Arial" w:eastAsia="Batang" w:hAnsi="Arial" w:cs="Arial"/>
                <w:sz w:val="22"/>
                <w:szCs w:val="22"/>
              </w:rPr>
              <w:t xml:space="preserve"> actin alignment and tumor cell elongation</w:t>
            </w:r>
            <w:r w:rsidR="00956AF1" w:rsidRPr="004B0561">
              <w:rPr>
                <w:rFonts w:ascii="Arial" w:eastAsia="Batang" w:hAnsi="Arial" w:cs="Arial"/>
                <w:sz w:val="22"/>
                <w:szCs w:val="22"/>
              </w:rPr>
              <w:t xml:space="preserve">, which may be indicative of </w:t>
            </w:r>
            <w:r w:rsidR="00E6627D" w:rsidRPr="004B0561">
              <w:rPr>
                <w:rFonts w:ascii="Arial" w:eastAsia="Batang" w:hAnsi="Arial" w:cs="Arial"/>
                <w:sz w:val="22"/>
                <w:szCs w:val="22"/>
              </w:rPr>
              <w:t>enhanced tumor cell invasion</w:t>
            </w:r>
            <w:r w:rsidR="00956AF1" w:rsidRPr="004B0561">
              <w:rPr>
                <w:rFonts w:ascii="Arial" w:eastAsia="Batang" w:hAnsi="Arial" w:cs="Arial"/>
                <w:sz w:val="22"/>
                <w:szCs w:val="22"/>
              </w:rPr>
              <w:t>.  We have added the following in the Discussion section to describe this finding:</w:t>
            </w:r>
          </w:p>
          <w:p w14:paraId="2BC67D14" w14:textId="4B41A364" w:rsidR="00956AF1" w:rsidRDefault="00956AF1">
            <w:pPr>
              <w:tabs>
                <w:tab w:val="center" w:pos="4320"/>
                <w:tab w:val="right" w:pos="8640"/>
              </w:tabs>
              <w:rPr>
                <w:rFonts w:ascii="Arial" w:eastAsia="Batang" w:hAnsi="Arial" w:cs="Arial"/>
                <w:sz w:val="22"/>
                <w:szCs w:val="22"/>
              </w:rPr>
            </w:pPr>
            <w:r w:rsidRPr="004B0561">
              <w:rPr>
                <w:rFonts w:ascii="Arial" w:eastAsia="Batang" w:hAnsi="Arial" w:cs="Arial"/>
                <w:sz w:val="22"/>
                <w:szCs w:val="22"/>
              </w:rPr>
              <w:t>“</w:t>
            </w:r>
            <w:r w:rsidR="00E6627D" w:rsidRPr="004B0561">
              <w:rPr>
                <w:rFonts w:ascii="Arial" w:hAnsi="Arial" w:cs="Arial"/>
                <w:sz w:val="22"/>
                <w:szCs w:val="22"/>
              </w:rPr>
              <w:t>In addition, we used phalloidin conjugate to stain F-actin filaments in encapsulated tumor cells and found a qualitative increase in actin alignment and tumor cell elongation in irradiated ECM hydrogels, which suggests an increase in adhesion strength and invasive capacity (Figure 5)</w:t>
            </w:r>
            <w:r w:rsidR="004B0561" w:rsidRPr="004B0561">
              <w:rPr>
                <w:rFonts w:ascii="Arial" w:hAnsi="Arial" w:cs="Arial"/>
                <w:sz w:val="22"/>
                <w:szCs w:val="22"/>
              </w:rPr>
              <w:t xml:space="preserve"> (</w:t>
            </w:r>
            <w:proofErr w:type="spellStart"/>
            <w:r w:rsidR="004B0561" w:rsidRPr="004B0561">
              <w:rPr>
                <w:rFonts w:ascii="Arial" w:hAnsi="Arial" w:cs="Arial"/>
                <w:noProof/>
                <w:sz w:val="22"/>
                <w:szCs w:val="22"/>
              </w:rPr>
              <w:t>Mierke</w:t>
            </w:r>
            <w:proofErr w:type="spellEnd"/>
            <w:r w:rsidR="004B0561" w:rsidRPr="004B0561">
              <w:rPr>
                <w:rFonts w:ascii="Arial" w:hAnsi="Arial" w:cs="Arial"/>
                <w:noProof/>
                <w:sz w:val="22"/>
                <w:szCs w:val="22"/>
              </w:rPr>
              <w:t xml:space="preserve">, C.T., Frey, B., Fellner, M., Herrmann, M., Fabry, B. Integrin 5 1 facilitates cancer cell invasion through enhanced contractile forces. </w:t>
            </w:r>
            <w:r w:rsidR="004B0561" w:rsidRPr="004B0561">
              <w:rPr>
                <w:rFonts w:ascii="Arial" w:hAnsi="Arial" w:cs="Arial"/>
                <w:i/>
                <w:iCs/>
                <w:noProof/>
                <w:sz w:val="22"/>
                <w:szCs w:val="22"/>
              </w:rPr>
              <w:t>Journal of Cell Science</w:t>
            </w:r>
            <w:r w:rsidR="004B0561" w:rsidRPr="004B0561">
              <w:rPr>
                <w:rFonts w:ascii="Arial" w:hAnsi="Arial" w:cs="Arial"/>
                <w:noProof/>
                <w:sz w:val="22"/>
                <w:szCs w:val="22"/>
              </w:rPr>
              <w:t xml:space="preserve">. </w:t>
            </w:r>
            <w:r w:rsidR="004B0561" w:rsidRPr="004B0561">
              <w:rPr>
                <w:rFonts w:ascii="Arial" w:hAnsi="Arial" w:cs="Arial"/>
                <w:b/>
                <w:bCs/>
                <w:noProof/>
                <w:sz w:val="22"/>
                <w:szCs w:val="22"/>
              </w:rPr>
              <w:t>124</w:t>
            </w:r>
            <w:r w:rsidR="004B0561" w:rsidRPr="004B0561">
              <w:rPr>
                <w:rFonts w:ascii="Arial" w:hAnsi="Arial" w:cs="Arial"/>
                <w:noProof/>
                <w:sz w:val="22"/>
                <w:szCs w:val="22"/>
              </w:rPr>
              <w:t xml:space="preserve"> (3), 369–383, doi: 10.1242/jcs.071985 (2011).; Ahmadzadeh, H. </w:t>
            </w:r>
            <w:r w:rsidR="004B0561" w:rsidRPr="004B0561">
              <w:rPr>
                <w:rFonts w:ascii="Arial" w:hAnsi="Arial" w:cs="Arial"/>
                <w:i/>
                <w:iCs/>
                <w:noProof/>
                <w:sz w:val="22"/>
                <w:szCs w:val="22"/>
              </w:rPr>
              <w:t>et al.</w:t>
            </w:r>
            <w:r w:rsidR="004B0561" w:rsidRPr="004B0561">
              <w:rPr>
                <w:rFonts w:ascii="Arial" w:hAnsi="Arial" w:cs="Arial"/>
                <w:noProof/>
                <w:sz w:val="22"/>
                <w:szCs w:val="22"/>
              </w:rPr>
              <w:t xml:space="preserve"> Modeling the two-way feedback between contractility and matrix realignment reveals a nonlinear mode of cancer cell invasion. </w:t>
            </w:r>
            <w:r w:rsidR="004B0561" w:rsidRPr="004B0561">
              <w:rPr>
                <w:rFonts w:ascii="Arial" w:hAnsi="Arial" w:cs="Arial"/>
                <w:i/>
                <w:iCs/>
                <w:noProof/>
                <w:sz w:val="22"/>
                <w:szCs w:val="22"/>
              </w:rPr>
              <w:t>Proceedings of the National Academy of Sciences</w:t>
            </w:r>
            <w:r w:rsidR="004B0561" w:rsidRPr="004B0561">
              <w:rPr>
                <w:rFonts w:ascii="Arial" w:hAnsi="Arial" w:cs="Arial"/>
                <w:noProof/>
                <w:sz w:val="22"/>
                <w:szCs w:val="22"/>
              </w:rPr>
              <w:t xml:space="preserve">. </w:t>
            </w:r>
            <w:r w:rsidR="004B0561" w:rsidRPr="004B0561">
              <w:rPr>
                <w:rFonts w:ascii="Arial" w:hAnsi="Arial" w:cs="Arial"/>
                <w:b/>
                <w:bCs/>
                <w:noProof/>
                <w:sz w:val="22"/>
                <w:szCs w:val="22"/>
              </w:rPr>
              <w:t>114</w:t>
            </w:r>
            <w:r w:rsidR="004B0561" w:rsidRPr="004B0561">
              <w:rPr>
                <w:rFonts w:ascii="Arial" w:hAnsi="Arial" w:cs="Arial"/>
                <w:noProof/>
                <w:sz w:val="22"/>
                <w:szCs w:val="22"/>
              </w:rPr>
              <w:t xml:space="preserve"> (9), E1617–E1626, doi: 10.1073/pnas.1617037114 (2017).)</w:t>
            </w:r>
            <w:r w:rsidR="00E6627D" w:rsidRPr="004B0561">
              <w:rPr>
                <w:rFonts w:ascii="Arial" w:hAnsi="Arial" w:cs="Arial"/>
                <w:sz w:val="22"/>
                <w:szCs w:val="22"/>
              </w:rPr>
              <w:t>. Future experiments will explore changes in focal adhesion dynamics and protease-mediated remodeling for the evaluation of cell migration and invasion</w:t>
            </w:r>
            <w:r w:rsidRPr="004B0561">
              <w:rPr>
                <w:rFonts w:ascii="Arial" w:eastAsia="Batang" w:hAnsi="Arial" w:cs="Arial"/>
                <w:sz w:val="22"/>
                <w:szCs w:val="22"/>
              </w:rPr>
              <w:t>.”</w:t>
            </w:r>
          </w:p>
          <w:p w14:paraId="3026017B" w14:textId="7B62934D" w:rsidR="00F8663F" w:rsidRPr="004B0561" w:rsidRDefault="00F8663F">
            <w:pPr>
              <w:tabs>
                <w:tab w:val="center" w:pos="4320"/>
                <w:tab w:val="right" w:pos="8640"/>
              </w:tabs>
              <w:rPr>
                <w:rFonts w:ascii="Arial" w:eastAsia="Batang" w:hAnsi="Arial" w:cs="Arial"/>
                <w:sz w:val="22"/>
                <w:szCs w:val="22"/>
              </w:rPr>
            </w:pPr>
            <w:r>
              <w:rPr>
                <w:rFonts w:ascii="Arial" w:eastAsia="Batang" w:hAnsi="Arial" w:cs="Arial"/>
                <w:sz w:val="22"/>
                <w:szCs w:val="22"/>
              </w:rPr>
              <w:t xml:space="preserve">Scale bars represent 100 </w:t>
            </w:r>
            <w:proofErr w:type="spellStart"/>
            <w:r>
              <w:rPr>
                <w:rFonts w:ascii="Arial" w:hAnsi="Arial" w:cs="Arial"/>
                <w:color w:val="000000"/>
                <w:sz w:val="22"/>
                <w:szCs w:val="22"/>
              </w:rPr>
              <w:t>μm</w:t>
            </w:r>
            <w:proofErr w:type="spellEnd"/>
            <w:r>
              <w:rPr>
                <w:rFonts w:ascii="Arial" w:hAnsi="Arial" w:cs="Arial"/>
                <w:color w:val="000000"/>
                <w:sz w:val="22"/>
                <w:szCs w:val="22"/>
              </w:rPr>
              <w:t>.</w:t>
            </w:r>
            <w:bookmarkStart w:id="0" w:name="_GoBack"/>
            <w:bookmarkEnd w:id="0"/>
          </w:p>
          <w:p w14:paraId="62AA0ED4" w14:textId="7ECF20C1" w:rsidR="00274D4F" w:rsidRDefault="00274D4F">
            <w:pPr>
              <w:tabs>
                <w:tab w:val="center" w:pos="4320"/>
                <w:tab w:val="right" w:pos="8640"/>
              </w:tabs>
              <w:rPr>
                <w:rFonts w:ascii="Arial" w:eastAsia="Batang" w:hAnsi="Arial" w:cs="Arial"/>
                <w:sz w:val="22"/>
                <w:szCs w:val="22"/>
              </w:rPr>
            </w:pPr>
          </w:p>
          <w:p w14:paraId="3107D394" w14:textId="04512713" w:rsidR="00274D4F" w:rsidRDefault="00F8663F">
            <w:pPr>
              <w:tabs>
                <w:tab w:val="center" w:pos="4320"/>
                <w:tab w:val="right" w:pos="8640"/>
              </w:tabs>
              <w:rPr>
                <w:rFonts w:ascii="Arial" w:eastAsia="Batang" w:hAnsi="Arial" w:cs="Arial"/>
                <w:sz w:val="22"/>
                <w:szCs w:val="22"/>
              </w:rPr>
            </w:pPr>
            <w:r>
              <w:rPr>
                <w:rFonts w:ascii="Arial" w:eastAsia="Batang" w:hAnsi="Arial" w:cs="Arial"/>
                <w:sz w:val="22"/>
                <w:szCs w:val="22"/>
              </w:rPr>
              <w:pict w14:anchorId="3854B0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9.25pt;height:177.75pt">
                  <v:imagedata r:id="rId14" o:title="Fig 5_resubmission"/>
                </v:shape>
              </w:pict>
            </w:r>
          </w:p>
        </w:tc>
      </w:tr>
    </w:tbl>
    <w:p w14:paraId="5891D2FE" w14:textId="77777777" w:rsidR="00274D4F" w:rsidRDefault="00274D4F">
      <w:pPr>
        <w:tabs>
          <w:tab w:val="left" w:pos="0"/>
        </w:tabs>
      </w:pPr>
    </w:p>
    <w:sectPr w:rsidR="00274D4F">
      <w:headerReference w:type="first" r:id="rId15"/>
      <w:pgSz w:w="12240" w:h="15840"/>
      <w:pgMar w:top="1080" w:right="900" w:bottom="417" w:left="1296" w:header="720" w:footer="360" w:gutter="0"/>
      <w:cols w:space="720"/>
      <w:formProt w:val="0"/>
      <w:titlePg/>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C68016" w14:textId="77777777" w:rsidR="005C34BC" w:rsidRDefault="005C34BC">
      <w:r>
        <w:separator/>
      </w:r>
    </w:p>
  </w:endnote>
  <w:endnote w:type="continuationSeparator" w:id="0">
    <w:p w14:paraId="520071D1" w14:textId="77777777" w:rsidR="005C34BC" w:rsidRDefault="005C3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Noto Sans CJK SC Regular">
    <w:panose1 w:val="00000000000000000000"/>
    <w:charset w:val="00"/>
    <w:family w:val="roman"/>
    <w:notTrueType/>
    <w:pitch w:val="default"/>
  </w:font>
  <w:font w:name="Lohit Devanagari">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Garamond">
    <w:altName w:val="Cambria"/>
    <w:charset w:val="01"/>
    <w:family w:val="roman"/>
    <w:pitch w:val="variable"/>
  </w:font>
  <w:font w:name="TimesNewRomanPS">
    <w:altName w:val="Courier New"/>
    <w:charset w:val="01"/>
    <w:family w:val="roman"/>
    <w:pitch w:val="variable"/>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86771" w14:textId="77777777" w:rsidR="00274D4F" w:rsidRDefault="00F21EA5">
    <w:pPr>
      <w:pStyle w:val="Footer"/>
    </w:pPr>
    <w:r>
      <w:rPr>
        <w:noProof/>
      </w:rPr>
      <mc:AlternateContent>
        <mc:Choice Requires="wps">
          <w:drawing>
            <wp:anchor distT="0" distB="0" distL="0" distR="0" simplePos="0" relativeHeight="20" behindDoc="0" locked="0" layoutInCell="1" allowOverlap="1" wp14:anchorId="6F889CD8" wp14:editId="66F604C0">
              <wp:simplePos x="0" y="0"/>
              <wp:positionH relativeFrom="margin">
                <wp:align>center</wp:align>
              </wp:positionH>
              <wp:positionV relativeFrom="paragraph">
                <wp:posOffset>635</wp:posOffset>
              </wp:positionV>
              <wp:extent cx="76835" cy="175260"/>
              <wp:effectExtent l="0" t="0" r="0" b="0"/>
              <wp:wrapSquare wrapText="largest"/>
              <wp:docPr id="11" name="Frame1"/>
              <wp:cNvGraphicFramePr/>
              <a:graphic xmlns:a="http://schemas.openxmlformats.org/drawingml/2006/main">
                <a:graphicData uri="http://schemas.microsoft.com/office/word/2010/wordprocessingShape">
                  <wps:wsp>
                    <wps:cNvSpPr txBox="1"/>
                    <wps:spPr>
                      <a:xfrm>
                        <a:off x="0" y="0"/>
                        <a:ext cx="76835" cy="175260"/>
                      </a:xfrm>
                      <a:prstGeom prst="rect">
                        <a:avLst/>
                      </a:prstGeom>
                      <a:solidFill>
                        <a:srgbClr val="FFFFFF">
                          <a:alpha val="0"/>
                        </a:srgbClr>
                      </a:solidFill>
                    </wps:spPr>
                    <wps:txbx>
                      <w:txbxContent>
                        <w:p w14:paraId="7196A488" w14:textId="6AC3C0A8" w:rsidR="00274D4F" w:rsidRDefault="00F21EA5">
                          <w:pPr>
                            <w:pStyle w:val="Footer"/>
                          </w:pPr>
                          <w:r>
                            <w:rPr>
                              <w:rStyle w:val="PageNumber"/>
                            </w:rPr>
                            <w:fldChar w:fldCharType="begin"/>
                          </w:r>
                          <w:r>
                            <w:rPr>
                              <w:rStyle w:val="PageNumber"/>
                            </w:rPr>
                            <w:instrText>PAGE</w:instrText>
                          </w:r>
                          <w:r>
                            <w:rPr>
                              <w:rStyle w:val="PageNumber"/>
                            </w:rPr>
                            <w:fldChar w:fldCharType="separate"/>
                          </w:r>
                          <w:r w:rsidR="00C47899">
                            <w:rPr>
                              <w:rStyle w:val="PageNumber"/>
                              <w:noProof/>
                            </w:rPr>
                            <w:t>7</w:t>
                          </w:r>
                          <w:r>
                            <w:rPr>
                              <w:rStyle w:val="PageNumber"/>
                            </w:rPr>
                            <w:fldChar w:fldCharType="end"/>
                          </w:r>
                        </w:p>
                      </w:txbxContent>
                    </wps:txbx>
                    <wps:bodyPr lIns="0" tIns="0" rIns="0" bIns="0" anchor="t">
                      <a:noAutofit/>
                    </wps:bodyPr>
                  </wps:wsp>
                </a:graphicData>
              </a:graphic>
            </wp:anchor>
          </w:drawing>
        </mc:Choice>
        <mc:Fallback>
          <w:pict>
            <v:shapetype w14:anchorId="6F889CD8" id="_x0000_t202" coordsize="21600,21600" o:spt="202" path="m,l,21600r21600,l21600,xe">
              <v:stroke joinstyle="miter"/>
              <v:path gradientshapeok="t" o:connecttype="rect"/>
            </v:shapetype>
            <v:shape id="Frame1" o:spid="_x0000_s1026" type="#_x0000_t202" style="position:absolute;margin-left:0;margin-top:.05pt;width:6.05pt;height:13.8pt;z-index:20;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" stroked="f">
              <v:fill opacity="0"/>
              <v:textbox inset="0,0,0,0">
                <w:txbxContent>
                  <w:p w14:paraId="7196A488" w14:textId="6AC3C0A8" w:rsidR="00274D4F" w:rsidRDefault="00F21EA5">
                    <w:pPr>
                      <w:pStyle w:val="Footer"/>
                    </w:pPr>
                    <w:r>
                      <w:rPr>
                        <w:rStyle w:val="PageNumber"/>
                      </w:rPr>
                      <w:fldChar w:fldCharType="begin"/>
                    </w:r>
                    <w:r>
                      <w:rPr>
                        <w:rStyle w:val="PageNumber"/>
                      </w:rPr>
                      <w:instrText>PAGE</w:instrText>
                    </w:r>
                    <w:r>
                      <w:rPr>
                        <w:rStyle w:val="PageNumber"/>
                      </w:rPr>
                      <w:fldChar w:fldCharType="separate"/>
                    </w:r>
                    <w:r w:rsidR="00C47899">
                      <w:rPr>
                        <w:rStyle w:val="PageNumber"/>
                        <w:noProof/>
                      </w:rPr>
                      <w:t>7</w:t>
                    </w:r>
                    <w:r>
                      <w:rPr>
                        <w:rStyle w:val="PageNumber"/>
                      </w:rPr>
                      <w:fldChar w:fldCharType="end"/>
                    </w:r>
                  </w:p>
                </w:txbxContent>
              </v:textbox>
              <w10:wrap type="square" side="largest"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B55D5" w14:textId="77777777" w:rsidR="00274D4F" w:rsidRDefault="00F21EA5">
    <w:pPr>
      <w:pStyle w:val="Footer"/>
      <w:tabs>
        <w:tab w:val="left" w:pos="429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7914B1" w14:textId="77777777" w:rsidR="005C34BC" w:rsidRDefault="005C34BC">
      <w:r>
        <w:separator/>
      </w:r>
    </w:p>
  </w:footnote>
  <w:footnote w:type="continuationSeparator" w:id="0">
    <w:p w14:paraId="188ED519" w14:textId="77777777" w:rsidR="005C34BC" w:rsidRDefault="005C34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BD356" w14:textId="77777777" w:rsidR="00274D4F" w:rsidRDefault="00F21EA5">
    <w:pPr>
      <w:tabs>
        <w:tab w:val="left" w:pos="1152"/>
        <w:tab w:val="right" w:pos="10008"/>
      </w:tabs>
      <w:spacing w:before="100"/>
      <w:rPr>
        <w:rFonts w:ascii="AGaramond" w:hAnsi="AGaramond"/>
        <w:spacing w:val="40"/>
        <w:sz w:val="28"/>
      </w:rPr>
    </w:pPr>
    <w:r>
      <w:rPr>
        <w:noProof/>
      </w:rPr>
      <w:drawing>
        <wp:anchor distT="0" distB="0" distL="0" distR="0" simplePos="0" relativeHeight="5" behindDoc="1" locked="0" layoutInCell="1" allowOverlap="1" wp14:anchorId="07212460" wp14:editId="1D7D3C90">
          <wp:simplePos x="0" y="0"/>
          <wp:positionH relativeFrom="column">
            <wp:align>center</wp:align>
          </wp:positionH>
          <wp:positionV relativeFrom="margin">
            <wp:align>center</wp:align>
          </wp:positionV>
          <wp:extent cx="6126480" cy="5327015"/>
          <wp:effectExtent l="0" t="0" r="0" b="0"/>
          <wp:wrapNone/>
          <wp:docPr id="8" name="WordPictureWatermark3"/>
          <wp:cNvGraphicFramePr/>
          <a:graphic xmlns:a="http://schemas.openxmlformats.org/drawingml/2006/main">
            <a:graphicData uri="http://schemas.openxmlformats.org/drawingml/2006/picture">
              <pic:pic xmlns:pic="http://schemas.openxmlformats.org/drawingml/2006/picture">
                <pic:nvPicPr>
                  <pic:cNvPr id="2" name="WordPictureWatermark3"/>
                  <pic:cNvPicPr/>
                </pic:nvPicPr>
                <pic:blipFill>
                  <a:blip r:embed="rId1"/>
                  <a:stretch/>
                </pic:blipFill>
                <pic:spPr>
                  <a:xfrm>
                    <a:off x="0" y="0"/>
                    <a:ext cx="6125760" cy="5326560"/>
                  </a:xfrm>
                  <a:prstGeom prst="rect">
                    <a:avLst/>
                  </a:prstGeom>
                  <a:ln>
                    <a:noFill/>
                  </a:ln>
                </pic:spPr>
              </pic:pic>
            </a:graphicData>
          </a:graphic>
        </wp:anchor>
      </w:drawing>
    </w:r>
    <w:r>
      <w:rPr>
        <w:rFonts w:ascii="AGaramond" w:hAnsi="AGaramond"/>
        <w:spacing w:val="40"/>
        <w:sz w:val="28"/>
      </w:rPr>
      <w:t xml:space="preserve">VANDERBILT UNIVERSITY  </w:t>
    </w:r>
  </w:p>
  <w:p w14:paraId="1197533A" w14:textId="77777777" w:rsidR="00274D4F" w:rsidRDefault="00F21EA5">
    <w:pPr>
      <w:tabs>
        <w:tab w:val="left" w:pos="1152"/>
        <w:tab w:val="right" w:pos="10008"/>
      </w:tabs>
      <w:spacing w:before="100"/>
    </w:pPr>
    <w:r>
      <w:rPr>
        <w:noProof/>
      </w:rPr>
      <w:drawing>
        <wp:anchor distT="0" distB="0" distL="114300" distR="120650" simplePos="0" relativeHeight="10" behindDoc="1" locked="0" layoutInCell="1" allowOverlap="1" wp14:anchorId="688910F0" wp14:editId="6D5BC2F7">
          <wp:simplePos x="0" y="0"/>
          <wp:positionH relativeFrom="column">
            <wp:posOffset>15875</wp:posOffset>
          </wp:positionH>
          <wp:positionV relativeFrom="paragraph">
            <wp:posOffset>193040</wp:posOffset>
          </wp:positionV>
          <wp:extent cx="501650" cy="433705"/>
          <wp:effectExtent l="0" t="0" r="0" b="0"/>
          <wp:wrapNone/>
          <wp:docPr id="9" name="Picture 2" descr="v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v04a"/>
                  <pic:cNvPicPr>
                    <a:picLocks noChangeAspect="1" noChangeArrowheads="1"/>
                  </pic:cNvPicPr>
                </pic:nvPicPr>
                <pic:blipFill>
                  <a:blip r:embed="rId2"/>
                  <a:srcRect l="23932" t="22642" r="23932" b="33963"/>
                  <a:stretch>
                    <a:fillRect/>
                  </a:stretch>
                </pic:blipFill>
                <pic:spPr bwMode="auto">
                  <a:xfrm>
                    <a:off x="0" y="0"/>
                    <a:ext cx="501650" cy="433705"/>
                  </a:xfrm>
                  <a:prstGeom prst="rect">
                    <a:avLst/>
                  </a:prstGeom>
                </pic:spPr>
              </pic:pic>
            </a:graphicData>
          </a:graphic>
        </wp:anchor>
      </w:drawing>
    </w:r>
    <w:r>
      <w:rPr>
        <w:rFonts w:ascii="AGaramond" w:hAnsi="AGaramond"/>
        <w:spacing w:val="40"/>
        <w:sz w:val="18"/>
      </w:rPr>
      <w:t xml:space="preserve">            NASHVILLE, TENNESSEE 37235</w:t>
    </w:r>
    <w:r>
      <w:rPr>
        <w:rFonts w:ascii="TimesNewRomanPS" w:hAnsi="TimesNewRomanPS"/>
        <w:sz w:val="18"/>
      </w:rPr>
      <w:tab/>
    </w:r>
    <w:r>
      <w:rPr>
        <w:rFonts w:ascii="AGaramond" w:hAnsi="AGaramond"/>
        <w:spacing w:val="20"/>
        <w:sz w:val="20"/>
      </w:rPr>
      <w:t>Chemical &amp; Biomolecular Engineering</w:t>
    </w:r>
  </w:p>
  <w:p w14:paraId="75608865" w14:textId="77777777" w:rsidR="00274D4F" w:rsidRDefault="00F21EA5">
    <w:pPr>
      <w:tabs>
        <w:tab w:val="left" w:pos="1152"/>
        <w:tab w:val="right" w:pos="10008"/>
      </w:tabs>
      <w:spacing w:before="100"/>
      <w:rPr>
        <w:rFonts w:ascii="AGaramond" w:hAnsi="AGaramond"/>
        <w:spacing w:val="20"/>
        <w:sz w:val="18"/>
      </w:rPr>
    </w:pPr>
    <w:r>
      <w:rPr>
        <w:rFonts w:ascii="AGaramond" w:hAnsi="AGaramond"/>
        <w:noProof/>
        <w:spacing w:val="20"/>
        <w:sz w:val="18"/>
      </w:rPr>
      <mc:AlternateContent>
        <mc:Choice Requires="wps">
          <w:drawing>
            <wp:anchor distT="0" distB="0" distL="114300" distR="114300" simplePos="0" relativeHeight="9" behindDoc="1" locked="0" layoutInCell="1" allowOverlap="1" wp14:anchorId="745380A1" wp14:editId="427A86EA">
              <wp:simplePos x="0" y="0"/>
              <wp:positionH relativeFrom="column">
                <wp:posOffset>22225</wp:posOffset>
              </wp:positionH>
              <wp:positionV relativeFrom="paragraph">
                <wp:posOffset>161290</wp:posOffset>
              </wp:positionV>
              <wp:extent cx="6401435" cy="1270"/>
              <wp:effectExtent l="0" t="0" r="0" b="0"/>
              <wp:wrapNone/>
              <wp:docPr id="10" name="Line 1"/>
              <wp:cNvGraphicFramePr/>
              <a:graphic xmlns:a="http://schemas.openxmlformats.org/drawingml/2006/main">
                <a:graphicData uri="http://schemas.microsoft.com/office/word/2010/wordprocessingShape">
                  <wps:wsp>
                    <wps:cNvCnPr/>
                    <wps:spPr>
                      <a:xfrm>
                        <a:off x="0" y="0"/>
                        <a:ext cx="6400800" cy="72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BEFB26D" id="Line 1" o:spid="_x0000_s1026" style="position:absolute;z-index:-503316471;visibility:visible;mso-wrap-style:square;mso-wrap-distance-left:9pt;mso-wrap-distance-top:0;mso-wrap-distance-right:9pt;mso-wrap-distance-bottom:0;mso-position-horizontal:absolute;mso-position-horizontal-relative:text;mso-position-vertical:absolute;mso-position-vertical-relative:text" from="1.75pt,12.7pt" to="505.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" strokeweight=".26mm"/>
          </w:pict>
        </mc:Fallback>
      </mc:AlternateContent>
    </w:r>
  </w:p>
  <w:p w14:paraId="135D90F7" w14:textId="77777777" w:rsidR="00274D4F" w:rsidRDefault="00F21EA5">
    <w:pPr>
      <w:tabs>
        <w:tab w:val="right" w:pos="10008"/>
      </w:tabs>
    </w:pPr>
    <w:r>
      <w:rPr>
        <w:rFonts w:ascii="AGaramond" w:hAnsi="AGaramond"/>
        <w:spacing w:val="20"/>
        <w:sz w:val="18"/>
      </w:rPr>
      <w:t xml:space="preserve">               </w:t>
    </w:r>
    <w:r>
      <w:rPr>
        <w:rFonts w:ascii="AGaramond" w:hAnsi="AGaramond"/>
        <w:spacing w:val="20"/>
        <w:sz w:val="18"/>
      </w:rPr>
      <w:tab/>
    </w:r>
    <w:r>
      <w:rPr>
        <w:rFonts w:ascii="AGaramond" w:hAnsi="AGaramond"/>
        <w:i/>
        <w:sz w:val="18"/>
      </w:rPr>
      <w:t>Marjan Rafat, PhD</w:t>
    </w:r>
  </w:p>
  <w:p w14:paraId="078F1A64" w14:textId="77777777" w:rsidR="00274D4F" w:rsidRDefault="00F21EA5">
    <w:pPr>
      <w:tabs>
        <w:tab w:val="right" w:pos="10008"/>
      </w:tabs>
      <w:rPr>
        <w:rFonts w:ascii="AGaramond" w:hAnsi="AGaramond"/>
        <w:i/>
        <w:sz w:val="18"/>
      </w:rPr>
    </w:pPr>
    <w:r>
      <w:rPr>
        <w:rFonts w:ascii="AGaramond" w:hAnsi="AGaramond"/>
        <w:i/>
        <w:sz w:val="18"/>
      </w:rPr>
      <w:tab/>
      <w:t>Assistant Professor of Chemical and Biomolecular Engineering</w:t>
    </w:r>
  </w:p>
  <w:p w14:paraId="17F42CD2" w14:textId="77777777" w:rsidR="00274D4F" w:rsidRDefault="00F21EA5">
    <w:pPr>
      <w:tabs>
        <w:tab w:val="right" w:pos="10008"/>
      </w:tabs>
      <w:rPr>
        <w:rFonts w:ascii="AGaramond" w:hAnsi="AGaramond"/>
        <w:i/>
        <w:sz w:val="18"/>
      </w:rPr>
    </w:pPr>
    <w:r>
      <w:rPr>
        <w:rFonts w:ascii="AGaramond" w:hAnsi="AGaramond"/>
        <w:i/>
        <w:sz w:val="18"/>
      </w:rPr>
      <w:tab/>
      <w:t>2414 Highland Ave.</w:t>
    </w:r>
  </w:p>
  <w:p w14:paraId="0D683A80" w14:textId="77777777" w:rsidR="00274D4F" w:rsidRDefault="00F21EA5">
    <w:pPr>
      <w:tabs>
        <w:tab w:val="right" w:pos="10008"/>
      </w:tabs>
      <w:rPr>
        <w:rFonts w:ascii="AGaramond" w:hAnsi="AGaramond"/>
        <w:i/>
        <w:sz w:val="18"/>
      </w:rPr>
    </w:pPr>
    <w:r>
      <w:rPr>
        <w:rFonts w:ascii="AGaramond" w:hAnsi="AGaramond"/>
        <w:i/>
        <w:sz w:val="18"/>
      </w:rPr>
      <w:tab/>
      <w:t>ESB 426</w:t>
    </w:r>
  </w:p>
  <w:p w14:paraId="7298FB8A" w14:textId="77777777" w:rsidR="00274D4F" w:rsidRDefault="00F21EA5">
    <w:pPr>
      <w:tabs>
        <w:tab w:val="right" w:pos="10008"/>
      </w:tabs>
      <w:rPr>
        <w:rFonts w:ascii="AGaramond" w:hAnsi="AGaramond"/>
        <w:i/>
        <w:sz w:val="18"/>
      </w:rPr>
    </w:pPr>
    <w:r>
      <w:rPr>
        <w:rFonts w:ascii="AGaramond" w:hAnsi="AGaramond"/>
        <w:i/>
        <w:sz w:val="18"/>
      </w:rPr>
      <w:tab/>
      <w:t>Nashville, TN 37212</w:t>
    </w:r>
  </w:p>
  <w:p w14:paraId="71F6E26D" w14:textId="77777777" w:rsidR="00274D4F" w:rsidRDefault="00F21EA5">
    <w:pPr>
      <w:tabs>
        <w:tab w:val="left" w:pos="1152"/>
        <w:tab w:val="right" w:pos="10008"/>
      </w:tabs>
      <w:rPr>
        <w:rFonts w:ascii="AGaramond" w:hAnsi="AGaramond"/>
        <w:i/>
        <w:sz w:val="18"/>
      </w:rPr>
    </w:pPr>
    <w:r>
      <w:rPr>
        <w:rFonts w:ascii="AGaramond" w:hAnsi="AGaramond"/>
        <w:i/>
        <w:sz w:val="18"/>
      </w:rPr>
      <w:tab/>
    </w:r>
    <w:r>
      <w:rPr>
        <w:rFonts w:ascii="AGaramond" w:hAnsi="AGaramond"/>
        <w:i/>
        <w:sz w:val="18"/>
      </w:rPr>
      <w:tab/>
      <w:t>Phone: (615) 343-</w:t>
    </w:r>
    <w:proofErr w:type="gramStart"/>
    <w:r>
      <w:rPr>
        <w:rFonts w:ascii="AGaramond" w:hAnsi="AGaramond"/>
        <w:i/>
        <w:sz w:val="18"/>
      </w:rPr>
      <w:t>3899  •</w:t>
    </w:r>
    <w:proofErr w:type="gramEnd"/>
    <w:r>
      <w:rPr>
        <w:rFonts w:ascii="AGaramond" w:hAnsi="AGaramond"/>
        <w:i/>
        <w:sz w:val="18"/>
      </w:rPr>
      <w:t xml:space="preserve">  Fax: (615) 343-7951 </w:t>
    </w:r>
  </w:p>
  <w:p w14:paraId="27597532" w14:textId="77777777" w:rsidR="00274D4F" w:rsidRDefault="00F21EA5">
    <w:pPr>
      <w:tabs>
        <w:tab w:val="left" w:pos="1152"/>
        <w:tab w:val="right" w:pos="10008"/>
      </w:tabs>
    </w:pPr>
    <w:r>
      <w:rPr>
        <w:rFonts w:ascii="AGaramond" w:hAnsi="AGaramond"/>
        <w:i/>
        <w:sz w:val="18"/>
      </w:rPr>
      <w:tab/>
    </w:r>
    <w:r>
      <w:rPr>
        <w:rFonts w:ascii="AGaramond" w:hAnsi="AGaramond"/>
        <w:i/>
        <w:sz w:val="18"/>
      </w:rPr>
      <w:tab/>
    </w:r>
    <w:r>
      <w:rPr>
        <w:i/>
        <w:sz w:val="18"/>
      </w:rPr>
      <w:t>Email: marjan.rafat@vanderbilt.edu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1BC0C" w14:textId="49450300" w:rsidR="00166BA5" w:rsidRPr="00166BA5" w:rsidRDefault="00166BA5" w:rsidP="00166BA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49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D4F"/>
    <w:rsid w:val="000504BA"/>
    <w:rsid w:val="0006454E"/>
    <w:rsid w:val="000947A5"/>
    <w:rsid w:val="000E3CB3"/>
    <w:rsid w:val="001378C8"/>
    <w:rsid w:val="00137ABB"/>
    <w:rsid w:val="00166BA5"/>
    <w:rsid w:val="001A705B"/>
    <w:rsid w:val="001F5FF8"/>
    <w:rsid w:val="00231FE1"/>
    <w:rsid w:val="00251F2F"/>
    <w:rsid w:val="00274D4F"/>
    <w:rsid w:val="002D1105"/>
    <w:rsid w:val="003C18AF"/>
    <w:rsid w:val="004B0561"/>
    <w:rsid w:val="00567F00"/>
    <w:rsid w:val="005C34BC"/>
    <w:rsid w:val="00626822"/>
    <w:rsid w:val="006906BB"/>
    <w:rsid w:val="00702971"/>
    <w:rsid w:val="008C5EA8"/>
    <w:rsid w:val="008F47FC"/>
    <w:rsid w:val="00945FFE"/>
    <w:rsid w:val="00956AF1"/>
    <w:rsid w:val="009876EE"/>
    <w:rsid w:val="00A92D9B"/>
    <w:rsid w:val="00BE0900"/>
    <w:rsid w:val="00C02201"/>
    <w:rsid w:val="00C1212E"/>
    <w:rsid w:val="00C47899"/>
    <w:rsid w:val="00CC7794"/>
    <w:rsid w:val="00D1128A"/>
    <w:rsid w:val="00D20A3D"/>
    <w:rsid w:val="00D61472"/>
    <w:rsid w:val="00D7631B"/>
    <w:rsid w:val="00DB3718"/>
    <w:rsid w:val="00E04863"/>
    <w:rsid w:val="00E6627D"/>
    <w:rsid w:val="00E90D67"/>
    <w:rsid w:val="00EB67B5"/>
    <w:rsid w:val="00EE1A77"/>
    <w:rsid w:val="00F21EA5"/>
    <w:rsid w:val="00F8663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67834"/>
  <w15:docId w15:val="{4FCFCE91-BA0B-4272-9949-5BB6D1303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DejaVu Sans"/>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qFormat/>
    <w:rPr>
      <w:rFonts w:ascii="Times New Roman" w:eastAsia="Times New Roman" w:hAnsi="Times New Roman" w:cs="Times New Roman"/>
      <w:sz w:val="24"/>
      <w:szCs w:val="20"/>
    </w:rPr>
  </w:style>
  <w:style w:type="character" w:customStyle="1" w:styleId="FooterChar">
    <w:name w:val="Footer Char"/>
    <w:basedOn w:val="DefaultParagraphFont"/>
    <w:qFormat/>
    <w:rPr>
      <w:rFonts w:ascii="Times New Roman" w:eastAsia="Times New Roman" w:hAnsi="Times New Roman" w:cs="Times New Roman"/>
      <w:sz w:val="24"/>
      <w:szCs w:val="20"/>
    </w:rPr>
  </w:style>
  <w:style w:type="character" w:styleId="PageNumber">
    <w:name w:val="page number"/>
    <w:basedOn w:val="DefaultParagraphFont"/>
    <w:qFormat/>
  </w:style>
  <w:style w:type="character" w:customStyle="1" w:styleId="BalloonTextChar">
    <w:name w:val="Balloon Text Char"/>
    <w:basedOn w:val="DefaultParagraphFont"/>
    <w:qFormat/>
    <w:rPr>
      <w:rFonts w:ascii="Tahoma" w:eastAsia="Times New Roman" w:hAnsi="Tahoma" w:cs="Tahoma"/>
      <w:sz w:val="16"/>
      <w:szCs w:val="16"/>
    </w:rPr>
  </w:style>
  <w:style w:type="character" w:styleId="Strong">
    <w:name w:val="Strong"/>
    <w:basedOn w:val="DefaultParagraphFont"/>
    <w:qFormat/>
    <w:rPr>
      <w:b/>
      <w:bCs/>
    </w:rPr>
  </w:style>
  <w:style w:type="character" w:customStyle="1" w:styleId="InternetLink">
    <w:name w:val="Internet Link"/>
    <w:basedOn w:val="DefaultParagraphFont"/>
    <w:rPr>
      <w:color w:val="0000FF"/>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paragraph" w:customStyle="1" w:styleId="Heading">
    <w:name w:val="Heading"/>
    <w:basedOn w:val="Normal"/>
    <w:next w:val="BodyText"/>
    <w:qFormat/>
    <w:pPr>
      <w:keepNext/>
      <w:spacing w:before="240" w:after="120"/>
    </w:pPr>
    <w:rPr>
      <w:rFonts w:ascii="Liberation Sans" w:eastAsia="Noto Sans CJK SC Regular"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Cs w:val="24"/>
    </w:rPr>
  </w:style>
  <w:style w:type="paragraph" w:customStyle="1" w:styleId="Index">
    <w:name w:val="Index"/>
    <w:basedOn w:val="Normal"/>
    <w:qFormat/>
    <w:pPr>
      <w:suppressLineNumbers/>
    </w:pPr>
    <w:rPr>
      <w:rFonts w:cs="Lohit Devanagari"/>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qFormat/>
    <w:rPr>
      <w:rFonts w:ascii="Tahoma" w:hAnsi="Tahoma" w:cs="Tahoma"/>
      <w:sz w:val="16"/>
      <w:szCs w:val="16"/>
    </w:rPr>
  </w:style>
  <w:style w:type="paragraph" w:customStyle="1" w:styleId="Title2">
    <w:name w:val="Title2"/>
    <w:basedOn w:val="Normal"/>
    <w:qFormat/>
    <w:rPr>
      <w:rFonts w:eastAsia="MS Mincho"/>
      <w:b/>
      <w:szCs w:val="24"/>
      <w:lang w:eastAsia="ja-JP"/>
    </w:rPr>
  </w:style>
  <w:style w:type="paragraph" w:styleId="ListParagraph">
    <w:name w:val="List Paragraph"/>
    <w:basedOn w:val="Normal"/>
    <w:qFormat/>
    <w:pPr>
      <w:spacing w:after="160" w:line="259" w:lineRule="auto"/>
      <w:ind w:left="720"/>
      <w:contextualSpacing/>
    </w:pPr>
    <w:rPr>
      <w:rFonts w:ascii="Calibri" w:eastAsia="Calibri" w:hAnsi="Calibri" w:cs="DejaVu Sans"/>
      <w:sz w:val="22"/>
      <w:szCs w:val="22"/>
    </w:rPr>
  </w:style>
  <w:style w:type="paragraph" w:customStyle="1" w:styleId="Default">
    <w:name w:val="Default"/>
    <w:qFormat/>
    <w:rPr>
      <w:rFonts w:eastAsia="Times New Roman" w:cs="Calibri"/>
      <w:color w:val="000000"/>
      <w:sz w:val="24"/>
      <w:szCs w:val="24"/>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character" w:styleId="CommentReference">
    <w:name w:val="annotation reference"/>
    <w:basedOn w:val="DefaultParagraphFont"/>
    <w:unhideWhenUsed/>
    <w:qFormat/>
    <w:rsid w:val="00567F00"/>
    <w:rPr>
      <w:sz w:val="16"/>
      <w:szCs w:val="16"/>
    </w:rPr>
  </w:style>
  <w:style w:type="paragraph" w:styleId="CommentText">
    <w:name w:val="annotation text"/>
    <w:basedOn w:val="Normal"/>
    <w:link w:val="CommentTextChar"/>
    <w:unhideWhenUsed/>
    <w:qFormat/>
    <w:rsid w:val="00567F00"/>
    <w:rPr>
      <w:sz w:val="20"/>
    </w:rPr>
  </w:style>
  <w:style w:type="character" w:customStyle="1" w:styleId="CommentTextChar">
    <w:name w:val="Comment Text Char"/>
    <w:basedOn w:val="DefaultParagraphFont"/>
    <w:link w:val="CommentText"/>
    <w:uiPriority w:val="99"/>
    <w:semiHidden/>
    <w:rsid w:val="00567F00"/>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567F00"/>
    <w:rPr>
      <w:b/>
      <w:bCs/>
    </w:rPr>
  </w:style>
  <w:style w:type="character" w:customStyle="1" w:styleId="CommentSubjectChar">
    <w:name w:val="Comment Subject Char"/>
    <w:basedOn w:val="CommentTextChar"/>
    <w:link w:val="CommentSubject"/>
    <w:uiPriority w:val="99"/>
    <w:semiHidden/>
    <w:rsid w:val="00567F00"/>
    <w:rPr>
      <w:rFonts w:ascii="Times New Roman" w:eastAsia="Times New Roman" w:hAnsi="Times New Roman" w:cs="Times New Roman"/>
      <w:b/>
      <w:bCs/>
      <w:szCs w:val="20"/>
    </w:rPr>
  </w:style>
  <w:style w:type="table" w:styleId="TableGrid">
    <w:name w:val="Table Grid"/>
    <w:basedOn w:val="TableNormal"/>
    <w:uiPriority w:val="39"/>
    <w:rsid w:val="00567F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62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7143A-28C7-45BC-9875-D9C1F941B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3127</Words>
  <Characters>17829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rbardhan</dc:creator>
  <cp:keywords/>
  <dc:description/>
  <cp:lastModifiedBy>Steven Alves</cp:lastModifiedBy>
  <cp:revision>2</cp:revision>
  <cp:lastPrinted>2018-09-26T23:11:00Z</cp:lastPrinted>
  <dcterms:created xsi:type="dcterms:W3CDTF">2019-02-22T01:12:00Z</dcterms:created>
  <dcterms:modified xsi:type="dcterms:W3CDTF">2019-02-23T04:16:00Z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6th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17th edition (author-date)</vt:lpwstr>
  </property>
  <property fmtid="{D5CDD505-2E9C-101B-9397-08002B2CF9AE}" pid="18" name="Mendeley Recent Style Id 5_1">
    <vt:lpwstr>http://www.zotero.org/styles/chicago-fullnote-bibliography</vt:lpwstr>
  </property>
  <property fmtid="{D5CDD505-2E9C-101B-9397-08002B2CF9AE}" pid="19" name="Mendeley Recent Style Name 5_1">
    <vt:lpwstr>Chicago Manual of Style 17th edition (full note)</vt:lpwstr>
  </property>
  <property fmtid="{D5CDD505-2E9C-101B-9397-08002B2CF9AE}" pid="20" name="Mendeley Recent Style Id 6_1">
    <vt:lpwstr>http://www.zotero.org/styles/harvard-cite-them-right</vt:lpwstr>
  </property>
  <property fmtid="{D5CDD505-2E9C-101B-9397-08002B2CF9AE}" pid="21" name="Mendeley Recent Style Name 6_1">
    <vt:lpwstr>Cite Them Right 10th edition - Harvard</vt:lpwstr>
  </property>
  <property fmtid="{D5CDD505-2E9C-101B-9397-08002B2CF9AE}" pid="22" name="Mendeley Recent Style Id 7_1">
    <vt:lpwstr>http://www.zotero.org/styles/ieee</vt:lpwstr>
  </property>
  <property fmtid="{D5CDD505-2E9C-101B-9397-08002B2CF9AE}" pid="23" name="Mendeley Recent Style Name 7_1">
    <vt:lpwstr>IEEE</vt:lpwstr>
  </property>
  <property fmtid="{D5CDD505-2E9C-101B-9397-08002B2CF9AE}" pid="24" name="Mendeley Recent Style Id 8_1">
    <vt:lpwstr>http://www.zotero.org/styles/journal-of-visualized-experiments</vt:lpwstr>
  </property>
  <property fmtid="{D5CDD505-2E9C-101B-9397-08002B2CF9AE}" pid="25" name="Mendeley Recent Style Name 8_1">
    <vt:lpwstr>Journal of Visualized Experiments</vt:lpwstr>
  </property>
  <property fmtid="{D5CDD505-2E9C-101B-9397-08002B2CF9AE}" pid="26" name="Mendeley Recent Style Id 9_1">
    <vt:lpwstr>http://www.zotero.org/styles/modern-humanities-research-association</vt:lpwstr>
  </property>
  <property fmtid="{D5CDD505-2E9C-101B-9397-08002B2CF9AE}" pid="27" name="Mendeley Recent Style Name 9_1">
    <vt:lpwstr>Modern Humanities Research Association 3rd edition (note with bibliography)</vt:lpwstr>
  </property>
</Properties>
</file>