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71" w:rsidRPr="00C03F51" w:rsidRDefault="009B6371" w:rsidP="0058446F">
      <w:pPr>
        <w:snapToGrid w:val="0"/>
        <w:spacing w:line="48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9B6371" w:rsidRPr="00C03F51" w:rsidRDefault="009B6371" w:rsidP="0058446F">
      <w:pPr>
        <w:snapToGrid w:val="0"/>
        <w:spacing w:line="480" w:lineRule="auto"/>
        <w:rPr>
          <w:rFonts w:ascii="Calibri" w:hAnsi="Calibri" w:cs="Calibri" w:hint="eastAsia"/>
          <w:b/>
          <w:sz w:val="24"/>
          <w:szCs w:val="24"/>
        </w:rPr>
      </w:pPr>
      <w:r w:rsidRPr="00C03F51">
        <w:rPr>
          <w:rFonts w:ascii="Calibri" w:hAnsi="Calibri" w:cs="Calibri" w:hint="eastAsia"/>
          <w:b/>
          <w:sz w:val="24"/>
          <w:szCs w:val="24"/>
        </w:rPr>
        <w:t>R</w:t>
      </w:r>
      <w:r>
        <w:rPr>
          <w:rFonts w:ascii="Calibri" w:hAnsi="Calibri" w:cs="Calibri"/>
          <w:b/>
          <w:sz w:val="24"/>
          <w:szCs w:val="24"/>
        </w:rPr>
        <w:t>EFERENCES:</w:t>
      </w:r>
    </w:p>
    <w:p w:rsidR="009B6371" w:rsidRPr="0058446F" w:rsidRDefault="009B6371" w:rsidP="0058446F">
      <w:pPr>
        <w:ind w:left="720" w:hanging="720"/>
        <w:rPr>
          <w:rFonts w:ascii="Century" w:hAnsi="Century" w:cs="Calibri"/>
          <w:noProof/>
          <w:sz w:val="20"/>
          <w:szCs w:val="24"/>
        </w:rPr>
      </w:pPr>
      <w:bookmarkStart w:id="1" w:name="_ENREF_1"/>
      <w:r w:rsidRPr="0058446F">
        <w:rPr>
          <w:rFonts w:ascii="Century" w:hAnsi="Century" w:cs="Calibri"/>
          <w:noProof/>
          <w:sz w:val="20"/>
          <w:szCs w:val="24"/>
        </w:rPr>
        <w:t>1.</w:t>
      </w:r>
      <w:r w:rsidRPr="0058446F">
        <w:rPr>
          <w:rFonts w:ascii="Century" w:hAnsi="Century" w:cs="Calibri"/>
          <w:noProof/>
          <w:sz w:val="20"/>
          <w:szCs w:val="24"/>
        </w:rPr>
        <w:tab/>
        <w:t xml:space="preserve">Fiala, J. C., Feinberg, M., Popov, V. &amp; Harris, K. M. Synaptogenesis via dendritic filopodia in developing hippocampal area CA1. </w:t>
      </w:r>
      <w:r w:rsidRPr="0058446F">
        <w:rPr>
          <w:rFonts w:ascii="Century" w:hAnsi="Century" w:cs="Calibri"/>
          <w:i/>
          <w:noProof/>
          <w:sz w:val="20"/>
          <w:szCs w:val="24"/>
        </w:rPr>
        <w:t>J</w:t>
      </w:r>
      <w:r>
        <w:rPr>
          <w:rFonts w:ascii="Century" w:hAnsi="Century" w:cs="Calibri"/>
          <w:i/>
          <w:noProof/>
          <w:sz w:val="20"/>
          <w:szCs w:val="24"/>
        </w:rPr>
        <w:t>ournal</w:t>
      </w:r>
      <w:r w:rsidRPr="0058446F">
        <w:rPr>
          <w:rFonts w:ascii="Century" w:hAnsi="Century" w:cs="Calibri"/>
          <w:i/>
          <w:noProof/>
          <w:sz w:val="20"/>
          <w:szCs w:val="24"/>
        </w:rPr>
        <w:t xml:space="preserve"> </w:t>
      </w:r>
      <w:r>
        <w:rPr>
          <w:rFonts w:ascii="Century" w:hAnsi="Century" w:cs="Calibri"/>
          <w:i/>
          <w:noProof/>
          <w:sz w:val="20"/>
          <w:szCs w:val="24"/>
        </w:rPr>
        <w:t xml:space="preserve">of </w:t>
      </w:r>
      <w:r w:rsidRPr="0058446F">
        <w:rPr>
          <w:rFonts w:ascii="Century" w:hAnsi="Century" w:cs="Calibri"/>
          <w:i/>
          <w:noProof/>
          <w:sz w:val="20"/>
          <w:szCs w:val="24"/>
        </w:rPr>
        <w:t>Neurosci</w:t>
      </w:r>
      <w:r>
        <w:rPr>
          <w:rFonts w:ascii="Century" w:hAnsi="Century" w:cs="Calibri"/>
          <w:i/>
          <w:noProof/>
          <w:sz w:val="20"/>
          <w:szCs w:val="24"/>
        </w:rPr>
        <w:t>ence</w:t>
      </w:r>
      <w:r w:rsidRPr="0058446F">
        <w:rPr>
          <w:rFonts w:ascii="Century" w:hAnsi="Century" w:cs="Calibri"/>
          <w:i/>
          <w:noProof/>
          <w:sz w:val="20"/>
          <w:szCs w:val="24"/>
        </w:rPr>
        <w:t>.</w:t>
      </w:r>
      <w:r w:rsidRPr="0058446F">
        <w:rPr>
          <w:rFonts w:ascii="Century" w:hAnsi="Century" w:cs="Calibri"/>
          <w:noProof/>
          <w:sz w:val="20"/>
          <w:szCs w:val="24"/>
        </w:rPr>
        <w:t xml:space="preserve"> </w:t>
      </w:r>
      <w:r w:rsidRPr="0058446F">
        <w:rPr>
          <w:rFonts w:ascii="Century" w:hAnsi="Century" w:cs="Calibri"/>
          <w:b/>
          <w:noProof/>
          <w:sz w:val="20"/>
          <w:szCs w:val="24"/>
        </w:rPr>
        <w:t>18</w:t>
      </w:r>
      <w:r w:rsidRPr="0058446F">
        <w:rPr>
          <w:rFonts w:ascii="Century" w:hAnsi="Century" w:cs="Calibri"/>
          <w:noProof/>
          <w:sz w:val="20"/>
          <w:szCs w:val="24"/>
        </w:rPr>
        <w:t xml:space="preserve"> (21), 8900-8911 (1998).</w:t>
      </w:r>
      <w:bookmarkEnd w:id="1"/>
    </w:p>
    <w:p w:rsidR="009B6371" w:rsidRPr="0058446F" w:rsidRDefault="009B6371" w:rsidP="0058446F">
      <w:pPr>
        <w:ind w:left="720" w:hanging="720"/>
        <w:rPr>
          <w:rFonts w:ascii="Century" w:hAnsi="Century" w:cs="Calibri"/>
          <w:noProof/>
          <w:sz w:val="20"/>
          <w:szCs w:val="24"/>
        </w:rPr>
      </w:pPr>
      <w:bookmarkStart w:id="2" w:name="_ENREF_2"/>
      <w:r w:rsidRPr="0058446F">
        <w:rPr>
          <w:rFonts w:ascii="Century" w:hAnsi="Century" w:cs="Calibri"/>
          <w:noProof/>
          <w:sz w:val="20"/>
          <w:szCs w:val="24"/>
        </w:rPr>
        <w:t>2.</w:t>
      </w:r>
      <w:r w:rsidRPr="0058446F">
        <w:rPr>
          <w:rFonts w:ascii="Century" w:hAnsi="Century" w:cs="Calibri"/>
          <w:noProof/>
          <w:sz w:val="20"/>
          <w:szCs w:val="24"/>
        </w:rPr>
        <w:tab/>
        <w:t xml:space="preserve">Portera-Cailliau, C., Pan, D. T. &amp; Yuste, R. Activity-regulated dynamic behavior of early dendritic protrusions: evidence for different types of dendritic filopodia. </w:t>
      </w:r>
      <w:r w:rsidRPr="0058446F">
        <w:rPr>
          <w:rFonts w:ascii="Century" w:hAnsi="Century" w:cs="Calibri"/>
          <w:i/>
          <w:noProof/>
          <w:sz w:val="20"/>
          <w:szCs w:val="24"/>
        </w:rPr>
        <w:t>J</w:t>
      </w:r>
      <w:r>
        <w:rPr>
          <w:rFonts w:ascii="Century" w:hAnsi="Century" w:cs="Calibri"/>
          <w:i/>
          <w:noProof/>
          <w:sz w:val="20"/>
          <w:szCs w:val="24"/>
        </w:rPr>
        <w:t>ournal of</w:t>
      </w:r>
      <w:r w:rsidRPr="0058446F">
        <w:rPr>
          <w:rFonts w:ascii="Century" w:hAnsi="Century" w:cs="Calibri"/>
          <w:i/>
          <w:noProof/>
          <w:sz w:val="20"/>
          <w:szCs w:val="24"/>
        </w:rPr>
        <w:t xml:space="preserve"> Neurosci</w:t>
      </w:r>
      <w:r>
        <w:rPr>
          <w:rFonts w:ascii="Century" w:hAnsi="Century" w:cs="Calibri"/>
          <w:i/>
          <w:noProof/>
          <w:sz w:val="20"/>
          <w:szCs w:val="24"/>
        </w:rPr>
        <w:t>ence</w:t>
      </w:r>
      <w:r w:rsidRPr="0058446F">
        <w:rPr>
          <w:rFonts w:ascii="Century" w:hAnsi="Century" w:cs="Calibri"/>
          <w:i/>
          <w:noProof/>
          <w:sz w:val="20"/>
          <w:szCs w:val="24"/>
        </w:rPr>
        <w:t>.</w:t>
      </w:r>
      <w:r w:rsidRPr="0058446F">
        <w:rPr>
          <w:rFonts w:ascii="Century" w:hAnsi="Century" w:cs="Calibri"/>
          <w:noProof/>
          <w:sz w:val="20"/>
          <w:szCs w:val="24"/>
        </w:rPr>
        <w:t xml:space="preserve"> </w:t>
      </w:r>
      <w:r w:rsidRPr="0058446F">
        <w:rPr>
          <w:rFonts w:ascii="Century" w:hAnsi="Century" w:cs="Calibri"/>
          <w:b/>
          <w:noProof/>
          <w:sz w:val="20"/>
          <w:szCs w:val="24"/>
        </w:rPr>
        <w:t>23</w:t>
      </w:r>
      <w:r w:rsidRPr="0058446F">
        <w:rPr>
          <w:rFonts w:ascii="Century" w:hAnsi="Century" w:cs="Calibri"/>
          <w:noProof/>
          <w:sz w:val="20"/>
          <w:szCs w:val="24"/>
        </w:rPr>
        <w:t xml:space="preserve"> (18), 7129-7142 (2003).</w:t>
      </w:r>
      <w:bookmarkEnd w:id="2"/>
    </w:p>
    <w:p w:rsidR="009B6371" w:rsidRPr="0058446F" w:rsidRDefault="009B6371" w:rsidP="0058446F">
      <w:pPr>
        <w:ind w:left="720" w:hanging="720"/>
        <w:rPr>
          <w:rFonts w:ascii="Century" w:hAnsi="Century" w:cs="Calibri"/>
          <w:noProof/>
          <w:sz w:val="20"/>
          <w:szCs w:val="24"/>
        </w:rPr>
      </w:pPr>
      <w:bookmarkStart w:id="3" w:name="_ENREF_3"/>
      <w:r w:rsidRPr="0058446F">
        <w:rPr>
          <w:rFonts w:ascii="Century" w:hAnsi="Century" w:cs="Calibri"/>
          <w:noProof/>
          <w:sz w:val="20"/>
          <w:szCs w:val="24"/>
        </w:rPr>
        <w:t>3.</w:t>
      </w:r>
      <w:r w:rsidRPr="0058446F">
        <w:rPr>
          <w:rFonts w:ascii="Century" w:hAnsi="Century" w:cs="Calibri"/>
          <w:noProof/>
          <w:sz w:val="20"/>
          <w:szCs w:val="24"/>
        </w:rPr>
        <w:tab/>
        <w:t xml:space="preserve">Ziv, N. E. &amp; Smith, S. J. Evidence for a role of dendritic filopodia in synaptogenesis and spine formation. </w:t>
      </w:r>
      <w:r w:rsidRPr="0058446F">
        <w:rPr>
          <w:rFonts w:ascii="Century" w:hAnsi="Century" w:cs="Calibri"/>
          <w:i/>
          <w:noProof/>
          <w:sz w:val="20"/>
          <w:szCs w:val="24"/>
        </w:rPr>
        <w:t>Neuron.</w:t>
      </w:r>
      <w:r w:rsidRPr="0058446F">
        <w:rPr>
          <w:rFonts w:ascii="Century" w:hAnsi="Century" w:cs="Calibri"/>
          <w:noProof/>
          <w:sz w:val="20"/>
          <w:szCs w:val="24"/>
        </w:rPr>
        <w:t xml:space="preserve"> </w:t>
      </w:r>
      <w:r w:rsidRPr="0058446F">
        <w:rPr>
          <w:rFonts w:ascii="Century" w:hAnsi="Century" w:cs="Calibri"/>
          <w:b/>
          <w:noProof/>
          <w:sz w:val="20"/>
          <w:szCs w:val="24"/>
        </w:rPr>
        <w:t>17</w:t>
      </w:r>
      <w:r w:rsidRPr="0058446F">
        <w:rPr>
          <w:rFonts w:ascii="Century" w:hAnsi="Century" w:cs="Calibri"/>
          <w:noProof/>
          <w:sz w:val="20"/>
          <w:szCs w:val="24"/>
        </w:rPr>
        <w:t xml:space="preserve"> (1), 91-102 (1996).</w:t>
      </w:r>
      <w:bookmarkEnd w:id="3"/>
    </w:p>
    <w:p w:rsidR="009B6371" w:rsidRPr="0058446F" w:rsidRDefault="009B6371" w:rsidP="0058446F">
      <w:pPr>
        <w:ind w:left="720" w:hanging="720"/>
        <w:rPr>
          <w:rFonts w:ascii="Century" w:hAnsi="Century" w:cs="Calibri"/>
          <w:noProof/>
          <w:sz w:val="20"/>
          <w:szCs w:val="24"/>
        </w:rPr>
      </w:pPr>
      <w:bookmarkStart w:id="4" w:name="_ENREF_4"/>
      <w:r w:rsidRPr="0058446F">
        <w:rPr>
          <w:rFonts w:ascii="Century" w:hAnsi="Century" w:cs="Calibri"/>
          <w:noProof/>
          <w:sz w:val="20"/>
          <w:szCs w:val="24"/>
        </w:rPr>
        <w:t>4.</w:t>
      </w:r>
      <w:r w:rsidRPr="0058446F">
        <w:rPr>
          <w:rFonts w:ascii="Century" w:hAnsi="Century" w:cs="Calibri"/>
          <w:noProof/>
          <w:sz w:val="20"/>
          <w:szCs w:val="24"/>
        </w:rPr>
        <w:tab/>
        <w:t xml:space="preserve">Lohmann, C. &amp; Bonhoeffer, T. A role for local calcium signaling in rapid synaptic partner selection by dendritic filopodia. </w:t>
      </w:r>
      <w:r w:rsidRPr="0058446F">
        <w:rPr>
          <w:rFonts w:ascii="Century" w:hAnsi="Century" w:cs="Calibri"/>
          <w:i/>
          <w:noProof/>
          <w:sz w:val="20"/>
          <w:szCs w:val="24"/>
        </w:rPr>
        <w:t>Neuron.</w:t>
      </w:r>
      <w:r w:rsidRPr="0058446F">
        <w:rPr>
          <w:rFonts w:ascii="Century" w:hAnsi="Century" w:cs="Calibri"/>
          <w:noProof/>
          <w:sz w:val="20"/>
          <w:szCs w:val="24"/>
        </w:rPr>
        <w:t xml:space="preserve"> </w:t>
      </w:r>
      <w:r w:rsidRPr="0058446F">
        <w:rPr>
          <w:rFonts w:ascii="Century" w:hAnsi="Century" w:cs="Calibri"/>
          <w:b/>
          <w:noProof/>
          <w:sz w:val="20"/>
          <w:szCs w:val="24"/>
        </w:rPr>
        <w:t>59</w:t>
      </w:r>
      <w:r w:rsidRPr="0058446F">
        <w:rPr>
          <w:rFonts w:ascii="Century" w:hAnsi="Century" w:cs="Calibri"/>
          <w:noProof/>
          <w:sz w:val="20"/>
          <w:szCs w:val="24"/>
        </w:rPr>
        <w:t xml:space="preserve"> (2), 253-260, doi:10.1016/j.neuron.2008.05.025, (2008).</w:t>
      </w:r>
      <w:bookmarkEnd w:id="4"/>
    </w:p>
    <w:p w:rsidR="009B6371" w:rsidRPr="0058446F" w:rsidRDefault="009B6371" w:rsidP="0058446F">
      <w:pPr>
        <w:ind w:left="720" w:hanging="720"/>
        <w:rPr>
          <w:rFonts w:ascii="Century" w:hAnsi="Century" w:cs="Calibri"/>
          <w:noProof/>
          <w:sz w:val="20"/>
          <w:szCs w:val="24"/>
        </w:rPr>
      </w:pPr>
      <w:bookmarkStart w:id="5" w:name="_ENREF_5"/>
      <w:r w:rsidRPr="0058446F">
        <w:rPr>
          <w:rFonts w:ascii="Century" w:hAnsi="Century" w:cs="Calibri"/>
          <w:noProof/>
          <w:sz w:val="20"/>
          <w:szCs w:val="24"/>
        </w:rPr>
        <w:t>5.</w:t>
      </w:r>
      <w:r w:rsidRPr="0058446F">
        <w:rPr>
          <w:rFonts w:ascii="Century" w:hAnsi="Century" w:cs="Calibri"/>
          <w:noProof/>
          <w:sz w:val="20"/>
          <w:szCs w:val="24"/>
        </w:rPr>
        <w:tab/>
        <w:t xml:space="preserve">Yoshihara, Y., De Roo, M. &amp; Muller, D. Dendritic spine formation and stabilization. </w:t>
      </w:r>
      <w:r w:rsidRPr="0058446F">
        <w:rPr>
          <w:rFonts w:ascii="Century" w:hAnsi="Century" w:cs="Calibri"/>
          <w:i/>
          <w:noProof/>
          <w:sz w:val="20"/>
          <w:szCs w:val="24"/>
        </w:rPr>
        <w:t>Curr</w:t>
      </w:r>
      <w:r>
        <w:rPr>
          <w:rFonts w:ascii="Century" w:hAnsi="Century" w:cs="Calibri"/>
          <w:i/>
          <w:noProof/>
          <w:sz w:val="20"/>
          <w:szCs w:val="24"/>
        </w:rPr>
        <w:t>ent</w:t>
      </w:r>
      <w:r w:rsidRPr="0058446F">
        <w:rPr>
          <w:rFonts w:ascii="Century" w:hAnsi="Century" w:cs="Calibri"/>
          <w:i/>
          <w:noProof/>
          <w:sz w:val="20"/>
          <w:szCs w:val="24"/>
        </w:rPr>
        <w:t xml:space="preserve"> Opin</w:t>
      </w:r>
      <w:r>
        <w:rPr>
          <w:rFonts w:ascii="Century" w:hAnsi="Century" w:cs="Calibri"/>
          <w:i/>
          <w:noProof/>
          <w:sz w:val="20"/>
          <w:szCs w:val="24"/>
        </w:rPr>
        <w:t>ion</w:t>
      </w:r>
      <w:r w:rsidRPr="0058446F">
        <w:rPr>
          <w:rFonts w:ascii="Century" w:hAnsi="Century" w:cs="Calibri"/>
          <w:i/>
          <w:noProof/>
          <w:sz w:val="20"/>
          <w:szCs w:val="24"/>
        </w:rPr>
        <w:t xml:space="preserve"> Neurobiol</w:t>
      </w:r>
      <w:r>
        <w:rPr>
          <w:rFonts w:ascii="Century" w:hAnsi="Century" w:cs="Calibri"/>
          <w:i/>
          <w:noProof/>
          <w:sz w:val="20"/>
          <w:szCs w:val="24"/>
        </w:rPr>
        <w:t>ogy</w:t>
      </w:r>
      <w:r w:rsidRPr="0058446F">
        <w:rPr>
          <w:rFonts w:ascii="Century" w:hAnsi="Century" w:cs="Calibri"/>
          <w:i/>
          <w:noProof/>
          <w:sz w:val="20"/>
          <w:szCs w:val="24"/>
        </w:rPr>
        <w:t>.</w:t>
      </w:r>
      <w:r w:rsidRPr="0058446F">
        <w:rPr>
          <w:rFonts w:ascii="Century" w:hAnsi="Century" w:cs="Calibri"/>
          <w:noProof/>
          <w:sz w:val="20"/>
          <w:szCs w:val="24"/>
        </w:rPr>
        <w:t xml:space="preserve"> </w:t>
      </w:r>
      <w:r w:rsidRPr="0058446F">
        <w:rPr>
          <w:rFonts w:ascii="Century" w:hAnsi="Century" w:cs="Calibri"/>
          <w:b/>
          <w:noProof/>
          <w:sz w:val="20"/>
          <w:szCs w:val="24"/>
        </w:rPr>
        <w:t>19</w:t>
      </w:r>
      <w:r w:rsidRPr="0058446F">
        <w:rPr>
          <w:rFonts w:ascii="Century" w:hAnsi="Century" w:cs="Calibri"/>
          <w:noProof/>
          <w:sz w:val="20"/>
          <w:szCs w:val="24"/>
        </w:rPr>
        <w:t xml:space="preserve"> (2), 146-153, doi:10.1016/j.conb.2009.05.013, (2009).</w:t>
      </w:r>
      <w:bookmarkEnd w:id="5"/>
    </w:p>
    <w:p w:rsidR="009B6371" w:rsidRPr="0058446F" w:rsidRDefault="009B6371" w:rsidP="0058446F">
      <w:pPr>
        <w:ind w:left="720" w:hanging="720"/>
        <w:rPr>
          <w:rFonts w:ascii="Century" w:hAnsi="Century" w:cs="Calibri"/>
          <w:noProof/>
          <w:sz w:val="20"/>
          <w:szCs w:val="24"/>
        </w:rPr>
      </w:pPr>
      <w:bookmarkStart w:id="6" w:name="_ENREF_6"/>
      <w:r w:rsidRPr="0058446F">
        <w:rPr>
          <w:rFonts w:ascii="Century" w:hAnsi="Century" w:cs="Calibri"/>
          <w:noProof/>
          <w:sz w:val="20"/>
          <w:szCs w:val="24"/>
        </w:rPr>
        <w:t>6.</w:t>
      </w:r>
      <w:r w:rsidRPr="0058446F">
        <w:rPr>
          <w:rFonts w:ascii="Century" w:hAnsi="Century" w:cs="Calibri"/>
          <w:noProof/>
          <w:sz w:val="20"/>
          <w:szCs w:val="24"/>
        </w:rPr>
        <w:tab/>
        <w:t>Bayes, A.</w:t>
      </w:r>
      <w:r w:rsidRPr="0058446F">
        <w:rPr>
          <w:rFonts w:ascii="Century" w:hAnsi="Century" w:cs="Calibri"/>
          <w:i/>
          <w:noProof/>
          <w:sz w:val="20"/>
          <w:szCs w:val="24"/>
        </w:rPr>
        <w:t xml:space="preserve"> et al.</w:t>
      </w:r>
      <w:r w:rsidRPr="0058446F">
        <w:rPr>
          <w:rFonts w:ascii="Century" w:hAnsi="Century" w:cs="Calibri"/>
          <w:noProof/>
          <w:sz w:val="20"/>
          <w:szCs w:val="24"/>
        </w:rPr>
        <w:t xml:space="preserve"> Comparative study of human and mouse postsynaptic proteomes finds high compositional conservation and abundance differences for key synaptic proteins. </w:t>
      </w:r>
      <w:r w:rsidRPr="0058446F">
        <w:rPr>
          <w:rFonts w:ascii="Century" w:hAnsi="Century" w:cs="Calibri"/>
          <w:i/>
          <w:noProof/>
          <w:sz w:val="20"/>
          <w:szCs w:val="24"/>
        </w:rPr>
        <w:t>PLoS One.</w:t>
      </w:r>
      <w:r w:rsidRPr="0058446F">
        <w:rPr>
          <w:rFonts w:ascii="Century" w:hAnsi="Century" w:cs="Calibri"/>
          <w:noProof/>
          <w:sz w:val="20"/>
          <w:szCs w:val="24"/>
        </w:rPr>
        <w:t xml:space="preserve"> </w:t>
      </w:r>
      <w:r w:rsidRPr="0058446F">
        <w:rPr>
          <w:rFonts w:ascii="Century" w:hAnsi="Century" w:cs="Calibri"/>
          <w:b/>
          <w:noProof/>
          <w:sz w:val="20"/>
          <w:szCs w:val="24"/>
        </w:rPr>
        <w:t>7</w:t>
      </w:r>
      <w:r w:rsidRPr="0058446F">
        <w:rPr>
          <w:rFonts w:ascii="Century" w:hAnsi="Century" w:cs="Calibri"/>
          <w:noProof/>
          <w:sz w:val="20"/>
          <w:szCs w:val="24"/>
        </w:rPr>
        <w:t xml:space="preserve"> (10), e46683, doi:10.1371/journal.pone.0046683, (2012).</w:t>
      </w:r>
      <w:bookmarkEnd w:id="6"/>
    </w:p>
    <w:p w:rsidR="009B6371" w:rsidRPr="0058446F" w:rsidRDefault="009B6371" w:rsidP="0058446F">
      <w:pPr>
        <w:ind w:left="720" w:hanging="720"/>
        <w:rPr>
          <w:rFonts w:ascii="Century" w:hAnsi="Century" w:cs="Calibri"/>
          <w:noProof/>
          <w:sz w:val="20"/>
          <w:szCs w:val="24"/>
        </w:rPr>
      </w:pPr>
      <w:bookmarkStart w:id="7" w:name="_ENREF_7"/>
      <w:r w:rsidRPr="0058446F">
        <w:rPr>
          <w:rFonts w:ascii="Century" w:hAnsi="Century" w:cs="Calibri"/>
          <w:noProof/>
          <w:sz w:val="20"/>
          <w:szCs w:val="24"/>
        </w:rPr>
        <w:t>7.</w:t>
      </w:r>
      <w:r w:rsidRPr="0058446F">
        <w:rPr>
          <w:rFonts w:ascii="Century" w:hAnsi="Century" w:cs="Calibri"/>
          <w:noProof/>
          <w:sz w:val="20"/>
          <w:szCs w:val="24"/>
        </w:rPr>
        <w:tab/>
        <w:t>Bayes, A.</w:t>
      </w:r>
      <w:r w:rsidRPr="0058446F">
        <w:rPr>
          <w:rFonts w:ascii="Century" w:hAnsi="Century" w:cs="Calibri"/>
          <w:i/>
          <w:noProof/>
          <w:sz w:val="20"/>
          <w:szCs w:val="24"/>
        </w:rPr>
        <w:t xml:space="preserve"> et al.</w:t>
      </w:r>
      <w:r w:rsidRPr="0058446F">
        <w:rPr>
          <w:rFonts w:ascii="Century" w:hAnsi="Century" w:cs="Calibri"/>
          <w:noProof/>
          <w:sz w:val="20"/>
          <w:szCs w:val="24"/>
        </w:rPr>
        <w:t xml:space="preserve"> Characterization of the proteome, diseases and evolution of the human postsynaptic density. </w:t>
      </w:r>
      <w:r w:rsidRPr="0058446F">
        <w:rPr>
          <w:rFonts w:ascii="Century" w:hAnsi="Century" w:cs="Calibri"/>
          <w:i/>
          <w:noProof/>
          <w:sz w:val="20"/>
          <w:szCs w:val="24"/>
        </w:rPr>
        <w:t>Nat</w:t>
      </w:r>
      <w:r>
        <w:rPr>
          <w:rFonts w:ascii="Century" w:hAnsi="Century" w:cs="Calibri"/>
          <w:i/>
          <w:noProof/>
          <w:sz w:val="20"/>
          <w:szCs w:val="24"/>
        </w:rPr>
        <w:t>ure</w:t>
      </w:r>
      <w:r w:rsidRPr="0058446F">
        <w:rPr>
          <w:rFonts w:ascii="Century" w:hAnsi="Century" w:cs="Calibri"/>
          <w:i/>
          <w:noProof/>
          <w:sz w:val="20"/>
          <w:szCs w:val="24"/>
        </w:rPr>
        <w:t xml:space="preserve"> Neurosci</w:t>
      </w:r>
      <w:r>
        <w:rPr>
          <w:rFonts w:ascii="Century" w:hAnsi="Century" w:cs="Calibri"/>
          <w:i/>
          <w:noProof/>
          <w:sz w:val="20"/>
          <w:szCs w:val="24"/>
        </w:rPr>
        <w:t>ence</w:t>
      </w:r>
      <w:r w:rsidRPr="0058446F">
        <w:rPr>
          <w:rFonts w:ascii="Century" w:hAnsi="Century" w:cs="Calibri"/>
          <w:i/>
          <w:noProof/>
          <w:sz w:val="20"/>
          <w:szCs w:val="24"/>
        </w:rPr>
        <w:t>.</w:t>
      </w:r>
      <w:r w:rsidRPr="0058446F">
        <w:rPr>
          <w:rFonts w:ascii="Century" w:hAnsi="Century" w:cs="Calibri"/>
          <w:noProof/>
          <w:sz w:val="20"/>
          <w:szCs w:val="24"/>
        </w:rPr>
        <w:t xml:space="preserve"> </w:t>
      </w:r>
      <w:r w:rsidRPr="0058446F">
        <w:rPr>
          <w:rFonts w:ascii="Century" w:hAnsi="Century" w:cs="Calibri"/>
          <w:b/>
          <w:noProof/>
          <w:sz w:val="20"/>
          <w:szCs w:val="24"/>
        </w:rPr>
        <w:t>14</w:t>
      </w:r>
      <w:r w:rsidRPr="0058446F">
        <w:rPr>
          <w:rFonts w:ascii="Century" w:hAnsi="Century" w:cs="Calibri"/>
          <w:noProof/>
          <w:sz w:val="20"/>
          <w:szCs w:val="24"/>
        </w:rPr>
        <w:t xml:space="preserve"> (1), 19-21, doi:10.1038/nn.2719, (2011).</w:t>
      </w:r>
      <w:bookmarkEnd w:id="7"/>
    </w:p>
    <w:p w:rsidR="009B6371" w:rsidRPr="0058446F" w:rsidRDefault="009B6371" w:rsidP="0058446F">
      <w:pPr>
        <w:ind w:left="720" w:hanging="720"/>
        <w:rPr>
          <w:rFonts w:ascii="Century" w:hAnsi="Century" w:cs="Calibri"/>
          <w:noProof/>
          <w:sz w:val="20"/>
          <w:szCs w:val="24"/>
        </w:rPr>
      </w:pPr>
      <w:bookmarkStart w:id="8" w:name="_ENREF_8"/>
      <w:r w:rsidRPr="0058446F">
        <w:rPr>
          <w:rFonts w:ascii="Century" w:hAnsi="Century" w:cs="Calibri"/>
          <w:noProof/>
          <w:sz w:val="20"/>
          <w:szCs w:val="24"/>
        </w:rPr>
        <w:t>8.</w:t>
      </w:r>
      <w:r w:rsidRPr="0058446F">
        <w:rPr>
          <w:rFonts w:ascii="Century" w:hAnsi="Century" w:cs="Calibri"/>
          <w:noProof/>
          <w:sz w:val="20"/>
          <w:szCs w:val="24"/>
        </w:rPr>
        <w:tab/>
        <w:t>Furutani, Y.</w:t>
      </w:r>
      <w:r w:rsidRPr="0058446F">
        <w:rPr>
          <w:rFonts w:ascii="Century" w:hAnsi="Century" w:cs="Calibri"/>
          <w:i/>
          <w:noProof/>
          <w:sz w:val="20"/>
          <w:szCs w:val="24"/>
        </w:rPr>
        <w:t xml:space="preserve"> et al.</w:t>
      </w:r>
      <w:r w:rsidRPr="0058446F">
        <w:rPr>
          <w:rFonts w:ascii="Century" w:hAnsi="Century" w:cs="Calibri"/>
          <w:noProof/>
          <w:sz w:val="20"/>
          <w:szCs w:val="24"/>
        </w:rPr>
        <w:t xml:space="preserve"> Interaction between telencephalin and ERM family proteins mediates dendritic filopodia formation. </w:t>
      </w:r>
      <w:r w:rsidRPr="0058446F">
        <w:rPr>
          <w:rFonts w:ascii="Century" w:hAnsi="Century" w:cs="Calibri"/>
          <w:i/>
          <w:noProof/>
          <w:sz w:val="20"/>
          <w:szCs w:val="24"/>
        </w:rPr>
        <w:t>J</w:t>
      </w:r>
      <w:r>
        <w:rPr>
          <w:rFonts w:ascii="Century" w:hAnsi="Century" w:cs="Calibri"/>
          <w:i/>
          <w:noProof/>
          <w:sz w:val="20"/>
          <w:szCs w:val="24"/>
        </w:rPr>
        <w:t>ournal of</w:t>
      </w:r>
      <w:r w:rsidRPr="0058446F">
        <w:rPr>
          <w:rFonts w:ascii="Century" w:hAnsi="Century" w:cs="Calibri"/>
          <w:i/>
          <w:noProof/>
          <w:sz w:val="20"/>
          <w:szCs w:val="24"/>
        </w:rPr>
        <w:t xml:space="preserve"> Neurosci</w:t>
      </w:r>
      <w:r>
        <w:rPr>
          <w:rFonts w:ascii="Century" w:hAnsi="Century" w:cs="Calibri"/>
          <w:i/>
          <w:noProof/>
          <w:sz w:val="20"/>
          <w:szCs w:val="24"/>
        </w:rPr>
        <w:t>ence</w:t>
      </w:r>
      <w:r w:rsidRPr="0058446F">
        <w:rPr>
          <w:rFonts w:ascii="Century" w:hAnsi="Century" w:cs="Calibri"/>
          <w:i/>
          <w:noProof/>
          <w:sz w:val="20"/>
          <w:szCs w:val="24"/>
        </w:rPr>
        <w:t>.</w:t>
      </w:r>
      <w:r w:rsidRPr="0058446F">
        <w:rPr>
          <w:rFonts w:ascii="Century" w:hAnsi="Century" w:cs="Calibri"/>
          <w:noProof/>
          <w:sz w:val="20"/>
          <w:szCs w:val="24"/>
        </w:rPr>
        <w:t xml:space="preserve"> </w:t>
      </w:r>
      <w:r w:rsidRPr="0058446F">
        <w:rPr>
          <w:rFonts w:ascii="Century" w:hAnsi="Century" w:cs="Calibri"/>
          <w:b/>
          <w:noProof/>
          <w:sz w:val="20"/>
          <w:szCs w:val="24"/>
        </w:rPr>
        <w:t>27</w:t>
      </w:r>
      <w:r w:rsidRPr="0058446F">
        <w:rPr>
          <w:rFonts w:ascii="Century" w:hAnsi="Century" w:cs="Calibri"/>
          <w:noProof/>
          <w:sz w:val="20"/>
          <w:szCs w:val="24"/>
        </w:rPr>
        <w:t xml:space="preserve"> (33), 8866-8876, doi:10.1523/jneurosci.1047-07.2007, (2007).</w:t>
      </w:r>
      <w:bookmarkEnd w:id="8"/>
    </w:p>
    <w:p w:rsidR="009B6371" w:rsidRPr="0058446F" w:rsidRDefault="009B6371" w:rsidP="0058446F">
      <w:pPr>
        <w:ind w:left="720" w:hanging="720"/>
        <w:rPr>
          <w:rFonts w:ascii="Century" w:hAnsi="Century" w:cs="Calibri"/>
          <w:noProof/>
          <w:sz w:val="20"/>
          <w:szCs w:val="24"/>
        </w:rPr>
      </w:pPr>
      <w:bookmarkStart w:id="9" w:name="_ENREF_9"/>
      <w:r w:rsidRPr="0058446F">
        <w:rPr>
          <w:rFonts w:ascii="Century" w:hAnsi="Century" w:cs="Calibri"/>
          <w:noProof/>
          <w:sz w:val="20"/>
          <w:szCs w:val="24"/>
        </w:rPr>
        <w:t>9.</w:t>
      </w:r>
      <w:r w:rsidRPr="0058446F">
        <w:rPr>
          <w:rFonts w:ascii="Century" w:hAnsi="Century" w:cs="Calibri"/>
          <w:noProof/>
          <w:sz w:val="20"/>
          <w:szCs w:val="24"/>
        </w:rPr>
        <w:tab/>
        <w:t>Mao, Y. T.</w:t>
      </w:r>
      <w:r w:rsidRPr="0058446F">
        <w:rPr>
          <w:rFonts w:ascii="Century" w:hAnsi="Century" w:cs="Calibri"/>
          <w:i/>
          <w:noProof/>
          <w:sz w:val="20"/>
          <w:szCs w:val="24"/>
        </w:rPr>
        <w:t xml:space="preserve"> et al.</w:t>
      </w:r>
      <w:r w:rsidRPr="0058446F">
        <w:rPr>
          <w:rFonts w:ascii="Century" w:hAnsi="Century" w:cs="Calibri"/>
          <w:noProof/>
          <w:sz w:val="20"/>
          <w:szCs w:val="24"/>
        </w:rPr>
        <w:t xml:space="preserve"> Filopodia Conduct Target Selection in Cortical Neurons Using Differences in Signal Kinetics of a Single Kinase. </w:t>
      </w:r>
      <w:r w:rsidRPr="0058446F">
        <w:rPr>
          <w:rFonts w:ascii="Century" w:hAnsi="Century" w:cs="Calibri"/>
          <w:i/>
          <w:noProof/>
          <w:sz w:val="20"/>
          <w:szCs w:val="24"/>
        </w:rPr>
        <w:t>Neuron.</w:t>
      </w:r>
      <w:r w:rsidRPr="0058446F">
        <w:rPr>
          <w:rFonts w:ascii="Century" w:hAnsi="Century" w:cs="Calibri"/>
          <w:noProof/>
          <w:sz w:val="20"/>
          <w:szCs w:val="24"/>
        </w:rPr>
        <w:t xml:space="preserve"> </w:t>
      </w:r>
      <w:r w:rsidRPr="0058446F">
        <w:rPr>
          <w:rFonts w:ascii="Century" w:hAnsi="Century" w:cs="Calibri"/>
          <w:b/>
          <w:noProof/>
          <w:sz w:val="20"/>
          <w:szCs w:val="24"/>
        </w:rPr>
        <w:t>98</w:t>
      </w:r>
      <w:r w:rsidRPr="0058446F">
        <w:rPr>
          <w:rFonts w:ascii="Century" w:hAnsi="Century" w:cs="Calibri"/>
          <w:noProof/>
          <w:sz w:val="20"/>
          <w:szCs w:val="24"/>
        </w:rPr>
        <w:t xml:space="preserve"> (4), 767-782 e768, doi:10.1016/j.neuron.2018.04.011, (2018).</w:t>
      </w:r>
      <w:bookmarkEnd w:id="9"/>
    </w:p>
    <w:p w:rsidR="009B6371" w:rsidRPr="0058446F" w:rsidRDefault="009B6371" w:rsidP="0058446F">
      <w:pPr>
        <w:ind w:left="720" w:hanging="720"/>
        <w:rPr>
          <w:rFonts w:ascii="Century" w:hAnsi="Century" w:cs="Calibri"/>
          <w:noProof/>
          <w:sz w:val="20"/>
          <w:szCs w:val="24"/>
        </w:rPr>
      </w:pPr>
      <w:bookmarkStart w:id="10" w:name="_ENREF_10"/>
      <w:r w:rsidRPr="0058446F">
        <w:rPr>
          <w:rFonts w:ascii="Century" w:hAnsi="Century" w:cs="Calibri"/>
          <w:noProof/>
          <w:sz w:val="20"/>
          <w:szCs w:val="24"/>
        </w:rPr>
        <w:t>10.</w:t>
      </w:r>
      <w:r w:rsidRPr="0058446F">
        <w:rPr>
          <w:rFonts w:ascii="Century" w:hAnsi="Century" w:cs="Calibri"/>
          <w:noProof/>
          <w:sz w:val="20"/>
          <w:szCs w:val="24"/>
        </w:rPr>
        <w:tab/>
        <w:t>Matsuno, H.</w:t>
      </w:r>
      <w:r w:rsidRPr="0058446F">
        <w:rPr>
          <w:rFonts w:ascii="Century" w:hAnsi="Century" w:cs="Calibri"/>
          <w:i/>
          <w:noProof/>
          <w:sz w:val="20"/>
          <w:szCs w:val="24"/>
        </w:rPr>
        <w:t xml:space="preserve"> et al.</w:t>
      </w:r>
      <w:r w:rsidRPr="0058446F">
        <w:rPr>
          <w:rFonts w:ascii="Century" w:hAnsi="Century" w:cs="Calibri"/>
          <w:noProof/>
          <w:sz w:val="20"/>
          <w:szCs w:val="24"/>
        </w:rPr>
        <w:t xml:space="preserve"> Telencephalin slows spine maturation. </w:t>
      </w:r>
      <w:r w:rsidRPr="0058446F">
        <w:rPr>
          <w:rFonts w:ascii="Century" w:hAnsi="Century" w:cs="Calibri"/>
          <w:i/>
          <w:noProof/>
          <w:sz w:val="20"/>
          <w:szCs w:val="24"/>
        </w:rPr>
        <w:t>J</w:t>
      </w:r>
      <w:r>
        <w:rPr>
          <w:rFonts w:ascii="Century" w:hAnsi="Century" w:cs="Calibri"/>
          <w:i/>
          <w:noProof/>
          <w:sz w:val="20"/>
          <w:szCs w:val="24"/>
        </w:rPr>
        <w:t>ournal of</w:t>
      </w:r>
      <w:r w:rsidRPr="0058446F">
        <w:rPr>
          <w:rFonts w:ascii="Century" w:hAnsi="Century" w:cs="Calibri"/>
          <w:i/>
          <w:noProof/>
          <w:sz w:val="20"/>
          <w:szCs w:val="24"/>
        </w:rPr>
        <w:t xml:space="preserve"> Neurosci</w:t>
      </w:r>
      <w:r>
        <w:rPr>
          <w:rFonts w:ascii="Century" w:hAnsi="Century" w:cs="Calibri"/>
          <w:i/>
          <w:noProof/>
          <w:sz w:val="20"/>
          <w:szCs w:val="24"/>
        </w:rPr>
        <w:t>ence</w:t>
      </w:r>
      <w:r w:rsidRPr="0058446F">
        <w:rPr>
          <w:rFonts w:ascii="Century" w:hAnsi="Century" w:cs="Calibri"/>
          <w:i/>
          <w:noProof/>
          <w:sz w:val="20"/>
          <w:szCs w:val="24"/>
        </w:rPr>
        <w:t>.</w:t>
      </w:r>
      <w:r w:rsidRPr="0058446F">
        <w:rPr>
          <w:rFonts w:ascii="Century" w:hAnsi="Century" w:cs="Calibri"/>
          <w:noProof/>
          <w:sz w:val="20"/>
          <w:szCs w:val="24"/>
        </w:rPr>
        <w:t xml:space="preserve"> </w:t>
      </w:r>
      <w:r w:rsidRPr="0058446F">
        <w:rPr>
          <w:rFonts w:ascii="Century" w:hAnsi="Century" w:cs="Calibri"/>
          <w:b/>
          <w:noProof/>
          <w:sz w:val="20"/>
          <w:szCs w:val="24"/>
        </w:rPr>
        <w:t>26</w:t>
      </w:r>
      <w:r w:rsidRPr="0058446F">
        <w:rPr>
          <w:rFonts w:ascii="Century" w:hAnsi="Century" w:cs="Calibri"/>
          <w:noProof/>
          <w:sz w:val="20"/>
          <w:szCs w:val="24"/>
        </w:rPr>
        <w:t xml:space="preserve"> (6), 1776-1786, doi:10.1523/jneurosci.2651-05.2006, (2006).</w:t>
      </w:r>
      <w:bookmarkEnd w:id="10"/>
    </w:p>
    <w:p w:rsidR="009B6371" w:rsidRPr="0058446F" w:rsidRDefault="009B6371" w:rsidP="0058446F">
      <w:pPr>
        <w:ind w:left="720" w:hanging="720"/>
        <w:rPr>
          <w:rFonts w:ascii="Century" w:hAnsi="Century" w:cs="Calibri"/>
          <w:noProof/>
          <w:sz w:val="20"/>
          <w:szCs w:val="24"/>
        </w:rPr>
      </w:pPr>
      <w:bookmarkStart w:id="11" w:name="_ENREF_11"/>
      <w:r w:rsidRPr="0058446F">
        <w:rPr>
          <w:rFonts w:ascii="Century" w:hAnsi="Century" w:cs="Calibri"/>
          <w:noProof/>
          <w:sz w:val="20"/>
          <w:szCs w:val="24"/>
        </w:rPr>
        <w:t>11.</w:t>
      </w:r>
      <w:r w:rsidRPr="0058446F">
        <w:rPr>
          <w:rFonts w:ascii="Century" w:hAnsi="Century" w:cs="Calibri"/>
          <w:noProof/>
          <w:sz w:val="20"/>
          <w:szCs w:val="24"/>
        </w:rPr>
        <w:tab/>
        <w:t>Raemaekers, T.</w:t>
      </w:r>
      <w:r w:rsidRPr="0058446F">
        <w:rPr>
          <w:rFonts w:ascii="Century" w:hAnsi="Century" w:cs="Calibri"/>
          <w:i/>
          <w:noProof/>
          <w:sz w:val="20"/>
          <w:szCs w:val="24"/>
        </w:rPr>
        <w:t xml:space="preserve"> et al.</w:t>
      </w:r>
      <w:r w:rsidRPr="0058446F">
        <w:rPr>
          <w:rFonts w:ascii="Century" w:hAnsi="Century" w:cs="Calibri"/>
          <w:noProof/>
          <w:sz w:val="20"/>
          <w:szCs w:val="24"/>
        </w:rPr>
        <w:t xml:space="preserve"> ARF6-mediated endosomal transport of Telencephalin affects dendritic filopodia-to-spine maturation. </w:t>
      </w:r>
      <w:r w:rsidRPr="0058446F">
        <w:rPr>
          <w:rFonts w:ascii="Century" w:hAnsi="Century" w:cs="Calibri"/>
          <w:i/>
          <w:noProof/>
          <w:sz w:val="20"/>
          <w:szCs w:val="24"/>
        </w:rPr>
        <w:t>EMBO J</w:t>
      </w:r>
      <w:r>
        <w:rPr>
          <w:rFonts w:ascii="Century" w:hAnsi="Century" w:cs="Calibri"/>
          <w:i/>
          <w:noProof/>
          <w:sz w:val="20"/>
          <w:szCs w:val="24"/>
        </w:rPr>
        <w:t>ournal</w:t>
      </w:r>
      <w:r w:rsidRPr="0058446F">
        <w:rPr>
          <w:rFonts w:ascii="Century" w:hAnsi="Century" w:cs="Calibri"/>
          <w:i/>
          <w:noProof/>
          <w:sz w:val="20"/>
          <w:szCs w:val="24"/>
        </w:rPr>
        <w:t>.</w:t>
      </w:r>
      <w:r w:rsidRPr="0058446F">
        <w:rPr>
          <w:rFonts w:ascii="Century" w:hAnsi="Century" w:cs="Calibri"/>
          <w:noProof/>
          <w:sz w:val="20"/>
          <w:szCs w:val="24"/>
        </w:rPr>
        <w:t xml:space="preserve"> </w:t>
      </w:r>
      <w:r w:rsidRPr="0058446F">
        <w:rPr>
          <w:rFonts w:ascii="Century" w:hAnsi="Century" w:cs="Calibri"/>
          <w:b/>
          <w:noProof/>
          <w:sz w:val="20"/>
          <w:szCs w:val="24"/>
        </w:rPr>
        <w:t>31</w:t>
      </w:r>
      <w:r w:rsidRPr="0058446F">
        <w:rPr>
          <w:rFonts w:ascii="Century" w:hAnsi="Century" w:cs="Calibri"/>
          <w:noProof/>
          <w:sz w:val="20"/>
          <w:szCs w:val="24"/>
        </w:rPr>
        <w:t xml:space="preserve"> (15), 3252-3269, doi:10.1038/emboj.2012.182, (2012).</w:t>
      </w:r>
      <w:bookmarkEnd w:id="11"/>
    </w:p>
    <w:p w:rsidR="009B6371" w:rsidRPr="0058446F" w:rsidRDefault="009B6371" w:rsidP="0058446F">
      <w:pPr>
        <w:ind w:left="720" w:hanging="720"/>
        <w:rPr>
          <w:rFonts w:ascii="Century" w:hAnsi="Century" w:cs="Calibri"/>
          <w:noProof/>
          <w:sz w:val="20"/>
          <w:szCs w:val="24"/>
        </w:rPr>
      </w:pPr>
      <w:bookmarkStart w:id="12" w:name="_ENREF_12"/>
      <w:r w:rsidRPr="0058446F">
        <w:rPr>
          <w:rFonts w:ascii="Century" w:hAnsi="Century" w:cs="Calibri"/>
          <w:noProof/>
          <w:sz w:val="20"/>
          <w:szCs w:val="24"/>
        </w:rPr>
        <w:t>12.</w:t>
      </w:r>
      <w:r w:rsidRPr="0058446F">
        <w:rPr>
          <w:rFonts w:ascii="Century" w:hAnsi="Century" w:cs="Calibri"/>
          <w:noProof/>
          <w:sz w:val="20"/>
          <w:szCs w:val="24"/>
        </w:rPr>
        <w:tab/>
        <w:t xml:space="preserve">Mori, K., Fujita, S. C., Watanabe, Y., Obata, K. &amp; Hayaishi, O. Telencephalon-specific antigen identified by monoclonal antibody. </w:t>
      </w:r>
      <w:r w:rsidRPr="009B6371">
        <w:rPr>
          <w:rStyle w:val="af4"/>
          <w:rFonts w:cs="Arial"/>
          <w:sz w:val="20"/>
          <w:szCs w:val="20"/>
          <w:shd w:val="clear" w:color="auto" w:fill="FFFFFF"/>
        </w:rPr>
        <w:t xml:space="preserve">Proceedings of the National Academy of </w:t>
      </w:r>
      <w:r w:rsidRPr="009B6371">
        <w:rPr>
          <w:rStyle w:val="af4"/>
          <w:rFonts w:cs="Arial"/>
          <w:sz w:val="20"/>
          <w:szCs w:val="20"/>
          <w:shd w:val="clear" w:color="auto" w:fill="FFFFFF"/>
        </w:rPr>
        <w:lastRenderedPageBreak/>
        <w:t>Sciences of the United States of America</w:t>
      </w:r>
      <w:r w:rsidRPr="009B6371">
        <w:rPr>
          <w:rFonts w:cs="Calibri"/>
          <w:i/>
          <w:noProof/>
          <w:sz w:val="20"/>
          <w:szCs w:val="20"/>
        </w:rPr>
        <w:t>.</w:t>
      </w:r>
      <w:r w:rsidRPr="009B6371">
        <w:rPr>
          <w:rFonts w:cs="Calibri"/>
          <w:noProof/>
          <w:sz w:val="20"/>
          <w:szCs w:val="20"/>
        </w:rPr>
        <w:t xml:space="preserve"> </w:t>
      </w:r>
      <w:r w:rsidRPr="0058446F">
        <w:rPr>
          <w:rFonts w:ascii="Century" w:hAnsi="Century" w:cs="Calibri"/>
          <w:b/>
          <w:noProof/>
          <w:sz w:val="20"/>
          <w:szCs w:val="24"/>
        </w:rPr>
        <w:t>84</w:t>
      </w:r>
      <w:r w:rsidRPr="0058446F">
        <w:rPr>
          <w:rFonts w:ascii="Century" w:hAnsi="Century" w:cs="Calibri"/>
          <w:noProof/>
          <w:sz w:val="20"/>
          <w:szCs w:val="24"/>
        </w:rPr>
        <w:t xml:space="preserve"> (11), 3921-3925 (1987).</w:t>
      </w:r>
      <w:bookmarkEnd w:id="12"/>
    </w:p>
    <w:p w:rsidR="009B6371" w:rsidRPr="0058446F" w:rsidRDefault="009B6371" w:rsidP="0058446F">
      <w:pPr>
        <w:ind w:left="720" w:hanging="720"/>
        <w:rPr>
          <w:rFonts w:ascii="Century" w:hAnsi="Century" w:cs="Calibri"/>
          <w:noProof/>
          <w:sz w:val="20"/>
          <w:szCs w:val="24"/>
        </w:rPr>
      </w:pPr>
      <w:bookmarkStart w:id="13" w:name="_ENREF_13"/>
      <w:r w:rsidRPr="0058446F">
        <w:rPr>
          <w:rFonts w:ascii="Century" w:hAnsi="Century" w:cs="Calibri"/>
          <w:noProof/>
          <w:sz w:val="20"/>
          <w:szCs w:val="24"/>
        </w:rPr>
        <w:t>13.</w:t>
      </w:r>
      <w:r w:rsidRPr="0058446F">
        <w:rPr>
          <w:rFonts w:ascii="Century" w:hAnsi="Century" w:cs="Calibri"/>
          <w:noProof/>
          <w:sz w:val="20"/>
          <w:szCs w:val="24"/>
        </w:rPr>
        <w:tab/>
        <w:t xml:space="preserve">Yoshihara, Y. &amp; Mori, K. Telencephalin: a neuronal area code molecule? </w:t>
      </w:r>
      <w:r>
        <w:rPr>
          <w:rFonts w:ascii="Century" w:hAnsi="Century" w:cs="Calibri"/>
          <w:i/>
          <w:noProof/>
          <w:sz w:val="20"/>
          <w:szCs w:val="24"/>
        </w:rPr>
        <w:t xml:space="preserve">Neuroscience </w:t>
      </w:r>
      <w:r w:rsidRPr="0058446F">
        <w:rPr>
          <w:rFonts w:ascii="Century" w:hAnsi="Century" w:cs="Calibri"/>
          <w:i/>
          <w:noProof/>
          <w:sz w:val="20"/>
          <w:szCs w:val="24"/>
        </w:rPr>
        <w:t>Res</w:t>
      </w:r>
      <w:r>
        <w:rPr>
          <w:rFonts w:ascii="Century" w:hAnsi="Century" w:cs="Calibri"/>
          <w:i/>
          <w:noProof/>
          <w:sz w:val="20"/>
          <w:szCs w:val="24"/>
        </w:rPr>
        <w:t>earch</w:t>
      </w:r>
      <w:r w:rsidRPr="0058446F">
        <w:rPr>
          <w:rFonts w:ascii="Century" w:hAnsi="Century" w:cs="Calibri"/>
          <w:i/>
          <w:noProof/>
          <w:sz w:val="20"/>
          <w:szCs w:val="24"/>
        </w:rPr>
        <w:t>.</w:t>
      </w:r>
      <w:r w:rsidRPr="0058446F">
        <w:rPr>
          <w:rFonts w:ascii="Century" w:hAnsi="Century" w:cs="Calibri"/>
          <w:noProof/>
          <w:sz w:val="20"/>
          <w:szCs w:val="24"/>
        </w:rPr>
        <w:t xml:space="preserve"> </w:t>
      </w:r>
      <w:r w:rsidRPr="0058446F">
        <w:rPr>
          <w:rFonts w:ascii="Century" w:hAnsi="Century" w:cs="Calibri"/>
          <w:b/>
          <w:noProof/>
          <w:sz w:val="20"/>
          <w:szCs w:val="24"/>
        </w:rPr>
        <w:t>21</w:t>
      </w:r>
      <w:r w:rsidRPr="0058446F">
        <w:rPr>
          <w:rFonts w:ascii="Century" w:hAnsi="Century" w:cs="Calibri"/>
          <w:noProof/>
          <w:sz w:val="20"/>
          <w:szCs w:val="24"/>
        </w:rPr>
        <w:t xml:space="preserve"> (2), 119-124 (1994).</w:t>
      </w:r>
      <w:bookmarkEnd w:id="13"/>
    </w:p>
    <w:p w:rsidR="009B6371" w:rsidRPr="0058446F" w:rsidRDefault="009B6371" w:rsidP="0058446F">
      <w:pPr>
        <w:ind w:left="720" w:hanging="720"/>
        <w:rPr>
          <w:rFonts w:ascii="Century" w:hAnsi="Century" w:cs="Calibri"/>
          <w:noProof/>
          <w:sz w:val="20"/>
          <w:szCs w:val="24"/>
        </w:rPr>
      </w:pPr>
      <w:bookmarkStart w:id="14" w:name="_ENREF_14"/>
      <w:r w:rsidRPr="0058446F">
        <w:rPr>
          <w:rFonts w:ascii="Century" w:hAnsi="Century" w:cs="Calibri"/>
          <w:noProof/>
          <w:sz w:val="20"/>
          <w:szCs w:val="24"/>
        </w:rPr>
        <w:t>14.</w:t>
      </w:r>
      <w:r w:rsidRPr="0058446F">
        <w:rPr>
          <w:rFonts w:ascii="Century" w:hAnsi="Century" w:cs="Calibri"/>
          <w:noProof/>
          <w:sz w:val="20"/>
          <w:szCs w:val="24"/>
        </w:rPr>
        <w:tab/>
        <w:t>Annaert, W. G.</w:t>
      </w:r>
      <w:r w:rsidRPr="0058446F">
        <w:rPr>
          <w:rFonts w:ascii="Century" w:hAnsi="Century" w:cs="Calibri"/>
          <w:i/>
          <w:noProof/>
          <w:sz w:val="20"/>
          <w:szCs w:val="24"/>
        </w:rPr>
        <w:t xml:space="preserve"> et al.</w:t>
      </w:r>
      <w:r w:rsidRPr="0058446F">
        <w:rPr>
          <w:rFonts w:ascii="Century" w:hAnsi="Century" w:cs="Calibri"/>
          <w:noProof/>
          <w:sz w:val="20"/>
          <w:szCs w:val="24"/>
        </w:rPr>
        <w:t xml:space="preserve"> Interaction with telencephalin and the amyloid precursor protein predicts a ring structure for presenilins. </w:t>
      </w:r>
      <w:r w:rsidRPr="0058446F">
        <w:rPr>
          <w:rFonts w:ascii="Century" w:hAnsi="Century" w:cs="Calibri"/>
          <w:i/>
          <w:noProof/>
          <w:sz w:val="20"/>
          <w:szCs w:val="24"/>
        </w:rPr>
        <w:t>Neuron.</w:t>
      </w:r>
      <w:r w:rsidRPr="0058446F">
        <w:rPr>
          <w:rFonts w:ascii="Century" w:hAnsi="Century" w:cs="Calibri"/>
          <w:noProof/>
          <w:sz w:val="20"/>
          <w:szCs w:val="24"/>
        </w:rPr>
        <w:t xml:space="preserve"> </w:t>
      </w:r>
      <w:r w:rsidRPr="0058446F">
        <w:rPr>
          <w:rFonts w:ascii="Century" w:hAnsi="Century" w:cs="Calibri"/>
          <w:b/>
          <w:noProof/>
          <w:sz w:val="20"/>
          <w:szCs w:val="24"/>
        </w:rPr>
        <w:t>32</w:t>
      </w:r>
      <w:r w:rsidRPr="0058446F">
        <w:rPr>
          <w:rFonts w:ascii="Century" w:hAnsi="Century" w:cs="Calibri"/>
          <w:noProof/>
          <w:sz w:val="20"/>
          <w:szCs w:val="24"/>
        </w:rPr>
        <w:t xml:space="preserve"> (4), 579-589 (2001).</w:t>
      </w:r>
      <w:bookmarkEnd w:id="14"/>
    </w:p>
    <w:p w:rsidR="009B6371" w:rsidRPr="0058446F" w:rsidRDefault="009B6371" w:rsidP="0058446F">
      <w:pPr>
        <w:ind w:left="720" w:hanging="720"/>
        <w:rPr>
          <w:rFonts w:ascii="Century" w:hAnsi="Century" w:cs="Calibri"/>
          <w:noProof/>
          <w:sz w:val="20"/>
          <w:szCs w:val="24"/>
        </w:rPr>
      </w:pPr>
      <w:bookmarkStart w:id="15" w:name="_ENREF_15"/>
      <w:r w:rsidRPr="0058446F">
        <w:rPr>
          <w:rFonts w:ascii="Century" w:hAnsi="Century" w:cs="Calibri"/>
          <w:noProof/>
          <w:sz w:val="20"/>
          <w:szCs w:val="24"/>
        </w:rPr>
        <w:t>15.</w:t>
      </w:r>
      <w:r w:rsidRPr="0058446F">
        <w:rPr>
          <w:rFonts w:ascii="Century" w:hAnsi="Century" w:cs="Calibri"/>
          <w:noProof/>
          <w:sz w:val="20"/>
          <w:szCs w:val="24"/>
        </w:rPr>
        <w:tab/>
        <w:t>Furutani, Y.</w:t>
      </w:r>
      <w:r w:rsidRPr="0058446F">
        <w:rPr>
          <w:rFonts w:ascii="Century" w:hAnsi="Century" w:cs="Calibri"/>
          <w:i/>
          <w:noProof/>
          <w:sz w:val="20"/>
          <w:szCs w:val="24"/>
        </w:rPr>
        <w:t xml:space="preserve"> et al.</w:t>
      </w:r>
      <w:r w:rsidRPr="0058446F">
        <w:rPr>
          <w:rFonts w:ascii="Century" w:hAnsi="Century" w:cs="Calibri"/>
          <w:noProof/>
          <w:sz w:val="20"/>
          <w:szCs w:val="24"/>
        </w:rPr>
        <w:t xml:space="preserve"> Vitronectin induces phosphorylation of ezrin/radixin/moesin actin-binding proteins through binding to its novel neuronal receptor telencephalin. </w:t>
      </w:r>
      <w:r w:rsidRPr="0058446F">
        <w:rPr>
          <w:rFonts w:ascii="Century" w:hAnsi="Century" w:cs="Calibri"/>
          <w:i/>
          <w:noProof/>
          <w:sz w:val="20"/>
          <w:szCs w:val="24"/>
        </w:rPr>
        <w:t>J</w:t>
      </w:r>
      <w:r w:rsidR="00041585">
        <w:rPr>
          <w:rFonts w:ascii="Century" w:hAnsi="Century" w:cs="Calibri"/>
          <w:i/>
          <w:noProof/>
          <w:sz w:val="20"/>
          <w:szCs w:val="24"/>
        </w:rPr>
        <w:t>ournal of</w:t>
      </w:r>
      <w:r w:rsidRPr="0058446F">
        <w:rPr>
          <w:rFonts w:ascii="Century" w:hAnsi="Century" w:cs="Calibri"/>
          <w:i/>
          <w:noProof/>
          <w:sz w:val="20"/>
          <w:szCs w:val="24"/>
        </w:rPr>
        <w:t xml:space="preserve"> Biol</w:t>
      </w:r>
      <w:r w:rsidR="00041585">
        <w:rPr>
          <w:rFonts w:ascii="Century" w:hAnsi="Century" w:cs="Calibri"/>
          <w:i/>
          <w:noProof/>
          <w:sz w:val="20"/>
          <w:szCs w:val="24"/>
        </w:rPr>
        <w:t>ogical</w:t>
      </w:r>
      <w:r w:rsidRPr="0058446F">
        <w:rPr>
          <w:rFonts w:ascii="Century" w:hAnsi="Century" w:cs="Calibri"/>
          <w:i/>
          <w:noProof/>
          <w:sz w:val="20"/>
          <w:szCs w:val="24"/>
        </w:rPr>
        <w:t xml:space="preserve"> Chem</w:t>
      </w:r>
      <w:r w:rsidR="00041585">
        <w:rPr>
          <w:rFonts w:ascii="Century" w:hAnsi="Century" w:cs="Calibri"/>
          <w:i/>
          <w:noProof/>
          <w:sz w:val="20"/>
          <w:szCs w:val="24"/>
        </w:rPr>
        <w:t>istry</w:t>
      </w:r>
      <w:r w:rsidRPr="0058446F">
        <w:rPr>
          <w:rFonts w:ascii="Century" w:hAnsi="Century" w:cs="Calibri"/>
          <w:i/>
          <w:noProof/>
          <w:sz w:val="20"/>
          <w:szCs w:val="24"/>
        </w:rPr>
        <w:t>.</w:t>
      </w:r>
      <w:r w:rsidRPr="0058446F">
        <w:rPr>
          <w:rFonts w:ascii="Century" w:hAnsi="Century" w:cs="Calibri"/>
          <w:noProof/>
          <w:sz w:val="20"/>
          <w:szCs w:val="24"/>
        </w:rPr>
        <w:t xml:space="preserve"> </w:t>
      </w:r>
      <w:r w:rsidRPr="0058446F">
        <w:rPr>
          <w:rFonts w:ascii="Century" w:hAnsi="Century" w:cs="Calibri"/>
          <w:b/>
          <w:noProof/>
          <w:sz w:val="20"/>
          <w:szCs w:val="24"/>
        </w:rPr>
        <w:t>287</w:t>
      </w:r>
      <w:r w:rsidRPr="0058446F">
        <w:rPr>
          <w:rFonts w:ascii="Century" w:hAnsi="Century" w:cs="Calibri"/>
          <w:noProof/>
          <w:sz w:val="20"/>
          <w:szCs w:val="24"/>
        </w:rPr>
        <w:t xml:space="preserve"> (46), 39041-39049, doi:10.1074/jbc.M112.383851, (2012).</w:t>
      </w:r>
      <w:bookmarkEnd w:id="15"/>
    </w:p>
    <w:p w:rsidR="009B6371" w:rsidRPr="0058446F" w:rsidRDefault="009B6371" w:rsidP="0058446F">
      <w:pPr>
        <w:ind w:left="720" w:hanging="720"/>
        <w:rPr>
          <w:rFonts w:ascii="Century" w:hAnsi="Century" w:cs="Calibri"/>
          <w:noProof/>
          <w:sz w:val="20"/>
          <w:szCs w:val="24"/>
        </w:rPr>
      </w:pPr>
      <w:bookmarkStart w:id="16" w:name="_ENREF_16"/>
      <w:r w:rsidRPr="0058446F">
        <w:rPr>
          <w:rFonts w:ascii="Century" w:hAnsi="Century" w:cs="Calibri"/>
          <w:noProof/>
          <w:sz w:val="20"/>
          <w:szCs w:val="24"/>
        </w:rPr>
        <w:t>16.</w:t>
      </w:r>
      <w:r w:rsidRPr="0058446F">
        <w:rPr>
          <w:rFonts w:ascii="Century" w:hAnsi="Century" w:cs="Calibri"/>
          <w:noProof/>
          <w:sz w:val="20"/>
          <w:szCs w:val="24"/>
        </w:rPr>
        <w:tab/>
        <w:t xml:space="preserve">Nyman-Huttunen, H., Tian, L., Ning, L. &amp; Gahmberg, C. G. alpha-Actinin-dependent cytoskeletal anchorage is important for ICAM-5-mediated neuritic outgrowth. </w:t>
      </w:r>
      <w:r w:rsidRPr="0058446F">
        <w:rPr>
          <w:rFonts w:ascii="Century" w:hAnsi="Century" w:cs="Calibri"/>
          <w:i/>
          <w:noProof/>
          <w:sz w:val="20"/>
          <w:szCs w:val="24"/>
        </w:rPr>
        <w:t>J</w:t>
      </w:r>
      <w:r w:rsidR="00041585">
        <w:rPr>
          <w:rFonts w:ascii="Century" w:hAnsi="Century" w:cs="Calibri"/>
          <w:i/>
          <w:noProof/>
          <w:sz w:val="20"/>
          <w:szCs w:val="24"/>
        </w:rPr>
        <w:t>ournal</w:t>
      </w:r>
      <w:r w:rsidRPr="0058446F">
        <w:rPr>
          <w:rFonts w:ascii="Century" w:hAnsi="Century" w:cs="Calibri"/>
          <w:i/>
          <w:noProof/>
          <w:sz w:val="20"/>
          <w:szCs w:val="24"/>
        </w:rPr>
        <w:t xml:space="preserve"> </w:t>
      </w:r>
      <w:r w:rsidR="00041585">
        <w:rPr>
          <w:rFonts w:ascii="Century" w:hAnsi="Century" w:cs="Calibri"/>
          <w:i/>
          <w:noProof/>
          <w:sz w:val="20"/>
          <w:szCs w:val="24"/>
        </w:rPr>
        <w:t xml:space="preserve">of </w:t>
      </w:r>
      <w:r w:rsidRPr="0058446F">
        <w:rPr>
          <w:rFonts w:ascii="Century" w:hAnsi="Century" w:cs="Calibri"/>
          <w:i/>
          <w:noProof/>
          <w:sz w:val="20"/>
          <w:szCs w:val="24"/>
        </w:rPr>
        <w:t>Cell Sci</w:t>
      </w:r>
      <w:r w:rsidR="00041585">
        <w:rPr>
          <w:rFonts w:ascii="Century" w:hAnsi="Century" w:cs="Calibri"/>
          <w:i/>
          <w:noProof/>
          <w:sz w:val="20"/>
          <w:szCs w:val="24"/>
        </w:rPr>
        <w:t>ence</w:t>
      </w:r>
      <w:r w:rsidRPr="0058446F">
        <w:rPr>
          <w:rFonts w:ascii="Century" w:hAnsi="Century" w:cs="Calibri"/>
          <w:i/>
          <w:noProof/>
          <w:sz w:val="20"/>
          <w:szCs w:val="24"/>
        </w:rPr>
        <w:t>.</w:t>
      </w:r>
      <w:r w:rsidRPr="0058446F">
        <w:rPr>
          <w:rFonts w:ascii="Century" w:hAnsi="Century" w:cs="Calibri"/>
          <w:noProof/>
          <w:sz w:val="20"/>
          <w:szCs w:val="24"/>
        </w:rPr>
        <w:t xml:space="preserve"> </w:t>
      </w:r>
      <w:r w:rsidRPr="0058446F">
        <w:rPr>
          <w:rFonts w:ascii="Century" w:hAnsi="Century" w:cs="Calibri"/>
          <w:b/>
          <w:noProof/>
          <w:sz w:val="20"/>
          <w:szCs w:val="24"/>
        </w:rPr>
        <w:t>119</w:t>
      </w:r>
      <w:r w:rsidRPr="0058446F">
        <w:rPr>
          <w:rFonts w:ascii="Century" w:hAnsi="Century" w:cs="Calibri"/>
          <w:noProof/>
          <w:sz w:val="20"/>
          <w:szCs w:val="24"/>
        </w:rPr>
        <w:t xml:space="preserve"> (Pt 15), 3057-3066, doi:10.1242/jcs.03045, (2006).</w:t>
      </w:r>
      <w:bookmarkEnd w:id="16"/>
    </w:p>
    <w:p w:rsidR="009B6371" w:rsidRPr="0058446F" w:rsidRDefault="009B6371" w:rsidP="0058446F">
      <w:pPr>
        <w:ind w:left="720" w:hanging="720"/>
        <w:rPr>
          <w:rFonts w:ascii="Century" w:hAnsi="Century" w:cs="Calibri"/>
          <w:noProof/>
          <w:sz w:val="20"/>
          <w:szCs w:val="24"/>
        </w:rPr>
      </w:pPr>
      <w:bookmarkStart w:id="17" w:name="_ENREF_17"/>
      <w:r w:rsidRPr="0058446F">
        <w:rPr>
          <w:rFonts w:ascii="Century" w:hAnsi="Century" w:cs="Calibri"/>
          <w:noProof/>
          <w:sz w:val="20"/>
          <w:szCs w:val="24"/>
        </w:rPr>
        <w:t>17.</w:t>
      </w:r>
      <w:r w:rsidRPr="0058446F">
        <w:rPr>
          <w:rFonts w:ascii="Century" w:hAnsi="Century" w:cs="Calibri"/>
          <w:noProof/>
          <w:sz w:val="20"/>
          <w:szCs w:val="24"/>
        </w:rPr>
        <w:tab/>
        <w:t>Esselens, C.</w:t>
      </w:r>
      <w:r w:rsidRPr="0058446F">
        <w:rPr>
          <w:rFonts w:ascii="Century" w:hAnsi="Century" w:cs="Calibri"/>
          <w:i/>
          <w:noProof/>
          <w:sz w:val="20"/>
          <w:szCs w:val="24"/>
        </w:rPr>
        <w:t xml:space="preserve"> et al.</w:t>
      </w:r>
      <w:r w:rsidRPr="0058446F">
        <w:rPr>
          <w:rFonts w:ascii="Century" w:hAnsi="Century" w:cs="Calibri"/>
          <w:noProof/>
          <w:sz w:val="20"/>
          <w:szCs w:val="24"/>
        </w:rPr>
        <w:t xml:space="preserve"> Presenilin 1 mediates the turnover of telencephalin in hippocampal neurons via an autophagic degradative pathway. </w:t>
      </w:r>
      <w:r w:rsidRPr="0058446F">
        <w:rPr>
          <w:rFonts w:ascii="Century" w:hAnsi="Century" w:cs="Calibri"/>
          <w:i/>
          <w:noProof/>
          <w:sz w:val="20"/>
          <w:szCs w:val="24"/>
        </w:rPr>
        <w:t>J</w:t>
      </w:r>
      <w:r w:rsidR="00041585">
        <w:rPr>
          <w:rFonts w:ascii="Century" w:hAnsi="Century" w:cs="Calibri"/>
          <w:i/>
          <w:noProof/>
          <w:sz w:val="20"/>
          <w:szCs w:val="24"/>
        </w:rPr>
        <w:t>ournal of</w:t>
      </w:r>
      <w:r w:rsidRPr="0058446F">
        <w:rPr>
          <w:rFonts w:ascii="Century" w:hAnsi="Century" w:cs="Calibri"/>
          <w:i/>
          <w:noProof/>
          <w:sz w:val="20"/>
          <w:szCs w:val="24"/>
        </w:rPr>
        <w:t xml:space="preserve"> Cell Biol</w:t>
      </w:r>
      <w:r w:rsidR="00041585">
        <w:rPr>
          <w:rFonts w:ascii="Century" w:hAnsi="Century" w:cs="Calibri"/>
          <w:i/>
          <w:noProof/>
          <w:sz w:val="20"/>
          <w:szCs w:val="24"/>
        </w:rPr>
        <w:t>ogy</w:t>
      </w:r>
      <w:r w:rsidRPr="0058446F">
        <w:rPr>
          <w:rFonts w:ascii="Century" w:hAnsi="Century" w:cs="Calibri"/>
          <w:i/>
          <w:noProof/>
          <w:sz w:val="20"/>
          <w:szCs w:val="24"/>
        </w:rPr>
        <w:t>.</w:t>
      </w:r>
      <w:r w:rsidRPr="0058446F">
        <w:rPr>
          <w:rFonts w:ascii="Century" w:hAnsi="Century" w:cs="Calibri"/>
          <w:noProof/>
          <w:sz w:val="20"/>
          <w:szCs w:val="24"/>
        </w:rPr>
        <w:t xml:space="preserve"> </w:t>
      </w:r>
      <w:r w:rsidRPr="0058446F">
        <w:rPr>
          <w:rFonts w:ascii="Century" w:hAnsi="Century" w:cs="Calibri"/>
          <w:b/>
          <w:noProof/>
          <w:sz w:val="20"/>
          <w:szCs w:val="24"/>
        </w:rPr>
        <w:t>166</w:t>
      </w:r>
      <w:r w:rsidRPr="0058446F">
        <w:rPr>
          <w:rFonts w:ascii="Century" w:hAnsi="Century" w:cs="Calibri"/>
          <w:noProof/>
          <w:sz w:val="20"/>
          <w:szCs w:val="24"/>
        </w:rPr>
        <w:t xml:space="preserve"> (7), 1041-1054, doi:10.1083/jcb.200406060, (2004).</w:t>
      </w:r>
      <w:bookmarkEnd w:id="17"/>
    </w:p>
    <w:p w:rsidR="009B6371" w:rsidRPr="0058446F" w:rsidRDefault="009B6371" w:rsidP="0058446F">
      <w:pPr>
        <w:ind w:left="720" w:hanging="720"/>
        <w:rPr>
          <w:rFonts w:ascii="Century" w:hAnsi="Century" w:cs="Calibri"/>
          <w:noProof/>
          <w:sz w:val="20"/>
          <w:szCs w:val="24"/>
        </w:rPr>
      </w:pPr>
      <w:bookmarkStart w:id="18" w:name="_ENREF_18"/>
      <w:r w:rsidRPr="0058446F">
        <w:rPr>
          <w:rFonts w:ascii="Century" w:hAnsi="Century" w:cs="Calibri"/>
          <w:noProof/>
          <w:sz w:val="20"/>
          <w:szCs w:val="24"/>
        </w:rPr>
        <w:t>18.</w:t>
      </w:r>
      <w:r w:rsidRPr="0058446F">
        <w:rPr>
          <w:rFonts w:ascii="Century" w:hAnsi="Century" w:cs="Calibri"/>
          <w:noProof/>
          <w:sz w:val="20"/>
          <w:szCs w:val="24"/>
        </w:rPr>
        <w:tab/>
        <w:t xml:space="preserve">Furutani, Y. &amp; Yoshihara, Y. Proteomic Analysis of Dendritic Filopodia-Rich Fraction Isolated by Telencephalin and Vitronectin Interaction. </w:t>
      </w:r>
      <w:r w:rsidRPr="0058446F">
        <w:rPr>
          <w:rFonts w:ascii="Century" w:hAnsi="Century" w:cs="Calibri"/>
          <w:i/>
          <w:noProof/>
          <w:sz w:val="20"/>
          <w:szCs w:val="24"/>
        </w:rPr>
        <w:t>Front</w:t>
      </w:r>
      <w:r w:rsidR="00041585">
        <w:rPr>
          <w:rFonts w:ascii="Century" w:hAnsi="Century" w:cs="Calibri"/>
          <w:i/>
          <w:noProof/>
          <w:sz w:val="20"/>
          <w:szCs w:val="24"/>
        </w:rPr>
        <w:t>ier</w:t>
      </w:r>
      <w:r w:rsidRPr="0058446F">
        <w:rPr>
          <w:rFonts w:ascii="Century" w:hAnsi="Century" w:cs="Calibri"/>
          <w:i/>
          <w:noProof/>
          <w:sz w:val="20"/>
          <w:szCs w:val="24"/>
        </w:rPr>
        <w:t xml:space="preserve"> </w:t>
      </w:r>
      <w:r w:rsidR="00041585">
        <w:rPr>
          <w:rFonts w:ascii="Century" w:hAnsi="Century" w:cs="Calibri"/>
          <w:i/>
          <w:noProof/>
          <w:sz w:val="20"/>
          <w:szCs w:val="24"/>
        </w:rPr>
        <w:t xml:space="preserve">of </w:t>
      </w:r>
      <w:r w:rsidRPr="0058446F">
        <w:rPr>
          <w:rFonts w:ascii="Century" w:hAnsi="Century" w:cs="Calibri"/>
          <w:i/>
          <w:noProof/>
          <w:sz w:val="20"/>
          <w:szCs w:val="24"/>
        </w:rPr>
        <w:t>Synaptic Neurosci</w:t>
      </w:r>
      <w:r w:rsidR="00041585">
        <w:rPr>
          <w:rFonts w:ascii="Century" w:hAnsi="Century" w:cs="Calibri"/>
          <w:i/>
          <w:noProof/>
          <w:sz w:val="20"/>
          <w:szCs w:val="24"/>
        </w:rPr>
        <w:t>ence</w:t>
      </w:r>
      <w:r w:rsidRPr="0058446F">
        <w:rPr>
          <w:rFonts w:ascii="Century" w:hAnsi="Century" w:cs="Calibri"/>
          <w:i/>
          <w:noProof/>
          <w:sz w:val="20"/>
          <w:szCs w:val="24"/>
        </w:rPr>
        <w:t>.</w:t>
      </w:r>
      <w:r w:rsidRPr="0058446F">
        <w:rPr>
          <w:rFonts w:ascii="Century" w:hAnsi="Century" w:cs="Calibri"/>
          <w:noProof/>
          <w:sz w:val="20"/>
          <w:szCs w:val="24"/>
        </w:rPr>
        <w:t xml:space="preserve"> </w:t>
      </w:r>
      <w:r w:rsidRPr="0058446F">
        <w:rPr>
          <w:rFonts w:ascii="Century" w:hAnsi="Century" w:cs="Calibri"/>
          <w:b/>
          <w:noProof/>
          <w:sz w:val="20"/>
          <w:szCs w:val="24"/>
        </w:rPr>
        <w:t>10</w:t>
      </w:r>
      <w:r w:rsidRPr="0058446F">
        <w:rPr>
          <w:rFonts w:ascii="Century" w:hAnsi="Century" w:cs="Calibri"/>
          <w:noProof/>
          <w:sz w:val="20"/>
          <w:szCs w:val="24"/>
        </w:rPr>
        <w:t xml:space="preserve"> 27, doi:10.3389/fnsyn.2018.00027, (2018).</w:t>
      </w:r>
      <w:bookmarkEnd w:id="18"/>
    </w:p>
    <w:p w:rsidR="009B6371" w:rsidRPr="0058446F" w:rsidRDefault="009B6371" w:rsidP="0058446F">
      <w:pPr>
        <w:ind w:left="720" w:hanging="720"/>
        <w:rPr>
          <w:rFonts w:ascii="Century" w:hAnsi="Century" w:cs="Calibri"/>
          <w:noProof/>
          <w:sz w:val="20"/>
          <w:szCs w:val="24"/>
        </w:rPr>
      </w:pPr>
      <w:bookmarkStart w:id="19" w:name="_ENREF_19"/>
      <w:r w:rsidRPr="0058446F">
        <w:rPr>
          <w:rFonts w:ascii="Century" w:hAnsi="Century" w:cs="Calibri"/>
          <w:noProof/>
          <w:sz w:val="20"/>
          <w:szCs w:val="24"/>
        </w:rPr>
        <w:t>19.</w:t>
      </w:r>
      <w:r w:rsidRPr="0058446F">
        <w:rPr>
          <w:rFonts w:ascii="Century" w:hAnsi="Century" w:cs="Calibri"/>
          <w:noProof/>
          <w:sz w:val="20"/>
          <w:szCs w:val="24"/>
        </w:rPr>
        <w:tab/>
        <w:t xml:space="preserve">Lu, Z., Piechowicz, M. &amp; Qiu, S. A Simplified Method for Ultra-Low Density, Long-Term Primary Hippocampal Neuron Culture. </w:t>
      </w:r>
      <w:r w:rsidRPr="0058446F">
        <w:rPr>
          <w:rFonts w:ascii="Century" w:hAnsi="Century" w:cs="Calibri"/>
          <w:i/>
          <w:noProof/>
          <w:sz w:val="20"/>
          <w:szCs w:val="24"/>
        </w:rPr>
        <w:t>J</w:t>
      </w:r>
      <w:r w:rsidR="00041585">
        <w:rPr>
          <w:rFonts w:ascii="Century" w:hAnsi="Century" w:cs="Calibri"/>
          <w:i/>
          <w:noProof/>
          <w:sz w:val="20"/>
          <w:szCs w:val="24"/>
        </w:rPr>
        <w:t>ournal of</w:t>
      </w:r>
      <w:r w:rsidRPr="0058446F">
        <w:rPr>
          <w:rFonts w:ascii="Century" w:hAnsi="Century" w:cs="Calibri"/>
          <w:i/>
          <w:noProof/>
          <w:sz w:val="20"/>
          <w:szCs w:val="24"/>
        </w:rPr>
        <w:t xml:space="preserve"> Vis</w:t>
      </w:r>
      <w:r w:rsidR="00041585">
        <w:rPr>
          <w:rFonts w:ascii="Century" w:hAnsi="Century" w:cs="Calibri"/>
          <w:i/>
          <w:noProof/>
          <w:sz w:val="20"/>
          <w:szCs w:val="24"/>
        </w:rPr>
        <w:t>ualized</w:t>
      </w:r>
      <w:r w:rsidRPr="0058446F">
        <w:rPr>
          <w:rFonts w:ascii="Century" w:hAnsi="Century" w:cs="Calibri"/>
          <w:i/>
          <w:noProof/>
          <w:sz w:val="20"/>
          <w:szCs w:val="24"/>
        </w:rPr>
        <w:t xml:space="preserve"> Exp</w:t>
      </w:r>
      <w:r w:rsidR="00041585">
        <w:rPr>
          <w:rFonts w:ascii="Century" w:hAnsi="Century" w:cs="Calibri"/>
          <w:i/>
          <w:noProof/>
          <w:sz w:val="20"/>
          <w:szCs w:val="24"/>
        </w:rPr>
        <w:t>eriment</w:t>
      </w:r>
      <w:r w:rsidRPr="0058446F">
        <w:rPr>
          <w:rFonts w:ascii="Century" w:hAnsi="Century" w:cs="Calibri"/>
          <w:i/>
          <w:noProof/>
          <w:sz w:val="20"/>
          <w:szCs w:val="24"/>
        </w:rPr>
        <w:t>.</w:t>
      </w:r>
      <w:r w:rsidRPr="0058446F">
        <w:rPr>
          <w:rFonts w:ascii="Century" w:hAnsi="Century" w:cs="Calibri"/>
          <w:noProof/>
          <w:sz w:val="20"/>
          <w:szCs w:val="24"/>
        </w:rPr>
        <w:t xml:space="preserve"> (109), doi:10.3791/53797, (2016).</w:t>
      </w:r>
      <w:bookmarkEnd w:id="19"/>
    </w:p>
    <w:p w:rsidR="009B6371" w:rsidRPr="0058446F" w:rsidRDefault="009B6371" w:rsidP="0058446F">
      <w:pPr>
        <w:ind w:left="720" w:hanging="720"/>
        <w:rPr>
          <w:rFonts w:ascii="Century" w:hAnsi="Century" w:cs="Calibri"/>
          <w:noProof/>
          <w:sz w:val="20"/>
          <w:szCs w:val="24"/>
        </w:rPr>
      </w:pPr>
      <w:bookmarkStart w:id="20" w:name="_ENREF_20"/>
      <w:r w:rsidRPr="0058446F">
        <w:rPr>
          <w:rFonts w:ascii="Century" w:hAnsi="Century" w:cs="Calibri"/>
          <w:noProof/>
          <w:sz w:val="20"/>
          <w:szCs w:val="24"/>
        </w:rPr>
        <w:t>20.</w:t>
      </w:r>
      <w:r w:rsidRPr="0058446F">
        <w:rPr>
          <w:rFonts w:ascii="Century" w:hAnsi="Century" w:cs="Calibri"/>
          <w:noProof/>
          <w:sz w:val="20"/>
          <w:szCs w:val="24"/>
        </w:rPr>
        <w:tab/>
        <w:t xml:space="preserve">Okabe, S., Miwa, A. &amp; Okado, H. Alternative splicing of the C-terminal domain regulates cell surface expression of the NMDA receptor NR1 subunit. </w:t>
      </w:r>
      <w:r w:rsidRPr="0058446F">
        <w:rPr>
          <w:rFonts w:ascii="Century" w:hAnsi="Century" w:cs="Calibri"/>
          <w:i/>
          <w:noProof/>
          <w:sz w:val="20"/>
          <w:szCs w:val="24"/>
        </w:rPr>
        <w:t>J</w:t>
      </w:r>
      <w:r>
        <w:rPr>
          <w:rFonts w:ascii="Century" w:hAnsi="Century" w:cs="Calibri"/>
          <w:i/>
          <w:noProof/>
          <w:sz w:val="20"/>
          <w:szCs w:val="24"/>
        </w:rPr>
        <w:t>ournal of</w:t>
      </w:r>
      <w:r w:rsidRPr="0058446F">
        <w:rPr>
          <w:rFonts w:ascii="Century" w:hAnsi="Century" w:cs="Calibri"/>
          <w:i/>
          <w:noProof/>
          <w:sz w:val="20"/>
          <w:szCs w:val="24"/>
        </w:rPr>
        <w:t xml:space="preserve"> Neurosci</w:t>
      </w:r>
      <w:r>
        <w:rPr>
          <w:rFonts w:ascii="Century" w:hAnsi="Century" w:cs="Calibri"/>
          <w:i/>
          <w:noProof/>
          <w:sz w:val="20"/>
          <w:szCs w:val="24"/>
        </w:rPr>
        <w:t>ence</w:t>
      </w:r>
      <w:r w:rsidRPr="0058446F">
        <w:rPr>
          <w:rFonts w:ascii="Century" w:hAnsi="Century" w:cs="Calibri"/>
          <w:i/>
          <w:noProof/>
          <w:sz w:val="20"/>
          <w:szCs w:val="24"/>
        </w:rPr>
        <w:t>.</w:t>
      </w:r>
      <w:r w:rsidRPr="0058446F">
        <w:rPr>
          <w:rFonts w:ascii="Century" w:hAnsi="Century" w:cs="Calibri"/>
          <w:noProof/>
          <w:sz w:val="20"/>
          <w:szCs w:val="24"/>
        </w:rPr>
        <w:t xml:space="preserve"> </w:t>
      </w:r>
      <w:r w:rsidRPr="0058446F">
        <w:rPr>
          <w:rFonts w:ascii="Century" w:hAnsi="Century" w:cs="Calibri"/>
          <w:b/>
          <w:noProof/>
          <w:sz w:val="20"/>
          <w:szCs w:val="24"/>
        </w:rPr>
        <w:t>19</w:t>
      </w:r>
      <w:r w:rsidRPr="0058446F">
        <w:rPr>
          <w:rFonts w:ascii="Century" w:hAnsi="Century" w:cs="Calibri"/>
          <w:noProof/>
          <w:sz w:val="20"/>
          <w:szCs w:val="24"/>
        </w:rPr>
        <w:t xml:space="preserve"> (18), 7781-7792 (1999).</w:t>
      </w:r>
      <w:bookmarkEnd w:id="20"/>
    </w:p>
    <w:p w:rsidR="009B6371" w:rsidRPr="0058446F" w:rsidRDefault="009B6371" w:rsidP="0058446F">
      <w:pPr>
        <w:ind w:left="720" w:hanging="720"/>
        <w:rPr>
          <w:rFonts w:ascii="Century" w:hAnsi="Century" w:cs="Calibri"/>
          <w:noProof/>
          <w:sz w:val="20"/>
          <w:szCs w:val="24"/>
        </w:rPr>
      </w:pPr>
      <w:bookmarkStart w:id="21" w:name="_ENREF_21"/>
      <w:r w:rsidRPr="0058446F">
        <w:rPr>
          <w:rFonts w:ascii="Century" w:hAnsi="Century" w:cs="Calibri"/>
          <w:noProof/>
          <w:sz w:val="20"/>
          <w:szCs w:val="24"/>
        </w:rPr>
        <w:t>21.</w:t>
      </w:r>
      <w:r w:rsidRPr="0058446F">
        <w:rPr>
          <w:rFonts w:ascii="Century" w:hAnsi="Century" w:cs="Calibri"/>
          <w:noProof/>
          <w:sz w:val="20"/>
          <w:szCs w:val="24"/>
        </w:rPr>
        <w:tab/>
        <w:t xml:space="preserve">Okabe, S., Vicario-Abejon, C., Segal, M. &amp; McKay, R. D. Survival and synaptogenesis of hippocampal neurons without NMDA receptor function in culture. </w:t>
      </w:r>
      <w:r w:rsidRPr="0058446F">
        <w:rPr>
          <w:rFonts w:ascii="Century" w:hAnsi="Century" w:cs="Calibri"/>
          <w:i/>
          <w:noProof/>
          <w:sz w:val="20"/>
          <w:szCs w:val="24"/>
        </w:rPr>
        <w:t>Eur</w:t>
      </w:r>
      <w:r w:rsidR="007A6329">
        <w:rPr>
          <w:rFonts w:ascii="Century" w:hAnsi="Century" w:cs="Calibri"/>
          <w:i/>
          <w:noProof/>
          <w:sz w:val="20"/>
          <w:szCs w:val="24"/>
        </w:rPr>
        <w:t>opean</w:t>
      </w:r>
      <w:r w:rsidRPr="0058446F">
        <w:rPr>
          <w:rFonts w:ascii="Century" w:hAnsi="Century" w:cs="Calibri"/>
          <w:i/>
          <w:noProof/>
          <w:sz w:val="20"/>
          <w:szCs w:val="24"/>
        </w:rPr>
        <w:t xml:space="preserve"> J</w:t>
      </w:r>
      <w:r w:rsidR="007A6329">
        <w:rPr>
          <w:rFonts w:ascii="Century" w:hAnsi="Century" w:cs="Calibri"/>
          <w:i/>
          <w:noProof/>
          <w:sz w:val="20"/>
          <w:szCs w:val="24"/>
        </w:rPr>
        <w:t>ournal of</w:t>
      </w:r>
      <w:r w:rsidRPr="0058446F">
        <w:rPr>
          <w:rFonts w:ascii="Century" w:hAnsi="Century" w:cs="Calibri"/>
          <w:i/>
          <w:noProof/>
          <w:sz w:val="20"/>
          <w:szCs w:val="24"/>
        </w:rPr>
        <w:t xml:space="preserve"> Neurosci</w:t>
      </w:r>
      <w:r w:rsidR="007A6329">
        <w:rPr>
          <w:rFonts w:ascii="Century" w:hAnsi="Century" w:cs="Calibri"/>
          <w:i/>
          <w:noProof/>
          <w:sz w:val="20"/>
          <w:szCs w:val="24"/>
        </w:rPr>
        <w:t>ence</w:t>
      </w:r>
      <w:r w:rsidRPr="0058446F">
        <w:rPr>
          <w:rFonts w:ascii="Century" w:hAnsi="Century" w:cs="Calibri"/>
          <w:i/>
          <w:noProof/>
          <w:sz w:val="20"/>
          <w:szCs w:val="24"/>
        </w:rPr>
        <w:t>.</w:t>
      </w:r>
      <w:r w:rsidRPr="0058446F">
        <w:rPr>
          <w:rFonts w:ascii="Century" w:hAnsi="Century" w:cs="Calibri"/>
          <w:noProof/>
          <w:sz w:val="20"/>
          <w:szCs w:val="24"/>
        </w:rPr>
        <w:t xml:space="preserve"> </w:t>
      </w:r>
      <w:r w:rsidRPr="0058446F">
        <w:rPr>
          <w:rFonts w:ascii="Century" w:hAnsi="Century" w:cs="Calibri"/>
          <w:b/>
          <w:noProof/>
          <w:sz w:val="20"/>
          <w:szCs w:val="24"/>
        </w:rPr>
        <w:t>10</w:t>
      </w:r>
      <w:r w:rsidRPr="0058446F">
        <w:rPr>
          <w:rFonts w:ascii="Century" w:hAnsi="Century" w:cs="Calibri"/>
          <w:noProof/>
          <w:sz w:val="20"/>
          <w:szCs w:val="24"/>
        </w:rPr>
        <w:t xml:space="preserve"> (6), 2192-2198 (1998).</w:t>
      </w:r>
      <w:bookmarkEnd w:id="21"/>
    </w:p>
    <w:p w:rsidR="009B6371" w:rsidRDefault="009B6371" w:rsidP="0058446F">
      <w:pPr>
        <w:rPr>
          <w:rFonts w:ascii="Century" w:hAnsi="Century" w:cs="Calibri"/>
          <w:noProof/>
          <w:sz w:val="20"/>
          <w:szCs w:val="24"/>
        </w:rPr>
      </w:pPr>
    </w:p>
    <w:p w:rsidR="009B6371" w:rsidRPr="00C03F51" w:rsidRDefault="009B6371" w:rsidP="0058446F">
      <w:pPr>
        <w:snapToGrid w:val="0"/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/>
      </w:r>
      <w:r>
        <w:rPr>
          <w:rFonts w:ascii="Calibri" w:hAnsi="Calibri" w:cs="Calibri"/>
          <w:sz w:val="24"/>
          <w:szCs w:val="24"/>
        </w:rPr>
        <w:instrText xml:space="preserve"> ADDIN </w:instrText>
      </w:r>
      <w:r>
        <w:rPr>
          <w:rFonts w:ascii="Calibri" w:hAnsi="Calibri" w:cs="Calibri"/>
          <w:sz w:val="24"/>
          <w:szCs w:val="24"/>
        </w:rPr>
        <w:fldChar w:fldCharType="end"/>
      </w:r>
    </w:p>
    <w:p w:rsidR="0045004F" w:rsidRDefault="0045004F"/>
    <w:sectPr w:rsidR="0045004F" w:rsidSect="00623C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736" w:rsidRDefault="00B00736" w:rsidP="007B5441">
      <w:r>
        <w:separator/>
      </w:r>
    </w:p>
  </w:endnote>
  <w:endnote w:type="continuationSeparator" w:id="0">
    <w:p w:rsidR="00B00736" w:rsidRDefault="00B00736" w:rsidP="007B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736" w:rsidRDefault="00B00736" w:rsidP="007B5441">
      <w:r>
        <w:separator/>
      </w:r>
    </w:p>
  </w:footnote>
  <w:footnote w:type="continuationSeparator" w:id="0">
    <w:p w:rsidR="00B00736" w:rsidRDefault="00B00736" w:rsidP="007B5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B6371"/>
    <w:rsid w:val="00041585"/>
    <w:rsid w:val="0045004F"/>
    <w:rsid w:val="007A6329"/>
    <w:rsid w:val="007B5441"/>
    <w:rsid w:val="009B6371"/>
    <w:rsid w:val="00B0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820742-E4F7-4211-9A7B-97AE2F19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371"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9B6371"/>
    <w:pPr>
      <w:keepNext/>
      <w:autoSpaceDE w:val="0"/>
      <w:autoSpaceDN w:val="0"/>
      <w:adjustRightInd w:val="0"/>
      <w:outlineLvl w:val="1"/>
    </w:pPr>
    <w:rPr>
      <w:rFonts w:ascii="Calibri" w:hAnsi="Calibri" w:cs="Times New Roman"/>
      <w:b/>
      <w:bCs/>
      <w:iCs/>
      <w:color w:val="000000"/>
      <w:kern w:val="0"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9B6371"/>
    <w:rPr>
      <w:rFonts w:ascii="Calibri" w:hAnsi="Calibri" w:cs="Times New Roman"/>
      <w:b/>
      <w:bCs/>
      <w:iCs/>
      <w:color w:val="000000"/>
      <w:kern w:val="0"/>
      <w:sz w:val="24"/>
      <w:szCs w:val="28"/>
      <w:lang w:eastAsia="en-US"/>
    </w:rPr>
  </w:style>
  <w:style w:type="paragraph" w:styleId="Web">
    <w:name w:val="Normal (Web)"/>
    <w:basedOn w:val="a"/>
    <w:rsid w:val="009B6371"/>
    <w:pPr>
      <w:autoSpaceDE w:val="0"/>
      <w:autoSpaceDN w:val="0"/>
      <w:adjustRightInd w:val="0"/>
      <w:spacing w:before="100" w:beforeAutospacing="1" w:after="100" w:afterAutospacing="1"/>
    </w:pPr>
    <w:rPr>
      <w:rFonts w:ascii="Calibri" w:hAnsi="Calibri" w:cs="Calibri"/>
      <w:color w:val="000000"/>
      <w:kern w:val="0"/>
      <w:sz w:val="24"/>
      <w:szCs w:val="24"/>
      <w:lang w:eastAsia="en-US"/>
    </w:rPr>
  </w:style>
  <w:style w:type="character" w:styleId="a3">
    <w:name w:val="Hyperlink"/>
    <w:uiPriority w:val="99"/>
    <w:rsid w:val="009B63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6371"/>
    <w:pPr>
      <w:autoSpaceDE w:val="0"/>
      <w:autoSpaceDN w:val="0"/>
      <w:adjustRightInd w:val="0"/>
      <w:ind w:left="720"/>
      <w:contextualSpacing/>
    </w:pPr>
    <w:rPr>
      <w:rFonts w:ascii="Calibri" w:hAnsi="Calibri" w:cs="Calibri"/>
      <w:color w:val="000000"/>
      <w:kern w:val="0"/>
      <w:sz w:val="24"/>
      <w:szCs w:val="24"/>
      <w:lang w:eastAsia="en-US"/>
    </w:rPr>
  </w:style>
  <w:style w:type="paragraph" w:styleId="a5">
    <w:name w:val="Body Text"/>
    <w:basedOn w:val="a"/>
    <w:link w:val="a6"/>
    <w:uiPriority w:val="1"/>
    <w:qFormat/>
    <w:rsid w:val="009B6371"/>
    <w:pPr>
      <w:jc w:val="left"/>
    </w:pPr>
    <w:rPr>
      <w:rFonts w:ascii="Calibri" w:eastAsia="Calibri" w:hAnsi="Calibri" w:cs="Calibri"/>
      <w:kern w:val="0"/>
      <w:sz w:val="24"/>
      <w:szCs w:val="24"/>
      <w:lang w:eastAsia="en-US"/>
    </w:rPr>
  </w:style>
  <w:style w:type="character" w:customStyle="1" w:styleId="a6">
    <w:name w:val="本文 (文字)"/>
    <w:basedOn w:val="a0"/>
    <w:link w:val="a5"/>
    <w:uiPriority w:val="1"/>
    <w:rsid w:val="009B6371"/>
    <w:rPr>
      <w:rFonts w:ascii="Calibri" w:eastAsia="Calibri" w:hAnsi="Calibri" w:cs="Calibri"/>
      <w:kern w:val="0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9B63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B6371"/>
  </w:style>
  <w:style w:type="paragraph" w:styleId="a9">
    <w:name w:val="footer"/>
    <w:basedOn w:val="a"/>
    <w:link w:val="aa"/>
    <w:uiPriority w:val="99"/>
    <w:unhideWhenUsed/>
    <w:rsid w:val="009B63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B6371"/>
  </w:style>
  <w:style w:type="character" w:styleId="ab">
    <w:name w:val="FollowedHyperlink"/>
    <w:basedOn w:val="a0"/>
    <w:uiPriority w:val="99"/>
    <w:semiHidden/>
    <w:unhideWhenUsed/>
    <w:rsid w:val="009B6371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B6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B6371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9B637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B637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B637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B637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B6371"/>
    <w:rPr>
      <w:b/>
      <w:bCs/>
    </w:rPr>
  </w:style>
  <w:style w:type="character" w:styleId="af3">
    <w:name w:val="line number"/>
    <w:basedOn w:val="a0"/>
    <w:uiPriority w:val="99"/>
    <w:semiHidden/>
    <w:unhideWhenUsed/>
    <w:rsid w:val="009B6371"/>
  </w:style>
  <w:style w:type="character" w:styleId="af4">
    <w:name w:val="Emphasis"/>
    <w:basedOn w:val="a0"/>
    <w:uiPriority w:val="20"/>
    <w:qFormat/>
    <w:rsid w:val="009B63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Furutani Yutaka</dc:creator>
  <cp:keywords/>
  <dc:description/>
  <cp:lastModifiedBy>Furutani Yutaka</cp:lastModifiedBy>
  <cp:revision>2</cp:revision>
  <dcterms:created xsi:type="dcterms:W3CDTF">2019-01-12T06:07:00Z</dcterms:created>
  <dcterms:modified xsi:type="dcterms:W3CDTF">2019-01-12T06:07:00Z</dcterms:modified>
</cp:coreProperties>
</file>