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of Oxygen Consumption Rates in Intact </w:t>
      </w:r>
      <w:r>
        <w:rPr>
          <w:rFonts w:ascii="Calibri" w:hAnsi="Calibri" w:cs="Calibri" w:eastAsia="Calibri"/>
          <w:i/>
          <w:color w:val="auto"/>
          <w:spacing w:val="0"/>
          <w:position w:val="0"/>
          <w:sz w:val="24"/>
          <w:shd w:fill="auto" w:val="clear"/>
        </w:rPr>
        <w:t xml:space="preserve">Caenorhabditis Elegans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Shaarika Sarasija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Kenneth R. Norman</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Regenerative and Cancer Cell Biology, Albany Medical College, Albany, NY,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Kenneth R. Norman</w:t>
        <w:tab/>
        <w:t xml:space="preserve">(normank@amc.edu)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Shaarika Sarasija</w:t>
      </w:r>
      <w:r>
        <w:rPr>
          <w:rFonts w:ascii="Calibri" w:hAnsi="Calibri" w:cs="Calibri" w:eastAsia="Calibri"/>
          <w:color w:val="000000"/>
          <w:spacing w:val="0"/>
          <w:position w:val="0"/>
          <w:sz w:val="24"/>
          <w:shd w:fill="auto" w:val="clear"/>
        </w:rPr>
        <w:tab/>
        <w:t xml:space="preserve">(</w:t>
      </w:r>
      <w:r>
        <w:rPr>
          <w:rFonts w:ascii="Calibri" w:hAnsi="Calibri" w:cs="Calibri" w:eastAsia="Calibri"/>
          <w:color w:val="auto"/>
          <w:spacing w:val="0"/>
          <w:position w:val="0"/>
          <w:sz w:val="24"/>
          <w:shd w:fill="auto" w:val="clear"/>
        </w:rPr>
        <w:t xml:space="preserve">shaarika.sarasija@gmail.com)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respiration, oxygen consumption rate (OCR), respirometer, mitochondria, metabolism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Mitochondrial respiration is critical for organismal survival; therefore, oxygen consumption rate is an excellent indicator of mitochondrial health. In this protocol, we describe the use of a commercially available respirometer to measure basal and maximal oxygen consumption rates in live, intact, and freely-motile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Optimal mitochondrial function is critical for healthy cellular activity, particularly in cells that have high energy demands like those in the nervous system and muscle. Consistent with this, mitochondrial dysfunction has been associated with a myriad of neurodegenerative diseases and aging in general. </w:t>
      </w:r>
      <w:r>
        <w:rPr>
          <w:rFonts w:ascii="Calibri" w:hAnsi="Calibri" w:cs="Calibri" w:eastAsia="Calibri"/>
          <w:i/>
          <w:color w:val="auto"/>
          <w:spacing w:val="0"/>
          <w:position w:val="0"/>
          <w:sz w:val="24"/>
          <w:shd w:fill="FFFFFF" w:val="clear"/>
        </w:rPr>
        <w:t xml:space="preserve">Caenorhabditis elegans</w:t>
      </w:r>
      <w:r>
        <w:rPr>
          <w:rFonts w:ascii="Calibri" w:hAnsi="Calibri" w:cs="Calibri" w:eastAsia="Calibri"/>
          <w:color w:val="auto"/>
          <w:spacing w:val="0"/>
          <w:position w:val="0"/>
          <w:sz w:val="24"/>
          <w:shd w:fill="FFFFFF" w:val="clear"/>
        </w:rPr>
        <w:t xml:space="preserve"> have been a powerful model system for elucidating the many intricacies of mitochondrial function. Mitochondrial respiration is a strong indicator of mitochondrial function and recently developed respirometers offer a state-of-the-art platform to measure respiration in cells. In this protocol, we provide a technique to analyze live, intact </w:t>
      </w:r>
      <w:r>
        <w:rPr>
          <w:rFonts w:ascii="Calibri" w:hAnsi="Calibri" w:cs="Calibri" w:eastAsia="Calibri"/>
          <w:i/>
          <w:color w:val="auto"/>
          <w:spacing w:val="0"/>
          <w:position w:val="0"/>
          <w:sz w:val="24"/>
          <w:shd w:fill="FFFFFF" w:val="clear"/>
        </w:rPr>
        <w:t xml:space="preserve">C. elegans</w:t>
      </w:r>
      <w:r>
        <w:rPr>
          <w:rFonts w:ascii="Calibri" w:hAnsi="Calibri" w:cs="Calibri" w:eastAsia="Calibri"/>
          <w:color w:val="auto"/>
          <w:spacing w:val="0"/>
          <w:position w:val="0"/>
          <w:sz w:val="24"/>
          <w:shd w:fill="FFFFFF" w:val="clear"/>
        </w:rPr>
        <w:t xml:space="preserve">. This protocol spans a period of ~7 days and includes steps for (1) growing and synchronization of </w:t>
      </w:r>
      <w:r>
        <w:rPr>
          <w:rFonts w:ascii="Calibri" w:hAnsi="Calibri" w:cs="Calibri" w:eastAsia="Calibri"/>
          <w:i/>
          <w:color w:val="auto"/>
          <w:spacing w:val="0"/>
          <w:position w:val="0"/>
          <w:sz w:val="24"/>
          <w:shd w:fill="FFFFFF" w:val="clear"/>
        </w:rPr>
        <w:t xml:space="preserve">C. elegans,</w:t>
      </w:r>
      <w:r>
        <w:rPr>
          <w:rFonts w:ascii="Calibri" w:hAnsi="Calibri" w:cs="Calibri" w:eastAsia="Calibri"/>
          <w:color w:val="auto"/>
          <w:spacing w:val="0"/>
          <w:position w:val="0"/>
          <w:sz w:val="24"/>
          <w:shd w:fill="FFFFFF" w:val="clear"/>
        </w:rPr>
        <w:t xml:space="preserve"> (2) preparation and loading of compounds to be injected and hydration of probes, (3) drug loading and cartridge equilibration, (4) preparation of worm assay plate and assay run, and (5) post-experiment data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Adenosine triphosphate (ATP), the main source of cellular energy, is produced in the mitochondria by enzymes in the electron transport chain (ETC) located in the inner mitochondrial membrane. Pyruvate, a key metabolite utilized for mitochondrial ATP production, is imported into the mitochondrial matrix where it is decarboxylated to produce acetyl coenzyme A (CoA). Subsequently, acetyl CoA enters the citric acid cycle resulting in the generation of nicotinamide adenine dinucleotide (NADH), a key electron carrier molecule. As electrons from NADH are passed to oxygen via the ETC, protons build up in the mitochondrial intermembrane space, which results in the generation of an electrochemical gradient across the membrane. These protons will then flow from the intermembrane space across this electrochemical gradient back into the mitochondrial matrix through the proton pore of the ATP synthase, driving its rotation and the synthesis of ATP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Mitochondrial function is not limited to energy production but is also crucial for calcium homeostasis, reactive oxygen species (ROS) scavenging, and apoptosis, critically positioning their function in organismal health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Mitochondrial function can be assessed using a variety of assays, including but not limited to analyses that measure mitochondrial membrane potential, ATP and ROS levels, and mitochondrial calcium concentrations. However, these assays provide a single snapshot of mitochondrial function and therefore might not provide a comprehensive view of mitochondrial health. Since oxygen consumption during ATP generation is reliant on a myriad of sequential reactions, it serves as a superior indicator of mitochondrial function. Interestingly, variations in oxygen consumption rates have been observed as a result of mitochondrial dysfunction</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Oxygen consumption rates (OCR) of living samples can be measured using techniques that can be broadly divided into two groups: amperometric oxygen sensors and porphyrin-based phosphors that can be quenched by oxygen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Amperometric oxygen sensors have been used extensively to measure OCR in cultured cells, tissues, and in model systems, such as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However, porphyrin-based phosphors containing respirometers possess the following advantages: (1) they allow for a side by side comparison of two samples in triplicate, (2) they require smaller sample size (e.g., 20 worms per well versus ~2,000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5,000 worms in the chamber)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(3) the respirometer can be programmed to do four different compound injections at desired times throughout the experimental run, eliminating the need for manual application.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steps involved in using a porphyrin-based oxygen-sensing respirometer to measure OCR in live, intact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are described</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While there is a written protocol for the use of the large format, high throughput respirometer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protocol has been adapted for use with a more budget friendly, accessible, and smaller scale instrument. This protocol is particularly useful for assessing the difference in OCR between two strains, where high-throughput screening is not required and its use would be excessive.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provides a schematic overview of the full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Growth and synchronization of nematode population</w:t>
      </w:r>
      <w:r>
        <w:rPr>
          <w:rFonts w:ascii="Calibri" w:hAnsi="Calibri" w:cs="Calibri" w:eastAsia="Calibri"/>
          <w:b/>
          <w:color w:val="auto"/>
          <w:spacing w:val="0"/>
          <w:position w:val="0"/>
          <w:sz w:val="24"/>
          <w:shd w:fill="FFFF00" w:val="clear"/>
          <w:vertAlign w:val="superscript"/>
        </w:rPr>
        <w:t xml:space="preserve">9,10</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Transfer L4 larvae of desired genetic backgrounds (e.g., N2 [wild type] and </w:t>
      </w:r>
      <w:r>
        <w:rPr>
          <w:rFonts w:ascii="Calibri" w:hAnsi="Calibri" w:cs="Calibri" w:eastAsia="Calibri"/>
          <w:i/>
          <w:color w:val="auto"/>
          <w:spacing w:val="0"/>
          <w:position w:val="0"/>
          <w:sz w:val="24"/>
          <w:shd w:fill="FFFF00" w:val="clear"/>
        </w:rPr>
        <w:t xml:space="preserve">sel-12</w:t>
      </w:r>
      <w:r>
        <w:rPr>
          <w:rFonts w:ascii="Calibri" w:hAnsi="Calibri" w:cs="Calibri" w:eastAsia="Calibri"/>
          <w:color w:val="auto"/>
          <w:spacing w:val="0"/>
          <w:position w:val="0"/>
          <w:sz w:val="24"/>
          <w:shd w:fill="FFFF00" w:val="clear"/>
        </w:rPr>
        <w:t xml:space="preserve"> animals)</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onto nematode growth media (NGM) plates </w:t>
      </w:r>
      <w:r>
        <w:rPr>
          <w:rFonts w:ascii="Calibri" w:hAnsi="Calibri" w:cs="Calibri" w:eastAsia="Calibri"/>
          <w:color w:val="auto"/>
          <w:spacing w:val="0"/>
          <w:position w:val="0"/>
          <w:sz w:val="24"/>
          <w:shd w:fill="FFFFFF" w:val="clear"/>
        </w:rPr>
        <w:t xml:space="preserve">(see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 for recipe) </w:t>
      </w:r>
      <w:r>
        <w:rPr>
          <w:rFonts w:ascii="Calibri" w:hAnsi="Calibri" w:cs="Calibri" w:eastAsia="Calibri"/>
          <w:color w:val="auto"/>
          <w:spacing w:val="0"/>
          <w:position w:val="0"/>
          <w:sz w:val="24"/>
          <w:shd w:fill="FFFF00" w:val="clear"/>
        </w:rPr>
        <w:t xml:space="preserve">freshly seeded lawn of </w:t>
      </w:r>
      <w:r>
        <w:rPr>
          <w:rFonts w:ascii="Calibri" w:hAnsi="Calibri" w:cs="Calibri" w:eastAsia="Calibri"/>
          <w:i/>
          <w:color w:val="auto"/>
          <w:spacing w:val="0"/>
          <w:position w:val="0"/>
          <w:sz w:val="24"/>
          <w:shd w:fill="FFFF00" w:val="clear"/>
        </w:rPr>
        <w:t xml:space="preserve">Escherichia coli</w:t>
      </w:r>
      <w:r>
        <w:rPr>
          <w:rFonts w:ascii="Calibri" w:hAnsi="Calibri" w:cs="Calibri" w:eastAsia="Calibri"/>
          <w:color w:val="auto"/>
          <w:spacing w:val="0"/>
          <w:position w:val="0"/>
          <w:sz w:val="24"/>
          <w:shd w:fill="FFFF00" w:val="clear"/>
        </w:rPr>
        <w:t xml:space="preserve"> (OP50)</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 Use at least two 100 mm or three 60 mm plates for each strain. Incubate the worms at the appropriate growth temperature (between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&amp;#176;C)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days or until plates are concentrated with large number of eggs and gravid worms.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Wash the eggs and worms off the plates using approximately 6 mL of M9 buffer</w:t>
      </w:r>
      <w:r>
        <w:rPr>
          <w:rFonts w:ascii="Calibri" w:hAnsi="Calibri" w:cs="Calibri" w:eastAsia="Calibri"/>
          <w:color w:val="auto"/>
          <w:spacing w:val="0"/>
          <w:position w:val="0"/>
          <w:sz w:val="24"/>
          <w:shd w:fill="FFFFFF" w:val="clear"/>
        </w:rPr>
        <w:t xml:space="preserve"> (see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 for recipe) </w:t>
      </w:r>
      <w:r>
        <w:rPr>
          <w:rFonts w:ascii="Calibri" w:hAnsi="Calibri" w:cs="Calibri" w:eastAsia="Calibri"/>
          <w:color w:val="auto"/>
          <w:spacing w:val="0"/>
          <w:position w:val="0"/>
          <w:sz w:val="24"/>
          <w:shd w:fill="FFFF00" w:val="clear"/>
        </w:rPr>
        <w:t xml:space="preserve">per 100 mm plate of nematodes and transfer them with glass Pasteur pipettes into individual 15 mL centrifuge tubes for each strain. Spin these tubes down for 3 min at 6,180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aspirate out the M9 buffer, retaining just the animals and eggs pellet.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Add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mL of bleach solution</w:t>
      </w:r>
      <w:r>
        <w:rPr>
          <w:rFonts w:ascii="Calibri" w:hAnsi="Calibri" w:cs="Calibri" w:eastAsia="Calibri"/>
          <w:color w:val="auto"/>
          <w:spacing w:val="0"/>
          <w:position w:val="0"/>
          <w:sz w:val="24"/>
          <w:shd w:fill="FFFFFF" w:val="clear"/>
        </w:rPr>
        <w:t xml:space="preserve"> (see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 for recipe) </w:t>
      </w:r>
      <w:r>
        <w:rPr>
          <w:rFonts w:ascii="Calibri" w:hAnsi="Calibri" w:cs="Calibri" w:eastAsia="Calibri"/>
          <w:color w:val="auto"/>
          <w:spacing w:val="0"/>
          <w:position w:val="0"/>
          <w:sz w:val="24"/>
          <w:shd w:fill="FFFF00" w:val="clear"/>
        </w:rPr>
        <w:t xml:space="preserve">to each tube and intermittently vortex for 6 min. Add M9 buffer to fill each tube and spin at 6,180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and aspirate supernatant. Repeat this wash with M9 three times and move the egg pellet to a fresh 15 mL tube containing approximately 9 mL of M9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Synchronize the freshly hatched worms by nutating at 20 &amp;#176;C for 16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 h. Spin these tubes down at 6,180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and put the animals down on individual NGM plates freshly seeded lawn of OP50 (approximately 6,000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10,000 animals per 100 mm plate) and keep at 20 &amp;#176;C.</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These animals will reach the L4 larval stage after ~42 h. At this time, move the L4 larvae using a platinum pick to OP50 seeded NGM plates containing 0.5 mg/mL 5-fluoro-2’-deoxyuridine (FUdR) to prevent them from producing progeny.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Make sure that within an experiment all strains are synchronized for a similar amount of time. FUdR treatment sterilizes the animals and prevents egg laying and progeny production, which could influence OCR. These sterilized animals will be analyzed the next day (day 1 adult animals at ~66 h) for the assay. FUdR has been reported to impact physiology and lifespan of certain mutant worms. Therefore, this should be taken into consideration when the drug is used for sterilization</w:t>
      </w:r>
      <w:r>
        <w:rPr>
          <w:rFonts w:ascii="Calibri" w:hAnsi="Calibri" w:cs="Calibri" w:eastAsia="Calibri"/>
          <w:color w:val="auto"/>
          <w:spacing w:val="0"/>
          <w:position w:val="0"/>
          <w:sz w:val="24"/>
          <w:shd w:fill="FFFFFF" w:val="clear"/>
          <w:vertAlign w:val="superscript"/>
        </w:rPr>
        <w:t xml:space="preserve">12-14</w:t>
      </w:r>
      <w:r>
        <w:rPr>
          <w:rFonts w:ascii="Calibri" w:hAnsi="Calibri" w:cs="Calibri" w:eastAsia="Calibri"/>
          <w:color w:val="auto"/>
          <w:spacing w:val="0"/>
          <w:position w:val="0"/>
          <w:sz w:val="24"/>
          <w:shd w:fill="FFFFFF" w:val="clear"/>
        </w:rPr>
        <w:t xml:space="preserve">. Worms can also be sterilized by the means of feminizing mutations such as </w:t>
      </w:r>
      <w:r>
        <w:rPr>
          <w:rFonts w:ascii="Calibri" w:hAnsi="Calibri" w:cs="Calibri" w:eastAsia="Calibri"/>
          <w:i/>
          <w:color w:val="auto"/>
          <w:spacing w:val="0"/>
          <w:position w:val="0"/>
          <w:sz w:val="24"/>
          <w:shd w:fill="FFFFFF" w:val="clear"/>
        </w:rPr>
        <w:t xml:space="preserve">fem-1(hc17)</w:t>
      </w:r>
      <w:r>
        <w:rPr>
          <w:rFonts w:ascii="Calibri" w:hAnsi="Calibri" w:cs="Calibri" w:eastAsia="Calibri"/>
          <w:color w:val="auto"/>
          <w:spacing w:val="0"/>
          <w:position w:val="0"/>
          <w:sz w:val="24"/>
          <w:shd w:fill="FFFFFF" w:val="clear"/>
        </w:rPr>
        <w:t xml:space="preserve"> or </w:t>
      </w:r>
      <w:r>
        <w:rPr>
          <w:rFonts w:ascii="Calibri" w:hAnsi="Calibri" w:cs="Calibri" w:eastAsia="Calibri"/>
          <w:i/>
          <w:color w:val="auto"/>
          <w:spacing w:val="0"/>
          <w:position w:val="0"/>
          <w:sz w:val="24"/>
          <w:shd w:fill="FFFFFF" w:val="clear"/>
        </w:rPr>
        <w:t xml:space="preserve">fem-3(e2006)</w:t>
      </w:r>
      <w:r>
        <w:rPr>
          <w:rFonts w:ascii="Calibri" w:hAnsi="Calibri" w:cs="Calibri" w:eastAsia="Calibri"/>
          <w:color w:val="auto"/>
          <w:spacing w:val="0"/>
          <w:position w:val="0"/>
          <w:sz w:val="24"/>
          <w:shd w:fill="FFFFFF" w:val="clear"/>
        </w:rPr>
        <w:t xml:space="preserve">. However, these mutations might impact mitochondrial function. </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and loading of compounds to be injected and hydration of probes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During the assay run, both basal and maximal respiration rates of the nematodes are measured. Maximal respiration is triggered in the animals upon the addition of carbonyl cyanide-4 (trifluormethoxy)phenylhydrazone (FCCP), an uncoupling ionophore that disturbs the mitochondrial membrane potential and thus ATP synthesis by transporting protons through the mitochondrial membrane, while allowing proton pumping, electron transport, and oxygen consumption to proceed</w:t>
      </w:r>
      <w:r>
        <w:rPr>
          <w:rFonts w:ascii="Calibri" w:hAnsi="Calibri" w:cs="Calibri" w:eastAsia="Calibri"/>
          <w:color w:val="auto"/>
          <w:spacing w:val="0"/>
          <w:position w:val="0"/>
          <w:sz w:val="24"/>
          <w:shd w:fill="FFFFFF" w:val="clear"/>
          <w:vertAlign w:val="superscript"/>
        </w:rPr>
        <w:t xml:space="preserve">4,15</w:t>
      </w:r>
      <w:r>
        <w:rPr>
          <w:rFonts w:ascii="Calibri" w:hAnsi="Calibri" w:cs="Calibri" w:eastAsia="Calibri"/>
          <w:color w:val="auto"/>
          <w:spacing w:val="0"/>
          <w:position w:val="0"/>
          <w:sz w:val="24"/>
          <w:shd w:fill="FFFFFF" w:val="clear"/>
        </w:rPr>
        <w:t xml:space="preserve"> uncoupled from ATP synthesis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The final step in the assay involves the addition of sodium azide (NaN</w:t>
      </w:r>
      <w:r>
        <w:rPr>
          <w:rFonts w:ascii="Calibri" w:hAnsi="Calibri" w:cs="Calibri" w:eastAsia="Calibri"/>
          <w:color w:val="auto"/>
          <w:spacing w:val="0"/>
          <w:position w:val="0"/>
          <w:sz w:val="24"/>
          <w:shd w:fill="FFFFFF" w:val="clear"/>
          <w:vertAlign w:val="subscript"/>
        </w:rPr>
        <w:t xml:space="preserve">3</w:t>
      </w:r>
      <w:r>
        <w:rPr>
          <w:rFonts w:ascii="Calibri" w:hAnsi="Calibri" w:cs="Calibri" w:eastAsia="Calibri"/>
          <w:color w:val="auto"/>
          <w:spacing w:val="0"/>
          <w:position w:val="0"/>
          <w:sz w:val="24"/>
          <w:shd w:fill="FFFFFF" w:val="clear"/>
        </w:rPr>
        <w:t xml:space="preserve">), a drug that inhibits complexes IV and V in the ETC, allowing one to determine non-mitochondrial respiration</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The following steps can be performed the day before the actual assay run.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1 mL stock solutions of the FCCP (10 mM in dimethyl sulfoxide [DMSO]: 1000x the final assay concentration) and NaN</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(400 mM in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10x final assay concentration) and store at -20 &amp;#176;C.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Run a concentration curve to optimize the concentration of FCCP required to elicit maximal OCR response for each instrument and laboratory setting.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Hydrate the sensor cartridge by adding 200 &amp;#181;L of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each well (and the surrounding reservoir) in the plate, ensuring that the sensor probes are submerged in the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store overnight at room temperature.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cartridge probes can be left submerged for up to 72 h but in the case of a prolonged hydration, the plates should be wrapped in paraffin film and stored at 4 &amp;#176;C. If overnight hydration is not possible, the sensor cartridge should be hydrated for at least 4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Turn off the heating element within the respirometer interface and store the machine inside a 15 &amp;#176;C incubator overnight to lower core temperature within the machine to prevent the animals from overheating during the assay run.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respirometer is equipped with a heating element but cannot be cooled. Within a 15 &amp;#176;C incubator, the respirometer will have a stable temperature between 18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22 &amp;#176;C, which is a healthy temperature for </w:t>
      </w:r>
      <w:r>
        <w:rPr>
          <w:rFonts w:ascii="Calibri" w:hAnsi="Calibri" w:cs="Calibri" w:eastAsia="Calibri"/>
          <w:i/>
          <w:color w:val="auto"/>
          <w:spacing w:val="0"/>
          <w:position w:val="0"/>
          <w:sz w:val="24"/>
          <w:shd w:fill="FFFFFF" w:val="clear"/>
        </w:rPr>
        <w:t xml:space="preserve">C. elegans</w:t>
      </w:r>
      <w:r>
        <w:rPr>
          <w:rFonts w:ascii="Calibri" w:hAnsi="Calibri" w:cs="Calibri" w:eastAsia="Calibri"/>
          <w:color w:val="auto"/>
          <w:spacing w:val="0"/>
          <w:position w:val="0"/>
          <w:sz w:val="24"/>
          <w:shd w:fill="FFFFFF" w:val="clear"/>
        </w:rPr>
        <w:t xml:space="preserve"> maintenance.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Drug loading and cartridge equilibration</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Pipette out and discard the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used to hydrate the sensor probes and replace it with 200 &amp;#181;L of the calibrant solution (pH 7.4) in each well. Dilute the FCCP stock solution to 100 &amp;#181;M FCCP in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add 20 &amp;#181;L of the diluted solution to the injection port A in the sensor cartridge. Add 22 &amp;#181;L of 400 mM sodium azide to port B of the senor cartridge.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Turn the respirometer on and on the home screen select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the templates page will appear. On the templates page, select </w:t>
      </w:r>
      <w:r>
        <w:rPr>
          <w:rFonts w:ascii="Calibri" w:hAnsi="Calibri" w:cs="Calibri" w:eastAsia="Calibri"/>
          <w:b/>
          <w:color w:val="auto"/>
          <w:spacing w:val="0"/>
          <w:position w:val="0"/>
          <w:sz w:val="24"/>
          <w:shd w:fill="FFFF00" w:val="clear"/>
        </w:rPr>
        <w:t xml:space="preserve">Blank</w:t>
      </w:r>
      <w:r>
        <w:rPr>
          <w:rFonts w:ascii="Calibri" w:hAnsi="Calibri" w:cs="Calibri" w:eastAsia="Calibri"/>
          <w:color w:val="auto"/>
          <w:spacing w:val="0"/>
          <w:position w:val="0"/>
          <w:sz w:val="24"/>
          <w:shd w:fill="FFFF00" w:val="clear"/>
        </w:rPr>
        <w:t xml:space="preserve"> or a previously designed template; the Groups page will appear. On the Groups page, select the wells A and H as the background wells and assign the remaining 6 wells into appropriate groups according to the experimental plan.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Push the arrow on the lower right corner to go to the Protocol page. On the Protocol page, ensure that the </w:t>
      </w:r>
      <w:r>
        <w:rPr>
          <w:rFonts w:ascii="Calibri" w:hAnsi="Calibri" w:cs="Calibri" w:eastAsia="Calibri"/>
          <w:b/>
          <w:color w:val="auto"/>
          <w:spacing w:val="0"/>
          <w:position w:val="0"/>
          <w:sz w:val="24"/>
          <w:shd w:fill="FFFF00" w:val="clear"/>
        </w:rPr>
        <w:t xml:space="preserve">Equilibrate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Basal</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Injections 1 and 2</w:t>
      </w:r>
      <w:r>
        <w:rPr>
          <w:rFonts w:ascii="Calibri" w:hAnsi="Calibri" w:cs="Calibri" w:eastAsia="Calibri"/>
          <w:color w:val="auto"/>
          <w:spacing w:val="0"/>
          <w:position w:val="0"/>
          <w:sz w:val="24"/>
          <w:shd w:fill="FFFF00" w:val="clear"/>
        </w:rPr>
        <w:t xml:space="preserve"> buttons are selected. On this page, adjust the number of readings of basal OCR, as well as maximal OCR (after injection 1 with FCCP) and non-mitochondrial OCR (after injection 2 with sodium azide).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Each measurement is preceded by a mix and wait step and the time frames for these parameters are shown in </w:t>
      </w:r>
      <w:r>
        <w:rPr>
          <w:rFonts w:ascii="Calibri" w:hAnsi="Calibri" w:cs="Calibri" w:eastAsia="Calibri"/>
          <w:b/>
          <w:color w:val="auto"/>
          <w:spacing w:val="0"/>
          <w:position w:val="0"/>
          <w:sz w:val="24"/>
          <w:shd w:fill="FFFFFF" w:val="clear"/>
        </w:rPr>
        <w:t xml:space="preserve">Table 2</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Select the arrow on the lower right corner and a prompt to load the sensor cartridge plate will appear. Ensure that the sensor cartridge plate is loaded in the right orientation, following the instructions on the reminder prompt screen. The respirometer will now equilibrate the cartridge.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equilibration provides ample time to place the animals to be assayed into appropriate wells of the cell plate.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Preparation of worm plate and assay run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Add 200 &amp;#181;L of M9 buffer into each of the 8 wells of the cell plate and into the reservoirs surrounding the wells.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Pick ~100 worms from each strain onto unseeded NGM plates and allow to rest for 2-3 min. Wet the end of the platinum pick with M9 buffer and pick 20 age-synchronized animals into wells B-G, leaving the background wells A and H empty.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After loading each well, wait approximately 2 min to allow the animals to settle into the bottom of the wells. It is also advisable that a worm number curve be run to optimize the worm number per well for each instrument and laboratory setting.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By now, the respirometer should be calibrated and by clicking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on the screen, the plate containing calibration buffer is ejected and can be removed from the respirometer, while the sensor cartridge stays inside the instrument. Replace the calibrant plate with the plate containing animals. Load plate and close the door by hitting </w:t>
      </w:r>
      <w:r>
        <w:rPr>
          <w:rFonts w:ascii="Calibri" w:hAnsi="Calibri" w:cs="Calibri" w:eastAsia="Calibri"/>
          <w:b/>
          <w:color w:val="auto"/>
          <w:spacing w:val="0"/>
          <w:position w:val="0"/>
          <w:sz w:val="24"/>
          <w:shd w:fill="FFFF00" w:val="clear"/>
        </w:rPr>
        <w:t xml:space="preserve">Continue</w:t>
      </w:r>
      <w:r>
        <w:rPr>
          <w:rFonts w:ascii="Calibri" w:hAnsi="Calibri" w:cs="Calibri" w:eastAsia="Calibri"/>
          <w:color w:val="auto"/>
          <w:spacing w:val="0"/>
          <w:position w:val="0"/>
          <w:sz w:val="24"/>
          <w:shd w:fill="FFFF00" w:val="clear"/>
        </w:rPr>
        <w:t xml:space="preserve"> and allow the assay to run.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Post-experiment data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Once the assay run is complete, follow the prompts on the screen and remove the cell plate and sensor cartridge and insert a flash drive into the USB port to save the run data in the .war format. Remove the sensor cartridge and allow the animals to settle to the bottom of the wells for approximately 2 min. Place the cell plates under a stereo dissecting microscope and count the number of animals per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Open the analysis software on the computer and open the normalization tab to normalize OCR to animal number. Apply appropriate labels for the various groups under the modify tab and export the file as a Prism file for further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NOTE: The average of the first five measurements, before the addition of FCCP is the basal OCR, while the average of the five measurements after FCCP addition is the maximal OCR and the average of the last two measurements after sodium azide addition is the non-mitochondrial respiration rate. </w:t>
      </w:r>
      <w:r>
        <w:rPr>
          <w:rFonts w:ascii="Calibri" w:hAnsi="Calibri" w:cs="Calibri" w:eastAsia="Calibri"/>
          <w:color w:val="auto"/>
          <w:spacing w:val="0"/>
          <w:position w:val="0"/>
          <w:sz w:val="24"/>
          <w:shd w:fill="FFFFFF" w:val="clear"/>
        </w:rPr>
        <w:t xml:space="preserve">The assay should be repeated three times to ensure reproducibility.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protocol described herein, OCR of wild type animals and three different </w:t>
      </w:r>
      <w:r>
        <w:rPr>
          <w:rFonts w:ascii="Calibri" w:hAnsi="Calibri" w:cs="Calibri" w:eastAsia="Calibri"/>
          <w:i/>
          <w:color w:val="auto"/>
          <w:spacing w:val="0"/>
          <w:position w:val="0"/>
          <w:sz w:val="24"/>
          <w:shd w:fill="auto" w:val="clear"/>
        </w:rPr>
        <w:t xml:space="preserve">sel-12</w:t>
      </w:r>
      <w:r>
        <w:rPr>
          <w:rFonts w:ascii="Calibri" w:hAnsi="Calibri" w:cs="Calibri" w:eastAsia="Calibri"/>
          <w:color w:val="auto"/>
          <w:spacing w:val="0"/>
          <w:position w:val="0"/>
          <w:sz w:val="24"/>
          <w:shd w:fill="auto" w:val="clear"/>
        </w:rPr>
        <w:t xml:space="preserve"> mutant strains were determined. </w:t>
      </w:r>
      <w:r>
        <w:rPr>
          <w:rFonts w:ascii="Calibri" w:hAnsi="Calibri" w:cs="Calibri" w:eastAsia="Calibri"/>
          <w:i/>
          <w:color w:val="auto"/>
          <w:spacing w:val="0"/>
          <w:position w:val="0"/>
          <w:sz w:val="24"/>
          <w:shd w:fill="auto" w:val="clear"/>
        </w:rPr>
        <w:t xml:space="preserve">sel-12</w:t>
      </w:r>
      <w:r>
        <w:rPr>
          <w:rFonts w:ascii="Calibri" w:hAnsi="Calibri" w:cs="Calibri" w:eastAsia="Calibri"/>
          <w:color w:val="auto"/>
          <w:spacing w:val="0"/>
          <w:position w:val="0"/>
          <w:sz w:val="24"/>
          <w:shd w:fill="auto" w:val="clear"/>
        </w:rPr>
        <w:t xml:space="preserve"> encodes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ortholog of presenilin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Mutations in human presenilin are the most common genetic aberration associated with the development of familial Alzheimer’s disease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Our studies have shown elevated mitochondrial calcium levels in </w:t>
      </w:r>
      <w:r>
        <w:rPr>
          <w:rFonts w:ascii="Calibri" w:hAnsi="Calibri" w:cs="Calibri" w:eastAsia="Calibri"/>
          <w:i/>
          <w:color w:val="auto"/>
          <w:spacing w:val="0"/>
          <w:position w:val="0"/>
          <w:sz w:val="24"/>
          <w:shd w:fill="auto" w:val="clear"/>
        </w:rPr>
        <w:t xml:space="preserve">sel-12 </w:t>
      </w:r>
      <w:r>
        <w:rPr>
          <w:rFonts w:ascii="Calibri" w:hAnsi="Calibri" w:cs="Calibri" w:eastAsia="Calibri"/>
          <w:color w:val="auto"/>
          <w:spacing w:val="0"/>
          <w:position w:val="0"/>
          <w:sz w:val="24"/>
          <w:shd w:fill="auto" w:val="clear"/>
        </w:rPr>
        <w:t xml:space="preserve">mutant animals compared to wild type animals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Since calcium dysregulation can result in altered mitochondrial function</w:t>
      </w:r>
      <w:r>
        <w:rPr>
          <w:rFonts w:ascii="Calibri" w:hAnsi="Calibri" w:cs="Calibri" w:eastAsia="Calibri"/>
          <w:color w:val="auto"/>
          <w:spacing w:val="0"/>
          <w:position w:val="0"/>
          <w:sz w:val="24"/>
          <w:shd w:fill="auto" w:val="clear"/>
          <w:vertAlign w:val="superscript"/>
        </w:rPr>
        <w:t xml:space="preserve">3,19,20</w:t>
      </w:r>
      <w:r>
        <w:rPr>
          <w:rFonts w:ascii="Calibri" w:hAnsi="Calibri" w:cs="Calibri" w:eastAsia="Calibri"/>
          <w:color w:val="auto"/>
          <w:spacing w:val="0"/>
          <w:position w:val="0"/>
          <w:sz w:val="24"/>
          <w:shd w:fill="auto" w:val="clear"/>
        </w:rPr>
        <w:t xml:space="preserve">, OCR in </w:t>
      </w:r>
      <w:r>
        <w:rPr>
          <w:rFonts w:ascii="Calibri" w:hAnsi="Calibri" w:cs="Calibri" w:eastAsia="Calibri"/>
          <w:i/>
          <w:color w:val="auto"/>
          <w:spacing w:val="0"/>
          <w:position w:val="0"/>
          <w:sz w:val="24"/>
          <w:shd w:fill="auto" w:val="clear"/>
        </w:rPr>
        <w:t xml:space="preserve">sel-12 </w:t>
      </w:r>
      <w:r>
        <w:rPr>
          <w:rFonts w:ascii="Calibri" w:hAnsi="Calibri" w:cs="Calibri" w:eastAsia="Calibri"/>
          <w:color w:val="auto"/>
          <w:spacing w:val="0"/>
          <w:position w:val="0"/>
          <w:sz w:val="24"/>
          <w:shd w:fill="auto" w:val="clear"/>
        </w:rPr>
        <w:t xml:space="preserve">mutant and wild type animals were measured to examine the effect of </w:t>
      </w:r>
      <w:r>
        <w:rPr>
          <w:rFonts w:ascii="Calibri" w:hAnsi="Calibri" w:cs="Calibri" w:eastAsia="Calibri"/>
          <w:i/>
          <w:color w:val="auto"/>
          <w:spacing w:val="0"/>
          <w:position w:val="0"/>
          <w:sz w:val="24"/>
          <w:shd w:fill="auto" w:val="clear"/>
        </w:rPr>
        <w:t xml:space="preserve">sel-12 </w:t>
      </w:r>
      <w:r>
        <w:rPr>
          <w:rFonts w:ascii="Calibri" w:hAnsi="Calibri" w:cs="Calibri" w:eastAsia="Calibri"/>
          <w:color w:val="auto"/>
          <w:spacing w:val="0"/>
          <w:position w:val="0"/>
          <w:sz w:val="24"/>
          <w:shd w:fill="auto" w:val="clear"/>
        </w:rPr>
        <w:t xml:space="preserve">mutations on mitochondrial function and health. Wild type animals consistently showed basal OCR rates below 5 pmol/min/worm, while all three strains of </w:t>
      </w:r>
      <w:r>
        <w:rPr>
          <w:rFonts w:ascii="Calibri" w:hAnsi="Calibri" w:cs="Calibri" w:eastAsia="Calibri"/>
          <w:i/>
          <w:color w:val="auto"/>
          <w:spacing w:val="0"/>
          <w:position w:val="0"/>
          <w:sz w:val="24"/>
          <w:shd w:fill="auto" w:val="clear"/>
        </w:rPr>
        <w:t xml:space="preserve">sel-12 </w:t>
      </w:r>
      <w:r>
        <w:rPr>
          <w:rFonts w:ascii="Calibri" w:hAnsi="Calibri" w:cs="Calibri" w:eastAsia="Calibri"/>
          <w:color w:val="auto"/>
          <w:spacing w:val="0"/>
          <w:position w:val="0"/>
          <w:sz w:val="24"/>
          <w:shd w:fill="auto" w:val="clear"/>
        </w:rPr>
        <w:t xml:space="preserve">mutants showed significantly elevated OCR of ~7 pmol/min/worm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Upon the addition of FCCP, as expected, there was an increase in the OCR of wild type as well as </w:t>
      </w:r>
      <w:r>
        <w:rPr>
          <w:rFonts w:ascii="Calibri" w:hAnsi="Calibri" w:cs="Calibri" w:eastAsia="Calibri"/>
          <w:i/>
          <w:color w:val="auto"/>
          <w:spacing w:val="0"/>
          <w:position w:val="0"/>
          <w:sz w:val="24"/>
          <w:shd w:fill="auto" w:val="clear"/>
        </w:rPr>
        <w:t xml:space="preserve">sel-12 </w:t>
      </w:r>
      <w:r>
        <w:rPr>
          <w:rFonts w:ascii="Calibri" w:hAnsi="Calibri" w:cs="Calibri" w:eastAsia="Calibri"/>
          <w:color w:val="auto"/>
          <w:spacing w:val="0"/>
          <w:position w:val="0"/>
          <w:sz w:val="24"/>
          <w:shd w:fill="auto" w:val="clear"/>
        </w:rPr>
        <w:t xml:space="preserve">mutants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 5</w:t>
      </w:r>
      <w:r>
        <w:rPr>
          <w:rFonts w:ascii="Calibri" w:hAnsi="Calibri" w:cs="Calibri" w:eastAsia="Calibri"/>
          <w:color w:val="auto"/>
          <w:spacing w:val="0"/>
          <w:position w:val="0"/>
          <w:sz w:val="24"/>
          <w:shd w:fill="auto" w:val="clear"/>
        </w:rPr>
        <w:t xml:space="preserve">). Wild type animals showed maximum OCR of ~7 pmol/min/worm, while </w:t>
      </w:r>
      <w:r>
        <w:rPr>
          <w:rFonts w:ascii="Calibri" w:hAnsi="Calibri" w:cs="Calibri" w:eastAsia="Calibri"/>
          <w:i/>
          <w:color w:val="auto"/>
          <w:spacing w:val="0"/>
          <w:position w:val="0"/>
          <w:sz w:val="24"/>
          <w:shd w:fill="auto" w:val="clear"/>
        </w:rPr>
        <w:t xml:space="preserve">sel-12</w:t>
      </w:r>
      <w:r>
        <w:rPr>
          <w:rFonts w:ascii="Calibri" w:hAnsi="Calibri" w:cs="Calibri" w:eastAsia="Calibri"/>
          <w:color w:val="auto"/>
          <w:spacing w:val="0"/>
          <w:position w:val="0"/>
          <w:sz w:val="24"/>
          <w:shd w:fill="auto" w:val="clear"/>
        </w:rPr>
        <w:t xml:space="preserve"> mutants had OCR of ~10 pmol/min/worm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major players involved in cellular respiration and the effect of FCCP and sodium azide.</w:t>
      </w:r>
      <w:r>
        <w:rPr>
          <w:rFonts w:ascii="Calibri" w:hAnsi="Calibri" w:cs="Calibri" w:eastAsia="Calibri"/>
          <w:color w:val="auto"/>
          <w:spacing w:val="0"/>
          <w:position w:val="0"/>
          <w:sz w:val="24"/>
          <w:shd w:fill="auto" w:val="clear"/>
        </w:rPr>
        <w:t xml:space="preserve"> Transfer of electrons from NADH to the ETC complex I results in the generation of an electrochemical gradient across the inner mitochondrial membrane as protons get pumped across it. Protons flowing back into the mitochondrial matrix from the intermembrane space via complex V results in ATP synthesis. Addition of FCCP results in the uncoupling of this process by disrupting the mitochondrial membrane potential and thereby ATP synthesis, while oxygen consumption continues, allowing for the measurement of maximal OCR. Sodium azide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is an inhibitor of complexes IV and V, thereby allowing for the measurement of non-mitochondrial respiration.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of steps involved in the measurement of OCR in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five steps involved in the assay setup and run (</w:t>
      </w:r>
      <w:r>
        <w:rPr>
          <w:rFonts w:ascii="Calibri" w:hAnsi="Calibri" w:cs="Calibri" w:eastAsia="Calibri"/>
          <w:b/>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and a timeframe for each step (</w:t>
      </w:r>
      <w:r>
        <w:rPr>
          <w:rFonts w:ascii="Calibri" w:hAnsi="Calibri" w:cs="Calibri" w:eastAsia="Calibri"/>
          <w:b/>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Characteristic OCR profile in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respirometry. </w:t>
      </w:r>
      <w:r>
        <w:rPr>
          <w:rFonts w:ascii="Calibri" w:hAnsi="Calibri" w:cs="Calibri" w:eastAsia="Calibri"/>
          <w:color w:val="auto"/>
          <w:spacing w:val="0"/>
          <w:position w:val="0"/>
          <w:sz w:val="24"/>
          <w:shd w:fill="auto" w:val="clear"/>
        </w:rPr>
        <w:t xml:space="preserve">The five initial readings show the basal respiration, followed by five readings of maximal and five readings of non-mitochondrial respiration after FCCP and sodium azide injections, respectively. Error bars represent the standard error of measurement (SEM).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Basal respiration in wild type and various </w:t>
      </w:r>
      <w:r>
        <w:rPr>
          <w:rFonts w:ascii="Calibri" w:hAnsi="Calibri" w:cs="Calibri" w:eastAsia="Calibri"/>
          <w:b/>
          <w:i/>
          <w:color w:val="auto"/>
          <w:spacing w:val="0"/>
          <w:position w:val="0"/>
          <w:sz w:val="24"/>
          <w:shd w:fill="auto" w:val="clear"/>
        </w:rPr>
        <w:t xml:space="preserve">sel-12</w:t>
      </w:r>
      <w:r>
        <w:rPr>
          <w:rFonts w:ascii="Calibri" w:hAnsi="Calibri" w:cs="Calibri" w:eastAsia="Calibri"/>
          <w:b/>
          <w:color w:val="auto"/>
          <w:spacing w:val="0"/>
          <w:position w:val="0"/>
          <w:sz w:val="24"/>
          <w:shd w:fill="auto" w:val="clear"/>
        </w:rPr>
        <w:t xml:space="preserve"> mutants. </w:t>
      </w:r>
      <w:r>
        <w:rPr>
          <w:rFonts w:ascii="Calibri" w:hAnsi="Calibri" w:cs="Calibri" w:eastAsia="Calibri"/>
          <w:color w:val="auto"/>
          <w:spacing w:val="0"/>
          <w:position w:val="0"/>
          <w:sz w:val="24"/>
          <w:shd w:fill="auto" w:val="clear"/>
        </w:rPr>
        <w:t xml:space="preserve">Average basal respiration in Day 1 adult age-matched wild type and </w:t>
      </w:r>
      <w:r>
        <w:rPr>
          <w:rFonts w:ascii="Calibri" w:hAnsi="Calibri" w:cs="Calibri" w:eastAsia="Calibri"/>
          <w:i/>
          <w:color w:val="auto"/>
          <w:spacing w:val="0"/>
          <w:position w:val="0"/>
          <w:sz w:val="24"/>
          <w:shd w:fill="auto" w:val="clear"/>
        </w:rPr>
        <w:t xml:space="preserve">sel-12</w:t>
      </w:r>
      <w:r>
        <w:rPr>
          <w:rFonts w:ascii="Calibri" w:hAnsi="Calibri" w:cs="Calibri" w:eastAsia="Calibri"/>
          <w:color w:val="auto"/>
          <w:spacing w:val="0"/>
          <w:position w:val="0"/>
          <w:sz w:val="24"/>
          <w:shd w:fill="auto" w:val="clear"/>
        </w:rPr>
        <w:t xml:space="preserve"> mutant animals. Data compiled from three assay repeats. Error bars represent SEM and **** indicates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&amp;lt;0.0001.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 were calculated using a two-tailed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Maximal respiration in wild type and various </w:t>
      </w:r>
      <w:r>
        <w:rPr>
          <w:rFonts w:ascii="Calibri" w:hAnsi="Calibri" w:cs="Calibri" w:eastAsia="Calibri"/>
          <w:b/>
          <w:i/>
          <w:color w:val="auto"/>
          <w:spacing w:val="0"/>
          <w:position w:val="0"/>
          <w:sz w:val="24"/>
          <w:shd w:fill="auto" w:val="clear"/>
        </w:rPr>
        <w:t xml:space="preserve">sel-12</w:t>
      </w:r>
      <w:r>
        <w:rPr>
          <w:rFonts w:ascii="Calibri" w:hAnsi="Calibri" w:cs="Calibri" w:eastAsia="Calibri"/>
          <w:b/>
          <w:color w:val="auto"/>
          <w:spacing w:val="0"/>
          <w:position w:val="0"/>
          <w:sz w:val="24"/>
          <w:shd w:fill="auto" w:val="clear"/>
        </w:rPr>
        <w:t xml:space="preserve"> mutants. </w:t>
      </w:r>
      <w:r>
        <w:rPr>
          <w:rFonts w:ascii="Calibri" w:hAnsi="Calibri" w:cs="Calibri" w:eastAsia="Calibri"/>
          <w:color w:val="auto"/>
          <w:spacing w:val="0"/>
          <w:position w:val="0"/>
          <w:sz w:val="24"/>
          <w:shd w:fill="auto" w:val="clear"/>
        </w:rPr>
        <w:t xml:space="preserve">Average maximal respiration in Day 1 adult age-matched wild type and </w:t>
      </w:r>
      <w:r>
        <w:rPr>
          <w:rFonts w:ascii="Calibri" w:hAnsi="Calibri" w:cs="Calibri" w:eastAsia="Calibri"/>
          <w:i/>
          <w:color w:val="auto"/>
          <w:spacing w:val="0"/>
          <w:position w:val="0"/>
          <w:sz w:val="24"/>
          <w:shd w:fill="auto" w:val="clear"/>
        </w:rPr>
        <w:t xml:space="preserve">sel-12</w:t>
      </w:r>
      <w:r>
        <w:rPr>
          <w:rFonts w:ascii="Calibri" w:hAnsi="Calibri" w:cs="Calibri" w:eastAsia="Calibri"/>
          <w:color w:val="auto"/>
          <w:spacing w:val="0"/>
          <w:position w:val="0"/>
          <w:sz w:val="24"/>
          <w:shd w:fill="auto" w:val="clear"/>
        </w:rPr>
        <w:t xml:space="preserve"> mutant animals after FCCP injection. Data compiled from three assay repeats. Error bars represent SEM and **** indicates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&amp;lt;0.0001.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 were calculated using a two-tailed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Recipes for NGM plates, M9 buffer, and bleach solution.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Characteristic assay parameters in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respirometry</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Mitochondrial respiration is an insightful indicator of mitochondrial function; therefore, being able to measure the oxygen consumption rates in a biological system, whether in vitro or in vivo is highly valuable. Respirometers sense oxygen levels using porphyrin-based phosphors that get quenched by oxygen or via amperometric oxygen sensors that rely on the generation of an electric current proportional to oxygen pressure. Clark electrode falls into the latter category and has been used extensively in literature, especially while analyzing respiration in </w:t>
      </w:r>
      <w:r>
        <w:rPr>
          <w:rFonts w:ascii="Calibri" w:hAnsi="Calibri" w:cs="Calibri" w:eastAsia="Calibri"/>
          <w:i/>
          <w:color w:val="auto"/>
          <w:spacing w:val="0"/>
          <w:position w:val="0"/>
          <w:sz w:val="24"/>
          <w:shd w:fill="FFFFFF" w:val="clear"/>
        </w:rPr>
        <w:t xml:space="preserve">C. elegans</w:t>
      </w:r>
      <w:r>
        <w:rPr>
          <w:rFonts w:ascii="Calibri" w:hAnsi="Calibri" w:cs="Calibri" w:eastAsia="Calibri"/>
          <w:color w:val="auto"/>
          <w:spacing w:val="0"/>
          <w:position w:val="0"/>
          <w:sz w:val="24"/>
          <w:shd w:fill="FFFFFF" w:val="clear"/>
        </w:rPr>
        <w:t xml:space="preserve">. However, the need for a large sample size and the inability to assess more than one sample at a time makes amperometric oxygen sensors inefficient.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protocol provides a simple guide to measure OCR in live, intact </w:t>
      </w:r>
      <w:r>
        <w:rPr>
          <w:rFonts w:ascii="Calibri" w:hAnsi="Calibri" w:cs="Calibri" w:eastAsia="Calibri"/>
          <w:i/>
          <w:color w:val="auto"/>
          <w:spacing w:val="0"/>
          <w:position w:val="0"/>
          <w:sz w:val="24"/>
          <w:shd w:fill="FFFFFF" w:val="clear"/>
        </w:rPr>
        <w:t xml:space="preserve">C. elegans</w:t>
      </w:r>
      <w:r>
        <w:rPr>
          <w:rFonts w:ascii="Calibri" w:hAnsi="Calibri" w:cs="Calibri" w:eastAsia="Calibri"/>
          <w:color w:val="auto"/>
          <w:spacing w:val="0"/>
          <w:position w:val="0"/>
          <w:sz w:val="24"/>
          <w:shd w:fill="FFFFFF" w:val="clear"/>
        </w:rPr>
        <w:t xml:space="preserve"> without isolating mitochondria, a process that could potentially impact the mitochondrial membrane potential and, therefore, the OCR. Given that animals exhibit different OCR through various life stages, animals used in this protocol should be age synchronized. Younger animals have lower OCR compared to adult animals and the OCR levels can drop again as animals age further</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C. elegans</w:t>
      </w:r>
      <w:r>
        <w:rPr>
          <w:rFonts w:ascii="Calibri" w:hAnsi="Calibri" w:cs="Calibri" w:eastAsia="Calibri"/>
          <w:color w:val="auto"/>
          <w:spacing w:val="0"/>
          <w:position w:val="0"/>
          <w:sz w:val="24"/>
          <w:shd w:fill="FFFFFF" w:val="clear"/>
        </w:rPr>
        <w:t xml:space="preserve"> are also sterilized by the use of FUdR to ensure that OCR are not confounded by the presence of progeny. Nevertheless, if animals of varying sizes are to be examined, strategies for normalization need to be addressed.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protocol utilizes a platinum pick to transfer animals to the assay plate. In contrast to liquid transfer of animals, this manipulation enables the researcher to carefully examine and determine the health of the animals before and during the transfer. Also, it allows for better control of worm number and prevents the introduction of eggs and carcasses. Since the animals are alive and active during the assay run, variability is likely to arise from probe positioning. Assays should therefore be done in triplicate and should be repeated a minimum of three times. Also, double checking animal count post analysis is important for normalizing to animal number. A major drawback of this protocol is the inability to compare more than two samples at once, without compromising the number of replicates within a single assay. Despite this limitation, this protocol can be a very powerful research tool in analyzing OCR when comparing two genotypes or conditions. Moreover, this protocol could be easily adapted to examine the OCR of animals grown on different food sources, supplements, or drug treatments.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Dr. Kevin Bittman for his guidance in establishing the Seahorse XFp in the lab. National Institutes of Health grant GM088213 supported this work.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Nelson, D. L., Cox, M. M. in </w:t>
      </w:r>
      <w:r>
        <w:rPr>
          <w:rFonts w:ascii="Calibri" w:hAnsi="Calibri" w:cs="Calibri" w:eastAsia="Calibri"/>
          <w:i/>
          <w:color w:val="auto"/>
          <w:spacing w:val="0"/>
          <w:position w:val="0"/>
          <w:sz w:val="24"/>
          <w:shd w:fill="auto" w:val="clear"/>
        </w:rPr>
        <w:t xml:space="preserve">Lehninger Principles of Biochemistry</w:t>
      </w:r>
      <w:r>
        <w:rPr>
          <w:rFonts w:ascii="Calibri" w:hAnsi="Calibri" w:cs="Calibri" w:eastAsia="Calibri"/>
          <w:color w:val="auto"/>
          <w:spacing w:val="0"/>
          <w:position w:val="0"/>
          <w:sz w:val="24"/>
          <w:shd w:fill="auto" w:val="clear"/>
        </w:rPr>
        <w:t xml:space="preserve">   (ed K. Ahr) Ch. 19, 707-772 (W. H. Freeman and Company,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Marchi,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Mitochondrial and endoplasmic reticulum calcium homeostasis and cell death. </w:t>
      </w:r>
      <w:r>
        <w:rPr>
          <w:rFonts w:ascii="Calibri" w:hAnsi="Calibri" w:cs="Calibri" w:eastAsia="Calibri"/>
          <w:i/>
          <w:color w:val="auto"/>
          <w:spacing w:val="0"/>
          <w:position w:val="0"/>
          <w:sz w:val="24"/>
          <w:shd w:fill="auto" w:val="clear"/>
        </w:rPr>
        <w:t xml:space="preserve">Cell Calcium.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62-72, doi:10.1016/j.ceca.2017.05.003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Sarasija,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Presenilin mutations deregulate mitochondrial Ca(2+) homeostasis and metabolic activity causing neurodegeneration in Caenorhabditis elegans.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doi:10.7554/eLife.33052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Luz, A.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Mitochondrial Morphology and Fundamental Parameters of the Mitochondrial Respiratory Chain Are Altered in Caenorhabditis elegans Strains Deficient in Mitochondrial Dynamics and Homeostasis Processes.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e0130940, doi:10.1371/journal.pone.0130940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Ryu,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Urolithin A induces mitophagy and prolongs lifespan in C. elegans and increases muscle function in rodents.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879-888, doi:10.1038/nm.4132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Perry, C. G., Kane, D. A., Lanza, I. R., Neufer, P. D. Methods for assessing mitochondrial function in diabetes.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1041-1053, doi:10.2337/db12-1219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Schulz, 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Glucose restriction extends Caenorhabditis elegans life span by inducing mitochondrial respiration and increasing oxidative stress.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280-293, doi:10.1016/j.cmet.2007.08.011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Koopman,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screening-based platform for the assessment of cellular respiration in Caenorhabditis elegans.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1798-1816, doi:10.1038/nprot.2016.106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Sarasija, S., Norman, K. R. Analysis of Mitochondrial Structure in the Body Wall Muscle of Caenorhabditis elegans.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doi:10.21769/BioProtoc.2801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Sarasija, S., Norman, K. R. Measurement of ROS in Caenorhabditis elegans Using a Reduced Form of Fluorescein.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doi:10.21769/BioProtoc.2800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Chaudhuri, J., Parihar, M., Pires-daSilva, A. An introduction to worm lab: from culturing worms to mutagenesis.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(47), doi:10.3791/2293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Aitlhadj, L., Sturzenbaum, S. R. The use of FUdR can cause prolonged longevity in mutant nematodes. </w:t>
      </w:r>
      <w:r>
        <w:rPr>
          <w:rFonts w:ascii="Calibri" w:hAnsi="Calibri" w:cs="Calibri" w:eastAsia="Calibri"/>
          <w:i/>
          <w:color w:val="auto"/>
          <w:spacing w:val="0"/>
          <w:position w:val="0"/>
          <w:sz w:val="24"/>
          <w:shd w:fill="auto" w:val="clear"/>
        </w:rPr>
        <w:t xml:space="preserve">Mechanisms of Ageing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364-365, doi:10.1016/j.mad.2010.03.002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Rooney, J.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Effects of 5'-fluoro-2-deoxyuridine on mitochondrial biology in Caenorhabditis elegans. </w:t>
      </w:r>
      <w:r>
        <w:rPr>
          <w:rFonts w:ascii="Calibri" w:hAnsi="Calibri" w:cs="Calibri" w:eastAsia="Calibri"/>
          <w:i/>
          <w:color w:val="auto"/>
          <w:spacing w:val="0"/>
          <w:position w:val="0"/>
          <w:sz w:val="24"/>
          <w:shd w:fill="auto" w:val="clear"/>
        </w:rPr>
        <w:t xml:space="preserve">Experimental Gerontology.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69-76, doi:10.1016/j.exger.2014.03.021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Van Raamsdonk, J. M., Hekimi, S. FUdR causes a twofold increase in the lifespan of the mitochondrial mutant gas-1. </w:t>
      </w:r>
      <w:r>
        <w:rPr>
          <w:rFonts w:ascii="Calibri" w:hAnsi="Calibri" w:cs="Calibri" w:eastAsia="Calibri"/>
          <w:i/>
          <w:color w:val="auto"/>
          <w:spacing w:val="0"/>
          <w:position w:val="0"/>
          <w:sz w:val="24"/>
          <w:shd w:fill="auto" w:val="clear"/>
        </w:rPr>
        <w:t xml:space="preserve">Mechanisms of Ageing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519-521, doi:10.1016/j.mad.2011.08.006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Heytler, P. G., Prichard, W. W. A new class of uncoupling agents--carbonyl cyanide phenylhydrazones.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272-275 (1962).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Massie, M. R., Lapoczka, E. M., Boggs, K. D., Stine, K. E., White, G. E. Exposure to the metabolic inhibitor sodium azide induces stress protein expression and thermotolerance in the nematode Caenorhabditis elegans. </w:t>
      </w:r>
      <w:r>
        <w:rPr>
          <w:rFonts w:ascii="Calibri" w:hAnsi="Calibri" w:cs="Calibri" w:eastAsia="Calibri"/>
          <w:i/>
          <w:color w:val="auto"/>
          <w:spacing w:val="0"/>
          <w:position w:val="0"/>
          <w:sz w:val="24"/>
          <w:shd w:fill="auto" w:val="clear"/>
        </w:rPr>
        <w:t xml:space="preserve">Cell Stress Chaperones.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1-7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Levitan, D., Greenwald, I. Facilitation of lin-12-mediated signalling by sel-12, a Caenorhabditis elegans S182 Alzheimer's disease gene.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351-354, doi:10.1038/377351a0 (1995).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Sherrington,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Cloning of a gene bearing missense mutations in early-onset familial Alzheimer's disease.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754-760, doi:10.1038/375754a0 (1995).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Glancy, B., Balaban, R. S. Role of mitochondrial Ca2+ in the regulation of cellular energetics.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2959-2973, doi:10.1021/bi2018909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Sarasija, S., Norman, K. R. A gamma-Secretase Independent Role for Presenilin in Calcium Homeostasis Impacts Mitochondrial Function and Morphology in Caenorhabditis elegans.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w:t>
      </w:r>
      <w:r>
        <w:rPr>
          <w:rFonts w:ascii="Calibri" w:hAnsi="Calibri" w:cs="Calibri" w:eastAsia="Calibri"/>
          <w:color w:val="auto"/>
          <w:spacing w:val="0"/>
          <w:position w:val="0"/>
          <w:sz w:val="24"/>
          <w:shd w:fill="auto" w:val="clear"/>
        </w:rPr>
        <w:t xml:space="preserve">, 1453-1466, doi:10.1534/genetics.115.182808 (2015).</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