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Intramucosal Inoculation of Squamous Cell Carcinoma Cells in Mice for Tumor Immune Profiling and Treatment Response Assessment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Ayman J. Oweida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Shilpa Bhatia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Van Court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Laurel Darragh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Natalie Serkova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Sana D. Karam</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8"/>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Radiation Oncology, University of Colorado Denver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Anschutz Medical Campus, Aurora, CO,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8"/>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Anesthesiology, University of Colorado Denver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Anschutz Medical Campus, Aurora, Co,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8"/>
          <w:shd w:fill="auto" w:val="clear"/>
          <w:vertAlign w:val="superscript"/>
        </w:rPr>
        <w:t xml:space="preserve">3</w:t>
      </w:r>
      <w:r>
        <w:rPr>
          <w:rFonts w:ascii="Calibri" w:hAnsi="Calibri" w:cs="Calibri" w:eastAsia="Calibri"/>
          <w:color w:val="000000"/>
          <w:spacing w:val="0"/>
          <w:position w:val="0"/>
          <w:sz w:val="24"/>
          <w:shd w:fill="auto" w:val="clear"/>
        </w:rPr>
        <w:t xml:space="preserve">Division of Radiology, University of Colorado Denver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Anschutz Medical Campus, Aurora, CO,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Shilpa Bhatia</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u w:val="single"/>
          <w:shd w:fill="auto" w:val="clear"/>
        </w:rPr>
        <w:t xml:space="preserve">(Shilpa.bhatia@ucdenver.edu)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Van Court</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u w:val="single"/>
          <w:shd w:fill="auto" w:val="clear"/>
        </w:rPr>
        <w:t xml:space="preserve">(Benjamin.vancourt@ucdenver.edu)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Laurel Darragh</w:t>
        <w:tab/>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u w:val="single"/>
          <w:shd w:fill="auto" w:val="clear"/>
        </w:rPr>
        <w:t xml:space="preserve">(Laurel.darragh@ucdenver.edu)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Natalie Serkova</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u w:val="single"/>
          <w:shd w:fill="auto" w:val="clear"/>
        </w:rPr>
        <w:t xml:space="preserve">(Natalie.serkova@ucdenver.edu)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Sana D. Karam</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u w:val="single"/>
          <w:shd w:fill="auto" w:val="clear"/>
        </w:rPr>
        <w:t xml:space="preserve">(Sana.karam@ucdenver.edu)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Sana D. Karam</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u w:val="single"/>
          <w:shd w:fill="auto" w:val="clear"/>
        </w:rPr>
        <w:t xml:space="preserve">(Sana.karam@ucdenver.edu)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 and neck cancer, orthotopic model, tumor microenvironment, immune evasion, flow cytometry, mass cytometry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reproducible method for developing an orthotopic murine model of head and neck squamous cell carcinoma. Tumors demonstrate clinically relevant histopathological features of the disease, including necrosis, poor differentiation, nodal metastases, and immune infiltration. Tumor-bearing mice develop clinically relevant symptoms including dysphagia, jaw displacement, and weight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Head and neck squamous cell carcinoma (HNSCC) is a debilitating and deadly disease with a high prevalence of recurrence and treatment failure. To develop better therapeutic strategies, understanding tumor microenvironmental factors that contribute to the treatment resistance is important. </w:t>
      </w:r>
      <w:r>
        <w:rPr>
          <w:rFonts w:ascii="Calibri" w:hAnsi="Calibri" w:cs="Calibri" w:eastAsia="Calibri"/>
          <w:color w:val="000000"/>
          <w:spacing w:val="0"/>
          <w:position w:val="0"/>
          <w:sz w:val="24"/>
          <w:shd w:fill="auto" w:val="clear"/>
        </w:rPr>
        <w:t xml:space="preserve">A major impediment to understanding disease mechanisms and improving therapy has been a lack of murine cell lines that resemble the aggressive and metastatic nature of human HNSCCs. Furthermore, a majority of murine models employ subcutaneous implantations of tumors which lack important physiological features of the head and neck region, including high vascular density, extensive lymphatic vasculature, and resident mucosal flora. The purpose of this study is to develop and characterize an orthotopic model of HNSCC. We employ two genetically distinct murine cell lines and established tumors in the buccal mucosa of mice. We optimize collagenase-based tumor digestion methods for the optimal recovery of single cells from established tumors. The data presented here show that mice develop highly vascularized tumors that metastasize to regional lymph nodes. Single-cell multiparametric mass cytometry analysis shows the presence of diverse immune populations with myeloid cells representing the majority of all immune cells. The model proposed in this study has applications in cancer biology, tumor immunology, and preclinical development of novel therapeutics. The resemblance of the orthotopic model to clinical features of human disease will provide a tool for enhanced translation and improved patient outcomes.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HNSCC is the fifth most common malignancy globally, with over 600,000 patients diagnosed annually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aggressive treatment involving chemotherapy and radiotherapy (RT), the overall survival (OS) rate for HNSCC patients without human papillomavirus (HPV) infection remains below 50% after 5 years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is largely attributed to a highly complex tumor microenvironment as</w:t>
      </w:r>
      <w:r>
        <w:rPr>
          <w:rFonts w:ascii="Calibri" w:hAnsi="Calibri" w:cs="Calibri" w:eastAsia="Calibri"/>
          <w:color w:val="auto"/>
          <w:spacing w:val="0"/>
          <w:position w:val="0"/>
          <w:sz w:val="24"/>
          <w:shd w:fill="auto" w:val="clear"/>
        </w:rPr>
        <w:t xml:space="preserve"> tumors can originate from several distinct anatomical sites within the head and neck region, including the buccal mucosa, tongue, floor of the mouth, nasal cavity, oral cavity, pharynx, oropharynx, and hypopharynx. In addition, the head and neck region is highly vascularized and contains nearly half of all lymph nodes in the body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majority of studies investigating head and neck tumor biology rely on tumor models in the flank region. Such models can offer insight into tumor-intrinsic mechanisms, but the lack of the native head and neck microenvironment can significantly impact the translational potential of such findings. One method that has been used to induce oral tumors is through exposure to the carcinogen 9,10-dimethyl-1,2-benzanthracene (DMBA)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this method is associated with a lengthy process, induces tumors in rats and hamsters but not in mice, and the resulting tumors do not possess many of the histological features of differentiated SCCs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introduction of the carcinogen</w:t>
      </w:r>
      <w:r>
        <w:rPr>
          <w:rFonts w:ascii="TimesNewRomanPS" w:hAnsi="TimesNewRomanPS" w:cs="TimesNewRomanPS" w:eastAsia="TimesNewRomanPS"/>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4-nitroquinoline 1-oxide (4-NQO), a water-soluble quinolone derivative, resulted in mouse oral tumors when applied orally but also suffered from long exposure times (16 weeks) and a limited take rate within and between batches of mice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In order to develop clinically relevant models, several groups utilized genetically engineered models involving the manipulation of driver oncogenes or tumor suppressor genes, including TP53, TGFB, KRAS, HRAS, and SMAD4</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models can offer insight into tumors with known driver genes but do not recapitulate the complex heterogeneity of human HNSCCs.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demonstrate the feasibility of performing an intramucosal inoculation of squamous cell carcinoma cells in mice. Inoculated cells develop into aggressive tumors within 1 week of injection. Similar to human HNSCCs, the tumors metastasize to the regional lymph nodes. We characterize histological and clinical features of the disease and provide insight into the tumor immune microenvironment. We propose that this orthotopic model of HNSCC has applications in cancer biology, tumor immunology, and preclinical studies. Mechanisms of immune evasion, tumor progression, treatment resistance, and metastases represent areas of clinical significance that can be addressed using the proposed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10"/>
          <w:shd w:fill="FFFF00"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were performed in accordance with an approved institutional animal care and use committee (IACUC) protocol of the University of Colorado Denver (protocol # 00250).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Tumor cell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B4B8 and LY2 cell lines were used to generate orthotopic HNSCC tumors: B4B8 tumor cells were derived from carcinogen-transformed mucosal keratinocytes (from BALB/C mice)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LY2 tumor cells were derived from lymph node metastases of a spontaneously transformed BALB/C keratinocyte line (Pam 212)</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Both cell lines were kindly provided by Dr. Nadarajah Vigneswaran (UTHealth, Houston, TX, USA).</w:t>
      </w:r>
    </w:p>
    <w:p>
      <w:pPr>
        <w:spacing w:before="0" w:after="0" w:line="240"/>
        <w:ind w:right="0" w:left="0" w:firstLine="0"/>
        <w:jc w:val="both"/>
        <w:rPr>
          <w:rFonts w:ascii="Calibri" w:hAnsi="Calibri" w:cs="Calibri" w:eastAsia="Calibri"/>
          <w:b/>
          <w:color w:val="000000"/>
          <w:spacing w:val="0"/>
          <w:position w:val="0"/>
          <w:sz w:val="11"/>
          <w:shd w:fill="auto" w:val="clear"/>
        </w:rPr>
      </w:pPr>
    </w:p>
    <w:p>
      <w:pPr>
        <w:spacing w:before="0" w:after="0" w:line="240"/>
        <w:ind w:right="0" w:left="0" w:firstLine="0"/>
        <w:jc w:val="both"/>
        <w:rPr>
          <w:rFonts w:ascii="Calibri" w:hAnsi="Calibri" w:cs="Calibri" w:eastAsia="Calibri"/>
          <w:b/>
          <w:color w:val="000000"/>
          <w:spacing w:val="0"/>
          <w:position w:val="0"/>
          <w:sz w:val="15"/>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Dulbecco’s modified Eagle’s medium (DMEM) F/12 supplemented with 10% fetal bovine serum (FBS) and 1% antimicrobial reagent for the cell line maintenance. Maintain these cell lines in a sterile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Cells should be used for inoculation before exceeding 15 passages.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Plate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175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 culture flasks. </w:t>
      </w:r>
    </w:p>
    <w:p>
      <w:pPr>
        <w:spacing w:before="0" w:after="0" w:line="240"/>
        <w:ind w:right="0" w:left="0" w:firstLine="0"/>
        <w:jc w:val="both"/>
        <w:rPr>
          <w:rFonts w:ascii="Calibri" w:hAnsi="Calibri" w:cs="Calibri" w:eastAsia="Calibri"/>
          <w:b/>
          <w: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cells are less than 90% confluent to avoid inducing a stress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When the cells are 70% confluent (~48 h), remove the flask from the incubator and wash the cells 3x with cold phosphate-buffered saline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Detach the cells from the flask using 0.25% trypsin, enough to cover the surface of the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To do this, dispense 4 mL of trypsin in a 175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flask containing 70% confluent cells. Incubate the cells with trypsin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min in the cell culture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Visualize the cells under a microscope to ensure cell detachment.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Add 12 mL of DMEM F/12 media containing FBS to neutralize trypsin activity.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Aspirate the cell suspension and place it into a 50 mL conical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Shake the tube containing the cells by inverting it 3x</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Optionally,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mix a 10 &amp;#181;L aliquot of cell suspension with 10 &amp;#181;L of Trypan blue in a microcentrifuge tube and count the cells using a hemocytometer. Determine cell viability by subtracting the number of Trypan-blue-positive cells from the total number of cells and divide by the total number of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Centrifuge the cell suspension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Resuspend the cells in serum-free and antibiotic-free DMEM at an appropriate volume so that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are present in 50 &amp;#181;L of media.</w:t>
      </w:r>
      <w:r>
        <w:rPr>
          <w:rFonts w:ascii="Calibri" w:hAnsi="Calibri" w:cs="Calibri" w:eastAsia="Calibri"/>
          <w:b/>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Based on the in vivo cell line aggressiveness (determined empirically),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injection site per mouse was deemed appropriate for B4B8 and LY2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Place the vial containing the cell suspension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Place the pre-thawed basement membrane matrix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basement membrane matrix was thawed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Cell injection into mice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a 1:1 mixture of cells:basement membrane matrix (50 &amp;#181;L each).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Add the cells first; then, gradually pipette the basement membrane matrix. Avoid introducing air bubbles. Ensure that the mixture is made immediately before the animal injection. Adding cells to basement membrane matrix for an extended period of time can result in cell settling in the matrix mixture, which makes the mixture difficult to shake rigorously. This will cause a considerable variability in tumor size between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Mix gently. Ensure all steps involving matrix are performed on ice. Basement membrane matrix will polymerize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Prepare syringes for inoculation.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Load 0.5 mL insulin syringes (23 G) with 100 &amp;#181;L of the cell/basement membrane matrix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Keep the syringes on ice to avoid basement membrane matrix polymerization.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Anesthetize mice by placing them in a chamber with isoflurane and oxygen (2.5%).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Ensure the mice are deeply anesthetized before performing the injection (by ensuring a lack of response to a toe pinch).</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Insert the needle into the right or left buccal region. This is performed through the available open space on either side of the mouth.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Ensure that the mouse’s tongue is not in the way.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It is easy to poke the tongue, which will result in tongue tumors. Move the tongue to the opposite side if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Keep the syringe parallel to the buccal region while inside the oral cavity.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When ready to inject, pull the syringe back and slowly insert the syringe at a 10&amp;#176; angle.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Inject 100 &amp;#181;L of the cell/basement membrane matrix suspension over a period of 5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Hold the syringe in place for an additional 5 s to ensure all material is injected.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control nontumor-bearing mice, inject a mixture of serum-free media and matrix (as described above) without the tumor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Withdraw the syringe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Continue the above procedure with the remaining mice.</w:t>
      </w:r>
    </w:p>
    <w:p>
      <w:pPr>
        <w:spacing w:before="0" w:after="0" w:line="240"/>
        <w:ind w:right="0" w:left="0" w:firstLine="0"/>
        <w:jc w:val="both"/>
        <w:rPr>
          <w:rFonts w:ascii="Calibri" w:hAnsi="Calibri" w:cs="Calibri" w:eastAsia="Calibri"/>
          <w:color w:val="000000"/>
          <w:spacing w:val="0"/>
          <w:position w:val="0"/>
          <w:sz w:val="15"/>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w:t>
      </w:r>
      <w:r>
        <w:rPr>
          <w:rFonts w:ascii="Calibri" w:hAnsi="Calibri" w:cs="Calibri" w:eastAsia="Calibri"/>
          <w:color w:val="000000"/>
          <w:spacing w:val="0"/>
          <w:position w:val="0"/>
          <w:sz w:val="24"/>
          <w:shd w:fill="FFFF00" w:val="clear"/>
        </w:rPr>
        <w:t xml:space="preserve">Allo</w:t>
      </w:r>
      <w:r>
        <w:rPr>
          <w:rFonts w:ascii="Calibri" w:hAnsi="Calibri" w:cs="Calibri" w:eastAsia="Calibri"/>
          <w:color w:val="auto"/>
          <w:spacing w:val="0"/>
          <w:position w:val="0"/>
          <w:sz w:val="24"/>
          <w:shd w:fill="FFFF00" w:val="clear"/>
        </w:rPr>
        <w:t xml:space="preserve">w for 1 week until tumors begin to appear grossly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for B4B8 and LY2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Mouse monitoring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Perform the first measurement using calipers at 1 week after the tumor cell injection. </w:t>
      </w:r>
      <w:r>
        <w:rPr>
          <w:rFonts w:ascii="Calibri" w:hAnsi="Calibri" w:cs="Calibri" w:eastAsia="Calibri"/>
          <w:color w:val="auto"/>
          <w:spacing w:val="0"/>
          <w:position w:val="0"/>
          <w:sz w:val="24"/>
          <w:shd w:fill="auto" w:val="clear"/>
        </w:rPr>
        <w:t xml:space="preserve">In order to calculate the tumor volume using external calipers, determine the greatest longitudinal diameter (length) and the greatest transverse diameter (width) and use the modified ellipsoidal formula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Continue to perform regular caliper measurements for tumor volume (1x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2x per week at regular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Measure animal weight to assess the effects of tumor growth on feeding.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Harvesting tumors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When the experimental endpoint is reached, euthanize the animals using appropriate measures (e.g.,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decapitation, or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endpoint was reached if the mice became moribund (with a weight loss of &amp;gt;15% of their initial weight, a lack of grooming, cachexia) and/or if the tumor size reached 1,000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Begin dissecting the animal by creating a long incision through the midline in the neck region.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Use blunt forceps to grab the skin and sharp scissors to cut the 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Insert scissors gently under the skin covering the tumor and create air pockets by pushing the scissors across and into the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Once the skin is sufficiently detached from the tumor, identify the draining lymph nodes (DLNs) and excise them to avoid having the tumor tissue confounded by the presence of lymph nodes.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Large tumors may reach and/or cover the DLN. Depending on the type of assay being performed, the isolation of intact lymph nodes is essential to avoid spillage of immune cells into the tumor, which will result in skewing the assay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Cut through the borders of the tumor until the entire volume is detached.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Tumor processing for downstream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the downstream histologic examination, place tumors in 10% formalin at room temperature. To avoid overfixation, replace the formalin with 70% ethanol. For flow cytometry analysis, process the tumors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 can be kept in formalin for 72 h before overfixation can become problematic for certain types of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Cut the tumor into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mm-sized pieces using a sterile razor blade or sharp scissors.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Place the cut tumor pieces in a 50 mL conical tube with collagenase III (4,250 units per sample), DNase I (0.1 mg per sample), and trypsin inhibitor (1 mg per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Incubate at 37 &amp;#176;C for 30 min with shaking every 10 min. </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be placed in a resealable bag, sterilized with 90% ethanol, and placed in a cell culture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After 30 min, add 20 mL of Hank’s balanced salt solution (HBSS) and spin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HBSS is comprised of potassium chloride, sodium chloride, sodium bicarbonate, sodium phosphate dibasic, sodium phosphate monobasic and glucose.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Discard the supernatant and resuspend the pellet in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mL of red blood cell (RBC) lysis buffer. Pipette rigorously.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RBC lysis buffer is comprised of ammonium chloride, sodium bicarbonate, and disodium.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Incubate for 2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Longer incubation can be toxic to other cell populations.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Add 20 mL of HBSS to neutralize the effect of lysis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Resuspend the pellet in 10 mL of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Pass the solution through a 70 &amp;#181;m nylon restrainer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Repeat steps 5.8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5.10 and pass the cell suspension through a 40 &amp;#181;m nylon restrainer to ensure any additional debris is removed from the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Cell staining and 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Resuspend the cell pellet in 1 mL of HBSS.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Count the cells using a hemocytometer or an automated cell counter, as described in step 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Determine the total cell number and appropriate concentration for staining.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ideal cell concentration for flow cytometry staining is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million cells. For example, if staining is performed in a 96-well plate and there are 10 million cells, resuspend the sample in 1 mL and plate 100 &amp;#181;L for 1 million cells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 Add Fc block (CD16/CD32) at a concentration of 1:100 in order to prevent nonantigen-specific binding of immunoglobulins to the Fc&amp;#947;III and Fc&amp;#947;II receptors. Incubate for 5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6.4.1. Centrifuge and resuspend the cell pellet in 100 &amp;#181;L of flow cytometry cell staining buffer (comprised of saline solution containing 5% FBS, 2% EDTA, and 1% HEPES).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 Perform cell surface staining according to supplier-provided instructions (adding each antibody at the appropriate dilution). Incubate for 60 min at room temperature.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6.5.1. Centrifuge and resuspend the cell pellet in 100 &amp;#181;L of HBSS. Repeat 2x to get rid of excess antibody.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6.6. Run samples on an appropriate flow cytometer.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 </w:t>
      </w:r>
      <w:r>
        <w:rPr>
          <w:rFonts w:ascii="Calibri" w:hAnsi="Calibri" w:cs="Calibri" w:eastAsia="Calibri"/>
          <w:color w:val="auto"/>
          <w:spacing w:val="0"/>
          <w:position w:val="0"/>
          <w:sz w:val="24"/>
          <w:shd w:fill="auto" w:val="clear"/>
        </w:rPr>
        <w:t xml:space="preserve">If analyzing intracellular markers (e.g., foxp3), perform cell permeabilization and staining according to the supplier’s instructions.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assessment of LY2 and B4B8 cell proliferation showed that both cell lines have similar doubling times (21 h and 23 h, respectively). In vivo, both cell lines formed a single, visible, and palpable mass within 1 week of inoculation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mice bearing LY2 tumors, the jaw was displaced by 3 weeks due to tumor burden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Control mice that did not receive tumor cells did not develop tumors as anticipated. LY2 tumors grew at a higher rate compared to B4B8 tumors. The average tumor volume on day 21 in LY2 tumor-bearing mice was 632 &amp;plusmn; 10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compared to 162 &amp;plusmn; 4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B4B8 tumors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Mice exhibiting jaw displacement rapidly developed weight loss due to dysphagia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Mice exhibiting significant weight loss defined as &amp;gt;15% of their initial weight and/or having a tumor volume of &amp;gt;1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were euthanized within 1 day of the noted observation. The median survival in LY2 mice was 22.5 days, compared to 52.0 days in B4B8 tumor-bearing mice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Magnetic resonance imaging (MRI) of tumor-bearing mice showed well-demarcated tumors extending into the inner layer of the buccal mucosa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Tumors did not invade into the tongue or other nearby organs (esophagus, bronchus, thymus) as shown with histological assessment. Signal heterogeneity on MR images was representative of the presence of vascularized hyperintense regions (denoted with V) and necrotic hypointense regions (denoted with 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 gross pathological examination showed enlarged DLNs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 further assessed tumor volume with computed tomography (CT) to determine the reliability of the caliper measurements. Tumors were delineated using a digital imaging and communications in medicine (DICOM) image analysis software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Assessment of LY2 tumor volume by calipers and CT imaging showed an excellent correlation between the two methods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0.8493;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indicates that tumor growth is primarily exophytic and caliper measurement is a reliable method for the assessment of tumor growth. Histologic examination showed that all LY2 tumor-bearing mice developed poorly differentiated squamous cell carcinoma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Nine out of nine LY2 tumor-bearing mice developed metastases to the first and second echelon lymph nodes. Nodal metastases were primarily subcapsular (with seven out of nine mice) and within sinuses (with five out of nine mice), with two out of nine mice demonstrating intracapsular invasion. In contrast, mice bearing B4B8 tumors developed moderately differentiated squamous cell carcinoma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and did not metastasize to regional or distant sites, including DLNs. Necrosis was assessed based on a previously established three-grade scale: 0 = no visible necrosis, 1 = scant, 2 = moderate, and 3 = severe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All LY2 tumor-bearing mice had histologically confirmed necrosis with the majority (seven out of ten) demonstrating moderate to severe necrosis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No evidence of necrosis was observed in B4B8 tumors.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focused on the LY2 tumor model for further characterization of the tumor-immune microenvironment. Tumors were harvested at 3 weeks after the tumor inoculation and digested using collagenase III, followed by the staining of the cell surface and intracellular markers for flow/mass cytometry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Samples were processed, using a mass cytometer, at the University of Colorado Denver Flow Cytometry Shared Resource. Gating and data analysis were performed using flow cytometry commercial software. The data obtained showed the presence of numerous immune cell populations to varying degrees. Total immune cells (CD45+) represented 7.3% of the total tumor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absolute numbers, we observed, on average, 26 CD45+ cells (SD = 0.81) per milligram of tumor tissue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Myeloid cells (CD11b+) represented 37.8% of all CD45+ cells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Myeloid cells were largely comprised of macrophages (F4/80+, 63.0%), followed by myeloid-derived suppressor cells (MDSCs) (Gr1+, 8.51%) and neutrophils (Ly6G+, 5.87%). Total T cells comprised 15.9% of CD45+ cells with CD4+ T cells comprising the majority of all T cells (79.4%), of which 53.4% were regulatory T cells (Tregs) (CD4+FoxP3+)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Natural killer (NK) cells comprised 1.75% of all CD45+ cells. These data highlight the presence of various immune infiltrates in LY2 orthotopic HNSCC tumors which likely play a role in mediating tumor progression and immune evasion. </w:t>
      </w:r>
    </w:p>
    <w:p>
      <w:pPr>
        <w:spacing w:before="0" w:after="0" w:line="240"/>
        <w:ind w:right="0" w:left="0" w:firstLine="0"/>
        <w:jc w:val="both"/>
        <w:rPr>
          <w:rFonts w:ascii="Calibri" w:hAnsi="Calibri" w:cs="Calibri" w:eastAsia="Calibri"/>
          <w:color w:val="808080"/>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Monitoring mice bearing orthotopic HNSCC tumors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tumor-bearing mice. The inoculated buccal develops a tumor within 1 week of inoculation. At 3 weeks, displacement of the jaw is observed.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Tumor growth rate in B4B8 and LY2 tumor-bearing mice as determined by caliper measurements.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Changes in the body weight of mice bearing B4B8 or LY2 tumors.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Survival of B4B8 and LY2 tumor-bearing mice. The bars represent the standard error of the mean (SEM) of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mice per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Imaging and histologic features of murine HNSCC tumors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coronal MR image of an LY2 tumor-bearing mouse. Anatomic sites are labeled. Areas of signal hyperintensity represent vascularized regions (denoted V). Regions of signal hypointensity represent necrotic areas (denote 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gross image of a dissected tumor-containing region. White arrows point to enlarged draining lymph nodes (DLNs).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Correlation of tumor volume as assessed by caliper measurement versus computed tomography (CT)-based assessment. Slope, correlation coefficient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line of best fit are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hematoxylin and eosin (H&amp;amp;E) image of LY2 tumor.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H&amp;amp;E image of B4B8 tumor.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necrosis in LY2 tumors, based on an H&amp;amp;E four-grade scoring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of baseline intratumoral immune populations using cytometry by time-of-flight (CyTOF).</w:t>
      </w:r>
      <w:r>
        <w:rPr>
          <w:rFonts w:ascii="Calibri" w:hAnsi="Calibri" w:cs="Calibri" w:eastAsia="Calibri"/>
          <w:color w:val="auto"/>
          <w:spacing w:val="0"/>
          <w:position w:val="0"/>
          <w:sz w:val="24"/>
          <w:shd w:fill="auto" w:val="clear"/>
        </w:rPr>
        <w:t xml:space="preserve"> Tumors were processed into a single-cell suspension using collagenase-based enzymatic digestion and, then, stained with cell surface and intracellular markers.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Mass cytometry was performed using the CyTOF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Absolute and relative quantitative assessment of total immune cells (CD45+).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myeloid-immune subpopulations.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lymphoid immune subpopulations.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ijbwerijbweirjbwerijbwer</w:t>
      </w:r>
    </w:p>
    <w:p>
      <w:pPr>
        <w:spacing w:before="0" w:after="0" w:line="240"/>
        <w:ind w:right="0" w:left="0" w:firstLine="0"/>
        <w:jc w:val="both"/>
        <w:rPr>
          <w:rFonts w:ascii="Calibri" w:hAnsi="Calibri" w:cs="Calibri" w:eastAsia="Calibri"/>
          <w:color w:val="808080"/>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Rigorous analysis and characterization of the tumor microenvironment represent an important strategy for understanding mechanisms of tumor development, progression, and metastases and for the development of effective therapies. Head and neck cancer is a complex disease that can originate from multiple anatomical sites within the head and neck region. </w:t>
      </w:r>
      <w:r>
        <w:rPr>
          <w:rFonts w:ascii="Calibri" w:hAnsi="Calibri" w:cs="Calibri" w:eastAsia="Calibri"/>
          <w:color w:val="000000"/>
          <w:spacing w:val="0"/>
          <w:position w:val="0"/>
          <w:sz w:val="24"/>
          <w:shd w:fill="auto" w:val="clear"/>
        </w:rPr>
        <w:t xml:space="preserve">A major impediment to understanding disease mechanisms and improving therapy has been a lack of murine mouse cell lines that resemble the aggressive and metastatic nature of human HNSCCs. Furthermore, numerous murine models employ a subcutaneous implantation of tumors which lack important physiological features of the head and neck region, including a high vascular density, an extensive lymphatic vasculature, and resident mucosal flora.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characterized an orthotopic model of murine HNSCC. We chose the buccal mucosa as the site of tumor inoculation for a number of reasons, including easy access to the region without the need for image guidance, the ability to assess tumor growth using calipers, the presence of the tumor within the mucosal flora, the presence of surrounding lymphatics, and the ease of reproducibility. Although the injection of cells into the buccal mucosa is straightforward, the positioning of the needle and the depth of penetration are critical to prevent puncture through the skin and ensure cells are not injected subcutaneously. We recommend inserting the needle intra-orally while it is perfectly parallel to the buccal region and tilting at an angle no greater than 10&amp;#176; when ready to inject.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lines we used were murine cell lines allowing their implantation in immunocompetent mice of the strain they were derived from. There are over 39 HNSCC human cell lines that have been studied in the literature but cannot be used in the presence of a native microenvironment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Recent developments allowed for the design of humanized mouse models which integrate human bone-marrow-derived chimeras in NOD scid gamma mice (also known as NSG mice), allowing the development of a human immune system that can interact with human tumors in an immunodeficient mouse model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such models are costly, require laborious breeding methods, and do not recapitulate all the components of the tumor microenvironment, including endothelial cells, fibroblasts, and lymphatics. The murine mouse models we employed in this study recapitulate critical components of human HNSCCs, including the presence of various immune infiltrates. To ensure maximum retrieval of viable single cells from tumors, the use of digestion enzymes is necessary. Collagenase-based digestion enzymes can be harsh on cells and the optimization of the concentration and type of collagenase may be necessary for different tumor types. We compared five digestion enzymes before determining that collagenase III, which was used in this study, is the optimal method for digestion of squamous cell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tumor models used in this study are particularly useful for studying mechanisms of HNSCC immune evasion and preclinical assessment of various therapies. We previously demonstrated that both B4B8 and LY2 tumors are radioresistant and refractory to the immune checkpoint inhibitor anti-PD-L1</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is consistent with the majority of human HNSCCs. Recent clinical trials showed that less than 15% of HNSCC patients are responsive to anti-PD-1/PD-L1 therapy</w:t>
      </w:r>
      <w:r>
        <w:rPr>
          <w:rFonts w:ascii="Calibri" w:hAnsi="Calibri" w:cs="Calibri" w:eastAsia="Calibri"/>
          <w:color w:val="auto"/>
          <w:spacing w:val="0"/>
          <w:position w:val="0"/>
          <w:sz w:val="24"/>
          <w:shd w:fill="auto" w:val="clear"/>
          <w:vertAlign w:val="superscript"/>
        </w:rPr>
        <w:t xml:space="preserve">21,22,23,24,25</w:t>
      </w:r>
      <w:r>
        <w:rPr>
          <w:rFonts w:ascii="Calibri" w:hAnsi="Calibri" w:cs="Calibri" w:eastAsia="Calibri"/>
          <w:color w:val="auto"/>
          <w:spacing w:val="0"/>
          <w:position w:val="0"/>
          <w:sz w:val="24"/>
          <w:shd w:fill="auto" w:val="clear"/>
        </w:rPr>
        <w:t xml:space="preserve">. In addition, it is well established that HNSCCs are radioresistant</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Targeting pathways responsible for radioresistance in HNSCC is an important step for enhancing treatment response. The landmark Bonner et al. study showed a significant benefit in overall survival with the addition of cetuximab to RT compared to RT alone in locally advanced HNSCC patients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Recent data demonstrate that the inhibition of EphB4-Ephrin-B2 signaling in orthotopic HNSCCs can further improve the response to RT or cetuximab-RT by promoting tumor apoptosis and inhibiting tumor proliferation</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 addition, combining RT with rational immune therapies can augment antitumor immune responses and enhance both local tumor control and control of distant metastases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We have recently demonstrated that targeting Tregs in combination with immune checkpoint blockade and RT results in tumor eradication and immunologic memory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Future studies employing orthotopic models of HNSCC will better inform the design of clinical trials and improve the understanding of mechanisms of tumor immune evasion and treatment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Chaturvedi, 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Worldwide trends in incidence rates for oral cavity and oropharyngeal cancers.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(36), 4550-4559, doi:10.1200/JCO.2013.50.3870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Ang, K. K., Sturgis, E. M. Human papillomavirus as a marker of the natural history and response to therapy of head and neck squamous cell carcinoma. </w:t>
      </w:r>
      <w:r>
        <w:rPr>
          <w:rFonts w:ascii="Calibri" w:hAnsi="Calibri" w:cs="Calibri" w:eastAsia="Calibri"/>
          <w:i/>
          <w:color w:val="000000"/>
          <w:spacing w:val="0"/>
          <w:position w:val="0"/>
          <w:sz w:val="24"/>
          <w:shd w:fill="auto" w:val="clear"/>
        </w:rPr>
        <w:t xml:space="preserve">Seminars in Radiation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128-142, doi:10.1016/j.semradonc.2011.12.004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Amin, M.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Eighth Edition AJCC Cancer Staging Manual: Continuing to build a bridge from a population-based to a more "personalized" approach to cancer staging.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93-99, doi:10.3322/caac.21388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Salley, J. J. Experimental carcinogenesis in the cheek pouch of the Syrian hamster. </w:t>
      </w:r>
      <w:r>
        <w:rPr>
          <w:rFonts w:ascii="Calibri" w:hAnsi="Calibri" w:cs="Calibri" w:eastAsia="Calibri"/>
          <w:i/>
          <w:color w:val="000000"/>
          <w:spacing w:val="0"/>
          <w:position w:val="0"/>
          <w:sz w:val="24"/>
          <w:shd w:fill="auto" w:val="clear"/>
        </w:rPr>
        <w:t xml:space="preserve">Journal of Dental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253-262, doi:10.1177/00220345540330021201 (1954).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Morris, A. L. Factors influencing experimental carcinogensis in the hamster cheek pouch. </w:t>
      </w:r>
      <w:r>
        <w:rPr>
          <w:rFonts w:ascii="Calibri" w:hAnsi="Calibri" w:cs="Calibri" w:eastAsia="Calibri"/>
          <w:i/>
          <w:color w:val="000000"/>
          <w:spacing w:val="0"/>
          <w:position w:val="0"/>
          <w:sz w:val="24"/>
          <w:shd w:fill="auto" w:val="clear"/>
        </w:rPr>
        <w:t xml:space="preserve">Journal of Dental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3-15, doi:10.1177/00220345610400012001 (1961).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MacDonald, D. G. Comparison of epithelial dysplasia in hamster cheek pouch carcinogenesis and human oral mucosa. </w:t>
      </w:r>
      <w:r>
        <w:rPr>
          <w:rFonts w:ascii="Calibri" w:hAnsi="Calibri" w:cs="Calibri" w:eastAsia="Calibri"/>
          <w:i/>
          <w:color w:val="000000"/>
          <w:spacing w:val="0"/>
          <w:position w:val="0"/>
          <w:sz w:val="24"/>
          <w:shd w:fill="auto" w:val="clear"/>
        </w:rPr>
        <w:t xml:space="preserve">Journal of Oral Pathology &amp;amp;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186-191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Hawkins, B.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4NQO carcinogenesis: a mouse model of oral cavity squamous cell carcinoma. </w:t>
      </w:r>
      <w:r>
        <w:rPr>
          <w:rFonts w:ascii="Calibri" w:hAnsi="Calibri" w:cs="Calibri" w:eastAsia="Calibri"/>
          <w:i/>
          <w:color w:val="000000"/>
          <w:spacing w:val="0"/>
          <w:position w:val="0"/>
          <w:sz w:val="24"/>
          <w:shd w:fill="auto" w:val="clear"/>
        </w:rPr>
        <w:t xml:space="preserve">Head &amp;amp;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424-432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Tang, X. H., Knudsen, B., Bemis, D., Tickoo, S., Gudas, L. J. Oral cavity and esophageal carcinogenesis modeled in carcinogen-treated mice.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Pt 1), 301-313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Vered, M., Yarom, N., Dayan, D. 4NQO oral carcinogenesis: animal models, molecular markers and future expectations.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337-339, doi:10.1016/j.oraloncology.2004.07.005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Bornstein,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Smad4 loss in mice causes spontaneous head and neck cancer with increased genomic instability and inflammation.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(11), 3408-3419, doi:10.1172/JCI38854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Thomas, G. R., Chen, Z., Oechsli, M. N., Hendler, F. J., Van Waes, C. Decreased expression of CD80 is a marker for increased tumorigenicity in a new murine model of oral squamous-cell carcinoma.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(3), 377-384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Yuspa, S. H., Hawley-Nelson, P., Koehler, B., Stanley, J. R. A survey of transformation markers in differentiating epidermal cell lines in culture.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4694-4703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Chen, Z., Smith, C. W., Kiel, D., Van Waes, C. Metastatic variants derived following in vivo tumor progression of an in vitro transformed squamous cell carcinoma line acquire a differential growth advantage requiring tumor-host interaction. </w:t>
      </w:r>
      <w:r>
        <w:rPr>
          <w:rFonts w:ascii="Calibri" w:hAnsi="Calibri" w:cs="Calibri" w:eastAsia="Calibri"/>
          <w:i/>
          <w:color w:val="000000"/>
          <w:spacing w:val="0"/>
          <w:position w:val="0"/>
          <w:sz w:val="24"/>
          <w:shd w:fill="auto" w:val="clear"/>
        </w:rPr>
        <w:t xml:space="preserve">Clinical &amp;amp; Experimental Metastasis.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527-537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Euhus, D. M., Hudd, C., LaRegina, M. C., Johnson, F. E. Tumor measurement in the nude mouse. </w:t>
      </w:r>
      <w:r>
        <w:rPr>
          <w:rFonts w:ascii="Calibri" w:hAnsi="Calibri" w:cs="Calibri" w:eastAsia="Calibri"/>
          <w:i/>
          <w:color w:val="000000"/>
          <w:spacing w:val="0"/>
          <w:position w:val="0"/>
          <w:sz w:val="24"/>
          <w:shd w:fill="auto" w:val="clear"/>
        </w:rPr>
        <w:t xml:space="preserve">Journal of Surgical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(4), 229-234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Tomayko, M. M., Reynolds, C. P. Determination of subcutaneous tumor size in athymic (nude) mice. </w:t>
      </w:r>
      <w:r>
        <w:rPr>
          <w:rFonts w:ascii="Calibri" w:hAnsi="Calibri" w:cs="Calibri" w:eastAsia="Calibri"/>
          <w:i/>
          <w:color w:val="000000"/>
          <w:spacing w:val="0"/>
          <w:position w:val="0"/>
          <w:sz w:val="24"/>
          <w:shd w:fill="auto" w:val="clear"/>
        </w:rPr>
        <w:t xml:space="preserve">Cancer Chemotherapy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148-154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Yushkevich, P.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User-guided 3D active contour segmentation of anatomical structures: significantly improved efficiency and reliability.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1116-1128, doi:10.1016/j.neuroimage.2006.01.015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Dutta,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relationship between tumour necrosis, tumour proliferation, local and systemic inflammation, microvessel density and survival in patients undergoing potentially curative resection of oesophageal adenocarcinoma. </w:t>
      </w:r>
      <w:r>
        <w:rPr>
          <w:rFonts w:ascii="Calibri" w:hAnsi="Calibri" w:cs="Calibri" w:eastAsia="Calibri"/>
          <w:i/>
          <w:color w:val="000000"/>
          <w:spacing w:val="0"/>
          <w:position w:val="0"/>
          <w:sz w:val="24"/>
          <w:shd w:fill="auto" w:val="clear"/>
        </w:rPr>
        <w:t xml:space="preserve">Britisch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 702-710, doi:10.1038/bjc.2011.610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Genomic analysis of head and neck squamous cell carcinoma cell lines and human tumors: a rational approach to preclinical model selection. </w:t>
      </w:r>
      <w:r>
        <w:rPr>
          <w:rFonts w:ascii="Calibri" w:hAnsi="Calibri" w:cs="Calibri" w:eastAsia="Calibri"/>
          <w:i/>
          <w:color w:val="000000"/>
          <w:spacing w:val="0"/>
          <w:position w:val="0"/>
          <w:sz w:val="24"/>
          <w:shd w:fill="auto" w:val="clear"/>
        </w:rPr>
        <w:t xml:space="preserve">Molecular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571-582, doi:10.1158/1541-7786.MCR-13-0396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Walsh, 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Humanized Mouse Models of Clinical Disease. </w:t>
      </w:r>
      <w:r>
        <w:rPr>
          <w:rFonts w:ascii="Calibri" w:hAnsi="Calibri" w:cs="Calibri" w:eastAsia="Calibri"/>
          <w:i/>
          <w:color w:val="000000"/>
          <w:spacing w:val="0"/>
          <w:position w:val="0"/>
          <w:sz w:val="24"/>
          <w:shd w:fill="auto" w:val="clear"/>
        </w:rPr>
        <w:t xml:space="preserve">Annual Review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187-215, doi:10.1146/annurev-pathol-052016-100332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Oweida,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Ionizing radiation sensitizes tumors to PD-L1 immune checkpoint blockade in orthotopic murine head and neck squamous cell carcinoma. </w:t>
      </w:r>
      <w:r>
        <w:rPr>
          <w:rFonts w:ascii="Calibri" w:hAnsi="Calibri" w:cs="Calibri" w:eastAsia="Calibri"/>
          <w:i/>
          <w:color w:val="000000"/>
          <w:spacing w:val="0"/>
          <w:position w:val="0"/>
          <w:sz w:val="24"/>
          <w:shd w:fill="auto" w:val="clear"/>
        </w:rPr>
        <w:t xml:space="preserve">OncoImmunology.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e1356153, doi:10.1080/2162402X.2017.1356153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Ferris,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Further evaluations of nivolumab (nivo) versus investigator’s choice (IC) chemotherapy for recurrent or metastatic (R/M) squamous cell carcinoma of the head and neck (SCCHN): CheckMate 141.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(suppl; abstr 6009)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Ferris, 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Nivolumab for Recurrent Squamous-Cell Carcinoma of the Head and Neck.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375</w:t>
      </w:r>
      <w:r>
        <w:rPr>
          <w:rFonts w:ascii="Calibri" w:hAnsi="Calibri" w:cs="Calibri" w:eastAsia="Calibri"/>
          <w:color w:val="000000"/>
          <w:spacing w:val="0"/>
          <w:position w:val="0"/>
          <w:sz w:val="24"/>
          <w:shd w:fill="auto" w:val="clear"/>
        </w:rPr>
        <w:t xml:space="preserve"> (19), 1856-1867, doi:10.1056/NEJMoa1602252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Harrington, K.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Nivolumab versus standard, single-agent therapy of investigator's choice in recurrent or metastatic squamous cell carcinoma of the head and neck (CheckMate 141): health-related quality-of-life results from a randomised, phase 3 trial.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(8), 1104-1115, doi:10.1016/S1470-2045(17)30421-7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Kiyota,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randomized, open-label, Phase III clinical trial of nivolumab vs. therapy of investigator's choice in recurrent squamous cell carcinoma of the head and neck: A subanalysis of Asian patients versus the global population in checkmate 141.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138-146, doi:10.1016/j.oraloncology.2017.07.023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Ling, D. C., Bakkenist, C. J., Ferris, R. L., Clump, D. A. Role of Immunotherapy in Head and Neck Cancer. </w:t>
      </w:r>
      <w:r>
        <w:rPr>
          <w:rFonts w:ascii="Calibri" w:hAnsi="Calibri" w:cs="Calibri" w:eastAsia="Calibri"/>
          <w:i/>
          <w:color w:val="000000"/>
          <w:spacing w:val="0"/>
          <w:position w:val="0"/>
          <w:sz w:val="24"/>
          <w:shd w:fill="auto" w:val="clear"/>
        </w:rPr>
        <w:t xml:space="preserve">Seminars in Radiation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12-16, doi:10.1016/j.semradonc.2017.08.009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Perri,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Radioresistance in head and neck squamous cell carcinoma: Biological bases and therapeutic implications. </w:t>
      </w:r>
      <w:r>
        <w:rPr>
          <w:rFonts w:ascii="Calibri" w:hAnsi="Calibri" w:cs="Calibri" w:eastAsia="Calibri"/>
          <w:i/>
          <w:color w:val="000000"/>
          <w:spacing w:val="0"/>
          <w:position w:val="0"/>
          <w:sz w:val="24"/>
          <w:shd w:fill="auto" w:val="clear"/>
        </w:rPr>
        <w:t xml:space="preserve">Head &amp;amp;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763-770, doi:10.1002/hed.23837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Yamamoto, V. N., Thylur, D. S., Bauschard, M., Schmale, I., Sinha, U. K. Overcoming radioresistance in head and neck squamous cell carcinoma.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44-51, doi:10.1016/j.oraloncology.2016.11.002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Bonner, J. A. et al. Radiotherapy plus cetuximab for locoregionally advanced head and neck cancer: 5-year survival data from a phase 3 randomised trial, and relation between cetuximab-induced rash and survival. </w:t>
      </w:r>
      <w:r>
        <w:rPr>
          <w:rFonts w:ascii="Calibri" w:hAnsi="Calibri" w:cs="Calibri" w:eastAsia="Calibri"/>
          <w:i/>
          <w:color w:val="000000"/>
          <w:spacing w:val="0"/>
          <w:position w:val="0"/>
          <w:sz w:val="24"/>
          <w:shd w:fill="auto" w:val="clear"/>
        </w:rPr>
        <w:t xml:space="preserve">The Lancet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21-28, doi:10.1016/S1470-2045(09)70311-0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Bhatia,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Inhibition of EphB4-Ephrin-B2 Signaling Enhances Response to Cetuximab-Radiation Therapy in Head and Neck Cancers.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(18), 4539-4550, doi:10.1158/1078-0432.CCR-18-0327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Bhatia,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Enhancing radiosensitization in EphB4 receptor-expressing Head and Neck Squamous Cell Carcinomas.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38792, doi:10.1038/srep38792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Tang,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Combining radiation and immunotherapy: a new systemic therapy for solid tumors? </w:t>
      </w:r>
      <w:r>
        <w:rPr>
          <w:rFonts w:ascii="Calibri" w:hAnsi="Calibri" w:cs="Calibri" w:eastAsia="Calibri"/>
          <w:i/>
          <w:color w:val="000000"/>
          <w:spacing w:val="0"/>
          <w:position w:val="0"/>
          <w:sz w:val="24"/>
          <w:shd w:fill="auto" w:val="clear"/>
        </w:rPr>
        <w:t xml:space="preserve">Cancer Immunology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831-838, doi:10.1158/2326-6066.CIR-14-0069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Oweida, A. et al. Resistance to radiotherapy and PD-L1 blockade is mediated by TIM-3 upregulation and regulatory T-cell infiltration.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doi:10.1158/1078-0432.CCR-18-1038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