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Construction of Drug-like Bispirocyclic Scaffolds via Organocatalytic Cycloadditions of </w:t>
      </w:r>
      <w:r>
        <w:rPr>
          <w:rFonts w:ascii="Calibri" w:hAnsi="Calibri" w:cs="Calibri" w:eastAsia="Calibri"/>
          <w:color w:val="auto"/>
          <w:spacing w:val="0"/>
          <w:position w:val="0"/>
          <w:sz w:val="24"/>
          <w:shd w:fill="auto" w:val="clear"/>
        </w:rPr>
        <w:t xml:space="preserve">α-Imino &amp;#947;-Lactones and Alkylidene Pyrazolones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Yani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Nannan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Yaping Cheng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Xiaoqing Cai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Basic Medical Sciences, Lanzhou University, Lanzhou,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Pharmaceutical Sciences, Sun Yat-sen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Xiaoqing Cai</w:t>
        <w:tab/>
        <w:t xml:space="preserve">(caixq7@mail.sysu.edu.cn)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+86-020-39943082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Yani Zhou </w:t>
        <w:tab/>
        <w:t xml:space="preserve">(</w:t>
      </w:r>
      <w:r>
        <w:rPr>
          <w:rFonts w:ascii="Calibri" w:hAnsi="Calibri" w:cs="Calibri" w:eastAsia="Calibri"/>
          <w:color w:val="auto"/>
          <w:spacing w:val="0"/>
          <w:position w:val="0"/>
          <w:sz w:val="24"/>
          <w:u w:val="single"/>
          <w:shd w:fill="auto" w:val="clear"/>
        </w:rPr>
        <w:t xml:space="preserve">zhouyani@lzu.edu</w:t>
      </w:r>
      <w:r>
        <w:rPr>
          <w:rFonts w:ascii="Calibri" w:hAnsi="Calibri" w:cs="Calibri" w:eastAsia="Calibri"/>
          <w:color w:val="auto"/>
          <w:spacing w:val="0"/>
          <w:position w:val="0"/>
          <w:sz w:val="24"/>
          <w:shd w:fill="auto" w:val="clear"/>
        </w:rPr>
        <w:t xml:space="preserve">.cn)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Nannan Chen </w:t>
        <w:tab/>
        <w:t xml:space="preserve">(525929035@qq.com)</w:t>
      </w:r>
    </w:p>
    <w:p>
      <w:pPr>
        <w:spacing w:before="0" w:after="0" w:line="240"/>
        <w:ind w:right="0" w:left="0" w:firstLine="0"/>
        <w:jc w:val="both"/>
        <w:rPr>
          <w:rFonts w:ascii="SimSun" w:hAnsi="SimSun" w:cs="SimSun" w:eastAsia="SimSun"/>
          <w:color w:val="auto"/>
          <w:spacing w:val="0"/>
          <w:position w:val="0"/>
          <w:sz w:val="20"/>
          <w:shd w:fill="auto" w:val="clear"/>
        </w:rPr>
      </w:pPr>
      <w:r>
        <w:rPr>
          <w:rFonts w:ascii="Calibri" w:hAnsi="Calibri" w:cs="Calibri" w:eastAsia="Calibri"/>
          <w:color w:val="auto"/>
          <w:spacing w:val="0"/>
          <w:position w:val="0"/>
          <w:sz w:val="24"/>
          <w:shd w:fill="auto" w:val="clear"/>
        </w:rPr>
        <w:t xml:space="preserve">Yaping Cheng </w:t>
        <w:tab/>
        <w:t xml:space="preserve">(chengyp3@mail2.sysu.edu.cn)</w:t>
      </w:r>
      <w:r>
        <w:rPr>
          <w:rFonts w:ascii="Lucida Grande" w:hAnsi="Lucida Grande" w:cs="Lucida Grande" w:eastAsia="Lucida Grande"/>
          <w:color w:val="auto"/>
          <w:spacing w:val="0"/>
          <w:position w:val="0"/>
          <w:sz w:val="18"/>
          <w:shd w:fill="EFEFE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asymmetric synthesis, organocatalysis, bispirocyclic compounds, cycloaddition, lactones, pyrazolones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Enantiomerically enriched bispiro[&amp;#947;-butyrolactone-pyrrolidin-4,4’-pyrazolone] skeletons are asymmetrically synthesized through a simple organocatalytic 1,3-dipolar cycloaddition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Bispirocyclic scaffolds are one of the important structural subunits in many natural products that exhibit diverse and attractive biological activities. Recently, we have developed an efficient organocatalytic strategy, which provides facile access to a variety of enantiomerically enriched bispiro[&amp;#947;-butyrolactone-pyrrolidin-4,4’-pyrazolone] skeletons. In this paper, we demonstrate a detailed protocol for the asymmetric synthesis of drug-like bispirocyclic compounds with two spirocyclic carbon centers via an organocatyltic 1,3-dipolar cycloaddition reaction. Spirocyclization synthons </w:t>
      </w:r>
      <w:r>
        <w:rPr>
          <w:rFonts w:ascii="Calibri" w:hAnsi="Calibri" w:cs="Calibri" w:eastAsia="Calibri"/>
          <w:color w:val="auto"/>
          <w:spacing w:val="0"/>
          <w:position w:val="0"/>
          <w:sz w:val="24"/>
          <w:shd w:fill="auto" w:val="clear"/>
        </w:rPr>
        <w:t xml:space="preserve">α-imino &amp;#947;-lactones and alkylidene pyrazolones are prepared first, which are then subjected to a cycloaddition reaction in the presence of a bifunctional squaramide organocatalyst to afford the desired bispirocycles in high yields and excellent stereoselectivities. Chiral high-performance liquid chromatography (HPLC) is carried out to determine the enantiomeric purity of the products, and the d.r. value is examined by proton nuclear magnetic 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The absolute configuration of the product is assigned according to an X-ray crystallographic analysis. This synthetic strategy allows scientists to prepare a diversity of bispirocyclic scaffolds in high yields and excellent diastereo- and enantioselectivities.</w:t>
      </w:r>
      <w:r>
        <w:rPr>
          <w:rFonts w:ascii="Arial" w:hAnsi="Arial" w:cs="Arial" w:eastAsia="Arial"/>
          <w:color w:val="auto"/>
          <w:spacing w:val="0"/>
          <w:position w:val="0"/>
          <w:sz w:val="21"/>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Chiral spirocyclic compounds found prevalent in natural products, chiral ligands and organometallic complexes have emerged as attractive synthetic targets due to their structural complexity and biological activity</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Specifically, bispirocyclic scaffolds, featured by three rings with two rigid spirocenters, are structural subunits in many natural products with important biological activities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Consequently, the construction of compounds with stereocontrolled, optically pure bispirocyclic skeletons has drawn great attention over the last few decades. A large number of spirocyclic compounds and their derivatives have been synthesized successfully through organometallic approaches and organocatalytic approaches, for example, asymmetric cycloadditions such as 1,3-dipolar cycloadditions and Diels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Alder reactions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However, these molecules are mostly monospirocyclic structures, while bispirocyclic structures are less reported on and limited to the construction of indole-based bispirocycles.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obtain more structurally diverse bispirocyclic compounds, the versatility of cycloaddition synthons for the asymmetric construction of spirocyclic centers has been explored</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Especially with bifunctional squaramide organocatalysts, azomethine ylide</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such as </w:t>
      </w:r>
      <w:r>
        <w:rPr>
          <w:rFonts w:ascii="Calibri" w:hAnsi="Calibri" w:cs="Calibri" w:eastAsia="Calibri"/>
          <w:color w:val="auto"/>
          <w:spacing w:val="0"/>
          <w:position w:val="0"/>
          <w:sz w:val="24"/>
          <w:shd w:fill="auto" w:val="clear"/>
        </w:rPr>
        <w:t xml:space="preserve">α-imino &amp;#947;-lactones, and dipolarophiles, such as alkylidene pyrazolones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are able to undergo a simple 1,3-dipolar cycloaddition to construct bispirocyclic skeletons with multiple stereocenters, making them the perfect spirocyclization synthons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the optimization of the structure of organocatalyst and reaction solvent, this cycloaddition process efficiently affords the desired product with high yields and excellent enantio- and diastereoselectivity. Moreover, this reaction exhibits a relatively high structural tolerance on a broad scope of cycloaddition synthons with diverse functional groups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new method provides an efficient access to a variety of highly functionalized drug-like compounds with two quaternary spirocenters via a simple organocatalytic cycloaddition, shining lights on its application in the structural diversity-oriented synthesis of this intriguing class of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all relevant material safety data sheets (MSDS) before use. Chemicals and solvents used were of reagent grade and were used without further purification. All reactions involving air or moisture-sensitive reagents or intermediates were performed under an argon atmosphere.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w:t>
      </w:r>
      <w:r>
        <w:rPr>
          <w:rFonts w:ascii="Calibri" w:hAnsi="Calibri" w:cs="Calibri" w:eastAsia="Calibri"/>
          <w:b/>
          <w:color w:val="auto"/>
          <w:spacing w:val="0"/>
          <w:position w:val="0"/>
          <w:sz w:val="24"/>
          <w:shd w:fill="auto" w:val="clear"/>
        </w:rPr>
        <w:t xml:space="preserve">α-Arylidiene Pyrazolinone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3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Preparation of pyrazolones</w:t>
      </w:r>
    </w:p>
    <w:p>
      <w:pPr>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40 mL of glacial acetic acid to a 250 mL round-bottom flask from a graduated cylinder at room temperature. Stir the solution while adding hydrazine (1 equivalent, 1.58 mol/L) and methyl acetoacetate (1 equivalent, 1.58 mol/L). Equip the flask with a reflux condenser.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concentration is used because a lower concentration leads to a slower reaction rate.</w:t>
      </w:r>
    </w:p>
    <w:p>
      <w:pPr>
        <w:spacing w:before="0" w:after="0" w:line="240"/>
        <w:ind w:right="0" w:left="648"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Heat the reaction flask to 120 &amp;#176;C in an oil bath while stirring for 3 h. After cooling the reaction flask down to ambient temperature, remove the magnetic stir bar, using a stir bar retriever. Concentrate the reaction mixture, using a rotary evaporator at 60 &amp;#176;C. Avoid spilling the reaction mixture because of negative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20 mL of deionized water to the reaction flask and transfer the solution into a separatory funnel. Extract the aqueous layer 3x with ethyl acetate (30 mL). Combine the organic layers in the separatory funnel and wash them 2x with brine (50 mL).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Dry the combined organic layers over anhydrous sodium sulfate for 1 h and, then, remove the sodium sulfate by gravity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Remove the solvent on a rotary evaporator at reduced pressure and at 35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After removing all the solvent, apply the pyrazolone species when performing section 4. </w:t>
      </w:r>
    </w:p>
    <w:p>
      <w:pPr>
        <w:spacing w:before="0" w:after="0" w:line="240"/>
        <w:ind w:right="0" w:left="648" w:firstLine="0"/>
        <w:jc w:val="both"/>
        <w:rPr>
          <w:rFonts w:ascii="Calibri" w:hAnsi="Calibri" w:cs="Calibri" w:eastAsia="Calibri"/>
          <w:color w:val="auto"/>
          <w:spacing w:val="0"/>
          <w:position w:val="0"/>
          <w:sz w:val="24"/>
          <w:shd w:fill="auto" w:val="clear"/>
        </w:rPr>
      </w:pPr>
    </w:p>
    <w:p>
      <w:pPr>
        <w:tabs>
          <w:tab w:val="left" w:pos="43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Preparation of </w:t>
      </w:r>
      <w:r>
        <w:rPr>
          <w:rFonts w:ascii="Calibri" w:hAnsi="Calibri" w:cs="Calibri" w:eastAsia="Calibri"/>
          <w:b/>
          <w:color w:val="auto"/>
          <w:spacing w:val="0"/>
          <w:position w:val="0"/>
          <w:sz w:val="24"/>
          <w:shd w:fill="auto" w:val="clear"/>
        </w:rPr>
        <w:t xml:space="preserve">α-Arylidiene Pyrazolinones</w:t>
      </w:r>
    </w:p>
    <w:p>
      <w:pPr>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pyrazolone (1 equivalent, 0.49 mol/L), benzaldehyde (1 equivalent, 0.49 mol/L), magnesium oxide (0.5 g, 0.6 equivalent), and a magnetic stir bar into an oven-dried 100 mL round-bottom flask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w:t>
      </w:r>
    </w:p>
    <w:p>
      <w:pPr>
        <w:spacing w:before="0" w:after="0" w:line="240"/>
        <w:ind w:right="0" w:left="648"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anhydrous acetonitrile (40 mL) to the reaction flask, using an airtight syringe, and then, equip the flask with a reflux condenser. Heat the reaction flask to 120 &amp;#176;C in an oil bath while stirring for 12 h.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Monitor the progress of the reaction by thin layer chromatography (TLC), using petroleum ether:ethyl acetate (2:1 [v/v], retention factor 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0.86) as an eluent.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After the complete consumption of pyrazolone, cool the reaction flask down to room temperature. Filter off the magnesium oxide through a Celite plug.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Remove the excess acetonitrile by using a rotary evaporator under reduced pressure and at 35 &amp;#176;C. Purify the residue by column chromatography on silica gel eluting with petroleum ether:ethyl acetate (10:1 to 8:1 [v/v]) to provide the crude product.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Add the crude product into a 100 mL Erlenmeyer flask equipped with a magnetic stir bar, and then, add a minimum volume of 95% ethanol. Place the flask on a hot plate and bring it to a gentle boil until the entire solid is just dissolved. Take the flask off the hot plate and cool it slowly without any agitation.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mixture is cooled to room temperature, the corresponding </w:t>
      </w:r>
      <w:r>
        <w:rPr>
          <w:rFonts w:ascii="Calibri" w:hAnsi="Calibri" w:cs="Calibri" w:eastAsia="Calibri"/>
          <w:color w:val="auto"/>
          <w:spacing w:val="0"/>
          <w:position w:val="0"/>
          <w:sz w:val="24"/>
          <w:shd w:fill="auto" w:val="clear"/>
        </w:rPr>
        <w:t xml:space="preserve">α-arylidiene pyrazolinone is formed as pure crystals.</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Synthesis of </w:t>
      </w:r>
      <w:r>
        <w:rPr>
          <w:rFonts w:ascii="Calibri" w:hAnsi="Calibri" w:cs="Calibri" w:eastAsia="Calibri"/>
          <w:b/>
          <w:color w:val="auto"/>
          <w:spacing w:val="0"/>
          <w:position w:val="0"/>
          <w:sz w:val="24"/>
          <w:shd w:fill="auto" w:val="clear"/>
        </w:rPr>
        <w:t xml:space="preserve">α-imino &amp;#947;-lactones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Add </w:t>
      </w:r>
      <w:r>
        <w:rPr>
          <w:rFonts w:ascii="Calibri" w:hAnsi="Calibri" w:cs="Calibri" w:eastAsia="Calibri"/>
          <w:color w:val="auto"/>
          <w:spacing w:val="0"/>
          <w:position w:val="0"/>
          <w:sz w:val="24"/>
          <w:shd w:fill="auto" w:val="clear"/>
        </w:rPr>
        <w:t xml:space="preserve">α-amino-&amp;#947;-butyrolactone hydrobromide (1 equivalent, 0.41 mol/L), magnesium sulfate (1 equivalent, 0.41 mol/L), triethylamine (1 equivalent, 0.41 mol/L), and a magnetic stir bar into an oven-dried 100 mL round-bottom flask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36 mL of anhydrous dichloromethane to the reaction flask, using an airtight syringe. Stir the reaction mixture at room temperature for 1 h. Add the corresponding thiophene-2-carbaldehyde (1.1 equivalent, 0.45 mol/L) to the solution and stir for another 12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Monitor the progress of the reaction by TLC, using petroleum ether:ethyl acetate (4:1 [v/v]) as an eluent until the complete consumption of the lactone species has occurred, and then, filter off the reaction mixture, using a filter paper with a pore size of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5 mL of deionized water to the resulting mixture and separate the organic layer from the aqueous phase. Extract the aqueous phase 2x with dichloromethane (30 mL). Combine the organic layers in the separatory funnel and wash them 2x with brine (50 mL). </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Dry the combined organic layers over anhydrous sodium sulfate for 1 h, and then, remove the sodium sulfate by gravity filtration. Remove the solvent on a rotary evaporator at reduced pressure and at 35 &amp;#176;C.</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After removing all the solvent, apply the </w:t>
      </w:r>
      <w:r>
        <w:rPr>
          <w:rFonts w:ascii="Calibri" w:hAnsi="Calibri" w:cs="Calibri" w:eastAsia="Calibri"/>
          <w:color w:val="auto"/>
          <w:spacing w:val="0"/>
          <w:position w:val="0"/>
          <w:sz w:val="24"/>
          <w:shd w:fill="auto" w:val="clear"/>
        </w:rPr>
        <w:t xml:space="preserve">α-Imino &amp;#947;-lactones species when performing section 4. </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Synthesis of bifunctional squaramide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catalyst C5</w:t>
      </w:r>
      <w:r>
        <w:rPr>
          <w:rFonts w:ascii="Calibri" w:hAnsi="Calibri" w:cs="Calibri" w:eastAsia="Calibri"/>
          <w:b/>
          <w:color w:val="auto"/>
          <w:spacing w:val="0"/>
          <w:position w:val="0"/>
          <w:sz w:val="24"/>
          <w:shd w:fill="auto" w:val="clear"/>
          <w:vertAlign w:val="superscript"/>
        </w:rPr>
        <w:t xml:space="preserve">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synthesis of organocatalysts 5C,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Preparation of 3-((3,5-bis(trifluoromethyl)phenyl)amino)-4-methoxycyclobut-3-ene-1,2-dione (compound 1)</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3,4-dimethoxycyclobut-3-ene-1,2-dione (1 equivalent, 0.63 mol/L), 3,5-bis(trifluoromethyl)aniline (1.1 equivalent, 0.69 mol/L), 20 mL of methanol, and a magnetic stir bar into an oven-dried 100 mL round-bottom flask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Stir the mixture at room temperature for 48 h. The formation of yellow precipitate is an indication that the reaction is taking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Filter the reaction solution through a funnel fitted with filter paper and wash the solid product 3x with methanol (15 mL). Dry the yellow solid in vacuo overnight to afford the final products as yellow solid.</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Synthesis of catalyst C5</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Add 3-((3,5-bis(trifluoromethyl)phenyl)amino)-4-methoxycyclobut-3-ene-1,2-dione (compound 1; 1 equivalent, 0.2 mol/L) and (S)-(6-methoxyquinolin-4-yl)((1S,2R,4S,5R)-5-vinylquinuclidin-2-yl)methanamine (compound 2; 1 equivalent, 0.2 mol/L) and a magnetic stir bar into a 25 mL round-bottom flask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Add anhydrous dichloromethane (5 mL), using an airtight syringe. Stir the mixture at room temperature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Monitor the progress of the reaction by TLC, using dichloromethane:methanol (10:1 [v/v], 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0.49) as an eluent. After the reaction is completed, concentrate the reaction mixture, using a rotary evaporator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Purify the residue by column chromatography on silica gel eluting with dichloromethane:methanol (20:1 [v/v]) to provide the desired product.</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Asymmetric synthesis of bispirocyclic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Dry a 50 mL round-bottom reaction flask containing a magnetic stir bar. Remove the flask from the oven and cool it to room temperature by blowing on it with inert gas before use.</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w:t>
      </w:r>
      <w:r>
        <w:rPr>
          <w:rFonts w:ascii="Calibri" w:hAnsi="Calibri" w:cs="Calibri" w:eastAsia="Calibri"/>
          <w:color w:val="auto"/>
          <w:spacing w:val="0"/>
          <w:position w:val="0"/>
          <w:sz w:val="24"/>
          <w:shd w:fill="auto" w:val="clear"/>
        </w:rPr>
        <w:t xml:space="preserve">α-arylidiene pyrazolinone (1 mmol, 1 equivalent, 0.1 mol/L) and α-imino &amp;#947;-lactones (1.2 mmol, 1.2 equivalent, 0.12 mol/L) to the 50 mL round-bottom flask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Add anhydrous ethyl ether (10 mL) to the reaction flask, using an airtight syringe. Then, add the corresponding organocatalyst (0.1 equivalent, 0.01 mol/L) to the solution and stir the reaction mixture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Monitor the progress of the reaction by TLC, using petroleum ether:ethyl acetate (4:1 [v/v], 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0.51) as an eluent.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spots of the starting materials and products were visualized using a hand-held 254 nm UV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After the reaction was completed, concentrate the reaction mixture, using a rotary evaporator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Purify the residue by column chromatography on silica gel eluting with petroleum ether:ethyl acetate (4:1 [v/v]) to provide the final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Characterize the final product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using a 400 MHz NMR spectrometer. Determine the ee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values of the product, using a chiral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hydrogen-bond donor bifunctional organocatalysts were examined in the presence of organocatalysts in dichloromethane (DCM) at 25 &amp;#176;C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representative synthetic process of organocatalysts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screening of different organocatalysts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entries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resulted in C5 with excellent stereoselectivity (94% ee, &gt;20:1 d.r., entry 5) and the best yield (85% yield). A further optimization of the solvents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entries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suggested that 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was preferable in this synthetic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Significantly, to examine the generality of the reaction, a variety of substituents of two spirocyclization synthons with different functional groups were tested successfully using the optimized model reaction conditions, resulting in the desired bispirocycles with good to excellent yields and stereoselectivity. The scope of the pyrazolinone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 includes a replacement of the phenyl group on </w:t>
      </w:r>
      <w:r>
        <w:rPr>
          <w:rFonts w:ascii="Calibri" w:hAnsi="Calibri" w:cs="Calibri" w:eastAsia="Calibri"/>
          <w:color w:val="auto"/>
          <w:spacing w:val="0"/>
          <w:position w:val="0"/>
          <w:sz w:val="24"/>
          <w:shd w:fill="auto" w:val="clear"/>
        </w:rPr>
        <w:t xml:space="preserve">α-arylidiene with a wide range of aryl, naphthyl, and thienyl groups, substrates with different substituents such as ethyl, decyl,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 and benzyl group at 3-position, and substituents with different electronic properties on the aryl ring at 1-position. Besides, to explore the substrate scope of imino lactone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the cyclic imino ester moiety was substituted with a 5-methylthiophenyl, a phenyl or 2-naphthyl group, providing bispirocycles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similar yields and considerable stereoselectivities.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of bispirocyclic products was confirmed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spectroscopy. To characterize the optical purity and stereoselectivity of the stereoisomer products, the ee values were determined using chiral HPLC and the d.r. values were determined by 400 MHz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Reprehensive HPLC characterization results of compound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are given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explore the structural relativity, X-ray crystallography was used to analyze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revealing the absolute configuration of the product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as (5</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,6</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,13</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single-crystal structure of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CCDC 1590396 contains the crystallographic data of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which can be obtained free of charge from the Cambridge Crystallographic Data Centre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www.ccdc.cam.ac.uk/data_request/cif</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the characterization data for bispirocyclic product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were as follows: 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0.51 (4:1 [v/v], petroleum ether/EtOAc);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7.55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7.2 Hz, 2H),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(m, 2H), 7.26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 (m, 2H),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(m, 2H),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(m, 3H),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(m, 1H), 5.03 (d,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 11.6 Hz, 1H), 4.57 (s, 1H),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(m, 1H), 4.09 (td,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8.8, 2.0 Hz, 1H), 3.80 (d,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11.6 Hz, 1H),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(m, 1H),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(m, 4H);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(100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 178.8, 171.9, 163.9, 161.4, 158.5, 137.1, 136.0, 131.3, 131.2, 128.8, 127.0, 125.8, 125.4, 125.0, 119.7, 116.3, 116.1, 70.8, 67.4, 66.0, 64.1, 57.5, 34.6, 13.6;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(376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δ 112.8. The ee value was determined by HPLC analysis, hexane/2-propanol 80/20, flow rate = 1.0 mL/min, 254 nm, tr = 8.63 min (major); HRMS (ESI) Calcd for C</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476.1439, found 476.1446.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Optimization of the reaction condition. </w:t>
      </w:r>
      <w:r>
        <w:rPr>
          <w:rFonts w:ascii="Calibri" w:hAnsi="Calibri" w:cs="Calibri" w:eastAsia="Calibri"/>
          <w:color w:val="auto"/>
          <w:spacing w:val="0"/>
          <w:position w:val="0"/>
          <w:sz w:val="24"/>
          <w:shd w:fill="auto" w:val="clear"/>
        </w:rPr>
        <w:t xml:space="preserve">The table has been modified from Chen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Model reaction between 1a and 2a.</w:t>
      </w:r>
      <w:r>
        <w:rPr>
          <w:rFonts w:ascii="Calibri" w:hAnsi="Calibri" w:cs="Calibri" w:eastAsia="Calibri"/>
          <w:color w:val="auto"/>
          <w:spacing w:val="0"/>
          <w:position w:val="0"/>
          <w:sz w:val="24"/>
          <w:shd w:fill="auto" w:val="clear"/>
        </w:rPr>
        <w:t xml:space="preserve"> Structures of bifunctional organocatalysts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C6</w:t>
      </w:r>
      <w:r>
        <w:rPr>
          <w:rFonts w:ascii="Calibri" w:hAnsi="Calibri" w:cs="Calibri" w:eastAsia="Calibri"/>
          <w:color w:val="auto"/>
          <w:spacing w:val="0"/>
          <w:position w:val="0"/>
          <w:sz w:val="24"/>
          <w:shd w:fill="auto" w:val="clear"/>
        </w:rPr>
        <w:t xml:space="preserve">) are listed. This figure shows reactions performed with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 (0.10 mmol),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(0.12 mmol), and catalyst (10 mol%) in solvent (1 mL) at room temperature for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For detailed experimental procedures, see the protocol. This figure has been modified from Chen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Synthesis of organocatalyst 5C. </w:t>
      </w:r>
      <w:r>
        <w:rPr>
          <w:rFonts w:ascii="Calibri" w:hAnsi="Calibri" w:cs="Calibri" w:eastAsia="Calibri"/>
          <w:color w:val="auto"/>
          <w:spacing w:val="0"/>
          <w:position w:val="0"/>
          <w:sz w:val="24"/>
          <w:shd w:fill="auto" w:val="clear"/>
        </w:rPr>
        <w:t xml:space="preserve">The top panel is the synthesis of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the bottom panel is the synthesis of </w:t>
      </w:r>
      <w:r>
        <w:rPr>
          <w:rFonts w:ascii="Calibri" w:hAnsi="Calibri" w:cs="Calibri" w:eastAsia="Calibri"/>
          <w:b/>
          <w:color w:val="auto"/>
          <w:spacing w:val="0"/>
          <w:position w:val="0"/>
          <w:sz w:val="24"/>
          <w:shd w:fill="auto" w:val="clear"/>
        </w:rPr>
        <w:t xml:space="preserve">5C</w:t>
      </w:r>
      <w:r>
        <w:rPr>
          <w:rFonts w:ascii="Calibri" w:hAnsi="Calibri" w:cs="Calibri" w:eastAsia="Calibri"/>
          <w:color w:val="auto"/>
          <w:spacing w:val="0"/>
          <w:position w:val="0"/>
          <w:sz w:val="24"/>
          <w:shd w:fill="auto" w:val="clear"/>
        </w:rPr>
        <w:t xml:space="preserve"> from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compound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HPLC spectra of racemic and chiral product 3e. </w:t>
      </w:r>
      <w:r>
        <w:rPr>
          <w:rFonts w:ascii="Calibri" w:hAnsi="Calibri" w:cs="Calibri" w:eastAsia="Calibri"/>
          <w:color w:val="auto"/>
          <w:spacing w:val="0"/>
          <w:position w:val="0"/>
          <w:sz w:val="24"/>
          <w:shd w:fill="auto" w:val="clear"/>
        </w:rPr>
        <w:t xml:space="preserve">The top panel is the HPLC spectrum of racemic product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and the bottom panel is the HPLC spectrum of chiral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Single-crystal structure of 3e.</w:t>
      </w:r>
      <w:r>
        <w:rPr>
          <w:rFonts w:ascii="Calibri" w:hAnsi="Calibri" w:cs="Calibri" w:eastAsia="Calibri"/>
          <w:color w:val="auto"/>
          <w:spacing w:val="0"/>
          <w:position w:val="0"/>
          <w:sz w:val="24"/>
          <w:shd w:fill="auto" w:val="clear"/>
        </w:rPr>
        <w:t xml:space="preserve"> The left structure is the single-crystal structure of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and the right structure is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with the stereochemistry of each atom properly designated.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jweroknwernkoewrkonwernko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preparation of bispiro[&amp;#947;-butyrolactone-pyrrolidin-4,4’-pyrazolone] skeletons is dependent on a number of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step of this one-step asymmetric cycloaddition process is the synergistical activation of the </w:t>
      </w:r>
      <w:r>
        <w:rPr>
          <w:rFonts w:ascii="Calibri" w:hAnsi="Calibri" w:cs="Calibri" w:eastAsia="Calibri"/>
          <w:color w:val="auto"/>
          <w:spacing w:val="0"/>
          <w:position w:val="0"/>
          <w:sz w:val="24"/>
          <w:shd w:fill="auto" w:val="clear"/>
        </w:rPr>
        <w:t xml:space="preserve">α-arylidiene pyrazolinone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 and cyclic imino ester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by the bifunctional squaramide catalyst. It is achieved by the formation of multiple intermolecular hydrogen bonds between catalyst as a hydrogen-bond donor and two reaction substrates. Accordingly, with large steric hindrance, C5, out of all the hydrogen-bond donor bifunctional organocatalysts screened, exhibited the best stereoselectivity. The noted protocol uses 10 mol% catalyst in the model reaction. Besides, the requirement of high solubility of both substrates and catalyst is essential. As a result, the use of 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the optimal solvent not only ensures that both substrates and catalyst are fully dissolved at room temperature but that they undergo a smooth cycloaddition with high yields and stereoselectivities as well. Notably, water in the reaction system would lead to poor stereoselectivity. In order to ensure a successful synthesis, it is critical to check the dryness of all of the reagents and solvent before starting the reaction.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cycloaddition is compatible with a wide variety of substituted </w:t>
      </w:r>
      <w:r>
        <w:rPr>
          <w:rFonts w:ascii="Calibri" w:hAnsi="Calibri" w:cs="Calibri" w:eastAsia="Calibri"/>
          <w:color w:val="auto"/>
          <w:spacing w:val="0"/>
          <w:position w:val="0"/>
          <w:sz w:val="24"/>
          <w:shd w:fill="auto" w:val="clear"/>
        </w:rPr>
        <w:t xml:space="preserve">α-arylidiene pyrazolinone. Specifically, substituents with a different aryl group on α-arylidiene are well tolerated. Electron withdrawing aryl groups, due to their increased electrophilicity during 1,3-dipolar cycloaddition, are preferred in terms of yields and stereoselectivity. Also, substrates such as 3-position, replaced by ethyl, decyl,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 and benzyl groups, and 1-position, functionalized by different electronic aryl rings, are highly tolerated. Moreover, substituents of the cyclic imino ester moiety on imino lactone with phenyl, thiophenyl, or naphthyl groups are also compatible with the reaction. It is notable that, in order to ensure a successful reaction, a small excess of imino lactone (1.2 equivalent) is required. In most cases, the concentrations of substrates are kept at a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0.12 mol/L scale in 1 mL of solvent. Depending on the types of substrates and catalysts, the one-step cycloaddition reaction may take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this cycloaddition provided a high level of stereoselectivity when the 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substituent of imino lactone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was a thiolphenyl, 5-methylthiophenyl, or 2-naphthyl group. However, when the 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substituent was replaced with other alkyl substituents or heterocyclic substituents, either a low stereoselectivity or a low reaction yield was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presented protocol allows the direct asymmetric construction of bispiro[&amp;#947;-butyrolactone-pyrrolidin-4,4’-pyrazolone] using an efficient one-step organocatalytic 1,3-dipolar cycloaddition reaction in excellent yields and a high level of stereoselectivity. Moreover, this new methodology is compatible with two synthons bearing versatile functional groups and should be useful for the synthesis of diverse therapeutic agents with bispirocyclic scaffolds.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greatly appreciate the financial support from the National Natural Science Foundation of China (No. 21708051 to X.C.).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Rios, R. Enantioselective methodologies for the synthesis of spiro compounds.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1060-1074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Khan, R. K. et al. Synthesis, isolation, characterization, and reactivity of high-energy stereogenic-at-Ru carbenes: stereochemical inversion through olefin metathesis and other pathways.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(30), 12438-12441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Wang, X., Han, Z., Wang, Z., Ding, K. Catalytic asymmetric synthesis of aromatic spiroketals by spinphox/iridium(I)-catalyzed hydrogenation and spiroketalization of alpha,alpha'-bis(2-hydroxyarylidene) ketones.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936-940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Kim, N., Sohn, M. J., Koshino, H., Kim, E. H., Kim, W. G. Verrulactone C with an unprecedented dispiro skeleton, a new inhibitor of Staphylococcus aureus enoyl-ACP reductase, from Penicillium verruculosum F375. </w:t>
      </w:r>
      <w:r>
        <w:rPr>
          <w:rFonts w:ascii="Calibri" w:hAnsi="Calibri" w:cs="Calibri" w:eastAsia="Calibri"/>
          <w:i/>
          <w:color w:val="auto"/>
          <w:spacing w:val="0"/>
          <w:position w:val="0"/>
          <w:sz w:val="24"/>
          <w:shd w:fill="auto" w:val="clear"/>
        </w:rPr>
        <w:t xml:space="preserve">Bioorganic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83-86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Mulholland, D. A., Schwikkard, S. L., Crouch, N. R. The chemistry and biological activity of the Hyacinthaceae. </w:t>
      </w:r>
      <w:r>
        <w:rPr>
          <w:rFonts w:ascii="Calibri" w:hAnsi="Calibri" w:cs="Calibri" w:eastAsia="Calibri"/>
          <w:i/>
          <w:color w:val="auto"/>
          <w:spacing w:val="0"/>
          <w:position w:val="0"/>
          <w:sz w:val="24"/>
          <w:shd w:fill="auto" w:val="clear"/>
        </w:rPr>
        <w:t xml:space="preserve">Natural Product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1165-1210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Tan, B., Hernandez-Torres, G., Barbas, C. F. Highly efficient hydrogen-bonding catalysis of the Diels-Alder reaction of 3-vinylindoles and methyleneindolinones provides carbazolespirooxindole skeletons.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(32), 12354-12357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Cayuelas,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Enantioselective Synthesis of Polysubstituted Spiro-nitroprolinates Mediated by a (R,R)-Me-DuPhos.AgF-Catalyzed 1,3-Dipolar Cycloaddition.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2926-2929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Lacharity,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Total Synthesis of Unsymmetrically Oxidized Nuphar Thioalkaloids via Copper-Catalyzed Thiolane Assembly.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(38), 13272-13275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Liu, K., Teng, H. L., Yao, L., Tao, H. Y., Wang, C. J. Silver-catalyzed enantioselective desymmetrization: facile access to spirolactone-pyrrolidines containing a spiro quaternary stereogenic center.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2250-2253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Asymmetric [3 + 2] Cycloaddition of 3-Amino Oxindole-Based Azomethine Ylides and alpha,beta-Enones with Divergent Diastereocontrol on the Spiro[pyrrolidine-oxindoles].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1862-1865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Sun,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Organocatalytic diastereo- and enantioselective 1,3-dipolar cycloaddition of azlactones and methyleneindolinones.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(33), 8633-8637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Grigg, R., Kilner, C., Sarker, M. A. B., Orgaz de la Cierva, C., Dondas, H. A. X=Y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ZH compounds as potential 1,3-dipoles. Part 64: Synthesis of highly substituted conformationally restricted and spiro nitropyrrolidines via Ag(I) catalysed azomethine ylide cycloadditions. </w:t>
      </w:r>
      <w:r>
        <w:rPr>
          <w:rFonts w:ascii="Calibri" w:hAnsi="Calibri" w:cs="Calibri" w:eastAsia="Calibri"/>
          <w:i/>
          <w:color w:val="auto"/>
          <w:spacing w:val="0"/>
          <w:position w:val="0"/>
          <w:sz w:val="24"/>
          <w:shd w:fill="auto" w:val="clear"/>
        </w:rPr>
        <w:t xml:space="preserve">Tetrahedron.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(37), 8974-8991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Liu, T. L., He, Z. L., Tao, H. Y., Wang, C. J. Stereoselective construction of spiro(butyrolactonepyrrolidines) by highly efficient copper(I)/TF-BiphamPhos-catalyzed asymmetric 1,3-dipolar cycloaddition. </w:t>
      </w:r>
      <w:r>
        <w:rPr>
          <w:rFonts w:ascii="Calibri" w:hAnsi="Calibri" w:cs="Calibri" w:eastAsia="Calibri"/>
          <w:i/>
          <w:color w:val="auto"/>
          <w:spacing w:val="0"/>
          <w:position w:val="0"/>
          <w:sz w:val="24"/>
          <w:shd w:fill="auto" w:val="clear"/>
        </w:rPr>
        <w:t xml:space="preserve">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(26), 8042-8046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Wang, L., Shi, X. M., Dong, W. P., Zhu, L. P., Wang, R. Efficient construction of highly functionalized spiro[gamma-butyrolactone-pyrrolidin-3,3'-oxindole] tricyclic skeletons via an organocatalytic 1,3-dipolar cycloaddition.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(33), 3458-3460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Yetra, S. R., Mondal, S., Mukherjee, S., Gonnade, R. G., Biju, A. T. Enantioselective Synthesis of Spirocyclohexadienones by NHC-Catalyzed Formal [3+3] Annulation Reaction of Enals.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268-272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Liu, J. Y., Zhao, J., Zhang, J. L., Xu, P. F. Quaternary Carbon Center Forming Formal [3 + 3] Cycloaddition Reaction via Bifunctional Catalysis: Asymmetric Synthesis of Spirocyclohexene Pyrazolones.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1846-1849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Mondal, S., Mukherjee, S., Yetra, S. R., Gonnade, R. G., Biju, A. T. Organocatalytic Enantioselective Vinylogous Michael-Aldol Cascade for the Synthesis of Spirocyclic Compounds.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(16), 4367-4370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Chen,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Asymmetric Synthesis of Bispiro[&amp;#947;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butyrolactone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pyrrolidin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pyrazolone] Scaffolds Containing Two Quaternary Spirocenters via an Organocatalytic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Dipolar Cycloaddition. </w:t>
      </w:r>
      <w:r>
        <w:rPr>
          <w:rFonts w:ascii="Calibri" w:hAnsi="Calibri" w:cs="Calibri" w:eastAsia="Calibri"/>
          <w:i/>
          <w:color w:val="auto"/>
          <w:spacing w:val="0"/>
          <w:position w:val="0"/>
          <w:sz w:val="24"/>
          <w:shd w:fill="auto" w:val="clear"/>
        </w:rPr>
        <w:t xml:space="preserve">European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(23), 2939-2943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Yang, W., Du, D. M. Highly enantioselective Michael addition of nitroalkanes to chalcones using chiral squaramides as hydrogen bonding organocatalysts.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 5450-5453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cdc.cam.ac.uk/data_request/ci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