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Construction and Use of an Electrical Stimulation Chamber for Enhancing Osteogenic Differentiation in Mesenchymal Stem/Stromal Cells In Vitro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Liudmila Leppik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Mit B. Bhavsar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Karla M.C. Oliveira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Maria Eischen-Loges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Sahba Mobini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John H. Barker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Frankfurt Initiative for Regenerative Medicine, Johann Wolfgang Goethe-University, Frankfurt/= am Main, Germany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J. Crayton Pruitt Family Department of Biomedical Engineering, The University of Florida, Gainesville, FL,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Liudmila Leppik</w:t>
        <w:tab/>
        <w:t xml:space="preserve">(Liudmila.Leppik@kgu.de)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 B. Bhavsar </w:t>
        <w:tab/>
        <w:t xml:space="preserve">(mbhavsa@gwdg.de)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Karla M.C. Oliveira </w:t>
        <w:tab/>
        <w:t xml:space="preserve">(karlamychellyne@yahoo.com.br)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Eischen-Loges </w:t>
        <w:tab/>
        <w:t xml:space="preserve">(marie-jo@eischen-family.net)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Sahba Mobini </w:t>
        <w:tab/>
        <w:tab/>
        <w:t xml:space="preserve">(</w:t>
      </w:r>
      <w:r>
        <w:rPr>
          <w:rFonts w:ascii="Calibri" w:hAnsi="Calibri" w:cs="Calibri" w:eastAsia="Calibri"/>
          <w:color w:val="auto"/>
          <w:spacing w:val="0"/>
          <w:position w:val="0"/>
          <w:sz w:val="24"/>
          <w:shd w:fill="FFFFFF" w:val="clear"/>
        </w:rPr>
        <w:t xml:space="preserve">sahba.mobini@gmail.com)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H. Barker </w:t>
        <w:tab/>
        <w:t xml:space="preserve">(jhb121654@gmail.com)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Electrical stimulation chamber, cell culture, MSC, osteogenic differentiation, direct current,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construction of a cell culture chamber designed to expose cells to various types of electrical stimulation, and its use in treating mesenchymal stem cells to enhance osteogenic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Mesenchymal stem/stromal cells (MSCs) have been used extensively to promote bone healing in tissue engineering approaches. Electrical stimulation (EStim) has been demonstrated to increase MSC osteogenic differentiation in vitro and promote bone healing in clinical settings. Here we describe the construction of an </w:t>
      </w:r>
      <w:r>
        <w:rPr>
          <w:rFonts w:ascii="Calibri" w:hAnsi="Calibri" w:cs="Calibri" w:eastAsia="Calibri"/>
          <w:color w:val="auto"/>
          <w:spacing w:val="0"/>
          <w:position w:val="0"/>
          <w:sz w:val="24"/>
          <w:shd w:fill="FFFFFF" w:val="clear"/>
        </w:rPr>
        <w:t xml:space="preserve">EStim cell culture chamber and its use in treating rat bone-marrow-derived </w:t>
      </w:r>
      <w:r>
        <w:rPr>
          <w:rFonts w:ascii="Calibri" w:hAnsi="Calibri" w:cs="Calibri" w:eastAsia="Calibri"/>
          <w:color w:val="auto"/>
          <w:spacing w:val="0"/>
          <w:position w:val="0"/>
          <w:sz w:val="24"/>
          <w:shd w:fill="auto" w:val="clear"/>
        </w:rPr>
        <w:t xml:space="preserve">MSC to enhance osteogenic differentiation. We found that treating MSCs with EStim for 7 days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results in a significant increase in the osteogenic differentiation, and importantly, this pro-osteogenic effect persists long after (7 days) EStim is discontinued. This approach of pretreating MSCs with EStim to enhance osteogenic differentiation could be used to optimize bone tissue engineering treatment outcomes and, thus, help them to achieve their full therapeutic potential. In addition to this application, this EStim cell culture chamber and protocol </w:t>
      </w:r>
      <w:r>
        <w:rPr>
          <w:rFonts w:ascii="Calibri" w:hAnsi="Calibri" w:cs="Calibri" w:eastAsia="Calibri"/>
          <w:color w:val="auto"/>
          <w:spacing w:val="0"/>
          <w:position w:val="0"/>
          <w:sz w:val="24"/>
          <w:shd w:fill="FFFFFF" w:val="clear"/>
        </w:rPr>
        <w:t xml:space="preserve">can also be used to investigate other EStim-sensitive cell behaviors, such as migration, proliferation, apoptosis, and scaffold attachment.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An increase in trauma and/or disease-induced bone defects are being treated using different combinations of cell therapy and regenerative medicine technologies. MSCs are the cell of choice in such treatments, due to their relatively high osteogenic activity, isolation and expansion efficiency, and safety. To maximize their osteogenic activity and, thus, optimize their therapeutic effectiveness, several methods have been introduced to manipulate MSCs prior to their use in these treatments (as reviewed by </w:t>
      </w:r>
      <w:r>
        <w:rPr>
          <w:rFonts w:ascii="Calibri" w:hAnsi="Calibri" w:cs="Calibri" w:eastAsia="Calibri"/>
          <w:color w:val="auto"/>
          <w:spacing w:val="0"/>
          <w:position w:val="0"/>
          <w:sz w:val="24"/>
          <w:shd w:fill="auto" w:val="clear"/>
        </w:rPr>
        <w:t xml:space="preserve">Mauney et al.</w:t>
      </w:r>
      <w:r>
        <w:rPr>
          <w:rFonts w:ascii="Calibri" w:hAnsi="Calibri" w:cs="Calibri" w:eastAsia="Calibri"/>
          <w:color w:val="auto"/>
          <w:spacing w:val="0"/>
          <w:position w:val="0"/>
          <w:sz w:val="24"/>
          <w:shd w:fill="FFFFFF" w:val="clear"/>
        </w:rPr>
        <w:t xml:space="preserve">). One such method is </w:t>
      </w:r>
      <w:r>
        <w:rPr>
          <w:rFonts w:ascii="Calibri" w:hAnsi="Calibri" w:cs="Calibri" w:eastAsia="Calibri"/>
          <w:color w:val="auto"/>
          <w:spacing w:val="0"/>
          <w:position w:val="0"/>
          <w:sz w:val="24"/>
          <w:shd w:fill="auto" w:val="clear"/>
        </w:rPr>
        <w:t xml:space="preserve">EStim, which has been shown to enhance MSC osteogenic differentiation in vitro and promote bone healing in vivo. Despite the growing number of studies focusing on treating MSCs with EStim, an optimal regimen for maximizing EStim’s pro-osteogenic effect has yet to be defined.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in vitro methods using EStim utilize salt bridges submerged in the culture medium, which separates cells from metallic electrodes. The advantage of this is that delivering EStim through salt bridges eliminates the introduction of chemical byproducts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corrosion of metallic electrodes) that may be cytotoxic. Despite this advantage, salt bridges are cumbersome to work with, and the EStim they deliver differs from that delivered in in vivo models, making it difficult to correlate results obtained when using the two systems. Setups that deliver EStim via metallic or carbon electrodes fixed inside the cell culture wells (as reviewed by Hronik-Tupaj and Kaplan) better simulate devices used in vivo; however, these devices are difficult to clean/sterilize between uses and the number of cells that can be studied per experiment is limited. We designed the EStim chamber presented here specifically to address the limitations of these other setups. While most of our experience using this EStim chamber has been with 2D and 3D cultures containing bone-marrow- and adipose-tissue-derived MSCs, a major benefit of this chamber is that it is versatile and, with relatively minor changes, can be adapted to study other cell types under a variety of different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Here we describe the construction of an EStim cell culture chamber; then, we demonstrate its use by treating MSCs with different regimens of EStim and measuring the resulting effect on osteogenic differentiation. </w:t>
      </w:r>
      <w:r>
        <w:rPr>
          <w:rFonts w:ascii="Calibri" w:hAnsi="Calibri" w:cs="Calibri" w:eastAsia="Calibri"/>
          <w:color w:val="auto"/>
          <w:spacing w:val="0"/>
          <w:position w:val="0"/>
          <w:sz w:val="24"/>
          <w:shd w:fill="auto" w:val="clear"/>
        </w:rPr>
        <w:t xml:space="preserve">MSC osteogenic differentiation is assessed via calcium deposition, alkaline phosphatase activity, and osteogenic marker gene expression. Importantly, in past experiments that used this setup, we observed that these pro-osteogenic effects </w:t>
      </w:r>
      <w:r>
        <w:rPr>
          <w:rFonts w:ascii="Calibri" w:hAnsi="Calibri" w:cs="Calibri" w:eastAsia="Calibri"/>
          <w:color w:val="auto"/>
          <w:spacing w:val="0"/>
          <w:position w:val="0"/>
          <w:sz w:val="24"/>
          <w:shd w:fill="FFFFFF" w:val="clear"/>
        </w:rPr>
        <w:t xml:space="preserve">persist long after the EStim treatment was discontinued.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Construction of electrical stimulation cell culture chamber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build the EStim chamber, collect two lids of standard 6-well cell culture plates; 99.99% platinum wire, 60 cm in length with a diameter of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mm; silver-coated copper wire, 70 cm in length with a diameter of 0.6 mm; cutting pliers; soldering iron kit; one tube of superconductive glue; one wire terminal block connector, six small 2.2 V LEDs (optional); one tube of noncorrosive silicone adhesive coating (optional); one roll of black electrical insulation tape; standard, flexible, insulated copper electric wire (0.14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2 m in length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In a 6-well plate lid, mark and then drill two holes (with a diameter of ~1 mm), 25 mm apart, near the outer edge of each of the six wells (12 holes in total), as shown in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Cut twelve 5 cm lengths of platinum wire with cutting pliers. Bend each of the wires manually into an L-shape, leaving one end 3 cm long and the other 2 cm. Cut the silver-coated wire into two 35 cm lengths.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Insert the longer (3 cm) bent end of one platinum wire (from inside to out) into each drilled hole, leaving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protruding from the outside of the lid to be soldered. Secure the platinum wires in the lid holes with superconductive glue and leave it to dry for around 6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FFFF00" w:val="clear"/>
        </w:rPr>
        <w:t xml:space="preserve">Solder the tips of all six platinum wires (that will later serve as cathodes, see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protruding from the lids to one of the silver-coated wires. Repeat the same procedure, soldering the remaining six platinum wires (that will later serve as anodes) to the other silver-coated wire.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Add LEDs in the circuit between each of the six anode-cathode platinum electrode pairs, to confirm functionality during the experiments (optional). Place a piece of black insulation tape under each LED to prevent exposing the cells in the culture plates to the LED light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Glue the wire terminal block connector to the top left corner of the 6-well plate lid and connect both silver-coated wires to the input terminals, as shown 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Cut out a 20 mm x 20 mm section from the top left corner of a second 6-well plate lid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Lid Nr. 2) to accommodate the terminal block connector on the first lid. Cover the first lid, equipped with the electrodes, with the second lid and tape them together with adhesive tape.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 To improve the bonding of the two lids, use silicone adhesive coating (optional). To do so, cover the lid with the silver electrodes with a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 layer of silicone adhesive and cover it with the other lid, allowing 12 h for the adhesive to dry.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Connect one end of the two standard insulated copper wires to the output terminals of the wire connector and the other ends to banana male connectors (4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these wires depends on the distance from the shelf in the incubator, where the cells will be kept, to the power supply, outside the incubator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Adjust the dosage (voltage) and regimen of EStim delivered to the cells by regulating the DC power supply.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 Turn on the power supply by pressing the </w:t>
      </w:r>
      <w:r>
        <w:rPr>
          <w:rFonts w:ascii="Calibri" w:hAnsi="Calibri" w:cs="Calibri" w:eastAsia="Calibri"/>
          <w:b/>
          <w:color w:val="auto"/>
          <w:spacing w:val="0"/>
          <w:position w:val="0"/>
          <w:sz w:val="24"/>
          <w:shd w:fill="FFFF00" w:val="clear"/>
        </w:rPr>
        <w:t xml:space="preserve">ON/OFF</w:t>
      </w:r>
      <w:r>
        <w:rPr>
          <w:rFonts w:ascii="Calibri" w:hAnsi="Calibri" w:cs="Calibri" w:eastAsia="Calibri"/>
          <w:color w:val="auto"/>
          <w:spacing w:val="0"/>
          <w:position w:val="0"/>
          <w:sz w:val="24"/>
          <w:shd w:fill="FFFF00" w:val="clear"/>
        </w:rPr>
        <w:t xml:space="preserve"> button on the front panel. Activate channel 1 by pressing button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1.9.2. Press button Nr.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(V-set) to set the voltage. Press buttons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to set the load output at 2.5 V.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1.9.3. Ensure that the load output of 2.5 V (2,500 mV) corresponds to an EStim of 100 mV/mm, according to the following, simplified equation.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 the power supply voltage output in millivolts; = the distance between electrodes in millimeters;  = the stimulation voltage in millivolts per millimeter.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simplification applies only in case of constant DC voltage. The resistance between the medium and the cells is negligible as electrodes are not in direct contact with the cells; instead, EStim is delivered to the cells through the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Mesenchymal stem cell culture in osteogenic medium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Purchase and store commercially available rat MSCs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liquid nitrogen until the day of the experiment. Alternatively, isolate MSCs from other animals according to protocols published elsewhere in accordance with local institutional regulations for the use of experimental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On the day of the experiment, remove one vial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MSCs from the liquid nitrogen storage, and quickly (within 1 min) thaw the cells in a water bath preheated to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Under sterile conditions in a laminar flow hood, pipette the vial content into a 50 mL falcon tube and add 9 mL of normal medium (NM) prewarmed to 37 &amp;#176;C, consisting of Dulbecco’s modified Eagle’s medium (DMEM; 1x) with 10% heat-inactivated fetal bovine serum (FBS) and 1% penicillin/streptomycin solution. Pellet the cells for 5 min by centrifugation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In a laminar flow hood, remove the supernatant and carefully resuspend the cell pellet in 12 mL of NM prewarmed to 37 &amp;#176;C. Transfer the resuspended cells to a T-75 cell culture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Culture the cells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they reach an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(after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Passage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operations except centrifugation and incubation under sterile conditions in a laminar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After reaching an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retrieve the cells with cell detachment solution. Aspirate the cell culture medium, wash 2x with 1x phosphate-buffered saline (PBS), add 5 mL of 1x cell detachment solution, and return the cells to the incubator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w:t>
      </w:r>
      <w:r>
        <w:rPr>
          <w:rFonts w:ascii="Calibri" w:hAnsi="Calibri" w:cs="Calibri" w:eastAsia="Calibri"/>
          <w:color w:val="auto"/>
          <w:spacing w:val="0"/>
          <w:position w:val="0"/>
          <w:sz w:val="24"/>
          <w:shd w:fill="FFFFFF" w:val="clear"/>
        </w:rPr>
        <w:t xml:space="preserve">Once the cells are detached, add an equal amount of culture medium to inactivate</w:t>
      </w:r>
      <w:r>
        <w:rPr>
          <w:rFonts w:ascii="Calibri" w:hAnsi="Calibri" w:cs="Calibri" w:eastAsia="Calibri"/>
          <w:color w:val="auto"/>
          <w:spacing w:val="0"/>
          <w:position w:val="0"/>
          <w:sz w:val="24"/>
          <w:shd w:fill="auto" w:val="clear"/>
        </w:rPr>
        <w:t xml:space="preserve"> the detachment solution. Collect the cells in a 50 mL falcon tube and spin them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Discard the medium and resuspend cells in 1 mL of fresh normal medium. Assess the number of viable cells with trypan blue stain.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Seed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a new T-75 flask with 12 mL of prewarmed NM. Culture the cells at 37 &amp;#176;C,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they reach an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passaging (steps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can be repeated a few times until the needed number of cells is obtained. Do not use cells older than passage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Seed 9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in 3 mL of NM (10% heat-inactivated fetal bovine serum, 1% penicillin/streptomycin, DMEM) in each well of a 6-well culture plate. Incubate the cells for 1 day at 37 &amp;#176;C,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The next day, aspirate culture medium and apply 3 mL of osteogenic differentiation medium (OM; normal medium supplemented with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 dexamethasone, 10 mM &amp;#946;-glycerophosphate, and 0.05 mM ascorbic acid-2-phosphate).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Place the 6-well plate with cells in the incubator and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Treating MSCs with EStim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On the day the cells are treated with EStim, sterilize the electrodes in 70% ethanol solution for 30 min; then, dry them under UV light in a safety cabinet for an additional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 a laminar flow hood, cover the 6-well plate containing the cultured MSCs with the lid equipped with the electrodes, making sure that the electrodes are completely submerged in medium (if necessary, add medium). Transfer the covered 6-well plate (EStim chamber) with the cells to the incubator and connect its wires to the power supply.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Set the power supply to 2.5 V load output and treat the cells with EStim for 1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After stimulation, disconnect the power supply and remove the EStim chamber from the incubator. Under sterile conditions, exchange the lid equipped with electrodes with a standard 6-well plate lid.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Return the cells to the incubator and leave them overnight. Clean the electrodes, first with PBS and then with 70% ethanol solution. Clean the accumulated corrosion products from the electrode surface with fine sandpaper.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Repeat steps 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3.5 for 6 consecutive days. On day 4, prior to applying EStim and under sterile conditions, change the culture medium by aspirating 1.5 mL of medium and replacing it with 1.5 mL of prewarmed fresh 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auto" w:val="clear"/>
        </w:rPr>
        <w:t xml:space="preserve">After applying EStim for 7 consecutive days, maintain the cells in culture for an additional 7 days, exchanging the medium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Osteogenic differentiation measurements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Analyze cell morphology changes under a microscope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auto"/>
          <w:spacing w:val="0"/>
          <w:position w:val="0"/>
          <w:sz w:val="24"/>
          <w:shd w:fill="auto" w:val="clear"/>
        </w:rPr>
        <w:t xml:space="preserve">To assess the effect of EStim on MSC osteogenic differentiation, measure calcium deposition, alkaline phosphatase activity, and osteogenic marker gene expression, as described elsewhere.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effect of 100 mV/mm of EStim on the osteogenic differentiation of MSCs, cells treated with EStim for 3, 7, and 14 days or nontreated (control) were analyzed at day 14 of culturing by assessing morphological changes and calcium deposition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was done by imaging cells using bright-field microscopy (morphology changes) or by fixing cells in 4% paraformaldehyde solution, staining them with 0.02% alizarin red solution and then imaging them using bright-field microscopy (calcium deposition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analysis of osteogenic marker gene expression changes was performed at days 3, 7, and 14 of culturing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was done by measuring the relative expression of genes </w:t>
      </w:r>
      <w:r>
        <w:rPr>
          <w:rFonts w:ascii="Calibri" w:hAnsi="Calibri" w:cs="Calibri" w:eastAsia="Calibri"/>
          <w:i/>
          <w:color w:val="auto"/>
          <w:spacing w:val="0"/>
          <w:position w:val="0"/>
          <w:sz w:val="24"/>
          <w:shd w:fill="auto" w:val="clear"/>
        </w:rPr>
        <w:t xml:space="preserve">RunX2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Collagen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Osteopontin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Osterix</w:t>
      </w:r>
      <w:r>
        <w:rPr>
          <w:rFonts w:ascii="Calibri" w:hAnsi="Calibri" w:cs="Calibri" w:eastAsia="Calibri"/>
          <w:color w:val="auto"/>
          <w:spacing w:val="0"/>
          <w:position w:val="0"/>
          <w:sz w:val="24"/>
          <w:shd w:fill="auto" w:val="clear"/>
        </w:rPr>
        <w:t xml:space="preserve"> by means of RT-qPCR and the comparative delta Ct (threshold cycle values) method, where housekeeping genes </w:t>
      </w:r>
      <w:r>
        <w:rPr>
          <w:rFonts w:ascii="Calibri" w:hAnsi="Calibri" w:cs="Calibri" w:eastAsia="Calibri"/>
          <w:i/>
          <w:color w:val="auto"/>
          <w:spacing w:val="0"/>
          <w:position w:val="0"/>
          <w:sz w:val="24"/>
          <w:shd w:fill="auto" w:val="clear"/>
        </w:rPr>
        <w:t xml:space="preserve">Rplp1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Ywhaz</w:t>
      </w:r>
      <w:r>
        <w:rPr>
          <w:rFonts w:ascii="Calibri" w:hAnsi="Calibri" w:cs="Calibri" w:eastAsia="Calibri"/>
          <w:color w:val="auto"/>
          <w:spacing w:val="0"/>
          <w:position w:val="0"/>
          <w:sz w:val="24"/>
          <w:shd w:fill="auto" w:val="clear"/>
        </w:rPr>
        <w:t xml:space="preserve"> were used for normalization.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Exposing MSCs to 100 mV/mm of EStim for 3 days (1 h per day) had no effect; however, 7 days of exposure resulted in an increase in osteogenic differentiation, as determined by morphology changes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calcium deposition (</w:t>
      </w:r>
      <w:r>
        <w:rPr>
          <w:rFonts w:ascii="Calibri" w:hAnsi="Calibri" w:cs="Calibri" w:eastAsia="Calibri"/>
          <w:b/>
          <w:color w:val="auto"/>
          <w:spacing w:val="0"/>
          <w:position w:val="0"/>
          <w:sz w:val="24"/>
          <w:shd w:fill="auto" w:val="clear"/>
        </w:rPr>
        <w:t xml:space="preserve">Figure 2E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osteogenic marker gene expression changes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comparison to a time-matched control without EStim. Prolonged EStim exposure (14 days) did not further enhance the osteogenic differentiation beyond that seen after 7 days of treatment (</w:t>
      </w:r>
      <w:r>
        <w:rPr>
          <w:rFonts w:ascii="Calibri" w:hAnsi="Calibri" w:cs="Calibri" w:eastAsia="Calibri"/>
          <w:b/>
          <w:color w:val="auto"/>
          <w:spacing w:val="0"/>
          <w:position w:val="0"/>
          <w:sz w:val="24"/>
          <w:shd w:fill="auto" w:val="clear"/>
        </w:rPr>
        <w:t xml:space="preserve">Figure 2D,H</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cells treated with EStim for 7 and 14 days appeared more condensed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than those treated with EStim for 3 days or nontreated cells (</w:t>
      </w:r>
      <w:r>
        <w:rPr>
          <w:rFonts w:ascii="Calibri" w:hAnsi="Calibri" w:cs="Calibri" w:eastAsia="Calibri"/>
          <w:b/>
          <w:color w:val="auto"/>
          <w:spacing w:val="0"/>
          <w:position w:val="0"/>
          <w:sz w:val="24"/>
          <w:shd w:fill="auto" w:val="clear"/>
        </w:rPr>
        <w:t xml:space="preserve">Figure 2 A,B</w:t>
      </w:r>
      <w:r>
        <w:rPr>
          <w:rFonts w:ascii="Calibri" w:hAnsi="Calibri" w:cs="Calibri" w:eastAsia="Calibri"/>
          <w:color w:val="auto"/>
          <w:spacing w:val="0"/>
          <w:position w:val="0"/>
          <w:sz w:val="24"/>
          <w:shd w:fill="auto" w:val="clear"/>
        </w:rPr>
        <w:t xml:space="preserve">) and showed an increased calcium deposition (</w:t>
      </w:r>
      <w:r>
        <w:rPr>
          <w:rFonts w:ascii="Calibri" w:hAnsi="Calibri" w:cs="Calibri" w:eastAsia="Calibri"/>
          <w:b/>
          <w:color w:val="auto"/>
          <w:spacing w:val="0"/>
          <w:position w:val="0"/>
          <w:sz w:val="24"/>
          <w:shd w:fill="auto" w:val="clear"/>
        </w:rPr>
        <w:t xml:space="preserve">Figure 2G,H</w:t>
      </w:r>
      <w:r>
        <w:rPr>
          <w:rFonts w:ascii="Calibri" w:hAnsi="Calibri" w:cs="Calibri" w:eastAsia="Calibri"/>
          <w:color w:val="auto"/>
          <w:spacing w:val="0"/>
          <w:position w:val="0"/>
          <w:sz w:val="24"/>
          <w:shd w:fill="auto" w:val="clear"/>
        </w:rPr>
        <w:t xml:space="preserve">) compared to those treated for only 3 days or nontreated controls </w:t>
      </w:r>
      <w:r>
        <w:rPr>
          <w:rFonts w:ascii="Calibri" w:hAnsi="Calibri" w:cs="Calibri" w:eastAsia="Calibri"/>
          <w:b/>
          <w:color w:val="auto"/>
          <w:spacing w:val="0"/>
          <w:position w:val="0"/>
          <w:sz w:val="24"/>
          <w:shd w:fill="auto" w:val="clear"/>
        </w:rPr>
        <w:t xml:space="preserve">(Figure 2E,F</w:t>
      </w:r>
      <w:r>
        <w:rPr>
          <w:rFonts w:ascii="Calibri" w:hAnsi="Calibri" w:cs="Calibri" w:eastAsia="Calibri"/>
          <w:color w:val="auto"/>
          <w:spacing w:val="0"/>
          <w:position w:val="0"/>
          <w:sz w:val="24"/>
          <w:shd w:fill="auto" w:val="clear"/>
        </w:rPr>
        <w:t xml:space="preserve">). Analysis of the osteogenic marker expression at 3, 7, and 14 days of culturing confirmed the enhanced osteogenic differentiation in cells treated with EStim for 7 and 14 days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expression of osteogenic-differentiation-related marker genes </w:t>
      </w:r>
      <w:r>
        <w:rPr>
          <w:rFonts w:ascii="Calibri" w:hAnsi="Calibri" w:cs="Calibri" w:eastAsia="Calibri"/>
          <w:i/>
          <w:color w:val="auto"/>
          <w:spacing w:val="0"/>
          <w:position w:val="0"/>
          <w:sz w:val="24"/>
          <w:shd w:fill="auto" w:val="clear"/>
        </w:rPr>
        <w:t xml:space="preserve">RunX2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Collagen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Osteopontin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Osterix</w:t>
      </w:r>
      <w:r>
        <w:rPr>
          <w:rFonts w:ascii="Calibri" w:hAnsi="Calibri" w:cs="Calibri" w:eastAsia="Calibri"/>
          <w:color w:val="auto"/>
          <w:spacing w:val="0"/>
          <w:position w:val="0"/>
          <w:sz w:val="24"/>
          <w:shd w:fill="auto" w:val="clear"/>
        </w:rPr>
        <w:t xml:space="preserve"> were the highest in cells treated with EStim for 7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EStim cell culture chamber.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Electric circuit diagram of the EStim chamber showing the anodes (black), cathodes (red), and LEDs connected to the DC power supply.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the marked 6-well plate lids and L-shaped platinum electrodes (bottom view) incorporated into the 6-well plate lid.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Assembled EStim chamber (top view) with wire connector, LEDs, and electrical insulation tape that shields the cells from the LED light (arrows).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EStim cell treatment setup with the EStim chamber in the incubator connected to the DC power supply, on the outside.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 of EStim on MSC morphology and calcium deposition. </w:t>
      </w:r>
      <w:r>
        <w:rPr>
          <w:rFonts w:ascii="Calibri" w:hAnsi="Calibri" w:cs="Calibri" w:eastAsia="Calibri"/>
          <w:color w:val="auto"/>
          <w:spacing w:val="0"/>
          <w:position w:val="0"/>
          <w:sz w:val="24"/>
          <w:shd w:fill="auto" w:val="clear"/>
        </w:rPr>
        <w:t xml:space="preserve">Cells in osteogenic culture medium, exposed and not exposed (controls) to 100 mV/mm of EStim for 3, 7, and 14 days (1 h/day).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Morphology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calcium deposition (alizarin red staining) on day 14 of culturing. Significant changes in cell morphology and calcium deposits were visible in cells treated with EStim for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7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14 days (10x magnification; the scale bar = 200 &amp;#181;m). This figure was modified from Eischen-Loges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 of EStim on MSC osteogenic marker gene expression.</w:t>
      </w:r>
      <w:r>
        <w:rPr>
          <w:rFonts w:ascii="Calibri" w:hAnsi="Calibri" w:cs="Calibri" w:eastAsia="Calibri"/>
          <w:color w:val="auto"/>
          <w:spacing w:val="0"/>
          <w:position w:val="0"/>
          <w:sz w:val="24"/>
          <w:shd w:fill="auto" w:val="clear"/>
        </w:rPr>
        <w:t xml:space="preserve"> The osteogenic marker gene expression (measured with RT-qPCR at days 3, 7, and 14 of culturing) in cells treated with EStim for 3, 7, and 14 days, or nontreated.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day 7 of culturing, the </w:t>
      </w:r>
      <w:r>
        <w:rPr>
          <w:rFonts w:ascii="Calibri" w:hAnsi="Calibri" w:cs="Calibri" w:eastAsia="Calibri"/>
          <w:i/>
          <w:color w:val="auto"/>
          <w:spacing w:val="0"/>
          <w:position w:val="0"/>
          <w:sz w:val="24"/>
          <w:shd w:fill="auto" w:val="clear"/>
        </w:rPr>
        <w:t xml:space="preserve">RunX2</w:t>
      </w:r>
      <w:r>
        <w:rPr>
          <w:rFonts w:ascii="Calibri" w:hAnsi="Calibri" w:cs="Calibri" w:eastAsia="Calibri"/>
          <w:color w:val="auto"/>
          <w:spacing w:val="0"/>
          <w:position w:val="0"/>
          <w:sz w:val="24"/>
          <w:shd w:fill="auto" w:val="clear"/>
        </w:rPr>
        <w:t xml:space="preserve"> expression was significantly higher in cells treated with EStim for 7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ColIa1</w:t>
      </w:r>
      <w:r>
        <w:rPr>
          <w:rFonts w:ascii="Calibri" w:hAnsi="Calibri" w:cs="Calibri" w:eastAsia="Calibri"/>
          <w:color w:val="auto"/>
          <w:spacing w:val="0"/>
          <w:position w:val="0"/>
          <w:sz w:val="24"/>
          <w:shd w:fill="auto" w:val="clear"/>
        </w:rPr>
        <w:t xml:space="preserve"> expression was significantly higher in cells treated for 7 days, measured at day 14 of culturing.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expression of </w:t>
      </w:r>
      <w:r>
        <w:rPr>
          <w:rFonts w:ascii="Calibri" w:hAnsi="Calibri" w:cs="Calibri" w:eastAsia="Calibri"/>
          <w:i/>
          <w:color w:val="auto"/>
          <w:spacing w:val="0"/>
          <w:position w:val="0"/>
          <w:sz w:val="24"/>
          <w:shd w:fill="auto" w:val="clear"/>
        </w:rPr>
        <w:t xml:space="preserve">Osteopontin</w:t>
      </w:r>
      <w:r>
        <w:rPr>
          <w:rFonts w:ascii="Calibri" w:hAnsi="Calibri" w:cs="Calibri" w:eastAsia="Calibri"/>
          <w:color w:val="auto"/>
          <w:spacing w:val="0"/>
          <w:position w:val="0"/>
          <w:sz w:val="24"/>
          <w:shd w:fill="auto" w:val="clear"/>
        </w:rPr>
        <w:t xml:space="preserve"> was significantly increased in EStim-treated cells at days 3, 7, and 14 of culturing.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Osterix</w:t>
      </w:r>
      <w:r>
        <w:rPr>
          <w:rFonts w:ascii="Calibri" w:hAnsi="Calibri" w:cs="Calibri" w:eastAsia="Calibri"/>
          <w:color w:val="auto"/>
          <w:spacing w:val="0"/>
          <w:position w:val="0"/>
          <w:sz w:val="24"/>
          <w:shd w:fill="auto" w:val="clear"/>
        </w:rPr>
        <w:t xml:space="preserve"> expression was absent in control cells at all time points and was seen only at 7 and 14 days of culture in cells exposed to EStim. Different letters on the bars indicate significant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differences among groups at the same time point. The asterisk indicates significant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differences between time points within the same group. This figure was modified from Eischen-Loges et 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ijbwerijbwerijbwerijbweijrbwer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construction of a chamber and a method for treating mesenchymal stem cells with EStim that results in enhanced osteogenic differentiation.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EStim setup presented does not require special equipment/knowledge and can be performed in a standard stem cell biology/biochemistry laboratory by junior researchers. However, </w:t>
      </w:r>
      <w:r>
        <w:rPr>
          <w:rFonts w:ascii="Calibri" w:hAnsi="Calibri" w:cs="Calibri" w:eastAsia="Calibri"/>
          <w:color w:val="auto"/>
          <w:spacing w:val="0"/>
          <w:position w:val="0"/>
          <w:sz w:val="24"/>
          <w:shd w:fill="auto" w:val="clear"/>
        </w:rPr>
        <w:t xml:space="preserve">when building and using the EStim chamber, special care must be taken in a few critical steps. When handling the platinum electrodes, extra care must be taken as this metal is very malleable and delicate. While other metals, such as steel or tungsten, can be used, these are not recommended as they are prone to corrosion, which can be cytotoxic. Also, cleaning/sterilizing the lid with the electrodes</w:t>
      </w:r>
      <w:r>
        <w:rPr>
          <w:rFonts w:ascii="Calibri" w:hAnsi="Calibri" w:cs="Calibri" w:eastAsia="Calibri"/>
          <w:color w:val="auto"/>
          <w:spacing w:val="0"/>
          <w:position w:val="0"/>
          <w:sz w:val="24"/>
          <w:shd w:fill="FFFFFF" w:val="clear"/>
        </w:rPr>
        <w:t xml:space="preserve"> must be performed as precisely as described in the protocol since this method has been tested repeatedly and found to be effective in eliminating problems with contamination. </w:t>
      </w:r>
      <w:r>
        <w:rPr>
          <w:rFonts w:ascii="Calibri" w:hAnsi="Calibri" w:cs="Calibri" w:eastAsia="Calibri"/>
          <w:color w:val="auto"/>
          <w:spacing w:val="0"/>
          <w:position w:val="0"/>
          <w:sz w:val="24"/>
          <w:shd w:fill="auto" w:val="clear"/>
        </w:rPr>
        <w:t xml:space="preserve">Finally, while this chamber could be used </w:t>
      </w:r>
      <w:r>
        <w:rPr>
          <w:rFonts w:ascii="Calibri" w:hAnsi="Calibri" w:cs="Calibri" w:eastAsia="Calibri"/>
          <w:color w:val="auto"/>
          <w:spacing w:val="0"/>
          <w:position w:val="0"/>
          <w:sz w:val="24"/>
          <w:shd w:fill="FFFFFF" w:val="clear"/>
        </w:rPr>
        <w:t xml:space="preserve">to study </w:t>
      </w:r>
      <w:r>
        <w:rPr>
          <w:rFonts w:ascii="Calibri" w:hAnsi="Calibri" w:cs="Calibri" w:eastAsia="Calibri"/>
          <w:color w:val="auto"/>
          <w:spacing w:val="0"/>
          <w:position w:val="0"/>
          <w:sz w:val="24"/>
          <w:shd w:fill="auto" w:val="clear"/>
        </w:rPr>
        <w:t xml:space="preserve">other EStim-sensitive cell activities like migration, proliferation, apoptosis, cell membrane voltages, and scaffold adhesion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EStim protocol we describe here (</w:t>
      </w:r>
      <w:r>
        <w:rPr>
          <w:rFonts w:ascii="Calibri" w:hAnsi="Calibri" w:cs="Calibri" w:eastAsia="Calibri"/>
          <w:color w:val="auto"/>
          <w:spacing w:val="0"/>
          <w:position w:val="0"/>
          <w:sz w:val="24"/>
          <w:shd w:fill="FFFFFF" w:val="clear"/>
        </w:rPr>
        <w:t xml:space="preserve">100 mV/mm, 1 h/day, 7 days) focused only on osteogenic differentiation in rat MSCs. </w:t>
      </w:r>
      <w:r>
        <w:rPr>
          <w:rFonts w:ascii="Calibri" w:hAnsi="Calibri" w:cs="Calibri" w:eastAsia="Calibri"/>
          <w:color w:val="auto"/>
          <w:spacing w:val="0"/>
          <w:position w:val="0"/>
          <w:sz w:val="24"/>
          <w:shd w:fill="auto" w:val="clear"/>
        </w:rPr>
        <w:t xml:space="preserve">Special attention should be given if higher voltages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mV/mm) and/or longer durations of EStim (&amp;gt;4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are applied since cytotoxic products resulting from electrolysis can accumulate in the medium. In this case, the medium must be carefully monitored and exchanged accordingly. </w:t>
      </w:r>
      <w:r>
        <w:rPr>
          <w:rFonts w:ascii="Calibri" w:hAnsi="Calibri" w:cs="Calibri" w:eastAsia="Calibri"/>
          <w:color w:val="auto"/>
          <w:spacing w:val="0"/>
          <w:position w:val="0"/>
          <w:sz w:val="24"/>
          <w:shd w:fill="FFFFFF" w:val="clear"/>
        </w:rPr>
        <w:t xml:space="preserve">To study other parameters and/or other cell types and conditions, we recommend that separate dosage (voltage) and regimen titration studies be conducted as these changes can affect how cells respond to EStim.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Possible malfunctioning of the EStim chamber can be due to breaks in the electrical circuitry after repeated use and can be monitored via the added LED lamps. In case of breakage (indicated by nonilluminated LED light[s]), the lid can be removed and easily disassembled to identify and repair the break. In addition, the simple design of the EStim chamber makes it easy to modify it according to the needs of different experimental setups and methods of the analysis. Examples include using different sizes of cell culture plates, by simply varying the length of and the distance between the electrodes or adding different (3D) culture conditions with ceramic scaffold material or conductive substrates, by simply placing these materials seeded with cells between the electrodes.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As in all in vitro experiments, cell behaviors and functions observed/induced in the EStim chamber are not always directly transferable to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 Accordingly, when interpreting the EStim-induced cell behaviors/functions in the chamber, researchers must always take this into consideration.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setup and method presented here have many advantages over other in vitro methods used to expose cells to EStim (systems with salt bridges and systems with electrodes incorporated in cell culture wells An important advantage of the system described here is that, </w:t>
      </w:r>
      <w:r>
        <w:rPr>
          <w:rFonts w:ascii="Calibri" w:hAnsi="Calibri" w:cs="Calibri" w:eastAsia="Calibri"/>
          <w:color w:val="auto"/>
          <w:spacing w:val="0"/>
          <w:position w:val="0"/>
          <w:sz w:val="24"/>
          <w:shd w:fill="FFFFFF" w:val="clear"/>
        </w:rPr>
        <w:t xml:space="preserve">since the cells are cultured in standard 6-well plates, they can be used after EStim treatment in other in vivo or in vitro protocols</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In addition, the fact that electrodes are fixed on the lid of the 6-well plate makes it easy to clean and sterilize the device between experiments and to reuse it. Finally, the ability to simultaneously stimulate cells in six wells provides ample material for analysis and reproducibility.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gain a better understanding of the mechanisms at the cellular membrane level by which EStim affects cell activities in ongoing studies using the chamber described here, we are exploring the relationship between externally delivered EStim and cell membrane potential (V</w:t>
      </w:r>
      <w:r>
        <w:rPr>
          <w:rFonts w:ascii="Calibri" w:hAnsi="Calibri" w:cs="Calibri" w:eastAsia="Calibri"/>
          <w:color w:val="auto"/>
          <w:spacing w:val="0"/>
          <w:position w:val="0"/>
          <w:sz w:val="24"/>
          <w:shd w:fill="auto" w:val="clear"/>
          <w:vertAlign w:val="subscript"/>
        </w:rPr>
        <w:t xml:space="preserve">mem</w:t>
      </w:r>
      <w:r>
        <w:rPr>
          <w:rFonts w:ascii="Calibri" w:hAnsi="Calibri" w:cs="Calibri" w:eastAsia="Calibri"/>
          <w:color w:val="auto"/>
          <w:spacing w:val="0"/>
          <w:position w:val="0"/>
          <w:sz w:val="24"/>
          <w:shd w:fill="auto" w:val="clear"/>
        </w:rPr>
        <w:t xml:space="preserve">). In addition, based on previous findings, in future studies, we will </w:t>
      </w:r>
      <w:r>
        <w:rPr>
          <w:rFonts w:ascii="Calibri" w:hAnsi="Calibri" w:cs="Calibri" w:eastAsia="Calibri"/>
          <w:color w:val="auto"/>
          <w:spacing w:val="0"/>
          <w:position w:val="0"/>
          <w:sz w:val="24"/>
          <w:shd w:fill="FFFFFF" w:val="clear"/>
        </w:rPr>
        <w:t xml:space="preserve">pretreat the cells with EStim in the chamber, alone and with different 3D scaffolds, and with </w:t>
      </w:r>
      <w:r>
        <w:rPr>
          <w:rFonts w:ascii="Calibri" w:hAnsi="Calibri" w:cs="Calibri" w:eastAsia="Calibri"/>
          <w:color w:val="auto"/>
          <w:spacing w:val="0"/>
          <w:position w:val="0"/>
          <w:sz w:val="24"/>
          <w:shd w:fill="auto" w:val="clear"/>
        </w:rPr>
        <w:t xml:space="preserve">conductive substrates,</w:t>
      </w:r>
      <w:r>
        <w:rPr>
          <w:rFonts w:ascii="Calibri" w:hAnsi="Calibri" w:cs="Calibri" w:eastAsia="Calibri"/>
          <w:color w:val="auto"/>
          <w:spacing w:val="0"/>
          <w:position w:val="0"/>
          <w:sz w:val="24"/>
          <w:shd w:fill="FFFFFF" w:val="clear"/>
        </w:rPr>
        <w:t xml:space="preserve"> to stimulate specific cell functions; then,</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we will implant them into animal models to determine if they retain the observed enhanced functions in vivo. </w:t>
      </w:r>
      <w:r>
        <w:rPr>
          <w:rFonts w:ascii="Calibri" w:hAnsi="Calibri" w:cs="Calibri" w:eastAsia="Calibri"/>
          <w:color w:val="auto"/>
          <w:spacing w:val="0"/>
          <w:position w:val="0"/>
          <w:sz w:val="24"/>
          <w:shd w:fill="auto" w:val="clear"/>
        </w:rPr>
        <w:t xml:space="preserve">These studies will contribute to the growing body of information about the mechanisms by which EStim regulate cell function and, in doing so, could contribute to optimizing cell therapy approaches in regenerative medicine and tissue-engineering-based treatments.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tabs>
          <w:tab w:val="left" w:pos="664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tab/>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work was supported in part by an AO Foundation Start-Up Grant (S-14-03H) and the Friedrichsheim Foundation (Stiftung Friedrichsheim) based in Frankfurt/Main, Germany.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97" w:leader="none"/>
        </w:tabs>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