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9EC" w:rsidRPr="00116970" w:rsidRDefault="008949EC" w:rsidP="008949EC">
      <w:pPr>
        <w:pStyle w:val="NoSpacing"/>
      </w:pPr>
      <w:r w:rsidRPr="00116970">
        <w:t>F</w:t>
      </w:r>
      <w:r>
        <w:t>rom:</w:t>
      </w:r>
      <w:r w:rsidRPr="00116970">
        <w:tab/>
        <w:t>Dr. Jeroen A.A. Demmers</w:t>
      </w:r>
    </w:p>
    <w:p w:rsidR="008949EC" w:rsidRPr="00116970" w:rsidRDefault="008949EC" w:rsidP="008949EC">
      <w:pPr>
        <w:pStyle w:val="NoSpacing"/>
        <w:ind w:left="708"/>
        <w:rPr>
          <w:lang w:val="en-US"/>
        </w:rPr>
      </w:pPr>
      <w:r w:rsidRPr="00116970">
        <w:rPr>
          <w:lang w:val="en-US"/>
        </w:rPr>
        <w:t>Erasmus University Medical Center</w:t>
      </w:r>
      <w:r w:rsidR="00CD2519">
        <w:rPr>
          <w:lang w:val="en-US"/>
        </w:rPr>
        <w:t>, Rotterdam</w:t>
      </w:r>
    </w:p>
    <w:p w:rsidR="008949EC" w:rsidRPr="00116970" w:rsidRDefault="00A35027" w:rsidP="008949EC">
      <w:pPr>
        <w:pStyle w:val="NoSpacing"/>
        <w:ind w:left="708"/>
        <w:rPr>
          <w:lang w:val="en-US"/>
        </w:rPr>
      </w:pPr>
      <w:hyperlink r:id="rId8" w:history="1">
        <w:r w:rsidR="008949EC" w:rsidRPr="000606DC">
          <w:rPr>
            <w:rStyle w:val="Hyperlink"/>
            <w:lang w:val="en-US"/>
          </w:rPr>
          <w:t>j.demmers@erasmusmc.nl</w:t>
        </w:r>
      </w:hyperlink>
    </w:p>
    <w:p w:rsidR="008949EC" w:rsidRDefault="008949EC" w:rsidP="008949EC">
      <w:pPr>
        <w:pStyle w:val="NoSpacing"/>
        <w:rPr>
          <w:lang w:val="en-US"/>
        </w:rPr>
      </w:pPr>
    </w:p>
    <w:p w:rsidR="008949EC" w:rsidRPr="00BF6F70" w:rsidRDefault="008949EC" w:rsidP="008949EC">
      <w:pPr>
        <w:pStyle w:val="NoSpacing"/>
        <w:rPr>
          <w:lang w:val="en-US"/>
        </w:rPr>
      </w:pPr>
      <w:r>
        <w:rPr>
          <w:lang w:val="en-US"/>
        </w:rPr>
        <w:t xml:space="preserve">To: </w:t>
      </w:r>
      <w:r>
        <w:rPr>
          <w:lang w:val="en-US"/>
        </w:rPr>
        <w:tab/>
        <w:t>Dr. Phillip Steindel</w:t>
      </w:r>
    </w:p>
    <w:p w:rsidR="008949EC" w:rsidRDefault="008949EC" w:rsidP="008949EC">
      <w:pPr>
        <w:pStyle w:val="NoSpacing"/>
        <w:ind w:firstLine="708"/>
        <w:rPr>
          <w:lang w:val="en-US"/>
        </w:rPr>
      </w:pPr>
      <w:r w:rsidRPr="00BF6F70">
        <w:rPr>
          <w:lang w:val="en-US"/>
        </w:rPr>
        <w:t>Review Editor</w:t>
      </w:r>
      <w:r>
        <w:rPr>
          <w:lang w:val="en-US"/>
        </w:rPr>
        <w:t xml:space="preserve"> </w:t>
      </w:r>
      <w:r w:rsidRPr="00282357">
        <w:rPr>
          <w:i/>
          <w:lang w:val="en-US"/>
        </w:rPr>
        <w:t>JoVE</w:t>
      </w:r>
      <w:r>
        <w:rPr>
          <w:lang w:val="en-US"/>
        </w:rPr>
        <w:tab/>
      </w:r>
    </w:p>
    <w:p w:rsidR="003702C5" w:rsidRDefault="003702C5" w:rsidP="008949EC"/>
    <w:p w:rsidR="003702C5" w:rsidRDefault="000F2B79" w:rsidP="008949EC">
      <w:pPr>
        <w:rPr>
          <w:i/>
          <w:lang w:val="nl-NL"/>
        </w:rPr>
      </w:pPr>
      <w:r>
        <w:rPr>
          <w:i/>
          <w:lang w:val="nl-NL"/>
        </w:rPr>
        <w:t>Rotterdam, 4</w:t>
      </w:r>
      <w:r w:rsidRPr="000F2B79">
        <w:rPr>
          <w:i/>
          <w:vertAlign w:val="superscript"/>
          <w:lang w:val="nl-NL"/>
        </w:rPr>
        <w:t>th</w:t>
      </w:r>
      <w:r>
        <w:rPr>
          <w:i/>
          <w:lang w:val="nl-NL"/>
        </w:rPr>
        <w:t xml:space="preserve"> </w:t>
      </w:r>
      <w:r w:rsidR="008949EC" w:rsidRPr="003702C5">
        <w:rPr>
          <w:i/>
          <w:lang w:val="nl-NL"/>
        </w:rPr>
        <w:t>December 2019</w:t>
      </w:r>
    </w:p>
    <w:p w:rsidR="007B1205" w:rsidRPr="007B1205" w:rsidRDefault="007B1205" w:rsidP="008949EC">
      <w:pPr>
        <w:rPr>
          <w:i/>
          <w:lang w:val="nl-NL"/>
        </w:rPr>
      </w:pPr>
    </w:p>
    <w:p w:rsidR="008949EC" w:rsidRPr="000F2B79" w:rsidRDefault="008949EC" w:rsidP="008949EC">
      <w:r w:rsidRPr="000F2B79">
        <w:t xml:space="preserve">Dear Dr. Steindel, </w:t>
      </w:r>
    </w:p>
    <w:p w:rsidR="00CE62D7" w:rsidRDefault="008949EC" w:rsidP="00CE62D7">
      <w:r>
        <w:t xml:space="preserve">Thank you for your letter and </w:t>
      </w:r>
      <w:r w:rsidR="004366F2">
        <w:t xml:space="preserve">the positive </w:t>
      </w:r>
      <w:r w:rsidR="00CE62D7">
        <w:t>reviewers’</w:t>
      </w:r>
      <w:r>
        <w:t xml:space="preserve"> reports</w:t>
      </w:r>
      <w:r w:rsidR="004366F2">
        <w:t xml:space="preserve"> of our manuscript entitled </w:t>
      </w:r>
      <w:r w:rsidR="004366F2" w:rsidRPr="008F0690">
        <w:t>“</w:t>
      </w:r>
      <w:r w:rsidR="004366F2" w:rsidRPr="008E085A">
        <w:rPr>
          <w:i/>
        </w:rPr>
        <w:t xml:space="preserve">Detection of </w:t>
      </w:r>
      <w:r w:rsidR="004366F2">
        <w:rPr>
          <w:i/>
        </w:rPr>
        <w:t>ubiquitination</w:t>
      </w:r>
      <w:r w:rsidR="004366F2" w:rsidRPr="008E085A">
        <w:rPr>
          <w:i/>
        </w:rPr>
        <w:t xml:space="preserve"> sites in proteins by peptide enrichment and mass spectrometry</w:t>
      </w:r>
      <w:r w:rsidR="004366F2" w:rsidRPr="008F0690">
        <w:t>”</w:t>
      </w:r>
      <w:r w:rsidR="003702C5">
        <w:t xml:space="preserve">, </w:t>
      </w:r>
      <w:r w:rsidR="004366F2">
        <w:t xml:space="preserve">authored by </w:t>
      </w:r>
      <w:r w:rsidR="004366F2" w:rsidRPr="002C2BCD">
        <w:rPr>
          <w:u w:val="single"/>
        </w:rPr>
        <w:t>Karel Bezstarosti</w:t>
      </w:r>
      <w:r w:rsidR="004366F2">
        <w:rPr>
          <w:u w:val="single"/>
        </w:rPr>
        <w:t>,</w:t>
      </w:r>
      <w:r w:rsidR="004366F2" w:rsidRPr="002C2BCD">
        <w:rPr>
          <w:u w:val="single"/>
        </w:rPr>
        <w:t xml:space="preserve"> </w:t>
      </w:r>
      <w:r w:rsidR="004366F2">
        <w:rPr>
          <w:u w:val="single"/>
        </w:rPr>
        <w:t>Lennart van der Wal</w:t>
      </w:r>
      <w:r w:rsidR="004366F2" w:rsidRPr="002C2BCD">
        <w:rPr>
          <w:u w:val="single"/>
        </w:rPr>
        <w:t xml:space="preserve"> and Jeroen A. A. Demmers</w:t>
      </w:r>
      <w:r w:rsidR="004366F2">
        <w:t xml:space="preserve"> (</w:t>
      </w:r>
      <w:r w:rsidR="004366F2" w:rsidRPr="00997024">
        <w:t>JoVE59079)</w:t>
      </w:r>
      <w:r>
        <w:t xml:space="preserve">. I am grateful for the suggestions proposed by the </w:t>
      </w:r>
      <w:r w:rsidR="00CE62D7">
        <w:t>reviewers</w:t>
      </w:r>
      <w:r w:rsidR="003702C5">
        <w:t xml:space="preserve"> and I feel that the revisions make </w:t>
      </w:r>
      <w:r w:rsidR="00CE62D7">
        <w:t>the manuscript</w:t>
      </w:r>
      <w:r w:rsidR="003702C5">
        <w:t xml:space="preserve"> both </w:t>
      </w:r>
      <w:r w:rsidR="004366F2">
        <w:t>stronger and better readable</w:t>
      </w:r>
      <w:r>
        <w:t>. Please find below the detailed point-to-point replies to the</w:t>
      </w:r>
      <w:r w:rsidR="00CE62D7">
        <w:t>ir</w:t>
      </w:r>
      <w:r>
        <w:t xml:space="preserve"> questions and suggestions</w:t>
      </w:r>
      <w:r w:rsidR="00CE62D7">
        <w:t>.</w:t>
      </w:r>
      <w:r>
        <w:t xml:space="preserve"> </w:t>
      </w:r>
      <w:r w:rsidR="00CE62D7">
        <w:t>Also, t</w:t>
      </w:r>
      <w:r w:rsidR="00CE62D7">
        <w:t>he manuscript has been edited in such a way that there is no textual more overlap to previously published reports.</w:t>
      </w:r>
    </w:p>
    <w:p w:rsidR="008949EC" w:rsidRDefault="00143869" w:rsidP="008949EC">
      <w:r>
        <w:t xml:space="preserve">I have enclosed </w:t>
      </w:r>
      <w:r w:rsidR="004366F2">
        <w:t xml:space="preserve">two versions of the </w:t>
      </w:r>
      <w:r>
        <w:t xml:space="preserve">revised </w:t>
      </w:r>
      <w:r w:rsidR="008949EC" w:rsidRPr="008F0690">
        <w:t>manuscript</w:t>
      </w:r>
      <w:r w:rsidR="004366F2">
        <w:t xml:space="preserve">: one clean version and one version with all </w:t>
      </w:r>
      <w:r w:rsidR="003702C5">
        <w:t xml:space="preserve">the </w:t>
      </w:r>
      <w:r w:rsidR="004366F2">
        <w:t xml:space="preserve">changes </w:t>
      </w:r>
      <w:r w:rsidR="003702C5">
        <w:t xml:space="preserve">that were made </w:t>
      </w:r>
      <w:r w:rsidR="004366F2">
        <w:t xml:space="preserve">indicated (track changes). </w:t>
      </w:r>
    </w:p>
    <w:p w:rsidR="008949EC" w:rsidRDefault="004366F2" w:rsidP="008949EC">
      <w:r>
        <w:t xml:space="preserve">Briefly, </w:t>
      </w:r>
      <w:r w:rsidR="00FD29E2">
        <w:t xml:space="preserve">we describe </w:t>
      </w:r>
      <w:r w:rsidR="008949EC">
        <w:t xml:space="preserve">significant improvements to methods for the purification and detection of </w:t>
      </w:r>
      <w:r w:rsidR="008949EC" w:rsidRPr="002F1FA5">
        <w:t>K-ε-</w:t>
      </w:r>
      <w:r w:rsidR="008949EC">
        <w:t xml:space="preserve">diglycine (diGly) containing peptides that result from tryptic analysis of ubiquitinated proteins. </w:t>
      </w:r>
      <w:r w:rsidR="008949EC" w:rsidRPr="002F1FA5">
        <w:t xml:space="preserve">The use of immunopurification </w:t>
      </w:r>
      <w:r w:rsidR="008949EC">
        <w:t>of diGly</w:t>
      </w:r>
      <w:r w:rsidR="008949EC" w:rsidRPr="002F1FA5">
        <w:t xml:space="preserve"> peptides</w:t>
      </w:r>
      <w:r w:rsidR="008949EC">
        <w:t xml:space="preserve"> and mass spectrometry to identify sites of ubiquitination</w:t>
      </w:r>
      <w:r w:rsidR="008949EC" w:rsidRPr="002F1FA5">
        <w:t xml:space="preserve"> has resulted in an explosion of the number of identified sites over the past five years</w:t>
      </w:r>
      <w:r w:rsidR="00CE62D7">
        <w:t xml:space="preserve">. Thanks to the improvements described here, we </w:t>
      </w:r>
      <w:r w:rsidR="008949EC">
        <w:t xml:space="preserve">can now </w:t>
      </w:r>
      <w:r w:rsidR="008949EC" w:rsidRPr="002F1FA5">
        <w:t>routinely detect over 2</w:t>
      </w:r>
      <w:r w:rsidR="008949EC">
        <w:t>3</w:t>
      </w:r>
      <w:r w:rsidR="008949EC" w:rsidRPr="002F1FA5">
        <w:t>,</w:t>
      </w:r>
      <w:r w:rsidR="00CE62D7">
        <w:t>0</w:t>
      </w:r>
      <w:r w:rsidR="008949EC" w:rsidRPr="002F1FA5">
        <w:t xml:space="preserve">00 diGly modified peptides from a single HeLa </w:t>
      </w:r>
      <w:r w:rsidR="008949EC">
        <w:t xml:space="preserve">lysate </w:t>
      </w:r>
      <w:r w:rsidR="008949EC" w:rsidRPr="002F1FA5">
        <w:t>sample. We show the efficacy of this strategy for proteins from lysates of both non-labeled and metabolically labeled (SILAC) human cell lines</w:t>
      </w:r>
      <w:r w:rsidR="007B1205">
        <w:t xml:space="preserve"> and from </w:t>
      </w:r>
      <w:r w:rsidR="008949EC" w:rsidRPr="002F1FA5">
        <w:t xml:space="preserve">endogenous </w:t>
      </w:r>
      <w:r w:rsidR="008949EC" w:rsidRPr="001409D0">
        <w:rPr>
          <w:i/>
        </w:rPr>
        <w:t>in vivo</w:t>
      </w:r>
      <w:r w:rsidR="008949EC" w:rsidRPr="002F1FA5">
        <w:t xml:space="preserve"> samples.</w:t>
      </w:r>
      <w:r w:rsidR="007B1205">
        <w:t xml:space="preserve"> T</w:t>
      </w:r>
      <w:r w:rsidR="008949EC">
        <w:t xml:space="preserve">his study presents a valuable </w:t>
      </w:r>
      <w:r w:rsidR="008949EC" w:rsidRPr="002F1FA5">
        <w:t xml:space="preserve">addition to the toolbox for </w:t>
      </w:r>
      <w:r w:rsidR="008949EC">
        <w:t>ubiquitination</w:t>
      </w:r>
      <w:r w:rsidR="008949EC" w:rsidRPr="002F1FA5">
        <w:t xml:space="preserve"> site analysis to uncover the deep ubiquitinome</w:t>
      </w:r>
      <w:r w:rsidR="008949EC">
        <w:t xml:space="preserve">. A detailed description of the protocol and visualization of experimental details will be helpful to </w:t>
      </w:r>
      <w:r w:rsidR="008949EC" w:rsidRPr="00F541C6">
        <w:rPr>
          <w:i/>
        </w:rPr>
        <w:t>JoVE</w:t>
      </w:r>
      <w:r w:rsidR="008949EC">
        <w:t xml:space="preserve"> readers and viewers who wish to study posttranslational modification by mass spectrometry. </w:t>
      </w:r>
    </w:p>
    <w:p w:rsidR="008949EC" w:rsidRPr="0065646D" w:rsidRDefault="008949EC" w:rsidP="008949EC">
      <w:r w:rsidRPr="0065646D">
        <w:t xml:space="preserve">The manuscript is accompanied by </w:t>
      </w:r>
      <w:r w:rsidR="00FD29E2">
        <w:t>five</w:t>
      </w:r>
      <w:r>
        <w:t xml:space="preserve"> figures</w:t>
      </w:r>
      <w:r w:rsidR="00FD29E2">
        <w:t>, one more than in the previous version</w:t>
      </w:r>
      <w:r w:rsidR="003702C5">
        <w:t xml:space="preserve">, as suggested by both referees. </w:t>
      </w:r>
      <w:r>
        <w:t>Part</w:t>
      </w:r>
      <w:r w:rsidR="004601F2">
        <w:t>s</w:t>
      </w:r>
      <w:r>
        <w:t xml:space="preserve"> of </w:t>
      </w:r>
      <w:r w:rsidR="004601F2">
        <w:t xml:space="preserve">the results described in this </w:t>
      </w:r>
      <w:r>
        <w:t xml:space="preserve">manuscript and </w:t>
      </w:r>
      <w:r w:rsidR="004601F2">
        <w:t xml:space="preserve">of the </w:t>
      </w:r>
      <w:r>
        <w:t xml:space="preserve">accompanying data </w:t>
      </w:r>
      <w:r w:rsidR="004601F2">
        <w:t xml:space="preserve">have </w:t>
      </w:r>
      <w:r>
        <w:t xml:space="preserve">been published in the </w:t>
      </w:r>
      <w:r w:rsidRPr="00D411E3">
        <w:rPr>
          <w:i/>
        </w:rPr>
        <w:t>Journal of Proteomics</w:t>
      </w:r>
      <w:r w:rsidR="004601F2">
        <w:t>. W</w:t>
      </w:r>
      <w:r>
        <w:t xml:space="preserve">e have made the appropriate references in the manuscript. </w:t>
      </w:r>
    </w:p>
    <w:p w:rsidR="008949EC" w:rsidRPr="0065646D" w:rsidRDefault="00FD29E2" w:rsidP="008949EC">
      <w:r>
        <w:t xml:space="preserve">Thank </w:t>
      </w:r>
      <w:r w:rsidR="008949EC" w:rsidRPr="0065646D">
        <w:t>you for taking thi</w:t>
      </w:r>
      <w:r>
        <w:t xml:space="preserve">s submission into consideration </w:t>
      </w:r>
      <w:r w:rsidR="00911ADF">
        <w:t>–</w:t>
      </w:r>
      <w:r w:rsidR="008949EC" w:rsidRPr="0065646D">
        <w:t xml:space="preserve"> </w:t>
      </w:r>
      <w:r w:rsidR="00911ADF">
        <w:t xml:space="preserve">my apologies for the delay. </w:t>
      </w:r>
      <w:r w:rsidR="008949EC" w:rsidRPr="0065646D">
        <w:t xml:space="preserve">I look forward to hearing from you. </w:t>
      </w:r>
    </w:p>
    <w:p w:rsidR="008949EC" w:rsidRDefault="008949EC" w:rsidP="00637A34">
      <w:r w:rsidRPr="0065646D">
        <w:t xml:space="preserve">Yours sincerely, </w:t>
      </w:r>
    </w:p>
    <w:p w:rsidR="008949EC" w:rsidRDefault="008949EC" w:rsidP="008949EC">
      <w:r>
        <w:rPr>
          <w:noProof/>
        </w:rPr>
        <w:drawing>
          <wp:inline distT="0" distB="0" distL="0" distR="0" wp14:anchorId="08B75250" wp14:editId="7BDD699A">
            <wp:extent cx="1244600" cy="6146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tekening Demmer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9" cy="623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512">
        <w:t xml:space="preserve"> </w:t>
      </w:r>
    </w:p>
    <w:p w:rsidR="008949EC" w:rsidRPr="0065646D" w:rsidRDefault="008949EC" w:rsidP="008949EC">
      <w:pPr>
        <w:pStyle w:val="NoSpacing"/>
        <w:rPr>
          <w:lang w:val="en-US"/>
        </w:rPr>
      </w:pPr>
      <w:r w:rsidRPr="00116970">
        <w:rPr>
          <w:lang w:val="en-US"/>
        </w:rPr>
        <w:t>Dr. Jeroen A.A. Demmers</w:t>
      </w:r>
    </w:p>
    <w:p w:rsidR="002752AB" w:rsidRDefault="002752AB">
      <w:pPr>
        <w:rPr>
          <w:b/>
        </w:rPr>
      </w:pPr>
      <w:r>
        <w:rPr>
          <w:b/>
        </w:rPr>
        <w:lastRenderedPageBreak/>
        <w:t>Point-to-point replies to the editorial and the reviewers’ comments</w:t>
      </w:r>
    </w:p>
    <w:p w:rsidR="002752AB" w:rsidRDefault="002752AB">
      <w:pPr>
        <w:rPr>
          <w:b/>
        </w:rPr>
      </w:pPr>
    </w:p>
    <w:p w:rsidR="00236550" w:rsidRDefault="00236550">
      <w:pPr>
        <w:rPr>
          <w:b/>
        </w:rPr>
      </w:pPr>
      <w:r>
        <w:rPr>
          <w:b/>
        </w:rPr>
        <w:t>Editorial comments</w:t>
      </w:r>
    </w:p>
    <w:p w:rsidR="00236550" w:rsidRDefault="00236550">
      <w:r w:rsidRPr="00236550">
        <w:t xml:space="preserve">We have </w:t>
      </w:r>
      <w:r>
        <w:t xml:space="preserve">adapted the manuscript and solved all the issues that were raised. </w:t>
      </w:r>
    </w:p>
    <w:p w:rsidR="00236550" w:rsidRDefault="00236550" w:rsidP="008A07B5">
      <w:pPr>
        <w:ind w:left="360"/>
      </w:pPr>
      <w:r>
        <w:t xml:space="preserve">General: </w:t>
      </w:r>
    </w:p>
    <w:p w:rsidR="00236550" w:rsidRDefault="00236550" w:rsidP="008A07B5">
      <w:pPr>
        <w:pStyle w:val="ListParagraph"/>
        <w:numPr>
          <w:ilvl w:val="0"/>
          <w:numId w:val="2"/>
        </w:numPr>
        <w:ind w:left="1080"/>
      </w:pPr>
      <w:r>
        <w:t>Done</w:t>
      </w:r>
      <w:r w:rsidR="00F34F54">
        <w:t>.</w:t>
      </w:r>
    </w:p>
    <w:p w:rsidR="00236550" w:rsidRDefault="00236550" w:rsidP="008A07B5">
      <w:pPr>
        <w:pStyle w:val="ListParagraph"/>
        <w:numPr>
          <w:ilvl w:val="0"/>
          <w:numId w:val="2"/>
        </w:numPr>
        <w:ind w:left="1080"/>
      </w:pPr>
      <w:r>
        <w:t>Done</w:t>
      </w:r>
      <w:r w:rsidR="00F34F54">
        <w:t>.</w:t>
      </w:r>
    </w:p>
    <w:p w:rsidR="00236550" w:rsidRDefault="00236550" w:rsidP="008A07B5">
      <w:pPr>
        <w:pStyle w:val="ListParagraph"/>
        <w:numPr>
          <w:ilvl w:val="0"/>
          <w:numId w:val="2"/>
        </w:numPr>
        <w:ind w:left="1080"/>
      </w:pPr>
      <w:r>
        <w:t xml:space="preserve">All commercial language was removed from the manuscript and moved to the Materials &amp; Reagents Table. </w:t>
      </w:r>
    </w:p>
    <w:p w:rsidR="00236550" w:rsidRDefault="00236550" w:rsidP="008A07B5">
      <w:pPr>
        <w:ind w:left="360"/>
      </w:pPr>
      <w:r>
        <w:t xml:space="preserve">Protocol: </w:t>
      </w:r>
    </w:p>
    <w:p w:rsidR="00236550" w:rsidRDefault="00236550" w:rsidP="008A07B5">
      <w:pPr>
        <w:pStyle w:val="ListParagraph"/>
        <w:numPr>
          <w:ilvl w:val="0"/>
          <w:numId w:val="3"/>
        </w:numPr>
        <w:ind w:left="1080"/>
      </w:pPr>
      <w:r>
        <w:t>We have scrutinized the protocol text and converted it into a better readable protocol with a logical sequence of steps and sub</w:t>
      </w:r>
      <w:r w:rsidR="00460F44">
        <w:t>-</w:t>
      </w:r>
      <w:r>
        <w:t xml:space="preserve">steps. </w:t>
      </w:r>
    </w:p>
    <w:p w:rsidR="00236550" w:rsidRDefault="00236550" w:rsidP="008A07B5">
      <w:pPr>
        <w:ind w:left="360"/>
      </w:pPr>
      <w:r>
        <w:t xml:space="preserve">Figures and tables: </w:t>
      </w:r>
    </w:p>
    <w:p w:rsidR="00236550" w:rsidRDefault="00236550" w:rsidP="008A07B5">
      <w:pPr>
        <w:pStyle w:val="ListParagraph"/>
        <w:numPr>
          <w:ilvl w:val="0"/>
          <w:numId w:val="4"/>
        </w:numPr>
        <w:ind w:left="1080"/>
      </w:pPr>
      <w:r>
        <w:t xml:space="preserve">‘Supplementary Table 5” was renamed to ‘Supplementary Table 1’. </w:t>
      </w:r>
    </w:p>
    <w:p w:rsidR="00236550" w:rsidRDefault="00236550" w:rsidP="008A07B5">
      <w:pPr>
        <w:pStyle w:val="ListParagraph"/>
        <w:numPr>
          <w:ilvl w:val="0"/>
          <w:numId w:val="4"/>
        </w:numPr>
        <w:ind w:left="1080"/>
      </w:pPr>
      <w:r>
        <w:t xml:space="preserve">Figures are now uploaded separately and the titles (i.e. ‘FIGURE </w:t>
      </w:r>
      <w:r w:rsidR="00460F44">
        <w:t>.</w:t>
      </w:r>
      <w:r>
        <w:t xml:space="preserve">..’) were removed from the figures themselves. </w:t>
      </w:r>
    </w:p>
    <w:p w:rsidR="00236550" w:rsidRDefault="008A07B5" w:rsidP="008A07B5">
      <w:pPr>
        <w:pStyle w:val="ListParagraph"/>
        <w:numPr>
          <w:ilvl w:val="0"/>
          <w:numId w:val="4"/>
        </w:numPr>
        <w:ind w:left="1080"/>
      </w:pPr>
      <w:r>
        <w:t xml:space="preserve">Explicit copyright permission was obtained. Appropriate editor letters are submitted with this manuscript. </w:t>
      </w:r>
    </w:p>
    <w:p w:rsidR="008A07B5" w:rsidRDefault="008A07B5" w:rsidP="008A07B5">
      <w:pPr>
        <w:ind w:left="360"/>
      </w:pPr>
      <w:r>
        <w:t xml:space="preserve">References: </w:t>
      </w:r>
    </w:p>
    <w:p w:rsidR="008A07B5" w:rsidRDefault="008A07B5" w:rsidP="008A07B5">
      <w:pPr>
        <w:pStyle w:val="ListParagraph"/>
        <w:numPr>
          <w:ilvl w:val="0"/>
          <w:numId w:val="5"/>
        </w:numPr>
        <w:ind w:left="1080"/>
      </w:pPr>
      <w:r>
        <w:t xml:space="preserve">Only full journal titles are used now. </w:t>
      </w:r>
    </w:p>
    <w:p w:rsidR="008A07B5" w:rsidRDefault="008A07B5" w:rsidP="008A07B5">
      <w:pPr>
        <w:ind w:left="360"/>
      </w:pPr>
      <w:r>
        <w:t xml:space="preserve">Table of Materials: </w:t>
      </w:r>
    </w:p>
    <w:p w:rsidR="008A07B5" w:rsidRPr="00236550" w:rsidRDefault="008A07B5" w:rsidP="008A07B5">
      <w:pPr>
        <w:pStyle w:val="ListParagraph"/>
        <w:numPr>
          <w:ilvl w:val="0"/>
          <w:numId w:val="6"/>
        </w:numPr>
        <w:ind w:left="1080"/>
      </w:pPr>
      <w:r>
        <w:t xml:space="preserve">The table was updated and completed. </w:t>
      </w:r>
    </w:p>
    <w:p w:rsidR="00236550" w:rsidRDefault="00236550">
      <w:pPr>
        <w:rPr>
          <w:b/>
        </w:rPr>
      </w:pPr>
    </w:p>
    <w:p w:rsidR="008A07B5" w:rsidRDefault="008A07B5">
      <w:pPr>
        <w:rPr>
          <w:b/>
        </w:rPr>
      </w:pPr>
      <w:r>
        <w:rPr>
          <w:b/>
        </w:rPr>
        <w:br w:type="page"/>
      </w:r>
    </w:p>
    <w:p w:rsidR="003B052A" w:rsidRPr="0045081B" w:rsidRDefault="0045081B">
      <w:pPr>
        <w:rPr>
          <w:b/>
        </w:rPr>
      </w:pPr>
      <w:r w:rsidRPr="0045081B">
        <w:rPr>
          <w:b/>
        </w:rPr>
        <w:lastRenderedPageBreak/>
        <w:t>Reviewer #1</w:t>
      </w:r>
      <w:r w:rsidR="00395B53">
        <w:rPr>
          <w:b/>
        </w:rPr>
        <w:t xml:space="preserve"> comments</w:t>
      </w:r>
    </w:p>
    <w:p w:rsidR="008A07B5" w:rsidRDefault="008A07B5">
      <w:pPr>
        <w:rPr>
          <w:u w:val="single"/>
        </w:rPr>
      </w:pPr>
      <w:r>
        <w:t xml:space="preserve">We are happy with the positive </w:t>
      </w:r>
      <w:r w:rsidR="00D1266C">
        <w:t>report</w:t>
      </w:r>
      <w:r>
        <w:t xml:space="preserve"> of the reviewer and thank him/her for the feedback. Below, we will reply in detail to all questions raised. </w:t>
      </w:r>
    </w:p>
    <w:p w:rsidR="0045081B" w:rsidRPr="0045081B" w:rsidRDefault="0045081B">
      <w:pPr>
        <w:rPr>
          <w:u w:val="single"/>
        </w:rPr>
      </w:pPr>
      <w:r w:rsidRPr="0045081B">
        <w:rPr>
          <w:u w:val="single"/>
        </w:rPr>
        <w:t>Major concerns</w:t>
      </w:r>
    </w:p>
    <w:p w:rsidR="003B052A" w:rsidRDefault="003B052A" w:rsidP="00896CC5">
      <w:pPr>
        <w:pStyle w:val="ListParagraph"/>
        <w:numPr>
          <w:ilvl w:val="0"/>
          <w:numId w:val="1"/>
        </w:numPr>
      </w:pPr>
      <w:r>
        <w:t>We have used proteasome inhibitors to increase the number of diGly peptides and ubiquitination sites in order to devel</w:t>
      </w:r>
      <w:r w:rsidR="005C0AEE">
        <w:t>o</w:t>
      </w:r>
      <w:r>
        <w:t xml:space="preserve">p and optimize a robust protocol for the enrichment and detection of such modified peptides. </w:t>
      </w:r>
      <w:r w:rsidR="005C0AEE">
        <w:t xml:space="preserve">The incubation time was optimized to maximize the number of ubiquitination events, while keeping the cells </w:t>
      </w:r>
      <w:r w:rsidR="00896CC5">
        <w:t>alive.</w:t>
      </w:r>
      <w:r w:rsidR="005C0AEE">
        <w:t xml:space="preserve"> </w:t>
      </w:r>
      <w:r w:rsidR="00896CC5">
        <w:t xml:space="preserve">We – and others - have </w:t>
      </w:r>
      <w:r w:rsidR="00247C9E">
        <w:t>observed</w:t>
      </w:r>
      <w:r w:rsidR="00896CC5">
        <w:t xml:space="preserve"> that longer periods </w:t>
      </w:r>
      <w:r w:rsidR="00D40653">
        <w:t xml:space="preserve">(&gt;16 h) </w:t>
      </w:r>
      <w:r w:rsidR="00896CC5">
        <w:t xml:space="preserve">of proteasome inhibition result in the upregulation of apoptotic proteins and </w:t>
      </w:r>
      <w:r w:rsidR="00E75AFE">
        <w:t>subsequent</w:t>
      </w:r>
      <w:r w:rsidR="00896CC5">
        <w:t xml:space="preserve"> cell death (</w:t>
      </w:r>
      <w:r w:rsidR="00A46C16">
        <w:t xml:space="preserve">e.g., </w:t>
      </w:r>
      <w:r w:rsidR="00896CC5">
        <w:t>Sap, et al., Journal of Proteome Research</w:t>
      </w:r>
      <w:r w:rsidR="00A46C16">
        <w:t>,</w:t>
      </w:r>
      <w:r w:rsidR="00896CC5">
        <w:t xml:space="preserve"> 2017). </w:t>
      </w:r>
    </w:p>
    <w:p w:rsidR="00514D84" w:rsidRDefault="00514D84" w:rsidP="00514D84">
      <w:pPr>
        <w:pStyle w:val="ListParagraph"/>
      </w:pPr>
    </w:p>
    <w:p w:rsidR="00514D84" w:rsidRDefault="00247C9E" w:rsidP="00247C9E">
      <w:pPr>
        <w:pStyle w:val="ListParagraph"/>
      </w:pPr>
      <w:r>
        <w:t xml:space="preserve">In another study, we </w:t>
      </w:r>
      <w:r w:rsidR="00514D84">
        <w:t xml:space="preserve">have </w:t>
      </w:r>
      <w:r>
        <w:t xml:space="preserve">observed </w:t>
      </w:r>
      <w:r w:rsidR="00514D84">
        <w:t xml:space="preserve">that subtle perturbations of the UPS system (e.g. knocking down a single DUB) results in </w:t>
      </w:r>
      <w:r w:rsidR="00031359">
        <w:t>only subtle modulation of the ubiquitinome (</w:t>
      </w:r>
      <w:r w:rsidR="00031359" w:rsidRPr="00031359">
        <w:rPr>
          <w:i/>
        </w:rPr>
        <w:t>unpublished results</w:t>
      </w:r>
      <w:r w:rsidR="00031359">
        <w:t xml:space="preserve">). </w:t>
      </w:r>
      <w:r w:rsidR="00514D84">
        <w:t>Apparently, the effects of proteasome inhibition on the UPS</w:t>
      </w:r>
      <w:r w:rsidR="00B35223">
        <w:t xml:space="preserve"> and the ubiquitinome</w:t>
      </w:r>
      <w:r w:rsidR="00514D84">
        <w:t xml:space="preserve"> are so dramatic that </w:t>
      </w:r>
      <w:r w:rsidR="008614A1">
        <w:t>subtler</w:t>
      </w:r>
      <w:r w:rsidR="00514D84">
        <w:t xml:space="preserve"> changes imposed by e.g. a single knockdown </w:t>
      </w:r>
      <w:r w:rsidR="00C22050">
        <w:t xml:space="preserve">could easily be </w:t>
      </w:r>
      <w:r w:rsidR="00514D84">
        <w:t xml:space="preserve">masked. For this reason, we have chosen </w:t>
      </w:r>
      <w:r w:rsidR="00514D84" w:rsidRPr="00C22050">
        <w:rPr>
          <w:i/>
        </w:rPr>
        <w:t>not</w:t>
      </w:r>
      <w:r w:rsidR="00514D84">
        <w:t xml:space="preserve"> to use </w:t>
      </w:r>
      <w:r w:rsidR="008403FE">
        <w:t>proteasome inhibit</w:t>
      </w:r>
      <w:r w:rsidR="00B35223">
        <w:t xml:space="preserve">ors </w:t>
      </w:r>
      <w:r w:rsidR="00F3054A">
        <w:t>to accumulat</w:t>
      </w:r>
      <w:r w:rsidR="00C22050">
        <w:t xml:space="preserve">e </w:t>
      </w:r>
      <w:r w:rsidR="00F3054A">
        <w:t xml:space="preserve">putative targets </w:t>
      </w:r>
      <w:r w:rsidR="008403FE">
        <w:t xml:space="preserve">in such </w:t>
      </w:r>
      <w:r w:rsidR="00C22050">
        <w:t>knockdown assays</w:t>
      </w:r>
      <w:r w:rsidR="008403FE">
        <w:t>, but to perform the sample preparation steps as quickly as possible</w:t>
      </w:r>
      <w:r w:rsidR="00B35223">
        <w:t xml:space="preserve"> to avoid side effects by </w:t>
      </w:r>
      <w:r w:rsidR="00F3054A">
        <w:t xml:space="preserve">ligase or DUB activity during these steps. </w:t>
      </w:r>
      <w:r w:rsidR="00247565">
        <w:t xml:space="preserve">Immediate cell lysis by urea </w:t>
      </w:r>
      <w:r w:rsidR="000B76E6">
        <w:t xml:space="preserve">or detergent containing lysis buffers </w:t>
      </w:r>
      <w:r w:rsidR="00247565">
        <w:t>should denature proteins rapidly</w:t>
      </w:r>
      <w:r w:rsidR="000B76E6">
        <w:t xml:space="preserve"> and </w:t>
      </w:r>
      <w:r w:rsidR="00D06702">
        <w:t>stop</w:t>
      </w:r>
      <w:r w:rsidR="000B76E6">
        <w:t xml:space="preserve"> DUB activity</w:t>
      </w:r>
      <w:r w:rsidR="00247565">
        <w:t xml:space="preserve">. </w:t>
      </w:r>
    </w:p>
    <w:p w:rsidR="00BC2EA0" w:rsidRDefault="00BC2EA0" w:rsidP="00247C9E">
      <w:pPr>
        <w:pStyle w:val="ListParagraph"/>
      </w:pPr>
    </w:p>
    <w:p w:rsidR="00BC2EA0" w:rsidRDefault="00BC2EA0" w:rsidP="00247C9E">
      <w:pPr>
        <w:pStyle w:val="ListParagraph"/>
      </w:pPr>
      <w:r>
        <w:t xml:space="preserve">We do not have experience with </w:t>
      </w:r>
      <w:r w:rsidR="003A624C">
        <w:t xml:space="preserve">the </w:t>
      </w:r>
      <w:r>
        <w:t>PROTAC</w:t>
      </w:r>
      <w:r w:rsidR="00DA02E5">
        <w:t xml:space="preserve"> </w:t>
      </w:r>
      <w:r w:rsidR="003A624C">
        <w:t xml:space="preserve">system </w:t>
      </w:r>
      <w:r w:rsidR="00DA02E5">
        <w:t xml:space="preserve">ourselves and cannot judge whether proteasome inhibitors would be useful here. </w:t>
      </w:r>
    </w:p>
    <w:p w:rsidR="00D415E7" w:rsidRDefault="00D415E7" w:rsidP="00D415E7">
      <w:pPr>
        <w:pStyle w:val="ListParagraph"/>
      </w:pPr>
    </w:p>
    <w:p w:rsidR="00FD5129" w:rsidRDefault="00FD5129" w:rsidP="00FD5129">
      <w:pPr>
        <w:pStyle w:val="ListParagraph"/>
        <w:numPr>
          <w:ilvl w:val="0"/>
          <w:numId w:val="1"/>
        </w:numPr>
      </w:pPr>
      <w:r>
        <w:t>The reviewer is right in that the information about</w:t>
      </w:r>
      <w:r w:rsidR="001626E3">
        <w:t xml:space="preserve"> the</w:t>
      </w:r>
      <w:r>
        <w:t xml:space="preserve"> ex</w:t>
      </w:r>
      <w:r w:rsidR="00973BD4">
        <w:t>p</w:t>
      </w:r>
      <w:r>
        <w:t>ected out</w:t>
      </w:r>
      <w:r w:rsidR="00973BD4">
        <w:t>c</w:t>
      </w:r>
      <w:r>
        <w:t xml:space="preserve">ome </w:t>
      </w:r>
      <w:r w:rsidR="00973BD4">
        <w:t>i</w:t>
      </w:r>
      <w:r>
        <w:t xml:space="preserve">s somewhat scattered throughout the manuscript. </w:t>
      </w:r>
      <w:r w:rsidR="00973BD4">
        <w:t xml:space="preserve">In order to clarify this, we have now </w:t>
      </w:r>
      <w:r>
        <w:t xml:space="preserve">included a </w:t>
      </w:r>
      <w:r w:rsidR="002974B6">
        <w:t xml:space="preserve">short </w:t>
      </w:r>
      <w:r>
        <w:t>table of expected numbers of diGly peptide identifications based on the amount of starting material (mg of dry protein)</w:t>
      </w:r>
      <w:r w:rsidR="002974B6">
        <w:t xml:space="preserve"> when using the described protocol</w:t>
      </w:r>
      <w:r w:rsidR="001626E3">
        <w:t xml:space="preserve">, i.e. </w:t>
      </w:r>
      <w:r w:rsidR="001626E3" w:rsidRPr="001626E3">
        <w:rPr>
          <w:b/>
        </w:rPr>
        <w:t>Table 1</w:t>
      </w:r>
      <w:r w:rsidR="00204398" w:rsidRPr="00204398">
        <w:t xml:space="preserve"> in the manuscript</w:t>
      </w:r>
      <w:r w:rsidR="00204398">
        <w:t xml:space="preserve"> (</w:t>
      </w:r>
      <w:r w:rsidR="00204398" w:rsidRPr="00204398">
        <w:t>copied below</w:t>
      </w:r>
      <w:r w:rsidR="00204398">
        <w:t>)</w:t>
      </w:r>
      <w:r>
        <w:t xml:space="preserve">. </w:t>
      </w:r>
      <w:r w:rsidR="00973BD4">
        <w:t xml:space="preserve">The numbers </w:t>
      </w:r>
      <w:r w:rsidR="00204398">
        <w:t xml:space="preserve">in this table </w:t>
      </w:r>
      <w:r w:rsidR="00973BD4">
        <w:t xml:space="preserve">are based on large numbers of replicate analyses performed in our laboratory. </w:t>
      </w:r>
    </w:p>
    <w:p w:rsidR="00131F15" w:rsidRDefault="00131F15" w:rsidP="007564D5">
      <w:pPr>
        <w:pStyle w:val="ListParagraph"/>
      </w:pPr>
    </w:p>
    <w:p w:rsidR="002974B6" w:rsidRDefault="002974B6">
      <w:r>
        <w:br w:type="page"/>
      </w:r>
    </w:p>
    <w:p w:rsidR="002974B6" w:rsidRPr="00747CF5" w:rsidRDefault="00747CF5" w:rsidP="00C90516">
      <w:pPr>
        <w:ind w:firstLine="720"/>
        <w:rPr>
          <w:b/>
          <w:u w:val="single"/>
        </w:rPr>
      </w:pPr>
      <w:r>
        <w:rPr>
          <w:b/>
          <w:u w:val="single"/>
        </w:rPr>
        <w:lastRenderedPageBreak/>
        <w:t>Table 1</w:t>
      </w:r>
    </w:p>
    <w:tbl>
      <w:tblPr>
        <w:tblW w:w="8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180"/>
        <w:gridCol w:w="3060"/>
      </w:tblGrid>
      <w:tr w:rsidR="002974B6" w:rsidRPr="002974B6" w:rsidTr="00FC3DE7">
        <w:trPr>
          <w:trHeight w:val="574"/>
          <w:jc w:val="center"/>
        </w:trPr>
        <w:tc>
          <w:tcPr>
            <w:tcW w:w="3397" w:type="dxa"/>
            <w:shd w:val="clear" w:color="000000" w:fill="000000"/>
            <w:vAlign w:val="center"/>
            <w:hideMark/>
          </w:tcPr>
          <w:p w:rsidR="002974B6" w:rsidRPr="002974B6" w:rsidRDefault="005C7004" w:rsidP="005C7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</w:rPr>
              <w:t>Sample, c</w:t>
            </w:r>
            <w:r w:rsidR="002974B6" w:rsidRPr="002974B6">
              <w:rPr>
                <w:rFonts w:ascii="Calibri" w:eastAsia="Times New Roman" w:hAnsi="Calibri" w:cs="Calibri"/>
                <w:b/>
                <w:bCs/>
                <w:color w:val="FFFFFF"/>
                <w:sz w:val="18"/>
              </w:rPr>
              <w:t>ondition</w:t>
            </w:r>
          </w:p>
        </w:tc>
        <w:tc>
          <w:tcPr>
            <w:tcW w:w="2180" w:type="dxa"/>
            <w:shd w:val="clear" w:color="000000" w:fill="000000"/>
            <w:vAlign w:val="center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</w:rPr>
            </w:pPr>
            <w:r w:rsidRPr="002974B6">
              <w:rPr>
                <w:rFonts w:ascii="Calibri" w:eastAsia="Times New Roman" w:hAnsi="Calibri" w:cs="Calibri"/>
                <w:b/>
                <w:bCs/>
                <w:color w:val="FFFFFF"/>
                <w:sz w:val="18"/>
              </w:rPr>
              <w:t>Amount of input material (mg)</w:t>
            </w:r>
          </w:p>
        </w:tc>
        <w:tc>
          <w:tcPr>
            <w:tcW w:w="3060" w:type="dxa"/>
            <w:shd w:val="clear" w:color="000000" w:fill="000000"/>
            <w:vAlign w:val="center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</w:rPr>
            </w:pPr>
            <w:r w:rsidRPr="002974B6">
              <w:rPr>
                <w:rFonts w:ascii="Calibri" w:eastAsia="Times New Roman" w:hAnsi="Calibri" w:cs="Calibri"/>
                <w:b/>
                <w:bCs/>
                <w:color w:val="FFFFFF"/>
                <w:sz w:val="18"/>
              </w:rPr>
              <w:t>Expected number of identified diGly peptides</w:t>
            </w:r>
          </w:p>
        </w:tc>
      </w:tr>
      <w:tr w:rsidR="002974B6" w:rsidRPr="002974B6" w:rsidTr="00FC3DE7">
        <w:trPr>
          <w:trHeight w:val="287"/>
          <w:jc w:val="center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74B6" w:rsidRPr="002974B6" w:rsidTr="00FC3DE7">
        <w:trPr>
          <w:trHeight w:val="287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2974B6" w:rsidRPr="002974B6" w:rsidRDefault="002974B6" w:rsidP="002974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2974B6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Untreated HeLa cells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2974B6" w:rsidRPr="002974B6" w:rsidRDefault="002974B6" w:rsidP="002974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74B6" w:rsidRPr="002974B6" w:rsidTr="00FC3DE7">
        <w:trPr>
          <w:trHeight w:val="287"/>
          <w:jc w:val="center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2974B6" w:rsidRPr="002974B6" w:rsidRDefault="005C7004" w:rsidP="00297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204398">
              <w:rPr>
                <w:rFonts w:ascii="Calibri" w:eastAsia="Times New Roman" w:hAnsi="Calibri" w:cs="Calibri"/>
                <w:color w:val="000000"/>
                <w:sz w:val="18"/>
              </w:rPr>
              <w:t>10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2974B6">
              <w:rPr>
                <w:rFonts w:ascii="Calibri" w:eastAsia="Times New Roman" w:hAnsi="Calibri" w:cs="Calibri"/>
                <w:color w:val="000000"/>
                <w:sz w:val="18"/>
              </w:rPr>
              <w:t>7,500</w:t>
            </w:r>
          </w:p>
        </w:tc>
      </w:tr>
      <w:tr w:rsidR="002974B6" w:rsidRPr="002974B6" w:rsidTr="00FC3DE7">
        <w:trPr>
          <w:trHeight w:val="287"/>
          <w:jc w:val="center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74B6" w:rsidRPr="002974B6" w:rsidTr="00FC3DE7">
        <w:trPr>
          <w:trHeight w:val="287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2974B6" w:rsidRPr="002974B6" w:rsidRDefault="002974B6" w:rsidP="002974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2974B6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Proteasome inhibitor treated HeLa cells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74B6" w:rsidRPr="002974B6" w:rsidTr="00FC3DE7">
        <w:trPr>
          <w:trHeight w:val="287"/>
          <w:jc w:val="center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2974B6">
              <w:rPr>
                <w:rFonts w:ascii="Calibri" w:eastAsia="Times New Roman" w:hAnsi="Calibri" w:cs="Calibri"/>
                <w:color w:val="000000"/>
                <w:sz w:val="18"/>
              </w:rPr>
              <w:t>1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2974B6">
              <w:rPr>
                <w:rFonts w:ascii="Calibri" w:eastAsia="Times New Roman" w:hAnsi="Calibri" w:cs="Calibri"/>
                <w:color w:val="000000"/>
                <w:sz w:val="18"/>
              </w:rPr>
              <w:t>2,500</w:t>
            </w:r>
          </w:p>
        </w:tc>
      </w:tr>
      <w:tr w:rsidR="002974B6" w:rsidRPr="002974B6" w:rsidTr="00FC3DE7">
        <w:trPr>
          <w:trHeight w:val="287"/>
          <w:jc w:val="center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2974B6">
              <w:rPr>
                <w:rFonts w:ascii="Calibri" w:eastAsia="Times New Roman" w:hAnsi="Calibri" w:cs="Calibri"/>
                <w:color w:val="000000"/>
                <w:sz w:val="18"/>
              </w:rPr>
              <w:t>2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2974B6">
              <w:rPr>
                <w:rFonts w:ascii="Calibri" w:eastAsia="Times New Roman" w:hAnsi="Calibri" w:cs="Calibri"/>
                <w:color w:val="000000"/>
                <w:sz w:val="18"/>
              </w:rPr>
              <w:t>5,000</w:t>
            </w:r>
          </w:p>
        </w:tc>
      </w:tr>
      <w:tr w:rsidR="002974B6" w:rsidRPr="002974B6" w:rsidTr="00FC3DE7">
        <w:trPr>
          <w:trHeight w:val="287"/>
          <w:jc w:val="center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2974B6">
              <w:rPr>
                <w:rFonts w:ascii="Calibri" w:eastAsia="Times New Roman" w:hAnsi="Calibri" w:cs="Calibri"/>
                <w:color w:val="000000"/>
                <w:sz w:val="18"/>
              </w:rPr>
              <w:t>10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2974B6">
              <w:rPr>
                <w:rFonts w:ascii="Calibri" w:eastAsia="Times New Roman" w:hAnsi="Calibri" w:cs="Calibri"/>
                <w:color w:val="000000"/>
                <w:sz w:val="18"/>
              </w:rPr>
              <w:t>15,000</w:t>
            </w:r>
          </w:p>
        </w:tc>
      </w:tr>
      <w:tr w:rsidR="002974B6" w:rsidRPr="002974B6" w:rsidTr="00FC3DE7">
        <w:trPr>
          <w:trHeight w:val="287"/>
          <w:jc w:val="center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2974B6">
              <w:rPr>
                <w:rFonts w:ascii="Calibri" w:eastAsia="Times New Roman" w:hAnsi="Calibri" w:cs="Calibri"/>
                <w:color w:val="000000"/>
                <w:sz w:val="18"/>
              </w:rPr>
              <w:t>20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2974B6">
              <w:rPr>
                <w:rFonts w:ascii="Calibri" w:eastAsia="Times New Roman" w:hAnsi="Calibri" w:cs="Calibri"/>
                <w:color w:val="000000"/>
                <w:sz w:val="18"/>
              </w:rPr>
              <w:t>20,000</w:t>
            </w:r>
          </w:p>
        </w:tc>
      </w:tr>
      <w:tr w:rsidR="002974B6" w:rsidRPr="002974B6" w:rsidTr="00FC3DE7">
        <w:trPr>
          <w:trHeight w:val="287"/>
          <w:jc w:val="center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2974B6">
              <w:rPr>
                <w:rFonts w:ascii="Calibri" w:eastAsia="Times New Roman" w:hAnsi="Calibri" w:cs="Calibri"/>
                <w:color w:val="000000"/>
                <w:sz w:val="18"/>
              </w:rPr>
              <w:t>40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2974B6">
              <w:rPr>
                <w:rFonts w:ascii="Calibri" w:eastAsia="Times New Roman" w:hAnsi="Calibri" w:cs="Calibri"/>
                <w:color w:val="000000"/>
                <w:sz w:val="18"/>
              </w:rPr>
              <w:t>&gt;25,000</w:t>
            </w:r>
          </w:p>
        </w:tc>
      </w:tr>
      <w:tr w:rsidR="002974B6" w:rsidRPr="002974B6" w:rsidTr="00FC3DE7">
        <w:trPr>
          <w:trHeight w:val="287"/>
          <w:jc w:val="center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74B6" w:rsidRPr="002974B6" w:rsidTr="00FC3DE7">
        <w:trPr>
          <w:trHeight w:val="287"/>
          <w:jc w:val="center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2974B6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Tissue (mouse brain)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74B6" w:rsidRPr="002974B6" w:rsidTr="00FC3DE7">
        <w:trPr>
          <w:trHeight w:val="287"/>
          <w:jc w:val="center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2974B6">
              <w:rPr>
                <w:rFonts w:ascii="Calibri" w:eastAsia="Times New Roman" w:hAnsi="Calibri" w:cs="Calibri"/>
                <w:color w:val="000000"/>
                <w:sz w:val="18"/>
              </w:rPr>
              <w:t>30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:rsidR="002974B6" w:rsidRPr="002974B6" w:rsidRDefault="002974B6" w:rsidP="00297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2974B6">
              <w:rPr>
                <w:rFonts w:ascii="Calibri" w:eastAsia="Times New Roman" w:hAnsi="Calibri" w:cs="Calibri"/>
                <w:color w:val="000000"/>
                <w:sz w:val="18"/>
              </w:rPr>
              <w:t>&gt;10,000</w:t>
            </w:r>
          </w:p>
        </w:tc>
      </w:tr>
    </w:tbl>
    <w:p w:rsidR="008D3DC4" w:rsidRDefault="008D3DC4" w:rsidP="008D3DC4"/>
    <w:p w:rsidR="008D3DC4" w:rsidRDefault="00C467E8" w:rsidP="008D3DC4">
      <w:pPr>
        <w:pStyle w:val="ListParagraph"/>
        <w:numPr>
          <w:ilvl w:val="0"/>
          <w:numId w:val="1"/>
        </w:numPr>
      </w:pPr>
      <w:r>
        <w:t xml:space="preserve">We agree with the reviewer that the information in the </w:t>
      </w:r>
      <w:r w:rsidR="0022504C">
        <w:t>original</w:t>
      </w:r>
      <w:r>
        <w:t xml:space="preserve"> Figure 2 is somewhat </w:t>
      </w:r>
      <w:r w:rsidR="0019645F">
        <w:t xml:space="preserve">scattered and </w:t>
      </w:r>
      <w:r>
        <w:t xml:space="preserve">unclear. Therefore, we have decided to re-analyze </w:t>
      </w:r>
      <w:r w:rsidR="0019645F">
        <w:t>the source data</w:t>
      </w:r>
      <w:r>
        <w:t xml:space="preserve"> and to generate a completely novel Figure 2,</w:t>
      </w:r>
      <w:r w:rsidR="00F20A58">
        <w:t xml:space="preserve"> which now consists of several</w:t>
      </w:r>
      <w:r>
        <w:t xml:space="preserve"> Venn diagram</w:t>
      </w:r>
      <w:r w:rsidR="00F20A58">
        <w:t>s</w:t>
      </w:r>
      <w:r>
        <w:t xml:space="preserve"> based on the very same data set as the previous Figure 2 and including some additional information. </w:t>
      </w:r>
      <w:r w:rsidR="0019645F">
        <w:t xml:space="preserve">We feel that </w:t>
      </w:r>
      <w:r w:rsidR="00F20A58">
        <w:t xml:space="preserve">this Figure is clearer to the reader and that the reader is now better of capable to judge to what extent the different steps in the process are useful. </w:t>
      </w:r>
    </w:p>
    <w:p w:rsidR="00D415E7" w:rsidRDefault="00D415E7" w:rsidP="00D415E7">
      <w:pPr>
        <w:pStyle w:val="ListParagraph"/>
      </w:pPr>
    </w:p>
    <w:p w:rsidR="00D415E7" w:rsidRDefault="003628CA" w:rsidP="00D415E7">
      <w:pPr>
        <w:pStyle w:val="ListParagraph"/>
        <w:numPr>
          <w:ilvl w:val="0"/>
          <w:numId w:val="1"/>
        </w:numPr>
      </w:pPr>
      <w:r>
        <w:t>We have included a paragraph on the use of diGly enrichment in combination with multipl</w:t>
      </w:r>
      <w:r w:rsidR="00D521D9">
        <w:t>e</w:t>
      </w:r>
      <w:r>
        <w:t xml:space="preserve">xing (TMT labeling) for quantitative purposes, as well as a reference to </w:t>
      </w:r>
      <w:r w:rsidR="00D946DF">
        <w:t xml:space="preserve">pioneering </w:t>
      </w:r>
      <w:r>
        <w:t xml:space="preserve">work of the Gygi Lab. </w:t>
      </w:r>
      <w:r w:rsidR="0061722E">
        <w:t xml:space="preserve">We agree with the Reviewer that this is a very powerful approach. </w:t>
      </w:r>
      <w:r>
        <w:t xml:space="preserve">In fact, </w:t>
      </w:r>
      <w:r w:rsidR="0061722E">
        <w:t>w</w:t>
      </w:r>
      <w:r w:rsidR="00E276BE">
        <w:t xml:space="preserve">e have </w:t>
      </w:r>
      <w:r w:rsidR="0061722E">
        <w:t xml:space="preserve">introduced </w:t>
      </w:r>
      <w:r w:rsidR="00E276BE">
        <w:t xml:space="preserve">this </w:t>
      </w:r>
      <w:r w:rsidR="0061722E">
        <w:t xml:space="preserve">method in our own work recently </w:t>
      </w:r>
      <w:r w:rsidR="00E276BE">
        <w:t>and obtained similar results</w:t>
      </w:r>
      <w:r w:rsidR="0061722E">
        <w:t xml:space="preserve"> to the ones published</w:t>
      </w:r>
      <w:r w:rsidR="00E276BE">
        <w:t xml:space="preserve">. </w:t>
      </w:r>
      <w:r w:rsidR="0061722E">
        <w:t xml:space="preserve">This is work in progress in our lab and will </w:t>
      </w:r>
      <w:r w:rsidR="00055826">
        <w:t xml:space="preserve">hopefully </w:t>
      </w:r>
      <w:r w:rsidR="0061722E">
        <w:t xml:space="preserve">soon be published in a separate paper. </w:t>
      </w:r>
    </w:p>
    <w:p w:rsidR="00D415E7" w:rsidRPr="000F2B79" w:rsidRDefault="00D415E7" w:rsidP="00D415E7">
      <w:pPr>
        <w:pStyle w:val="NoSpacing"/>
        <w:rPr>
          <w:lang w:val="en-US"/>
        </w:rPr>
      </w:pPr>
    </w:p>
    <w:p w:rsidR="008D3DC4" w:rsidRDefault="007526C2" w:rsidP="008D3DC4">
      <w:pPr>
        <w:pStyle w:val="ListParagraph"/>
        <w:numPr>
          <w:ilvl w:val="0"/>
          <w:numId w:val="1"/>
        </w:numPr>
      </w:pPr>
      <w:r>
        <w:t xml:space="preserve">We have investigated the use of DUB inhibitors such as </w:t>
      </w:r>
      <w:r w:rsidRPr="007526C2">
        <w:rPr>
          <w:i/>
        </w:rPr>
        <w:t>N</w:t>
      </w:r>
      <w:r w:rsidRPr="00341459">
        <w:t>-</w:t>
      </w:r>
      <w:r w:rsidR="00685EE7">
        <w:t>e</w:t>
      </w:r>
      <w:r w:rsidRPr="00341459">
        <w:t>thylmaleimide (NEM)</w:t>
      </w:r>
      <w:r>
        <w:t xml:space="preserve">, etc. and included these in the past in our sample prep assays. However, we have </w:t>
      </w:r>
      <w:r w:rsidR="00890632">
        <w:t xml:space="preserve">later </w:t>
      </w:r>
      <w:r>
        <w:t xml:space="preserve">decided to leave them out, since the cell lysis using </w:t>
      </w:r>
      <w:r w:rsidR="00890632">
        <w:t xml:space="preserve">urea or </w:t>
      </w:r>
      <w:r>
        <w:t xml:space="preserve">DOC </w:t>
      </w:r>
      <w:r w:rsidR="00890632">
        <w:t xml:space="preserve">based lysis buffers </w:t>
      </w:r>
      <w:r>
        <w:t xml:space="preserve">is fast and proteins are quickly denatured </w:t>
      </w:r>
      <w:r w:rsidRPr="007526C2">
        <w:rPr>
          <w:i/>
        </w:rPr>
        <w:t>and</w:t>
      </w:r>
      <w:r>
        <w:t xml:space="preserve"> because these inhibitors introduce modifications to proteins, which complicates the identification of peptides during data analysis. We have added a remark on the use of inhibitors in the protocol (section 1.1.5). </w:t>
      </w:r>
    </w:p>
    <w:p w:rsidR="00D415E7" w:rsidRPr="000F2B79" w:rsidRDefault="00D415E7" w:rsidP="00D415E7">
      <w:pPr>
        <w:pStyle w:val="NoSpacing"/>
        <w:rPr>
          <w:lang w:val="en-US"/>
        </w:rPr>
      </w:pPr>
    </w:p>
    <w:p w:rsidR="00B67B55" w:rsidRDefault="00687E0F" w:rsidP="00FA7F65">
      <w:pPr>
        <w:pStyle w:val="ListParagraph"/>
        <w:numPr>
          <w:ilvl w:val="0"/>
          <w:numId w:val="1"/>
        </w:numPr>
      </w:pPr>
      <w:r>
        <w:t xml:space="preserve">The choice of splitting beads up into three fractions is </w:t>
      </w:r>
      <w:r w:rsidR="00EC33BB">
        <w:t xml:space="preserve">merely </w:t>
      </w:r>
      <w:r>
        <w:t>a practical one: it is difficult to pipette very small amounts of beads slurry</w:t>
      </w:r>
      <w:r w:rsidR="00EC33BB">
        <w:t xml:space="preserve">, since beads stick to the walls of the plastic tube. Handling </w:t>
      </w:r>
      <w:r w:rsidR="00B67B55">
        <w:t xml:space="preserve">one </w:t>
      </w:r>
      <w:r w:rsidR="00EC33BB">
        <w:t xml:space="preserve">sixth </w:t>
      </w:r>
      <w:r w:rsidR="00B67B55">
        <w:t>of the original amount of beads slurry was doable</w:t>
      </w:r>
      <w:r w:rsidR="00EC33BB">
        <w:t>, but smaller fractions were too difficult to handle</w:t>
      </w:r>
      <w:r w:rsidR="00B67B55">
        <w:t>. We suspect that more extensive fractionation</w:t>
      </w:r>
      <w:r w:rsidR="00EC33BB">
        <w:t xml:space="preserve"> would result in higher </w:t>
      </w:r>
      <w:r w:rsidR="00B67B55">
        <w:t>number</w:t>
      </w:r>
      <w:r w:rsidR="00EC33BB">
        <w:t>s</w:t>
      </w:r>
      <w:r w:rsidR="00B67B55">
        <w:t xml:space="preserve"> of </w:t>
      </w:r>
      <w:r w:rsidR="00EC33BB">
        <w:t xml:space="preserve">identified </w:t>
      </w:r>
      <w:r w:rsidR="00B67B55">
        <w:t xml:space="preserve">diGly peptides. This would however imply that more than batch (we use </w:t>
      </w:r>
      <w:r w:rsidR="00766891">
        <w:t>a</w:t>
      </w:r>
      <w:r w:rsidR="00B67B55">
        <w:t xml:space="preserve"> </w:t>
      </w:r>
      <w:r w:rsidR="00766891">
        <w:t>‘</w:t>
      </w:r>
      <w:r w:rsidR="00B67B55">
        <w:t>batch</w:t>
      </w:r>
      <w:r w:rsidR="00766891">
        <w:t>’</w:t>
      </w:r>
      <w:r w:rsidR="00B67B55">
        <w:t xml:space="preserve"> as defined by the </w:t>
      </w:r>
      <w:r w:rsidR="00B67B55">
        <w:lastRenderedPageBreak/>
        <w:t>manufacturer) of beads would be needed and this is undesirable</w:t>
      </w:r>
      <w:r w:rsidR="00FA7F65">
        <w:t xml:space="preserve">, not in the least place from a cost perspective. </w:t>
      </w:r>
    </w:p>
    <w:p w:rsidR="00B67B55" w:rsidRDefault="00B67B55" w:rsidP="00B67B55">
      <w:pPr>
        <w:pStyle w:val="ListParagraph"/>
      </w:pPr>
    </w:p>
    <w:p w:rsidR="00F72F99" w:rsidRDefault="00687E0F" w:rsidP="00D415E7">
      <w:pPr>
        <w:pStyle w:val="ListParagraph"/>
      </w:pPr>
      <w:r>
        <w:t xml:space="preserve">It should be noted that this is a fractionation of the </w:t>
      </w:r>
      <w:r w:rsidR="0019016E">
        <w:t>c</w:t>
      </w:r>
      <w:r>
        <w:t xml:space="preserve">ell lysate </w:t>
      </w:r>
      <w:r w:rsidRPr="004E5B53">
        <w:rPr>
          <w:i/>
        </w:rPr>
        <w:t>before</w:t>
      </w:r>
      <w:r>
        <w:t xml:space="preserve"> enrichment. Upon enrichment, we do not expect the </w:t>
      </w:r>
      <w:r w:rsidR="00D7535C">
        <w:t xml:space="preserve">diGly </w:t>
      </w:r>
      <w:r>
        <w:t>peptide mixtures to be that complex that extensive fractio</w:t>
      </w:r>
      <w:r w:rsidR="003C6B02">
        <w:t>nation is needed at that stage, especially when using mass spectrometers</w:t>
      </w:r>
      <w:r w:rsidR="00FE0948">
        <w:t xml:space="preserve"> with high duty cycles</w:t>
      </w:r>
      <w:r w:rsidR="003C6B02">
        <w:t xml:space="preserve">. </w:t>
      </w:r>
    </w:p>
    <w:p w:rsidR="004E5B53" w:rsidRDefault="004E5B53" w:rsidP="00D415E7">
      <w:pPr>
        <w:pStyle w:val="ListParagraph"/>
      </w:pPr>
    </w:p>
    <w:p w:rsidR="008D3DC4" w:rsidRPr="007A1887" w:rsidRDefault="0019016E" w:rsidP="0019016E">
      <w:pPr>
        <w:rPr>
          <w:u w:val="single"/>
        </w:rPr>
      </w:pPr>
      <w:r w:rsidRPr="007A1887">
        <w:rPr>
          <w:u w:val="single"/>
        </w:rPr>
        <w:t>M</w:t>
      </w:r>
      <w:r w:rsidR="007A1887" w:rsidRPr="007A1887">
        <w:rPr>
          <w:u w:val="single"/>
        </w:rPr>
        <w:t>inor concern</w:t>
      </w:r>
    </w:p>
    <w:p w:rsidR="0019016E" w:rsidRDefault="0019016E" w:rsidP="0019016E">
      <w:pPr>
        <w:pStyle w:val="ListParagraph"/>
        <w:numPr>
          <w:ilvl w:val="0"/>
          <w:numId w:val="7"/>
        </w:numPr>
      </w:pPr>
      <w:r>
        <w:t>The company CDS Analytical (</w:t>
      </w:r>
      <w:hyperlink r:id="rId10" w:history="1">
        <w:r w:rsidRPr="00EF58D2">
          <w:rPr>
            <w:rStyle w:val="Hyperlink"/>
          </w:rPr>
          <w:t>https://www.cdsanalytical.com/</w:t>
        </w:r>
      </w:hyperlink>
      <w:r>
        <w:t xml:space="preserve">) has only this year acquired the right to Empore products. According to the company’s website, Empore products are now for sale. </w:t>
      </w:r>
      <w:r w:rsidR="00706542">
        <w:t xml:space="preserve">We have added the company’s name to the Table of Materials. </w:t>
      </w:r>
    </w:p>
    <w:p w:rsidR="0019016E" w:rsidRDefault="0019016E" w:rsidP="00B46B9E"/>
    <w:p w:rsidR="00B46B9E" w:rsidRDefault="00B46B9E">
      <w:r>
        <w:br w:type="page"/>
      </w:r>
    </w:p>
    <w:p w:rsidR="00B46B9E" w:rsidRPr="00B46B9E" w:rsidRDefault="00B46B9E" w:rsidP="00B46B9E">
      <w:pPr>
        <w:rPr>
          <w:b/>
        </w:rPr>
      </w:pPr>
      <w:r w:rsidRPr="00B46B9E">
        <w:rPr>
          <w:b/>
        </w:rPr>
        <w:lastRenderedPageBreak/>
        <w:t>Reviewer #2</w:t>
      </w:r>
      <w:r w:rsidR="00395B53">
        <w:rPr>
          <w:b/>
        </w:rPr>
        <w:t xml:space="preserve"> comments</w:t>
      </w:r>
    </w:p>
    <w:p w:rsidR="00B46B9E" w:rsidRDefault="00B46B9E" w:rsidP="00B46B9E">
      <w:r>
        <w:t xml:space="preserve">This reviewer is very positive and recommends the article for publication. Below, we will reply to his/her minor concerns. </w:t>
      </w:r>
    </w:p>
    <w:p w:rsidR="00B46B9E" w:rsidRPr="00B46B9E" w:rsidRDefault="00B46B9E" w:rsidP="00B46B9E">
      <w:pPr>
        <w:rPr>
          <w:u w:val="single"/>
        </w:rPr>
      </w:pPr>
      <w:r w:rsidRPr="00B46B9E">
        <w:rPr>
          <w:u w:val="single"/>
        </w:rPr>
        <w:t>Minor concerns</w:t>
      </w:r>
    </w:p>
    <w:p w:rsidR="00B46B9E" w:rsidRDefault="00B46B9E" w:rsidP="00D521D9">
      <w:pPr>
        <w:ind w:left="720"/>
      </w:pPr>
      <w:r w:rsidRPr="00C3188E">
        <w:rPr>
          <w:u w:val="single"/>
        </w:rPr>
        <w:t>Line 52</w:t>
      </w:r>
      <w:r>
        <w:t>: The terminology</w:t>
      </w:r>
      <w:r w:rsidR="000B2858">
        <w:t xml:space="preserve"> was</w:t>
      </w:r>
      <w:r>
        <w:t xml:space="preserve"> adapted, to clarify the difference between ‘branched’ and ‘mixed’ polyubiquitin chains. </w:t>
      </w:r>
    </w:p>
    <w:p w:rsidR="00B46B9E" w:rsidRDefault="00B46B9E" w:rsidP="00D521D9">
      <w:pPr>
        <w:ind w:left="720"/>
      </w:pPr>
      <w:r w:rsidRPr="00C3188E">
        <w:rPr>
          <w:u w:val="single"/>
        </w:rPr>
        <w:t>Line 57</w:t>
      </w:r>
      <w:r>
        <w:t xml:space="preserve">: Brackets were removed. </w:t>
      </w:r>
    </w:p>
    <w:p w:rsidR="00B46B9E" w:rsidRDefault="00B46B9E" w:rsidP="00D521D9">
      <w:pPr>
        <w:ind w:left="720"/>
      </w:pPr>
      <w:r w:rsidRPr="00C3188E">
        <w:rPr>
          <w:u w:val="single"/>
        </w:rPr>
        <w:t>Lines 53-58</w:t>
      </w:r>
      <w:r>
        <w:t xml:space="preserve">: </w:t>
      </w:r>
      <w:r w:rsidR="00E94CEC">
        <w:t xml:space="preserve">Several </w:t>
      </w:r>
      <w:r w:rsidR="00862124">
        <w:t>sentences were added in the Introduction section to clarify the methods to study polyubiquitin chain topologies and two references that describe pioneering studies in this direction</w:t>
      </w:r>
      <w:r w:rsidR="000B2858">
        <w:t xml:space="preserve"> were included</w:t>
      </w:r>
      <w:r w:rsidR="00862124">
        <w:t xml:space="preserve">. </w:t>
      </w:r>
    </w:p>
    <w:p w:rsidR="00B46B9E" w:rsidRDefault="00B46B9E" w:rsidP="00D521D9">
      <w:pPr>
        <w:ind w:left="720"/>
      </w:pPr>
      <w:r w:rsidRPr="00C3188E">
        <w:rPr>
          <w:u w:val="single"/>
        </w:rPr>
        <w:t>Line 121</w:t>
      </w:r>
      <w:r>
        <w:t xml:space="preserve">: The phrase was removed. </w:t>
      </w:r>
    </w:p>
    <w:p w:rsidR="00B46B9E" w:rsidRDefault="00B46B9E" w:rsidP="00D521D9">
      <w:pPr>
        <w:ind w:left="720"/>
      </w:pPr>
      <w:r w:rsidRPr="00C3188E">
        <w:rPr>
          <w:u w:val="single"/>
        </w:rPr>
        <w:t>Lin</w:t>
      </w:r>
      <w:r w:rsidR="00111969" w:rsidRPr="00C3188E">
        <w:rPr>
          <w:u w:val="single"/>
        </w:rPr>
        <w:t>e</w:t>
      </w:r>
      <w:r w:rsidRPr="00C3188E">
        <w:rPr>
          <w:u w:val="single"/>
        </w:rPr>
        <w:t xml:space="preserve"> 134</w:t>
      </w:r>
      <w:r>
        <w:t xml:space="preserve">: The </w:t>
      </w:r>
      <w:r w:rsidR="00111969">
        <w:t xml:space="preserve">procedure </w:t>
      </w:r>
      <w:r w:rsidR="001E4FBD">
        <w:t xml:space="preserve">was </w:t>
      </w:r>
      <w:r w:rsidR="00111969">
        <w:t xml:space="preserve">clarified. </w:t>
      </w:r>
    </w:p>
    <w:p w:rsidR="00B46B9E" w:rsidRDefault="00111969" w:rsidP="00D521D9">
      <w:pPr>
        <w:ind w:left="720"/>
      </w:pPr>
      <w:r w:rsidRPr="00C3188E">
        <w:rPr>
          <w:u w:val="single"/>
        </w:rPr>
        <w:t>Line 165</w:t>
      </w:r>
      <w:r>
        <w:t xml:space="preserve">: </w:t>
      </w:r>
      <w:r w:rsidR="001E4FBD">
        <w:t xml:space="preserve">The procedure was clarified. </w:t>
      </w:r>
    </w:p>
    <w:p w:rsidR="001E4FBD" w:rsidRDefault="001E4FBD" w:rsidP="00D521D9">
      <w:pPr>
        <w:ind w:left="720"/>
      </w:pPr>
      <w:r w:rsidRPr="00C3188E">
        <w:rPr>
          <w:u w:val="single"/>
        </w:rPr>
        <w:t>Line 195</w:t>
      </w:r>
      <w:r>
        <w:t xml:space="preserve">: A sentence break was introduced. </w:t>
      </w:r>
    </w:p>
    <w:p w:rsidR="001E4FBD" w:rsidRDefault="001E4FBD" w:rsidP="00D521D9">
      <w:pPr>
        <w:ind w:left="720"/>
      </w:pPr>
      <w:r w:rsidRPr="00C3188E">
        <w:rPr>
          <w:u w:val="single"/>
        </w:rPr>
        <w:t>Line 195</w:t>
      </w:r>
      <w:r>
        <w:t xml:space="preserve">: The description of the “lowest intensity peaks first” method was clarified. </w:t>
      </w:r>
    </w:p>
    <w:p w:rsidR="001E4FBD" w:rsidRDefault="001E4FBD" w:rsidP="00D521D9">
      <w:pPr>
        <w:ind w:left="720"/>
      </w:pPr>
      <w:r w:rsidRPr="00C3188E">
        <w:rPr>
          <w:u w:val="single"/>
        </w:rPr>
        <w:t>Line 217</w:t>
      </w:r>
      <w:r>
        <w:t>: A description of the use of decoy and contaminants databases by MaxQuant was added.</w:t>
      </w:r>
    </w:p>
    <w:p w:rsidR="001E4FBD" w:rsidRDefault="001E4FBD" w:rsidP="00D521D9">
      <w:pPr>
        <w:ind w:left="720"/>
      </w:pPr>
      <w:r w:rsidRPr="00C3188E">
        <w:rPr>
          <w:u w:val="single"/>
        </w:rPr>
        <w:t>Line 223</w:t>
      </w:r>
      <w:r>
        <w:t xml:space="preserve">: A description of follow-up data analysis using Perseus was already listed in L 252/253. </w:t>
      </w:r>
    </w:p>
    <w:p w:rsidR="001E4FBD" w:rsidRDefault="001E4FBD" w:rsidP="00D521D9">
      <w:pPr>
        <w:ind w:left="720"/>
      </w:pPr>
      <w:r w:rsidRPr="00C3188E">
        <w:rPr>
          <w:u w:val="single"/>
        </w:rPr>
        <w:t>Line 271</w:t>
      </w:r>
      <w:r>
        <w:t xml:space="preserve">: </w:t>
      </w:r>
      <w:r w:rsidR="001B4CD2">
        <w:t xml:space="preserve">We agree with the Reviewer that the original Figure 2 was not sufficiently clear. Therefore, we have completely </w:t>
      </w:r>
      <w:r w:rsidR="000B2858">
        <w:t xml:space="preserve">restructured </w:t>
      </w:r>
      <w:r w:rsidR="001B4CD2">
        <w:t xml:space="preserve">this Figure by replacing the </w:t>
      </w:r>
      <w:r w:rsidR="000B2858">
        <w:t xml:space="preserve">original </w:t>
      </w:r>
      <w:r w:rsidR="001B4CD2">
        <w:t xml:space="preserve">bar graphs for Venn diagrams. We feel that the current Figure is of much more value to the readers than the previous </w:t>
      </w:r>
      <w:r w:rsidR="000B2858">
        <w:t>one</w:t>
      </w:r>
      <w:r w:rsidR="001B4CD2">
        <w:t xml:space="preserve">. </w:t>
      </w:r>
    </w:p>
    <w:p w:rsidR="00012885" w:rsidRDefault="00876FE0" w:rsidP="00D521D9">
      <w:pPr>
        <w:ind w:left="720"/>
      </w:pPr>
      <w:r w:rsidRPr="00C3188E">
        <w:rPr>
          <w:u w:val="single"/>
        </w:rPr>
        <w:t>Line 298</w:t>
      </w:r>
      <w:r>
        <w:t xml:space="preserve">: </w:t>
      </w:r>
      <w:r w:rsidR="00F23983">
        <w:t>First, we want to stress that we do not criticize the software nor its developers</w:t>
      </w:r>
      <w:r w:rsidR="00AD2F34">
        <w:t xml:space="preserve"> in any way</w:t>
      </w:r>
      <w:r w:rsidR="00F23983">
        <w:t>. On the contrary: we are very grateful that a great software tool like this is made publicly available. Also, w</w:t>
      </w:r>
      <w:r w:rsidR="00761DFC">
        <w:t xml:space="preserve">e agree </w:t>
      </w:r>
      <w:r w:rsidR="00E37AC4">
        <w:t xml:space="preserve">with the Reviewer </w:t>
      </w:r>
      <w:r w:rsidR="00761DFC">
        <w:t xml:space="preserve">that the MaxQuant software is in most cases unbiased for the isotopic state of the search space. </w:t>
      </w:r>
      <w:r w:rsidR="003C5441">
        <w:t xml:space="preserve">We noticed, however, that there are some issues </w:t>
      </w:r>
      <w:r w:rsidR="00F0357D">
        <w:t xml:space="preserve">when diGly peptides are only present </w:t>
      </w:r>
      <w:r w:rsidR="00433453">
        <w:t xml:space="preserve">as their heavy counterpart while the light counterpart is completely absent. </w:t>
      </w:r>
      <w:r w:rsidR="00C31A9C">
        <w:t>We don’t think that this is a result of the culturing conditions</w:t>
      </w:r>
      <w:r w:rsidR="00012885">
        <w:t xml:space="preserve"> (as suggested by the Reviewer)</w:t>
      </w:r>
      <w:r w:rsidR="00C31A9C">
        <w:t xml:space="preserve">, but </w:t>
      </w:r>
      <w:r w:rsidR="00AD2F34">
        <w:t xml:space="preserve">do think that </w:t>
      </w:r>
      <w:r w:rsidR="00C31A9C">
        <w:t xml:space="preserve">it </w:t>
      </w:r>
      <w:r w:rsidR="00012885">
        <w:t xml:space="preserve">could </w:t>
      </w:r>
      <w:r w:rsidR="00C31A9C">
        <w:t>be caused by the occurrence of “double” modifications</w:t>
      </w:r>
      <w:r w:rsidR="00955A13">
        <w:t xml:space="preserve">, </w:t>
      </w:r>
      <w:r w:rsidR="00C31A9C">
        <w:t xml:space="preserve">i.e. heavy </w:t>
      </w:r>
      <w:r w:rsidR="00DB5108">
        <w:t xml:space="preserve">stable isotopes in </w:t>
      </w:r>
      <w:r w:rsidR="00C31A9C">
        <w:t xml:space="preserve">Lysine </w:t>
      </w:r>
      <w:r w:rsidR="00C31A9C" w:rsidRPr="00AD2F34">
        <w:rPr>
          <w:i/>
        </w:rPr>
        <w:t>and</w:t>
      </w:r>
      <w:r w:rsidR="00C31A9C">
        <w:t xml:space="preserve"> a diGly </w:t>
      </w:r>
      <w:r w:rsidR="00DB5108">
        <w:t>moiety on that same Lysine residue</w:t>
      </w:r>
      <w:r w:rsidR="00C31A9C">
        <w:t xml:space="preserve">. </w:t>
      </w:r>
    </w:p>
    <w:p w:rsidR="00E37AC4" w:rsidRDefault="00433453" w:rsidP="00D521D9">
      <w:pPr>
        <w:ind w:left="720"/>
      </w:pPr>
      <w:r>
        <w:t xml:space="preserve">We have </w:t>
      </w:r>
      <w:r w:rsidR="007835EE">
        <w:t xml:space="preserve">included </w:t>
      </w:r>
      <w:r w:rsidR="00ED1B55">
        <w:t xml:space="preserve">evidence for this </w:t>
      </w:r>
      <w:r w:rsidR="007835EE">
        <w:t xml:space="preserve">phenomenon </w:t>
      </w:r>
      <w:r w:rsidR="00DB726C">
        <w:t xml:space="preserve">both </w:t>
      </w:r>
      <w:r w:rsidR="00DD5A2A">
        <w:t xml:space="preserve">in the text, </w:t>
      </w:r>
      <w:r w:rsidR="00ED1B55">
        <w:t xml:space="preserve">in </w:t>
      </w:r>
      <w:r w:rsidR="00ED1B55" w:rsidRPr="00DD5A2A">
        <w:rPr>
          <w:b/>
        </w:rPr>
        <w:t>Figure 5</w:t>
      </w:r>
      <w:r w:rsidR="00DD5A2A">
        <w:t xml:space="preserve"> and in </w:t>
      </w:r>
      <w:r w:rsidR="00DD5A2A" w:rsidRPr="00DD5A2A">
        <w:rPr>
          <w:b/>
        </w:rPr>
        <w:t>Supplementary Table 1</w:t>
      </w:r>
      <w:r w:rsidR="00ED1B55">
        <w:t xml:space="preserve">. </w:t>
      </w:r>
      <w:r w:rsidR="007835EE">
        <w:t xml:space="preserve">Most notably, we have compared </w:t>
      </w:r>
      <w:r w:rsidR="001B149B">
        <w:t xml:space="preserve">MQ </w:t>
      </w:r>
      <w:r w:rsidR="007835EE">
        <w:t xml:space="preserve">database searches with ‘multiplicity = 1’ </w:t>
      </w:r>
      <w:r w:rsidR="00C77D40">
        <w:t>(non-SILAC</w:t>
      </w:r>
      <w:r w:rsidR="001B149B">
        <w:t xml:space="preserve"> condition</w:t>
      </w:r>
      <w:r w:rsidR="00C77D40">
        <w:t xml:space="preserve">) </w:t>
      </w:r>
      <w:r w:rsidR="007835EE">
        <w:t>and ‘multiplicity = 2’ (SILAC</w:t>
      </w:r>
      <w:r w:rsidR="001B149B">
        <w:t xml:space="preserve"> condition</w:t>
      </w:r>
      <w:r w:rsidR="007835EE">
        <w:t>) and identified no</w:t>
      </w:r>
      <w:r w:rsidR="001B149B">
        <w:t>t a</w:t>
      </w:r>
      <w:r w:rsidR="007835EE">
        <w:t xml:space="preserve"> single diGly peptide </w:t>
      </w:r>
      <w:r w:rsidR="001B149B">
        <w:t>that had</w:t>
      </w:r>
      <w:r w:rsidR="007835EE">
        <w:t xml:space="preserve"> intensity = 0 in the light channel </w:t>
      </w:r>
      <w:r w:rsidR="001B149B">
        <w:t xml:space="preserve">but </w:t>
      </w:r>
      <w:r w:rsidR="00DB726C">
        <w:t>non-zero intensity in the heavy channel. At the same time</w:t>
      </w:r>
      <w:r w:rsidR="00C77D40">
        <w:t xml:space="preserve"> though</w:t>
      </w:r>
      <w:r w:rsidR="00DB726C">
        <w:t xml:space="preserve">, </w:t>
      </w:r>
      <w:r w:rsidR="007835EE">
        <w:t>thousands of diGly peptides with a heavy SILAC label were identified in the ‘multiplicity = 1’ search</w:t>
      </w:r>
      <w:r w:rsidR="00DB726C">
        <w:t xml:space="preserve">, while their light counterparts were not identified at all. </w:t>
      </w:r>
    </w:p>
    <w:p w:rsidR="003C5441" w:rsidRDefault="003C5441" w:rsidP="00D521D9">
      <w:pPr>
        <w:ind w:left="720"/>
      </w:pPr>
    </w:p>
    <w:p w:rsidR="003C5441" w:rsidRDefault="003C5441" w:rsidP="00D521D9">
      <w:pPr>
        <w:ind w:left="720"/>
      </w:pPr>
      <w:r>
        <w:lastRenderedPageBreak/>
        <w:t>Since this issue may cause substantial differences in numbers of identified diGly</w:t>
      </w:r>
      <w:r w:rsidR="002B0702">
        <w:t xml:space="preserve"> under some conditions</w:t>
      </w:r>
      <w:r>
        <w:t xml:space="preserve">, we chose to describe them here, most importantly to explain to the reader that the reason for these lower numbers is </w:t>
      </w:r>
      <w:r w:rsidRPr="003C5441">
        <w:rPr>
          <w:i/>
        </w:rPr>
        <w:t>not</w:t>
      </w:r>
      <w:r>
        <w:t xml:space="preserve"> a consequence of the sample prep or mass spectrometry analysis procedure. </w:t>
      </w:r>
    </w:p>
    <w:p w:rsidR="00D521D9" w:rsidRDefault="00D521D9" w:rsidP="00D521D9">
      <w:pPr>
        <w:ind w:left="720"/>
      </w:pPr>
      <w:r w:rsidRPr="00C3188E">
        <w:rPr>
          <w:u w:val="single"/>
        </w:rPr>
        <w:t>Line 308</w:t>
      </w:r>
      <w:r>
        <w:t xml:space="preserve">: The proposed change was made. </w:t>
      </w:r>
    </w:p>
    <w:p w:rsidR="00D521D9" w:rsidRDefault="00D521D9" w:rsidP="00D521D9">
      <w:pPr>
        <w:ind w:left="720"/>
      </w:pPr>
      <w:r w:rsidRPr="00160D55">
        <w:rPr>
          <w:u w:val="single"/>
        </w:rPr>
        <w:t>General comment</w:t>
      </w:r>
      <w:r>
        <w:t xml:space="preserve">: We have investigated the use of DUB inhibitors such as </w:t>
      </w:r>
      <w:r w:rsidRPr="00336891">
        <w:rPr>
          <w:i/>
        </w:rPr>
        <w:t>N</w:t>
      </w:r>
      <w:r w:rsidR="00160D55">
        <w:t>-e</w:t>
      </w:r>
      <w:r w:rsidRPr="00341459">
        <w:t>thylmaleimide (NEM)</w:t>
      </w:r>
      <w:r>
        <w:t xml:space="preserve">, etc. and included these in the past in our sample prep assays. However, we have </w:t>
      </w:r>
      <w:r w:rsidR="00160D55">
        <w:t xml:space="preserve">later </w:t>
      </w:r>
      <w:r>
        <w:t xml:space="preserve">decided to leave them out, since the cell lysis </w:t>
      </w:r>
      <w:r w:rsidR="00C50242">
        <w:t xml:space="preserve">using </w:t>
      </w:r>
      <w:r w:rsidR="00160D55">
        <w:t xml:space="preserve">urea or </w:t>
      </w:r>
      <w:r w:rsidR="00C50242">
        <w:t xml:space="preserve">DOC </w:t>
      </w:r>
      <w:r w:rsidR="00160D55">
        <w:t xml:space="preserve">containing </w:t>
      </w:r>
      <w:bookmarkStart w:id="0" w:name="_GoBack"/>
      <w:bookmarkEnd w:id="0"/>
      <w:r w:rsidR="00160D55">
        <w:t xml:space="preserve">lysis buffers </w:t>
      </w:r>
      <w:r>
        <w:t xml:space="preserve">is fast </w:t>
      </w:r>
      <w:r w:rsidR="00C50242">
        <w:t xml:space="preserve">and </w:t>
      </w:r>
      <w:r>
        <w:t xml:space="preserve">proteins are quickly denatured </w:t>
      </w:r>
      <w:r w:rsidRPr="00D521D9">
        <w:rPr>
          <w:i/>
        </w:rPr>
        <w:t>and</w:t>
      </w:r>
      <w:r>
        <w:t xml:space="preserve"> because these inhibitors introduce modifications to proteins, which complicates the identification of peptides during data analysis. </w:t>
      </w:r>
      <w:r w:rsidR="00FF29AD">
        <w:t xml:space="preserve">We have added a remark on the use of inhibitors in the protocol (section 1.1.5). </w:t>
      </w:r>
    </w:p>
    <w:p w:rsidR="00D521D9" w:rsidRDefault="00D521D9" w:rsidP="00B46B9E"/>
    <w:p w:rsidR="00D521D9" w:rsidRPr="0019016E" w:rsidRDefault="00D521D9" w:rsidP="00B46B9E"/>
    <w:sectPr w:rsidR="00D521D9" w:rsidRPr="0019016E" w:rsidSect="00637A34">
      <w:footerReference w:type="default" r:id="rId11"/>
      <w:pgSz w:w="12240" w:h="15840"/>
      <w:pgMar w:top="1440" w:right="118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027" w:rsidRDefault="00A35027" w:rsidP="00112D06">
      <w:pPr>
        <w:spacing w:after="0" w:line="240" w:lineRule="auto"/>
      </w:pPr>
      <w:r>
        <w:separator/>
      </w:r>
    </w:p>
  </w:endnote>
  <w:endnote w:type="continuationSeparator" w:id="0">
    <w:p w:rsidR="00A35027" w:rsidRDefault="00A35027" w:rsidP="0011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9034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2D06" w:rsidRDefault="00112D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D5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12D06" w:rsidRDefault="00112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027" w:rsidRDefault="00A35027" w:rsidP="00112D06">
      <w:pPr>
        <w:spacing w:after="0" w:line="240" w:lineRule="auto"/>
      </w:pPr>
      <w:r>
        <w:separator/>
      </w:r>
    </w:p>
  </w:footnote>
  <w:footnote w:type="continuationSeparator" w:id="0">
    <w:p w:rsidR="00A35027" w:rsidRDefault="00A35027" w:rsidP="00112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3EA"/>
    <w:multiLevelType w:val="hybridMultilevel"/>
    <w:tmpl w:val="EDEE5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023A8"/>
    <w:multiLevelType w:val="hybridMultilevel"/>
    <w:tmpl w:val="0E647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02C54"/>
    <w:multiLevelType w:val="hybridMultilevel"/>
    <w:tmpl w:val="F2649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A1705"/>
    <w:multiLevelType w:val="hybridMultilevel"/>
    <w:tmpl w:val="302EB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77F8A"/>
    <w:multiLevelType w:val="hybridMultilevel"/>
    <w:tmpl w:val="CA524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446F8"/>
    <w:multiLevelType w:val="hybridMultilevel"/>
    <w:tmpl w:val="EDEE5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00598"/>
    <w:multiLevelType w:val="hybridMultilevel"/>
    <w:tmpl w:val="D472A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625E4"/>
    <w:multiLevelType w:val="hybridMultilevel"/>
    <w:tmpl w:val="BACCC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2A"/>
    <w:rsid w:val="00012885"/>
    <w:rsid w:val="00031359"/>
    <w:rsid w:val="00055826"/>
    <w:rsid w:val="000820F6"/>
    <w:rsid w:val="000B2858"/>
    <w:rsid w:val="000B76E6"/>
    <w:rsid w:val="000F2B79"/>
    <w:rsid w:val="00111969"/>
    <w:rsid w:val="00112D06"/>
    <w:rsid w:val="00131F15"/>
    <w:rsid w:val="00143869"/>
    <w:rsid w:val="00160D55"/>
    <w:rsid w:val="001626E3"/>
    <w:rsid w:val="0017632F"/>
    <w:rsid w:val="0019016E"/>
    <w:rsid w:val="0019645F"/>
    <w:rsid w:val="00196F3E"/>
    <w:rsid w:val="001B149B"/>
    <w:rsid w:val="001B4CD2"/>
    <w:rsid w:val="001C4A4C"/>
    <w:rsid w:val="001E4FBD"/>
    <w:rsid w:val="00204398"/>
    <w:rsid w:val="0022504C"/>
    <w:rsid w:val="00236550"/>
    <w:rsid w:val="00247565"/>
    <w:rsid w:val="00247C9E"/>
    <w:rsid w:val="002752AB"/>
    <w:rsid w:val="002974B6"/>
    <w:rsid w:val="002B0702"/>
    <w:rsid w:val="00336891"/>
    <w:rsid w:val="00341459"/>
    <w:rsid w:val="003628CA"/>
    <w:rsid w:val="003702C5"/>
    <w:rsid w:val="00382899"/>
    <w:rsid w:val="00395B53"/>
    <w:rsid w:val="003A624C"/>
    <w:rsid w:val="003B052A"/>
    <w:rsid w:val="003C5441"/>
    <w:rsid w:val="003C6B02"/>
    <w:rsid w:val="003E70DE"/>
    <w:rsid w:val="00433453"/>
    <w:rsid w:val="004366F2"/>
    <w:rsid w:val="00437181"/>
    <w:rsid w:val="0045081B"/>
    <w:rsid w:val="004601F2"/>
    <w:rsid w:val="00460F44"/>
    <w:rsid w:val="00486517"/>
    <w:rsid w:val="004E5490"/>
    <w:rsid w:val="004E5B53"/>
    <w:rsid w:val="0050645A"/>
    <w:rsid w:val="00514D84"/>
    <w:rsid w:val="00526776"/>
    <w:rsid w:val="005750E4"/>
    <w:rsid w:val="005B7080"/>
    <w:rsid w:val="005C0AEE"/>
    <w:rsid w:val="005C7004"/>
    <w:rsid w:val="005F3A26"/>
    <w:rsid w:val="0061722E"/>
    <w:rsid w:val="00637A34"/>
    <w:rsid w:val="00685EE7"/>
    <w:rsid w:val="00687E0F"/>
    <w:rsid w:val="006916B5"/>
    <w:rsid w:val="006B5880"/>
    <w:rsid w:val="006C793F"/>
    <w:rsid w:val="00702258"/>
    <w:rsid w:val="00706542"/>
    <w:rsid w:val="00747CF5"/>
    <w:rsid w:val="007526C2"/>
    <w:rsid w:val="007564D5"/>
    <w:rsid w:val="00761DFC"/>
    <w:rsid w:val="00766891"/>
    <w:rsid w:val="00771F58"/>
    <w:rsid w:val="007835EE"/>
    <w:rsid w:val="0079077D"/>
    <w:rsid w:val="00792B34"/>
    <w:rsid w:val="007A1887"/>
    <w:rsid w:val="007B1205"/>
    <w:rsid w:val="007B6AB6"/>
    <w:rsid w:val="008403FE"/>
    <w:rsid w:val="008614A1"/>
    <w:rsid w:val="00862124"/>
    <w:rsid w:val="00876FE0"/>
    <w:rsid w:val="00890632"/>
    <w:rsid w:val="008949EC"/>
    <w:rsid w:val="00896CC5"/>
    <w:rsid w:val="008A07B5"/>
    <w:rsid w:val="008D3DC4"/>
    <w:rsid w:val="00911ADF"/>
    <w:rsid w:val="00915302"/>
    <w:rsid w:val="00955A13"/>
    <w:rsid w:val="00973BD4"/>
    <w:rsid w:val="00A35027"/>
    <w:rsid w:val="00A46C16"/>
    <w:rsid w:val="00A52B2D"/>
    <w:rsid w:val="00AD2F34"/>
    <w:rsid w:val="00B33B8F"/>
    <w:rsid w:val="00B35223"/>
    <w:rsid w:val="00B46B9E"/>
    <w:rsid w:val="00B67B55"/>
    <w:rsid w:val="00BC2EA0"/>
    <w:rsid w:val="00C22050"/>
    <w:rsid w:val="00C3188E"/>
    <w:rsid w:val="00C31A9C"/>
    <w:rsid w:val="00C467E8"/>
    <w:rsid w:val="00C50242"/>
    <w:rsid w:val="00C77D40"/>
    <w:rsid w:val="00C90516"/>
    <w:rsid w:val="00CD2519"/>
    <w:rsid w:val="00CE62D7"/>
    <w:rsid w:val="00CF336B"/>
    <w:rsid w:val="00D06702"/>
    <w:rsid w:val="00D1266C"/>
    <w:rsid w:val="00D40653"/>
    <w:rsid w:val="00D415E7"/>
    <w:rsid w:val="00D521D9"/>
    <w:rsid w:val="00D605BC"/>
    <w:rsid w:val="00D7535C"/>
    <w:rsid w:val="00D946DF"/>
    <w:rsid w:val="00DA02E5"/>
    <w:rsid w:val="00DA395D"/>
    <w:rsid w:val="00DB5108"/>
    <w:rsid w:val="00DB726C"/>
    <w:rsid w:val="00DD37A3"/>
    <w:rsid w:val="00DD5A2A"/>
    <w:rsid w:val="00E276BE"/>
    <w:rsid w:val="00E37AC4"/>
    <w:rsid w:val="00E7246E"/>
    <w:rsid w:val="00E75AFE"/>
    <w:rsid w:val="00E94CEC"/>
    <w:rsid w:val="00EC33BB"/>
    <w:rsid w:val="00ED1B55"/>
    <w:rsid w:val="00F0357D"/>
    <w:rsid w:val="00F20A58"/>
    <w:rsid w:val="00F23983"/>
    <w:rsid w:val="00F3054A"/>
    <w:rsid w:val="00F34F54"/>
    <w:rsid w:val="00F72F99"/>
    <w:rsid w:val="00FA003E"/>
    <w:rsid w:val="00FA7F65"/>
    <w:rsid w:val="00FC3DE7"/>
    <w:rsid w:val="00FD29E2"/>
    <w:rsid w:val="00FD5129"/>
    <w:rsid w:val="00FE0948"/>
    <w:rsid w:val="00F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ED9AE"/>
  <w15:chartTrackingRefBased/>
  <w15:docId w15:val="{A0159F1A-9C11-4A29-857D-CEE3652F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5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16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949EC"/>
    <w:pPr>
      <w:spacing w:after="0" w:line="240" w:lineRule="auto"/>
    </w:pPr>
    <w:rPr>
      <w:lang w:val="nl-NL"/>
    </w:rPr>
  </w:style>
  <w:style w:type="paragraph" w:styleId="Header">
    <w:name w:val="header"/>
    <w:basedOn w:val="Normal"/>
    <w:link w:val="HeaderChar"/>
    <w:uiPriority w:val="99"/>
    <w:unhideWhenUsed/>
    <w:rsid w:val="00112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D06"/>
  </w:style>
  <w:style w:type="paragraph" w:styleId="Footer">
    <w:name w:val="footer"/>
    <w:basedOn w:val="Normal"/>
    <w:link w:val="FooterChar"/>
    <w:uiPriority w:val="99"/>
    <w:unhideWhenUsed/>
    <w:rsid w:val="00112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demmers@erasmusmc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dsanalytical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AC5F0-5B7B-41CE-9CEA-8ADEE374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Demmers</dc:creator>
  <cp:keywords/>
  <dc:description/>
  <cp:lastModifiedBy>Jeroen Demmers</cp:lastModifiedBy>
  <cp:revision>77</cp:revision>
  <dcterms:created xsi:type="dcterms:W3CDTF">2019-12-02T21:23:00Z</dcterms:created>
  <dcterms:modified xsi:type="dcterms:W3CDTF">2019-12-05T14:25:00Z</dcterms:modified>
</cp:coreProperties>
</file>