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Detection of Protein Ubiquitination Sites by Peptide Enrichment and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Karel Bezstarosti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Lennart van der Wal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Jeroen A. A. Demmers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Proteomics Center, Erasmus University Medical Center, Rotterdam,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Jeroen A. A. Demmers </w:t>
        <w:tab/>
        <w:t xml:space="preserve">(</w:t>
      </w:r>
      <w:r>
        <w:rPr>
          <w:rFonts w:ascii="Calibri" w:hAnsi="Calibri" w:cs="Calibri" w:eastAsia="Calibri"/>
          <w:color w:val="000000"/>
          <w:spacing w:val="0"/>
          <w:position w:val="0"/>
          <w:sz w:val="24"/>
          <w:shd w:fill="auto" w:val="clear"/>
        </w:rPr>
        <w:t xml:space="preserve">j.demmers@erasmusmc.nl)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Karel Bezstarosti </w:t>
        <w:tab/>
        <w:tab/>
        <w:t xml:space="preserve">(k.bezstarosti@erasmusmc.nl)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Lennart van der Wal </w:t>
        <w:tab/>
        <w:tab/>
        <w:t xml:space="preserve">(l.vanderwal@erasmusmc.nl)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ubiquitination, ubiquitin, ubiquitinome, posttranslational modification (PTM), diGly peptide, immunopurification, orbitrap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for the purification, detection, and identification of diGly peptides that originate from ubiquitinated proteins from complex biological samples. The presented method is reproducible, robust, and outperforms published methods with respect to the level of depth of the ubiquitinome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posttranslational modification of proteins by the small protein ubiquitin is involved in many cellular events. After tryptic digestion of ubiquitinated proteins, peptides with a diglycine remnant conjugated to the epsilon amino group of lysine ('K-</w:t>
      </w:r>
      <w:r>
        <w:rPr>
          <w:rFonts w:ascii="Calibri" w:hAnsi="Calibri" w:cs="Calibri" w:eastAsia="Calibri"/>
          <w:color w:val="auto"/>
          <w:spacing w:val="0"/>
          <w:position w:val="0"/>
          <w:sz w:val="24"/>
          <w:shd w:fill="auto" w:val="clear"/>
        </w:rPr>
        <w:t xml:space="preserve">ε-diglycine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simply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diGly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be used to track back the original modification site. Efficient immunopurification of diGly peptides combined with sensitive detection by mass spectrometry has resulted in a huge increase in the number of ubiquitination sites identified up to date. We have made several improvements to this workflow, including offline high pH reverse-phase fractionation of peptides prior to the enrichment procedure, and the inclusion of more advanced peptide fragmentation settings in the ion routing multipole. Also, more efficient cleanup of the sample using a filter-based plug in order to retain the antibody beads results in a greater specificity for diGly peptides. These improvements result in the routine detection of more than 23,000 diGly peptides from human cervical cancer cells (HeLa) cell lysates upon proteasome inhibition in the cell. We show the efficacy of this strategy for in-depth analysis of the ubiquitinome profiles of several different cell types and of in vivo samples, such as brain tissue. This study presents an original addition to the toolbox for protein ubiquitination analysis to uncover the deep cellular ubiquitinome.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conjugation of ubiquitin to proteins marks them for degradation by the proteasome and is a crucial process in proteostasis. The C-terminal carboxyl group of ubiquitin forms an isopeptide bond with the lysine </w:t>
      </w:r>
      <w:r>
        <w:rPr>
          <w:rFonts w:ascii="Calibri" w:hAnsi="Calibri" w:cs="Calibri" w:eastAsia="Calibri"/>
          <w:color w:val="000000"/>
          <w:spacing w:val="0"/>
          <w:position w:val="0"/>
          <w:sz w:val="24"/>
          <w:shd w:fill="auto" w:val="clear"/>
        </w:rPr>
        <w:t xml:space="preserve">ε-amino group of the target protein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addition, ubiquitin can be attached to other ubiquitin modules, resulting in the formation of homogeneous (i.e., K48 or K11) or branched (i.e., heterogeneous or mixed) polyubiquitin structures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most well-known function of ubiquitin is its role in proteasomal degradation, mediated by K48-linked polyubiquitin. However, it has become clear that both mono- as well as polyubiquitination also play roles in many processes that are independent of degradation by the proteasome. For </w:t>
      </w:r>
      <w:r>
        <w:rPr>
          <w:rFonts w:ascii="Calibri" w:hAnsi="Calibri" w:cs="Calibri" w:eastAsia="Calibri"/>
          <w:color w:val="auto"/>
          <w:spacing w:val="0"/>
          <w:position w:val="0"/>
          <w:sz w:val="24"/>
          <w:shd w:fill="auto" w:val="clear"/>
        </w:rPr>
        <w:t xml:space="preserve">instance, K63-linked chains have nondegradative roles in intracellular trafficking, lysosomal degradation, kinase signaling, and the DNA damage response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other six linkage types are less abundant and their roles are still largely enigmatic, although first indications about their functions in the cell are emerging, largely because of the development of novel tools to enable linkage-specific detection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 spectrometry has become an indispensable tool for proteome analyses and nowadays thousands of different proteins from virtually any biological source can be identified in a single experiment. An additional layer of complexity is presented by posttranslational modifications (PTMs) of proteins (e.g., phosphorylation, methylation, acetylation, and ubiquitination) which can modulate protein activity. Large-scale identification of PTM-bearing proteins has also been made possible by developments in the mass spectrometry field. The relatively low stoichiometry of peptides bearing PTMs compared to their unmodified counterparts presents a technical challenge and biochemical enrichment steps are generally necessary prior to the mass spectrometry analysis. Over the past two decades, several different specific enrichment methods have been developed for the analysis of PTMs.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multifaceted roles of protein ubiquitination in the cell, there is a great demand for the development of analytical methods for the detection of ubiquitination sites on proteins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application of mass spectrometric methods has led to an explosion of the number of identified ubiquitination sites in fruit fly, mouse, human, and yeast proteins</w:t>
      </w:r>
      <w:r>
        <w:rPr>
          <w:rFonts w:ascii="Calibri" w:hAnsi="Calibri" w:cs="Calibri" w:eastAsia="Calibri"/>
          <w:color w:val="000000"/>
          <w:spacing w:val="0"/>
          <w:position w:val="0"/>
          <w:sz w:val="24"/>
          <w:shd w:fill="auto" w:val="clear"/>
          <w:vertAlign w:val="superscript"/>
        </w:rPr>
        <w:t xml:space="preserve">9,10,11,12,13,14</w:t>
      </w:r>
      <w:r>
        <w:rPr>
          <w:rFonts w:ascii="Calibri" w:hAnsi="Calibri" w:cs="Calibri" w:eastAsia="Calibri"/>
          <w:color w:val="000000"/>
          <w:spacing w:val="0"/>
          <w:position w:val="0"/>
          <w:sz w:val="24"/>
          <w:shd w:fill="auto" w:val="clear"/>
        </w:rPr>
        <w:t xml:space="preserve">. A major step was presented by the development of immunoprecipitation based enrichment strategies at the peptide level using antibodies directed against the K-</w:t>
      </w:r>
      <w:r>
        <w:rPr>
          <w:rFonts w:ascii="Calibri" w:hAnsi="Calibri" w:cs="Calibri" w:eastAsia="Calibri"/>
          <w:color w:val="000000"/>
          <w:spacing w:val="0"/>
          <w:position w:val="0"/>
          <w:sz w:val="24"/>
          <w:shd w:fill="auto" w:val="clear"/>
        </w:rPr>
        <w:t xml:space="preserve">ε-GG remnant motif (also referred to as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diglycine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diGly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diGly peptides are produced upon digestion of ubiquitinated proteins using trypsin as the protease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optimized workflow to enrich for diGly peptides using immunopurification and subsequent detection by Orbitrap mass spectrometry. Using a combination of several modifications of existing workflows, especially in the sample preparation and mass spectrometry stages, we can now routinely identify more than 23,000 diGly peptides from a single sample of HeLa cells treated with a proteasome inhibitor and ~10,000 from untreated HeLa cells. We have applied this protocol to lysates from both unlabeled and stable isotope labeling with amino acids in cell culture (SILAC) labeled HeLa cells as well as to endogenous samples such as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workflow presents a valuable addition to the repertoire of tools for the analysis of ubiquitination sites in order to uncover the deep ubiquitinome. The following protocol describes all steps of the workflow in detail.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(EDC) of Erasmus MC.</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Sample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Cultured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Select a cell line of interest (e.g., HeLa or osteosarcoma [U2OS] cells) and grow the cells in Dulbecco's Minimal Eagle Medium (DMEM) supplemented with 10% heat inactivated fetal bovine serum (FBS) and 100 units/mL penicillin/streptomycin.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For quantitative proteomics experiments, culture cells in DMEM lacking arginine and lysine. The medium must be supplemented with 10% dialyzed fetal bovine serum (FBS), 100 units/mL penicillin/streptomycin, and alanine-glutamine. Make two types of media by adding either conventional lysine and arginine ('Light' Medium) or lysine-8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arginine-10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('Heavy' Medium),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Culture batches of cells in Light Medium (i.e., unlabeled) and Heavy Medium (i.e., labeled, SILAC) for at least six doublings before expansion and treatment to make sure that all proteins in the Heavy Medium culture are labeled with heavy stable isotope containing amino acids.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Treat the cells for 8 h with 10 &amp;#181;M of the proteasome inhibitor bortezomib or an equivalent volume of DMSO as a mock treatment. Wash the cells with PBS, dissociate them using 1% trypsin/EDTA, and pellet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Lyse the cell pellet from one 150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culture plate per condition tested in 2 mL of ice-cold 50 mM Tris-HCl (pH = 8.2) with 0.5% sodium deoxycholate (DOC). Boil the lysate at 95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 and sonicate for 10 min (setting "H" for the sonicator listed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4 &amp;#176;C. We do not recommend the use of deubiquitinase inhibitors such as N-ethylmaleimide (NEM), because this may introduce unwanted protein modifications that can complicate peptide identification.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In vivo mouse brain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When using in vivo tissue, lyse the tissue in an ice-cold buffer containing 100 mM Tris-HCl (pH = 8.5), 12 mM sodium DOC, and 12 mM sodium N-lauroylsarcosinate</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Sonicate the lysate for 10 min (setting "H" for the sonicator listed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4 &amp;#176;C and boil the lysate for 5 min at 95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Quantitate the total protein amount using a colorimetric absorbance BCA protein assay kit. The total amount of protein should be at least several milligrams for a successful diGly peptide immunoprecipitation (IP). For SILAC experiments mix the light and heavy labeled proteins in a 1:1 ratio based on the total protein amount.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Reduce all proteins using 5 mM 1,4-dithiothreitol for 30 min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subsequently alkylate them with 10 mM iodoacetamide for 15 min in the dark. Perform protein digestion with Lys-C (1:200 enzyme-to-substrate ratio) for 4 h followed by overnight digestion with trypsin (1:50 enzyme-to-substrate ratio) at 30 &amp;#176;C or at room temperature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Add trifluoroacetic acid (TFA) to the digested sample to a final concentration of 0.5% and centrifuge the sample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in order to precipitate and remove all detergent. Collect the supernatant containing the peptides for subsequent fractionation.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Offline peptide fractionation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high pH reverse-phase (RP) C18 chromatography with polymeric stationary phase material (300 Å, 50 &amp;#181;M;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loaded into an empty column cartridge to fractionate the tryptic peptides. The stationary phase bed size must be adjusted to the amount of protein digest to be fractionated. Prepare an empty 6 mL column cartridge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filled with 0.5 g of stationary phase material for ~10 mg of protein digest. The protein digest to stationary phase ratio should be approximately 1:50 (w/w).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Load the peptides onto the prepared column and wash the column with approximately 10 column volumes of 0.1% TFA, followed by approximately 10 column volumes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Elute the peptides into three fractions with 10 column volumes of 10 mM ammonium formate solution (pH = 10) with 7%, 13.5%, and 50% acetonitrile (AcN), respectively. Lyophilize all fractions to completeness.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Use ubiquitin remnant motif (K-</w:t>
      </w:r>
      <w:r>
        <w:rPr>
          <w:rFonts w:ascii="Calibri" w:hAnsi="Calibri" w:cs="Calibri" w:eastAsia="Calibri"/>
          <w:color w:val="auto"/>
          <w:spacing w:val="0"/>
          <w:position w:val="0"/>
          <w:sz w:val="24"/>
          <w:shd w:fill="FFFF00" w:val="clear"/>
        </w:rPr>
        <w:t xml:space="preserve">ε-GG) antibodies conjugated to protein A agarose beads for the immunoenrichment of diGly peptides. Because the exact amount of antibody per batch of beads is proprietary information and not disclosed by the manufacturer, it is recommended to use the same definition for a batch of beads as the manufacturer does in order to avoid confusion. Wash one batch of these beads 2x with PBS and split the bead slurry into six equal fractions.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a detailed experimental scheme.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Dissolve the three peptide fractions collected in step 2.3 in 1.4 mL of a buffer composed of 50 mM MOPS, 10 mM sodium phosphate, and 50 mM NaCl (pH = 7.2), and spin down the debris.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Add the supernatants of the fractions to the diGly antibody beads and incubate for 2 h at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on a rotator unit. Spin down the beads and transfer the supernatant to a fresh batch of antibody beads and incubate again for 2 h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Store the supernatants for subsequent global proteome (GP)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Transfer the beads from every fraction into a 200 &amp;#181;L pipette tip equipped with a GF/F filter plug to retain the beads. Put the pipette tip with the beads into a 1.5 mL microcentrifuge tube equipped with a centrifuge tip adapter. Wash the beads 3x with 200 &amp;#181;L of ice-cold IAP buffer and subsequently 3x with 200 &amp;#181;L of ice-cold milliQ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Spin down the column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before every wash step, but be careful not to let the column run dry. Elute the peptides using 2 cycles of 50 &amp;#181;L of 0.15% TFA.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Desalt the peptides using a C18 stage tip (essentially a 200 &amp;#181;L pipette tip with two C18 disks) and dry them to completeness using vacuum centrifugation.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Nanoflow LC-MS/MS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Perform LC-MS/MS experiments on a sensitive mass spectrometer coupled to a nanoflow LC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Use an in-house packed 50 cm reversed-phase column with a 75 &amp;#181;m inner diameter packed with CSH130 resin (3.5 &amp;#181;m, 130 Å) and elute the peptides with a gradient of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(AcN, 0.1% FA) over 120 min at 300 nL/min. Alternatively, use commercially available LC columns with similar properties. Keep the column at 50 &amp;#176;C using a column oven, for example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Perform the mass spectrometry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The mass spectrometer must be operated in data-dependent acquisition (DDA) mode. MS1 mass spectra should be collected at high resolution (e.g., 120,000), with an automated gain control (AGC) target setting of 4E5 and a maximum injection time of 50 ms in case of an Orbitrap mass spectrometer.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Perform the mass spectrometry analysis in “Highest Intensity First” mode first. This way, the most intense ion is selected first for fragmentation, then the second highest, and so forth, using the top speed method with a total cycle time of 3 s. Subsequently, perform a second round of DDA MS analysis in “Lowest Intensity First” mode, so that the least intense ion is selected first, then the second lowest, and so forth. This strategy ensures optimal detection of very low abundancy peptides.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Filter the precursor ions according to their charge states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 charges) and monoisotopic peak assignment. Exclude previously interrogated precursors dynamically for 60 s. Isolate peptide precursors with a quadrupole mass filter set to a width of 1.6 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Collect MS2 spectra in the ion trap at an AGC of 7E3 with a maximum injection time of 50 ms and HCD collision energy of 30%.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Data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Analyze the mass spectrometry raw files using an appropriate search engine such as the freely available MaxQuant software suite based on the Andromeda search engine</w:t>
      </w:r>
      <w:r>
        <w:rPr>
          <w:rFonts w:ascii="Calibri" w:hAnsi="Calibri" w:cs="Calibri" w:eastAsia="Calibri"/>
          <w:color w:val="000000"/>
          <w:spacing w:val="0"/>
          <w:position w:val="0"/>
          <w:sz w:val="24"/>
          <w:shd w:fill="FFFF00" w:val="clear"/>
          <w:vertAlign w:val="superscript"/>
        </w:rPr>
        <w:t xml:space="preserve">18,19</w:t>
      </w:r>
      <w:r>
        <w:rPr>
          <w:rFonts w:ascii="Calibri" w:hAnsi="Calibri" w:cs="Calibri" w:eastAsia="Calibri"/>
          <w:color w:val="000000"/>
          <w:spacing w:val="0"/>
          <w:position w:val="0"/>
          <w:sz w:val="24"/>
          <w:shd w:fill="FFFF00" w:val="clear"/>
        </w:rPr>
        <w:t xml:space="preserve">. In MaxQuant, select the default settings with a few adaptations that are indicated below. Set the enzyme specificity to trypsin, with the maximum number of missed cleavages raised to three. Set lysine with a diGly remnant (+114.04 Da), oxidation of methionine and N-terminal acetylation as variable modifications, and set carbamidomethylation of cysteine as a fixed modification.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Perform database searches against a FASTA file containing protein sequences downloaded from, for example, the Uniprot repository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https://www.uniprot.org/downloads</w:t>
        </w:r>
      </w:hyperlink>
      <w:r>
        <w:rPr>
          <w:rFonts w:ascii="Calibri" w:hAnsi="Calibri" w:cs="Calibri" w:eastAsia="Calibri"/>
          <w:color w:val="000000"/>
          <w:spacing w:val="0"/>
          <w:position w:val="0"/>
          <w:sz w:val="24"/>
          <w:shd w:fill="FFFF00" w:val="clear"/>
        </w:rPr>
        <w:t xml:space="preserve">) combined with a decoy and a standard common contaminant database that is automatically provided by MaxQuant. Set the false discovery rate (FDR) to 1% and set the minimum score for modified (diGly) peptides to 40 (default value). Exclude peptides identified with a C-terminal diGly modified lysine residue from further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For the quantitative analysis of SILAC experiment files, set the multiplicity to "2" and repeat step 4.2.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Perform all downstream analyses (e.g., statistics, gene ontology analyses) with the Perseus module</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of the MaxQuant software suite.</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Ubiquitinated proteins leave a 114.04 Da diglycine remnant on the target lysine residue when the proteins are digested with trypsin. The mass difference caused by this motif was used to unambiguously recognize the site of ubiquitination in a mass spectrometry experiment. The strategy that we describe here is a state-of-the-art method for the enrichment and subsequent identification of diGly peptides by nanoflow LC-MS/MS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 this study, both cultured cells and in vivo material were used as the biological source of proteins, but this protocol is compatible with any source of proteins. Following the steps in the protocol it should be straightforward to identify 10,000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25,000 diGly peptides from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mg of protein input. To increase the extent of protein ubiquitination in cells, a proteasome inhibitor such as bortezomib or MG132 can be added a few hours prior to harvesting the cells. If no proteasome inhibitor was used, the numbers of identified diGly peptides tended to be significantly lower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made several improvements to existing protocols. First, a crude fractionation into three fractions based on reversed-phase chromatography and subsequent elution at high pH is performed to reduce the complexity of the peptide mixture. These fractions show a very low overlap in peptide identifications, and comparable numbers of diGly peptides should be identified per fraction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results in high numbers of unique diGly peptides identified in each of those fractions. Importantly, one of the fractions (typically the second) should contain ubiquitin's own </w:t>
      </w:r>
      <w:r>
        <w:rPr>
          <w:rFonts w:ascii="Calibri" w:hAnsi="Calibri" w:cs="Calibri" w:eastAsia="Calibri"/>
          <w:color w:val="auto"/>
          <w:spacing w:val="0"/>
          <w:position w:val="0"/>
          <w:sz w:val="24"/>
          <w:shd w:fill="auto" w:val="clear"/>
        </w:rPr>
        <w:t xml:space="preserve">K48 modified tryptic diGly peptide LIFAGK(GG)QLEDGR (m/z 730.39). This is by far the most abundant peptide in the immunoprecipitated fraction and is characterized by the intense and broad peak in the LC chromatogram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is a benchmark chromatographic peak and if it is absent from the chromatogram the IP was most likely unsuccessful.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improvement is the adaptation of the DDA analysis procedure is the ion routing multipole in the mass spectrometer. In conventional top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data-dependent acquisition (DDA),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peaks from the MS1 spectrum are selected for fragmentation. This fragmentation scheme starts with the highest intensity peak first, followed by the peak of second highest intensity, and so on. In an alternative fragmentation scheme, the least intense peak is selected first, followed by the second least intense peak, etc. The rationale behind this order of selection is that there be sufficient time to fragment very low abundant peptides as well. In fact, we found that the number of peptide identifications increases when the "highest first" and "lowest first" DDA runs were combined compared to a duplicate LC-MS analysis with standard DDA settings (i.e., highest first). For more comprehensive ubiquitinome profiling, it is therefore recommended to combine the LC-MS runs with "highest first" and "lowest first" fragmentation regimes in the data analysis procedure. This "lowest first" strategy can produce more than additional 4,000 unique diGly peptides, which were not detected when only the conventional DDA regime was used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additional IP's of the flowthrough after the first IP can produce another ~2,500 unique diGly peptides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Articles in the literature on ubiquitination profiling typically report around 10,000 identified diGly peptides</w:t>
      </w:r>
      <w:r>
        <w:rPr>
          <w:rFonts w:ascii="Calibri" w:hAnsi="Calibri" w:cs="Calibri" w:eastAsia="Calibri"/>
          <w:color w:val="000000"/>
          <w:spacing w:val="0"/>
          <w:position w:val="0"/>
          <w:sz w:val="24"/>
          <w:shd w:fill="auto" w:val="clear"/>
          <w:vertAlign w:val="superscript"/>
        </w:rPr>
        <w:t xml:space="preserve">12,21</w:t>
      </w:r>
      <w:r>
        <w:rPr>
          <w:rFonts w:ascii="Calibri" w:hAnsi="Calibri" w:cs="Calibri" w:eastAsia="Calibri"/>
          <w:color w:val="000000"/>
          <w:spacing w:val="0"/>
          <w:position w:val="0"/>
          <w:sz w:val="24"/>
          <w:shd w:fill="auto" w:val="clear"/>
        </w:rPr>
        <w:t xml:space="preserve">. Here, of all diGly peptides identified over three biological replicate screens, &amp;gt;9,000 were present in all three, while &amp;gt;17,000 were present in at least two out of three replicates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Typically, following the protocol described here one should identify &amp;gt;21,000 unique diGly peptides from one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mg protein sample using one standard batch of CST antibody beads. In terms of purity and selectivity the ratio between identified diGly peptides and unmodified peptides should always be &amp;gt;0.5. The number of diGly peptide identifications was highly dependent on the amount of protein input material. An IP performed with only 1 mg of input material produced roughly 2,500 diGly peptide identifications, while with 10 mg of protein input material &amp;gt;15,000 diGly peptide identifications were produced.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lists the expected number of identified diGly peptides for each condition. It should be noted that these numbers are only estimations and depend on the type of mass spectrometer used.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overlap between diGly peptide identifications with low, medium, and high amounts of input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illustrate the added value of the improvements for ubiquitination site analysis described above, we also performed a quantitative ubiquitinomic analysis of SILAC labeled HeLa cells that were treated with the proteasome inhibitor bortezomib compared to untreated control cells in a duplicate label swap assay. More than half (&amp;gt;55%) of all identified peptides in the eluate upon IP were diGly peptides. Over 19,000 unique diGly peptides were identified, which is only slightly less than in a non-SILAC labeled sample. The reason for this may be the higher complexity of MS1 spectra in a SILAC assay because of the presence of peptide peak pairs. In the SILAC analysis relatively large differences were observed between the numbers of diGly peptides that were exclusively identified in the forward condition (i.e., bortezomib treated cells in the heavy channel, control cells in the light channel) and those exclusively identified in the reverse condition (i.e., bortezomib treated cells in the light channel, control cells in the heavy channel), in this case 1,752 versus 6,356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When operating the MaxQuant software in the "multiplicity = 2" (i.e., two-channel SILAC) mode, 7,555 diGly peptides were identified with zero intensity in the heavy channel (virtually all coming in the reverse experiment) and a non-zero intensity value in the light channel. In contrast, no single diGly peptides was identified with a non-zero intensity value in the heavy channel accompanied by a zero intensity value in the light channel. When a MaxQuant analysis on the same data set was performed in the "multiplicity = 1" mode with the diGly moiety and the labeled amino acid combined into one single variable modification, many heavy diGly peptide variants were identified, even when no light counterpart of that peptide could be detected. The most likely explanation for this is the inability of the software to cope with the identification of diGly peptides that are exclusively present in the heavy channel. This phenomenon is likely to occur extensively, because the inhibition of the proteasome will trigger the formation of novel ubiquitination sites. Ticking the "requantify" option check box in MaxQuant, which was developed to deal with these issues and should corrects for this, seems to be insufficient to avoid this issue completely. Obviously, the far majority of diGly peptides are being upregulated or formed de novo upon proteasome inhibition, because over two thirds of the peptide pool have H:L ratios of at least 1.5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Finally, we applied this ubiquitination site analysis method to an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tissue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sample. To assess the effectiveness, we extracted approximately 32 mg of protein from fresh mouse brain (~10% of the wet tissue weight is protein). The brain material was not treated with proteasome inhibitors or any other reagent that could boost overall protein ubiquitination. From this sample, 10,871 unique diGly peptides were identified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000000"/>
          <w:spacing w:val="0"/>
          <w:position w:val="0"/>
          <w:sz w:val="24"/>
          <w:shd w:fill="auto" w:val="clear"/>
        </w:rPr>
        <w:t xml:space="preserve">). All diGly peptides identified in this tissue originated from endogenous sites of ubiquitination in a steady-state situation. No treatment to boost global ubiquitination (e.g., proteasome inhibition) was imposed. We therefore hypothesize that these ubiquitination sites at least partially arise from (poly)ubiquitination involved in non-proteasome mediated cellular signalling events, which is in agreement with ideas proposed in the literature</w:t>
      </w:r>
      <w:r>
        <w:rPr>
          <w:rFonts w:ascii="Calibri" w:hAnsi="Calibri" w:cs="Calibri" w:eastAsia="Calibri"/>
          <w:color w:val="000000"/>
          <w:spacing w:val="0"/>
          <w:position w:val="0"/>
          <w:sz w:val="24"/>
          <w:shd w:fill="auto" w:val="clear"/>
          <w:vertAlign w:val="superscript"/>
        </w:rPr>
        <w:t xml:space="preserve">5,16,22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method described here allows for the in-depth exploration of the ubiquitinome in a reproducible manner. For an overview of typical results obtained with this procedure see Van Der Wal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overview.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Overview of the experimental approach. Samples were prepared, trypsinized, and fractionated into three fractions using reverse-phase chromatography with high pH elution. One batch of commercial &amp;#945;-diGly peptide antibody beads was split into six equal fractions and the three peptide fractions were then loaded on three of the bead fractions. The diGly peptides were immunopurified, eluted, and collected, and the flowthrough was subsequently transferred to the three remaining fresh beads fractions. The collected diGly peptides were analyzed by mass spectrometry on a Lumos Orbitrap mass spectrometer according to a two-tier scheme combining one cycle in which the most intense peaks were first selected for peptide fragmentation and the next cycle in which the least intense peaks were selected first. The complete set of nLC-MS/MS runs were then analyzed using MaxQuant.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One of the fractions should contain ubiquitin's own </w:t>
      </w:r>
      <w:r>
        <w:rPr>
          <w:rFonts w:ascii="Calibri" w:hAnsi="Calibri" w:cs="Calibri" w:eastAsia="Calibri"/>
          <w:color w:val="auto"/>
          <w:spacing w:val="0"/>
          <w:position w:val="0"/>
          <w:sz w:val="24"/>
          <w:shd w:fill="auto" w:val="clear"/>
        </w:rPr>
        <w:t xml:space="preserve">K48 modified tryptic diGly peptide LIFAGK(GG)QLEDGR (m/z 730.39). This is by far the most abundant peptide in the immunoprecipitated fraction and was characterized by the intense and broad peak in the LC chromatogram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min on a 120 min gradient. If this benchmark peak is absent from the chromatogram the IP was most likely unsuccessful. This figure has been modified from </w:t>
      </w:r>
      <w:r>
        <w:rPr>
          <w:rFonts w:ascii="Calibri" w:hAnsi="Calibri" w:cs="Calibri" w:eastAsia="Calibri"/>
          <w:color w:val="000000"/>
          <w:spacing w:val="0"/>
          <w:position w:val="0"/>
          <w:sz w:val="24"/>
          <w:shd w:fill="auto" w:val="clear"/>
        </w:rPr>
        <w:t xml:space="preserve">Van Der Wal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Numbers of diGly peptides detected for each of the three improvement steps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Effect of crude fractionation prior to immunoprecipitation. The overlap between diGly peptide populations identified in the three separate fractions is shown.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Effect of the first and second incubation steps.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Results of the adjusted peptide fragmentation regime. </w:t>
      </w:r>
      <w:r>
        <w:rPr>
          <w:rFonts w:ascii="Calibri" w:hAnsi="Calibri" w:cs="Calibri" w:eastAsia="Calibri"/>
          <w:color w:val="auto"/>
          <w:spacing w:val="0"/>
          <w:position w:val="0"/>
          <w:sz w:val="24"/>
          <w:shd w:fill="auto" w:val="clear"/>
        </w:rPr>
        <w:t xml:space="preserve">This figure has been modified from </w:t>
      </w:r>
      <w:r>
        <w:rPr>
          <w:rFonts w:ascii="Calibri" w:hAnsi="Calibri" w:cs="Calibri" w:eastAsia="Calibri"/>
          <w:color w:val="000000"/>
          <w:spacing w:val="0"/>
          <w:position w:val="0"/>
          <w:sz w:val="24"/>
          <w:shd w:fill="auto" w:val="clear"/>
        </w:rPr>
        <w:t xml:space="preserve">Van Der Wal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DiGly peptides detected in three biological replicates of bortezomib treated cells showing the amount of overlap between the runs.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w:t>
      </w:r>
      <w:r>
        <w:rPr>
          <w:rFonts w:ascii="Calibri" w:hAnsi="Calibri" w:cs="Calibri" w:eastAsia="Calibri"/>
          <w:color w:val="000000"/>
          <w:spacing w:val="0"/>
          <w:position w:val="0"/>
          <w:sz w:val="24"/>
          <w:shd w:fill="auto" w:val="clear"/>
        </w:rPr>
        <w:t xml:space="preserve">Van Der Wal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Overlap of identified diGly peptides from analyses with low (4 mg)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medium (10 mg),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and high (40 mg) total protein input amounts.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Detection of diGly peptides in SILAC labeled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Numbers of peptides detected in the forward and reverse conditions of the SILAC labeled HeLa cells for multiplicity settings 1 and 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Scatterplot of diGly peptide SILAC ratios in Bortezomib (Btz) treated HeLa cells. Only peptides that were identified and quantified in both forward and reverse experiments are shown. </w:t>
      </w:r>
      <w:r>
        <w:rPr>
          <w:rFonts w:ascii="Calibri" w:hAnsi="Calibri" w:cs="Calibri" w:eastAsia="Calibri"/>
          <w:color w:val="auto"/>
          <w:spacing w:val="0"/>
          <w:position w:val="0"/>
          <w:sz w:val="24"/>
          <w:shd w:fill="auto" w:val="clear"/>
        </w:rPr>
        <w:t xml:space="preserve">This figure has been modified from </w:t>
      </w:r>
      <w:r>
        <w:rPr>
          <w:rFonts w:ascii="Calibri" w:hAnsi="Calibri" w:cs="Calibri" w:eastAsia="Calibri"/>
          <w:color w:val="000000"/>
          <w:spacing w:val="0"/>
          <w:position w:val="0"/>
          <w:sz w:val="24"/>
          <w:shd w:fill="auto" w:val="clear"/>
        </w:rPr>
        <w:t xml:space="preserve">Van Der Wal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Expected numbers of diGly peptide identifications for different conditions.</w:t>
      </w:r>
      <w:r>
        <w:rPr>
          <w:rFonts w:ascii="Calibri" w:hAnsi="Calibri" w:cs="Calibri" w:eastAsia="Calibri"/>
          <w:color w:val="auto"/>
          <w:spacing w:val="0"/>
          <w:position w:val="0"/>
          <w:sz w:val="24"/>
          <w:shd w:fill="auto" w:val="clear"/>
        </w:rPr>
        <w:t xml:space="preserve"> These numbers are only estimations and depend on the experimental settings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was applied to samples from various biological sources, such as cultured cells and in vivo tissue. In all cases we identified thousands of diGly peptides, provided that the total protein input amount was at least 1 mg. The enrichment using specific antibodies is highly efficient, given that only at most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very low abundant diGly peptides were identified from whole cell lysates if no enrichment procedures for ubiquitinated proteins or diGly peptides were applied. Obviously, sensitive mass spectrometry is a prerequisite for obtaining high numbers of diGly identifications. Although we have successfully used several different mass spectrometers, we found the Orbitrap Tribrid Lumos to be the most sensitive one that gave the highest yields.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offline RP chromatography with high pH elution should be tested before the IP's are carried out. The overlap between the fractions in terms of peptide identifications should be as low as possible for an optimal experiment. After the IP, one of the fractions should contain ubiquitin's own K48 modified tryptic diGly peptide LIFAGK(GG)QLEDGR (m/z 730.39). This is by far the most abundant peptide in the immunoprecipitated fraction and is characterized by the intense and broad peak in the LC chromatogram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min on a 120 min gradient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If this benchmark peak is absent from the chromatogram, the IP was most likely unsuccessful.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analyze the immunoprecipitated diGly tryptic peptides immediately after the IP procedure, so the time between the IP and analysis should be kept to a minimum. During that time, peptides should preferably be stored in a glass vial instead of plastic tubes. Leaving peptides in plastic tubes for too long, either at RT or at -20 &amp;#176;C, may result in precipitation of peptides and/or sticking to the plastic tube wall. This will ultimately affect the sensitivity of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have been reports in the literature about the potential misinterpretation of iodoacetamide adducts as ubiquitination sites because of their identical 114.04 Da mass shifts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have not found any indication of this with our preparations of immunoprecipitated tryptic peptides. First, the side effects of using iodoacetamide (IAM) are minimal in our hands using the alkylation-reduction protocol described above. Second, the antibody is specific for peptides with a diglycine remnant. Peptides with two iodoacetamide moieties covalently added to lysine residues should not be enriched in this protocol. Third, the majority of the peptides in the immunoprecipitated fraction are upregulated upon proteasome inhibition, as exemplified on the SILAC experiment described above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Because the population of ubiquitinated proteins is affected as a result of this treatment, it is highly likely that these affected peptides are indeed diGly peptides resulting from ubiquitinated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this protocol could be used in combination with a recently published multiplexed quantitative strategy using TMT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Obviously, although the published diGly peptide numbers are somewhat lower than those obtained using the present protocol, the ability to relatively quantify up to 16 samples simultaneously is a huge advantage. Combining these methods will allow researchers to perform large-scale quantitative ubiquitinome studies in great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is part of the project “Proteins at Work”, a program of the Netherlands Proteomics Centre financed by The Netherlands Organization for Scientific Research (NWO) as part of the National Roadmap Large-Scale Research Facilities (project number 184.032.201).&lt;/p&gt;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Clague, M. J., Urb&amp;#233;, S. Ubiquitin: Same molecule, different degradation pathways.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682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Ciechanover, A. The ubiquitin-proteasome proteolytic pathway.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Ohtake, F., Tsuchiya, H. JB special review - Recent topics in ubiquitin-proteasome system and autophagy: The emerging complexity of ubiquitin architecture. </w:t>
      </w:r>
      <w:r>
        <w:rPr>
          <w:rFonts w:ascii="Calibri" w:hAnsi="Calibri" w:cs="Calibri" w:eastAsia="Calibri"/>
          <w:i/>
          <w:color w:val="000000"/>
          <w:spacing w:val="0"/>
          <w:position w:val="0"/>
          <w:sz w:val="24"/>
          <w:shd w:fill="auto" w:val="clear"/>
        </w:rPr>
        <w:t xml:space="preserve">Journal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(2),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Bergink, S., Jentsch, S. Principles of ubiquitin and SUMO modifications in DNA repair.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458</w:t>
      </w:r>
      <w:r>
        <w:rPr>
          <w:rFonts w:ascii="Calibri" w:hAnsi="Calibri" w:cs="Calibri" w:eastAsia="Calibri"/>
          <w:color w:val="000000"/>
          <w:spacing w:val="0"/>
          <w:position w:val="0"/>
          <w:sz w:val="24"/>
          <w:shd w:fill="auto" w:val="clear"/>
        </w:rPr>
        <w:t xml:space="preserve"> (7237),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467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Komander, D., Rape, M. The Ubiquitin Code.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Michel, M. A., Swatek, K. N., Hospenthal, M. K., Komander, D. Ubiquitin Linkage-Specific Affimers Reveal Insights into K6-Linked Ubiquitin Signaling.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233-246.e5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Swatek, K. N. et al. Insights into ubiquitin chain architecture using Ub-clipping.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572</w:t>
      </w:r>
      <w:r>
        <w:rPr>
          <w:rFonts w:ascii="Calibri" w:hAnsi="Calibri" w:cs="Calibri" w:eastAsia="Calibri"/>
          <w:color w:val="000000"/>
          <w:spacing w:val="0"/>
          <w:position w:val="0"/>
          <w:sz w:val="24"/>
          <w:shd w:fill="auto" w:val="clear"/>
        </w:rPr>
        <w:t xml:space="preserve">, 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537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Peng, J. et al. A proteomics approach to understanding protein ubiquitination.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(8), 921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926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Wagner, S. A. et al. Proteomic Analyses Reveal Divergent Ubiquitylation Site Patterns in Murine Tissues.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1578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Iesmantavicius, V., Weinert, B. T., Choudhary, C. Convergence of Ubiquitylation and Phosphorylation Signaling in Rapamycin-treated Yeast Cells.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1979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Elia, A. E. H. et al. Quantitative Proteomic Atlas of Ubiquitination and Acetylation in the DNA Damage Response.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867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Wagner, S. A. et al. A Proteome-wide, Quantitative Survey of In Vivo Ubiquitylation Sites Reveals Widespread Regulatory Roles.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M111.013284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M111.013284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Udeshi, N. D. et al. Methods for Quantification of in vivo Changes in Protein Ubiquitination following Proteasome and Deubiquitinase Inhibition.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Sap, K. A., Bezstarosti, K., Dekkers, D. H., Voets, O., Demmers, J. A. Quantitative proteomics reveals extensive remodeling of the ubiquitinome after perturbation of the proteasome by dsRNA mediated subunit knockdown.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2848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2862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Xu, G., Paige, J. S., Jaffrey, S. R. Global analysis of lysine ubiquitination by ubiquitin remnant immunoaffinity profiling.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 868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Kim, W. et al. Systematic and quantitative assessment of the ubiquitin-modified proteome.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Wakabayashi, M., et al. Phosphoproteome analysis of formalin-fixed and paraffin-embedded tissue sections mounted on microscope slides.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915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Cox, J., Mann, M. MaxQuant enables high peptide identification rates, individualized p.p.b.-range mass accuracies and proteome-wide protein quantification.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(12), 1367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Tyanova, S., Temu, T., Cox, J. The MaxQuant computational platform for mass spectrometry-based shotgun proteomics.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2301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Tyanova, S. et al. The Perseus computational platform for comprehensive analysis of (prote)omics data.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(June), 731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Rose, C. M. et al. Highly Multiplexed Quantitative Mass Spectrometry Analysis of Ubiquitylomes. </w:t>
      </w:r>
      <w:r>
        <w:rPr>
          <w:rFonts w:ascii="Calibri" w:hAnsi="Calibri" w:cs="Calibri" w:eastAsia="Calibri"/>
          <w:i/>
          <w:color w:val="000000"/>
          <w:spacing w:val="0"/>
          <w:position w:val="0"/>
          <w:sz w:val="24"/>
          <w:shd w:fill="auto" w:val="clear"/>
        </w:rPr>
        <w:t xml:space="preserve">Cell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Kaiser, S. E. et al. Protein standard absolute quantification (PSAQ) method for the measurement of cellular ubiquitin pools.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691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Van Der Wal, L. et al. Improvement of ubiquitylation site detection by Orbitrap mass spectrometry.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 (July),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(2017).</w:t>
      </w:r>
    </w:p>
    <w:p>
      <w:pPr>
        <w:spacing w:before="0" w:after="0" w:line="240"/>
        <w:ind w:right="0" w:left="640" w:hanging="64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Nielsen, M. L. et al. Iodoacetamide-induced artifact mimics ubiquitination in mass spectrometry.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460 (2008).&lt;/li&gt;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niprot.org/download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