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Applying Advanced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Culturing Technology to Study the Human Gut Microbiota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Jenni Firrman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LinShu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Pieter Van den Abbeele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Ceylan Tanes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Kyle Bittinger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Peggy Tomasula</w:t>
      </w:r>
      <w:r>
        <w:rPr>
          <w:rFonts w:ascii="Calibri" w:hAnsi="Calibri" w:cs="Calibri" w:eastAsia="Calibri"/>
          <w:color w:val="000000"/>
          <w:spacing w:val="0"/>
          <w:position w:val="0"/>
          <w:sz w:val="24"/>
          <w:shd w:fill="auto" w:val="clear"/>
          <w:vertAlign w:val="superscript"/>
        </w:rPr>
        <w:t xml:space="preserve">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 Firrman</w:t>
        <w:tab/>
        <w:tab/>
        <w:tab/>
        <w:t xml:space="preserve">(Jenni.Firrman@ars.usda.gov)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Gut microbiota,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bacterial culturing, ascending colon, transverse colon, descending colon, short chain fatty acids, bacterial community, bioinformatics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culturing the gut microbiota of the colon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using a series of bioreactors that simulate the physiological conditions of the gastro intestinal tract</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human gut microbiota plays a vital role in both human health and disease. Studying the gut microbiota using an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model,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difficult due to its complex nature, and its diverse association with mammalian components. The goal of this protocol is to culture the gut microbiota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which allows for the study of the gut microbiota dynamics, without having to consider the contribution of the mammalian milieu. Using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culturing technology, the physiological conditions of the gastro intestinal tract are simulated, including parameters such as pH, temperature, anaerobiosis, and transit time. The intestinal surface of the colon is simulated by adding mucin-coated carriers, creating a mucosal phase, and adding further dimension. The gut microbiota is introduced by inoculating with the human fecal material. Upon inoculation with this complex mixture of bacteria, specific microbes are enriched in the different longitudinal (ascending, transverse and descending colons) and transversal (luminal and mucosal) environments of the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model. It is crucial to allow the system to reach a steady state, in which the community and the metabolites produced remain stable. The experimental results in this manuscript demonstrate how the inoculated gut microbiota community develops into a stable community over time. Once steady state is achieved, the system can be used to analyze bacterial interactions and community functions or to test the effects of any additives on the gut microbiota, such as food, food components, or pharmaceuticals.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gut microbiota is a community of micro-organisms that reside in the human gastrointestinal tract (GIT).  This community reaches maximum concentration in the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Materials and Preparations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defined medium is purchased as a powder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composition of the defined medium in g/L is the following: Arabinogalactan (1.2), Pectin (2.0), Xylan (0.5), Glucose (0.4), Yeast extract (3.0), Special peptone (1.0), Mucin (2.0), L-cysteine-HCl (0.2).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koerntokenrtoknert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analysis of DNA sequencing reveals the development of a region-specific community, there is no apparent difference in the production of SCFAs between regions.  The average ratio of Acetic Acid: Propionic Acid: Butanoic Acid for the stable community (Day 15-28) was calculated for each region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While the ratios of the different SCFA remained fairly similar, there is an increase in the total amounts of SCFAs produced between the ascending, transverse and descending regions, with the highest levels found in the descending region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This was true for both Unit 1 and Unit 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Illustration of the 5-stage, </w:t>
      </w:r>
      <w:r>
        <w:rPr>
          <w:rFonts w:ascii="Calibri" w:hAnsi="Calibri" w:cs="Calibri" w:eastAsia="Calibri"/>
          <w:b/>
          <w:i/>
          <w:color w:val="auto"/>
          <w:spacing w:val="0"/>
          <w:position w:val="0"/>
          <w:sz w:val="24"/>
          <w:shd w:fill="auto" w:val="clear"/>
        </w:rPr>
        <w:t xml:space="preserve">in vitro </w:t>
      </w:r>
      <w:r>
        <w:rPr>
          <w:rFonts w:ascii="Calibri" w:hAnsi="Calibri" w:cs="Calibri" w:eastAsia="Calibri"/>
          <w:b/>
          <w:color w:val="auto"/>
          <w:spacing w:val="0"/>
          <w:position w:val="0"/>
          <w:sz w:val="24"/>
          <w:shd w:fill="auto" w:val="clear"/>
        </w:rPr>
        <w:t xml:space="preserve">experimental design. </w:t>
      </w:r>
      <w:r>
        <w:rPr>
          <w:rFonts w:ascii="Calibri" w:hAnsi="Calibri" w:cs="Calibri" w:eastAsia="Calibri"/>
          <w:color w:val="000000"/>
          <w:spacing w:val="0"/>
          <w:position w:val="0"/>
          <w:sz w:val="24"/>
          <w:shd w:fill="auto" w:val="clear"/>
        </w:rPr>
        <w:t xml:space="preserve">The complete system consists of the following components:  A circulating water bath, nitrogen flow, a set of glass bioreactors, a set of magnetic stirrer bars and magnetic stirrers, pH probes, a computer-controlled console containing 40 peristaltic pumps, a computer monitor, and a refrigerator.  The main system is composed of a set of bioreactors mimicking the stomach, small intestine, and the ascending, transverse, and descending colon regions.  Two complete units are set up to run in parallel, providing for an experimental and a control group. This means that 10 bioreactors, 10 pH probes, and 10 magnetic stirrers are required for this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community stabilizes by day 11 post inoculation.</w:t>
      </w:r>
      <w:r>
        <w:rPr>
          <w:rFonts w:ascii="Calibri" w:hAnsi="Calibri" w:cs="Calibri" w:eastAsia="Calibri"/>
          <w:color w:val="auto"/>
          <w:spacing w:val="0"/>
          <w:position w:val="0"/>
          <w:sz w:val="24"/>
          <w:shd w:fill="auto" w:val="clear"/>
        </w:rPr>
        <w:t xml:space="preserve"> PCoA analysis based on (A) Unweighted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Weighted Unifrac distances for the luminal and mucosal phase of each region over time for Unit 1 and for the luminal phase of Unit 2. The plot is faceted into the components after calculating the PCoA axes.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production of SCFAs by the </w:t>
      </w:r>
      <w:r>
        <w:rPr>
          <w:rFonts w:ascii="Calibri" w:hAnsi="Calibri" w:cs="Calibri" w:eastAsia="Calibri"/>
          <w:b/>
          <w:i/>
          <w:color w:val="auto"/>
          <w:spacing w:val="0"/>
          <w:position w:val="0"/>
          <w:sz w:val="24"/>
          <w:shd w:fill="auto" w:val="clear"/>
        </w:rPr>
        <w:t xml:space="preserve">in vitro </w:t>
      </w:r>
      <w:r>
        <w:rPr>
          <w:rFonts w:ascii="Calibri" w:hAnsi="Calibri" w:cs="Calibri" w:eastAsia="Calibri"/>
          <w:b/>
          <w:color w:val="auto"/>
          <w:spacing w:val="0"/>
          <w:position w:val="0"/>
          <w:sz w:val="24"/>
          <w:shd w:fill="auto" w:val="clear"/>
        </w:rPr>
        <w:t xml:space="preserve">system stabilize by day 15 post inoculation.</w:t>
      </w:r>
      <w:r>
        <w:rPr>
          <w:rFonts w:ascii="Calibri" w:hAnsi="Calibri" w:cs="Calibri" w:eastAsia="Calibri"/>
          <w:color w:val="auto"/>
          <w:spacing w:val="0"/>
          <w:position w:val="0"/>
          <w:sz w:val="24"/>
          <w:shd w:fill="auto" w:val="clear"/>
        </w:rPr>
        <w:t xml:space="preserve">  Measurements of Propionic Acid, Butanoic Acid, and Acetic Acid over time for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Ascending colon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Transverse colon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Descending colon. The experiment was performed in triplicate. The results represent an average of three independent measurements, with error bars depicting the standard deviation.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Comparison of the stable communities from the </w:t>
      </w:r>
      <w:r>
        <w:rPr>
          <w:rFonts w:ascii="Calibri" w:hAnsi="Calibri" w:cs="Calibri" w:eastAsia="Calibri"/>
          <w:b/>
          <w:i/>
          <w:color w:val="auto"/>
          <w:spacing w:val="0"/>
          <w:position w:val="0"/>
          <w:sz w:val="24"/>
          <w:shd w:fill="auto" w:val="clear"/>
        </w:rPr>
        <w:t xml:space="preserve">in vitro </w:t>
      </w:r>
      <w:r>
        <w:rPr>
          <w:rFonts w:ascii="Calibri" w:hAnsi="Calibri" w:cs="Calibri" w:eastAsia="Calibri"/>
          <w:b/>
          <w:color w:val="auto"/>
          <w:spacing w:val="0"/>
          <w:position w:val="0"/>
          <w:sz w:val="24"/>
          <w:shd w:fill="auto" w:val="clear"/>
        </w:rPr>
        <w:t xml:space="preserve">system to the fecal inoculum.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stable communities (D15-28), at the order level were averaged and formatted in pie charts for both the mucosal and luminal phase of each colon region, and for the fecal inoculum.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Shannon diversity for the mucosal and luminal phase of each colon region compared to the fecal inoculum (black dotted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luminal and mucosal phase in each colon region promote the growth of distinct communities.</w:t>
      </w:r>
      <w:r>
        <w:rPr>
          <w:rFonts w:ascii="Calibri" w:hAnsi="Calibri" w:cs="Calibri" w:eastAsia="Calibri"/>
          <w:color w:val="auto"/>
          <w:spacing w:val="0"/>
          <w:position w:val="0"/>
          <w:sz w:val="24"/>
          <w:shd w:fill="auto" w:val="clear"/>
        </w:rPr>
        <w:t xml:space="preserve">  The average relative abundance, at the family level, for the stable communities (D15-28) for the luminal and mucosal phase, and the inoculum, were calculated and plotted together for each colon region.</w:t>
      </w:r>
      <w:r>
        <w:rPr>
          <w:rFonts w:ascii="Calibri" w:hAnsi="Calibri" w:cs="Calibri" w:eastAsia="Calibri"/>
          <w:color w:val="000000"/>
          <w:spacing w:val="0"/>
          <w:position w:val="0"/>
          <w:sz w:val="24"/>
          <w:shd w:fill="auto" w:val="clear"/>
        </w:rPr>
        <w:t xml:space="preserve"> Error bars represent the standard deviation between timepoints. </w:t>
      </w:r>
      <w:r>
        <w:rPr>
          <w:rFonts w:ascii="Calibri" w:hAnsi="Calibri" w:cs="Calibri" w:eastAsia="Calibri"/>
          <w:color w:val="auto"/>
          <w:spacing w:val="0"/>
          <w:position w:val="0"/>
          <w:sz w:val="24"/>
          <w:shd w:fill="auto" w:val="clear"/>
        </w:rPr>
        <w:t xml:space="preserve">AC1= Ascending colon Unit 1; TC1= Transverse colon Unit 1; DC1= Descending colon Unit 1; AC2= Ascending colon Unit 2; TC2= Transverse colon Unit 2; DC2= Descending colon Unit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Each colon region of the </w:t>
      </w:r>
      <w:r>
        <w:rPr>
          <w:rFonts w:ascii="Calibri" w:hAnsi="Calibri" w:cs="Calibri" w:eastAsia="Calibri"/>
          <w:b/>
          <w:i/>
          <w:color w:val="auto"/>
          <w:spacing w:val="0"/>
          <w:position w:val="0"/>
          <w:sz w:val="24"/>
          <w:shd w:fill="auto" w:val="clear"/>
        </w:rPr>
        <w:t xml:space="preserve">in vitro </w:t>
      </w:r>
      <w:r>
        <w:rPr>
          <w:rFonts w:ascii="Calibri" w:hAnsi="Calibri" w:cs="Calibri" w:eastAsia="Calibri"/>
          <w:b/>
          <w:color w:val="auto"/>
          <w:spacing w:val="0"/>
          <w:position w:val="0"/>
          <w:sz w:val="24"/>
          <w:shd w:fill="auto" w:val="clear"/>
        </w:rPr>
        <w:t xml:space="preserve">system develops a unique community.</w:t>
      </w:r>
      <w:r>
        <w:rPr>
          <w:rFonts w:ascii="Calibri" w:hAnsi="Calibri" w:cs="Calibri" w:eastAsia="Calibri"/>
          <w:color w:val="auto"/>
          <w:spacing w:val="0"/>
          <w:position w:val="0"/>
          <w:sz w:val="24"/>
          <w:shd w:fill="auto" w:val="clear"/>
        </w:rPr>
        <w:t xml:space="preserve"> The average relative abundance, at the family level, for the stable communities (D15-28) in each colon region, and the fecal inoculum, were calculated and plotted together. The experiment was performed in triplicate. The results represent an average of three independent measurements, with error bars depicting the standard deviation.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The ratio of Acetic Acid: Propionic Acid: Butanoic Acid is similar for each colon region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amounts of acetic acid, propionic acid, and butanoic acid for the stable communities (D15-28) of each colon region were calculated and converted to a ratio.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ratios were plotted as percentages for each colon region. </w:t>
      </w:r>
      <w:r>
        <w:rPr>
          <w:rFonts w:ascii="Calibri" w:hAnsi="Calibri" w:cs="Calibri" w:eastAsia="Calibri"/>
          <w:color w:val="000000"/>
          <w:spacing w:val="0"/>
          <w:position w:val="0"/>
          <w:sz w:val="24"/>
          <w:shd w:fill="auto" w:val="clear"/>
        </w:rPr>
        <w:t xml:space="preserve">Error bars represent the standard deviation between timepoints. </w:t>
      </w:r>
      <w:r>
        <w:rPr>
          <w:rFonts w:ascii="Calibri" w:hAnsi="Calibri" w:cs="Calibri" w:eastAsia="Calibri"/>
          <w:color w:val="auto"/>
          <w:spacing w:val="0"/>
          <w:position w:val="0"/>
          <w:sz w:val="24"/>
          <w:shd w:fill="auto" w:val="clear"/>
        </w:rPr>
        <w:t xml:space="preserve">AC1= Ascending colon Unit 1; TC1= Transverse colon Unit 1; DC1= Descending colon Unit 1; AC2= Ascending colon Unit 2; TC2= Transverse colon Unit 2; DC2= Descending colon Unit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jbwerbjiwerijbweijbwer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culturing systems have been developed </w:t>
      </w:r>
      <w:r>
        <w:rPr>
          <w:rFonts w:ascii="Calibri" w:hAnsi="Calibri" w:cs="Calibri" w:eastAsia="Calibri"/>
          <w:color w:val="auto"/>
          <w:spacing w:val="0"/>
          <w:position w:val="0"/>
          <w:sz w:val="24"/>
          <w:shd w:fill="auto" w:val="clear"/>
        </w:rPr>
        <w:t xml:space="preserve">to study the gut microbiota of the large intestine. They use apparatuses designed to simulate the physiological conditions of the gastro intestinal tract, promoting the growth of a mature gut microbial community for each region of the colon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While the concept is logical and comprehensible, the actual running of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culturing systems to study the gut microbiota requires precision and an understanding of what is required and expected to produce reliable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wejirwreijbwerijbwer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The authors have no competing financial interests. </w:t>
      </w:r>
      <w:r>
        <w:rPr>
          <w:rFonts w:ascii="Calibri" w:hAnsi="Calibri" w:cs="Calibri" w:eastAsia="Calibri"/>
          <w:color w:val="000000"/>
          <w:spacing w:val="0"/>
          <w:position w:val="0"/>
          <w:sz w:val="24"/>
          <w:shd w:fill="auto" w:val="clear"/>
        </w:rPr>
        <w:t xml:space="preserve">Mention of trade names or commercial products in this publication is solely for the purpose of providing specific information and does not imply recommendation or endorsement by the U.S. Department of Agriculture. USDA is an equal opportunity provider and employer.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Ms. Audrey Thomas-Gahring is acknowledged for her GC/MS work.  We would also like to thank Massimo Marzorati for editing the manuscript.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Johansson, M., Larsson, J., Hansson, G. The two mucus layers of colon are organized by the MUC2 mucin, whereas the outer layer is a legislator of host-microbial interactions.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 4659-65, </w:t>
      </w:r>
      <w:r>
        <w:rPr>
          <w:rFonts w:ascii="Calibri" w:hAnsi="Calibri" w:cs="Calibri" w:eastAsia="Calibri"/>
          <w:color w:val="000000"/>
          <w:spacing w:val="0"/>
          <w:position w:val="0"/>
          <w:sz w:val="24"/>
          <w:shd w:fill="FFFFFF" w:val="clear"/>
        </w:rPr>
        <w:t xml:space="preserve">10.1073/pnas.1006451107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