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E05F68" w14:textId="77777777" w:rsidR="002707C4" w:rsidRPr="00134105" w:rsidRDefault="002707C4" w:rsidP="002707C4">
      <w:pPr>
        <w:pStyle w:val="Heading3"/>
        <w:spacing w:after="120"/>
        <w:jc w:val="center"/>
        <w:rPr>
          <w:rFonts w:ascii="Times New Roman" w:hAnsi="Times New Roman" w:cs="Times New Roman"/>
          <w:i w:val="0"/>
          <w:iCs w:val="0"/>
          <w:sz w:val="22"/>
          <w:szCs w:val="22"/>
        </w:rPr>
      </w:pPr>
      <w:r w:rsidRPr="00134105">
        <w:rPr>
          <w:rFonts w:ascii="Times New Roman" w:hAnsi="Times New Roman" w:cs="Times New Roman"/>
          <w:i w:val="0"/>
          <w:iCs w:val="0"/>
          <w:noProof/>
          <w:sz w:val="22"/>
          <w:szCs w:val="22"/>
        </w:rPr>
        <w:drawing>
          <wp:inline distT="0" distB="0" distL="0" distR="0" wp14:anchorId="2E78D8BE" wp14:editId="6D1FB475">
            <wp:extent cx="1892300" cy="95654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ianzeglis:Desktop:Dual Logo.t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92300" cy="956547"/>
                    </a:xfrm>
                    <a:prstGeom prst="rect">
                      <a:avLst/>
                    </a:prstGeom>
                    <a:noFill/>
                    <a:ln>
                      <a:noFill/>
                    </a:ln>
                  </pic:spPr>
                </pic:pic>
              </a:graphicData>
            </a:graphic>
          </wp:inline>
        </w:drawing>
      </w:r>
    </w:p>
    <w:p w14:paraId="11B8F9D1" w14:textId="77777777" w:rsidR="00F63E4E" w:rsidRPr="00134105" w:rsidRDefault="00F63E4E" w:rsidP="006F3D6A">
      <w:pPr>
        <w:pStyle w:val="Heading3"/>
        <w:jc w:val="center"/>
        <w:rPr>
          <w:rFonts w:ascii="Times New Roman" w:hAnsi="Times New Roman" w:cs="Times New Roman"/>
          <w:sz w:val="18"/>
          <w:szCs w:val="18"/>
          <w:lang w:val="fr-FR"/>
        </w:rPr>
      </w:pPr>
      <w:r w:rsidRPr="00134105">
        <w:rPr>
          <w:rFonts w:ascii="Times New Roman" w:hAnsi="Times New Roman" w:cs="Times New Roman"/>
          <w:sz w:val="18"/>
          <w:szCs w:val="18"/>
          <w:lang w:val="fr-FR"/>
        </w:rPr>
        <w:t xml:space="preserve">Brian M. Zeglis, </w:t>
      </w:r>
      <w:proofErr w:type="spellStart"/>
      <w:r w:rsidRPr="00134105">
        <w:rPr>
          <w:rFonts w:ascii="Times New Roman" w:hAnsi="Times New Roman" w:cs="Times New Roman"/>
          <w:sz w:val="18"/>
          <w:szCs w:val="18"/>
          <w:lang w:val="fr-FR"/>
        </w:rPr>
        <w:t>Ph.D</w:t>
      </w:r>
      <w:proofErr w:type="spellEnd"/>
      <w:r w:rsidRPr="00134105">
        <w:rPr>
          <w:rFonts w:ascii="Times New Roman" w:hAnsi="Times New Roman" w:cs="Times New Roman"/>
          <w:sz w:val="18"/>
          <w:szCs w:val="18"/>
          <w:lang w:val="fr-FR"/>
        </w:rPr>
        <w:t>.</w:t>
      </w:r>
    </w:p>
    <w:p w14:paraId="00548306" w14:textId="77777777" w:rsidR="002707C4" w:rsidRPr="00134105" w:rsidRDefault="00BE4CFB" w:rsidP="002707C4">
      <w:pPr>
        <w:pStyle w:val="Heading3"/>
        <w:jc w:val="center"/>
        <w:rPr>
          <w:rFonts w:ascii="Times New Roman" w:hAnsi="Times New Roman" w:cs="Times New Roman"/>
          <w:sz w:val="18"/>
          <w:szCs w:val="18"/>
        </w:rPr>
      </w:pPr>
      <w:r w:rsidRPr="00134105">
        <w:rPr>
          <w:rFonts w:ascii="Times New Roman" w:hAnsi="Times New Roman" w:cs="Times New Roman"/>
          <w:sz w:val="18"/>
          <w:szCs w:val="18"/>
        </w:rPr>
        <w:t>Assistant Professor</w:t>
      </w:r>
      <w:r w:rsidR="002707C4" w:rsidRPr="00134105">
        <w:rPr>
          <w:rFonts w:ascii="Times New Roman" w:hAnsi="Times New Roman" w:cs="Times New Roman"/>
          <w:sz w:val="18"/>
          <w:szCs w:val="18"/>
        </w:rPr>
        <w:t xml:space="preserve">, </w:t>
      </w:r>
      <w:r w:rsidRPr="00134105">
        <w:rPr>
          <w:rFonts w:ascii="Times New Roman" w:hAnsi="Times New Roman" w:cs="Times New Roman"/>
          <w:sz w:val="18"/>
          <w:szCs w:val="18"/>
        </w:rPr>
        <w:t xml:space="preserve">Department of </w:t>
      </w:r>
      <w:r w:rsidR="002707C4" w:rsidRPr="00134105">
        <w:rPr>
          <w:rFonts w:ascii="Times New Roman" w:hAnsi="Times New Roman" w:cs="Times New Roman"/>
          <w:sz w:val="18"/>
          <w:szCs w:val="18"/>
        </w:rPr>
        <w:t xml:space="preserve">Chemistry </w:t>
      </w:r>
    </w:p>
    <w:p w14:paraId="45332438" w14:textId="77777777" w:rsidR="00BE4CFB" w:rsidRPr="00134105" w:rsidRDefault="00BE4CFB" w:rsidP="002707C4">
      <w:pPr>
        <w:pStyle w:val="Heading3"/>
        <w:jc w:val="center"/>
        <w:rPr>
          <w:rFonts w:ascii="Times New Roman" w:hAnsi="Times New Roman" w:cs="Times New Roman"/>
          <w:i w:val="0"/>
          <w:iCs w:val="0"/>
          <w:sz w:val="18"/>
          <w:szCs w:val="18"/>
        </w:rPr>
      </w:pPr>
      <w:r w:rsidRPr="00134105">
        <w:rPr>
          <w:rFonts w:ascii="Times New Roman" w:hAnsi="Times New Roman" w:cs="Times New Roman"/>
          <w:sz w:val="18"/>
          <w:szCs w:val="18"/>
        </w:rPr>
        <w:t>Hunter College of the City University of New York</w:t>
      </w:r>
    </w:p>
    <w:p w14:paraId="5601442C" w14:textId="77777777" w:rsidR="002707C4" w:rsidRPr="00134105" w:rsidRDefault="002707C4" w:rsidP="002707C4">
      <w:pPr>
        <w:jc w:val="center"/>
        <w:rPr>
          <w:i/>
          <w:iCs/>
          <w:sz w:val="18"/>
          <w:szCs w:val="18"/>
        </w:rPr>
      </w:pPr>
      <w:r w:rsidRPr="00134105">
        <w:rPr>
          <w:i/>
          <w:iCs/>
          <w:sz w:val="18"/>
          <w:szCs w:val="18"/>
        </w:rPr>
        <w:t xml:space="preserve">Assistant Affiliate Member, Department of Radiology </w:t>
      </w:r>
    </w:p>
    <w:p w14:paraId="09A12D52" w14:textId="77777777" w:rsidR="002707C4" w:rsidRPr="00134105" w:rsidRDefault="002707C4" w:rsidP="002707C4">
      <w:pPr>
        <w:jc w:val="center"/>
        <w:rPr>
          <w:i/>
          <w:iCs/>
          <w:sz w:val="18"/>
          <w:szCs w:val="18"/>
        </w:rPr>
      </w:pPr>
      <w:r w:rsidRPr="00134105">
        <w:rPr>
          <w:i/>
          <w:iCs/>
          <w:sz w:val="18"/>
          <w:szCs w:val="18"/>
        </w:rPr>
        <w:t>Memorial Sloan Kettering Cancer Center</w:t>
      </w:r>
    </w:p>
    <w:p w14:paraId="07545465" w14:textId="77777777" w:rsidR="00BE015B" w:rsidRPr="00134105" w:rsidRDefault="00CA7C88" w:rsidP="002707C4">
      <w:pPr>
        <w:jc w:val="center"/>
        <w:rPr>
          <w:i/>
          <w:iCs/>
          <w:sz w:val="18"/>
          <w:szCs w:val="18"/>
        </w:rPr>
      </w:pPr>
      <w:r w:rsidRPr="00134105">
        <w:rPr>
          <w:i/>
          <w:iCs/>
          <w:sz w:val="18"/>
          <w:szCs w:val="18"/>
        </w:rPr>
        <w:t>Belfer Research Building</w:t>
      </w:r>
      <w:r w:rsidR="002707C4" w:rsidRPr="00134105">
        <w:rPr>
          <w:i/>
          <w:iCs/>
          <w:sz w:val="18"/>
          <w:szCs w:val="18"/>
        </w:rPr>
        <w:t xml:space="preserve">, </w:t>
      </w:r>
      <w:r w:rsidR="00BE4CFB" w:rsidRPr="00134105">
        <w:rPr>
          <w:i/>
          <w:iCs/>
          <w:sz w:val="18"/>
          <w:szCs w:val="18"/>
        </w:rPr>
        <w:t>413 East 69</w:t>
      </w:r>
      <w:r w:rsidR="00BE4CFB" w:rsidRPr="00134105">
        <w:rPr>
          <w:i/>
          <w:iCs/>
          <w:sz w:val="18"/>
          <w:szCs w:val="18"/>
          <w:vertAlign w:val="superscript"/>
        </w:rPr>
        <w:t xml:space="preserve">th </w:t>
      </w:r>
      <w:r w:rsidR="006F3D6A" w:rsidRPr="00134105">
        <w:rPr>
          <w:i/>
          <w:iCs/>
          <w:sz w:val="18"/>
          <w:szCs w:val="18"/>
        </w:rPr>
        <w:t xml:space="preserve">Street, </w:t>
      </w:r>
      <w:r w:rsidRPr="00134105">
        <w:rPr>
          <w:i/>
          <w:iCs/>
          <w:sz w:val="18"/>
          <w:szCs w:val="18"/>
        </w:rPr>
        <w:t xml:space="preserve">New York, NY </w:t>
      </w:r>
      <w:r w:rsidR="004307AC" w:rsidRPr="00134105">
        <w:rPr>
          <w:i/>
          <w:sz w:val="18"/>
          <w:szCs w:val="18"/>
        </w:rPr>
        <w:t>10021</w:t>
      </w:r>
    </w:p>
    <w:p w14:paraId="0367A497" w14:textId="77777777" w:rsidR="00FB71A1" w:rsidRDefault="00FB71A1" w:rsidP="002A2058">
      <w:pPr>
        <w:jc w:val="both"/>
        <w:rPr>
          <w:color w:val="000000" w:themeColor="text1"/>
          <w:sz w:val="22"/>
          <w:szCs w:val="22"/>
        </w:rPr>
      </w:pPr>
    </w:p>
    <w:p w14:paraId="55D035DC" w14:textId="39763565" w:rsidR="00EC6DBF" w:rsidRPr="00134105" w:rsidRDefault="003A0E90" w:rsidP="002A2058">
      <w:pPr>
        <w:jc w:val="both"/>
        <w:rPr>
          <w:color w:val="000000" w:themeColor="text1"/>
          <w:sz w:val="22"/>
          <w:szCs w:val="22"/>
        </w:rPr>
      </w:pPr>
      <w:r>
        <w:rPr>
          <w:color w:val="000000" w:themeColor="text1"/>
          <w:sz w:val="22"/>
          <w:szCs w:val="22"/>
        </w:rPr>
        <w:t>October</w:t>
      </w:r>
      <w:r w:rsidR="00FB71A1">
        <w:rPr>
          <w:color w:val="000000" w:themeColor="text1"/>
          <w:sz w:val="22"/>
          <w:szCs w:val="22"/>
        </w:rPr>
        <w:t xml:space="preserve"> </w:t>
      </w:r>
      <w:r>
        <w:rPr>
          <w:color w:val="000000" w:themeColor="text1"/>
          <w:sz w:val="22"/>
          <w:szCs w:val="22"/>
        </w:rPr>
        <w:t>1</w:t>
      </w:r>
      <w:r w:rsidR="00A80813">
        <w:rPr>
          <w:color w:val="000000" w:themeColor="text1"/>
          <w:sz w:val="22"/>
          <w:szCs w:val="22"/>
        </w:rPr>
        <w:t>6</w:t>
      </w:r>
      <w:r w:rsidRPr="003A0E90">
        <w:rPr>
          <w:color w:val="000000" w:themeColor="text1"/>
          <w:sz w:val="22"/>
          <w:szCs w:val="22"/>
          <w:vertAlign w:val="superscript"/>
        </w:rPr>
        <w:t>th</w:t>
      </w:r>
      <w:r w:rsidR="008C2C2A" w:rsidRPr="00134105">
        <w:rPr>
          <w:color w:val="000000" w:themeColor="text1"/>
          <w:sz w:val="22"/>
          <w:szCs w:val="22"/>
        </w:rPr>
        <w:t>, 2018</w:t>
      </w:r>
    </w:p>
    <w:p w14:paraId="2FAF0FFD" w14:textId="77777777" w:rsidR="00EC6DBF" w:rsidRPr="00134105" w:rsidRDefault="00EC6DBF" w:rsidP="002A2058">
      <w:pPr>
        <w:jc w:val="both"/>
        <w:rPr>
          <w:color w:val="000000" w:themeColor="text1"/>
          <w:sz w:val="22"/>
          <w:szCs w:val="22"/>
        </w:rPr>
      </w:pPr>
    </w:p>
    <w:p w14:paraId="6A05394B" w14:textId="00CE5A7C" w:rsidR="00582B11" w:rsidRPr="00134105" w:rsidRDefault="003A0E90" w:rsidP="002A2058">
      <w:pPr>
        <w:jc w:val="both"/>
        <w:rPr>
          <w:color w:val="000000" w:themeColor="text1"/>
          <w:sz w:val="22"/>
          <w:szCs w:val="22"/>
        </w:rPr>
      </w:pPr>
      <w:proofErr w:type="gramStart"/>
      <w:r>
        <w:rPr>
          <w:color w:val="000000" w:themeColor="text1"/>
          <w:sz w:val="22"/>
          <w:szCs w:val="22"/>
        </w:rPr>
        <w:t>Bing Wu</w:t>
      </w:r>
      <w:r w:rsidR="008C2C2A" w:rsidRPr="00134105">
        <w:rPr>
          <w:color w:val="000000" w:themeColor="text1"/>
          <w:sz w:val="22"/>
          <w:szCs w:val="22"/>
        </w:rPr>
        <w:t>, Ph.D.</w:t>
      </w:r>
      <w:proofErr w:type="gramEnd"/>
    </w:p>
    <w:p w14:paraId="2BF259E8" w14:textId="0623C0A4" w:rsidR="00EC6DBF" w:rsidRDefault="003A0E90" w:rsidP="003A0E90">
      <w:pPr>
        <w:jc w:val="both"/>
        <w:outlineLvl w:val="0"/>
        <w:rPr>
          <w:color w:val="000000" w:themeColor="text1"/>
          <w:sz w:val="22"/>
          <w:szCs w:val="22"/>
        </w:rPr>
      </w:pPr>
      <w:r>
        <w:rPr>
          <w:color w:val="000000" w:themeColor="text1"/>
          <w:sz w:val="22"/>
          <w:szCs w:val="22"/>
        </w:rPr>
        <w:t xml:space="preserve">Review Editor, </w:t>
      </w:r>
      <w:r w:rsidRPr="003A0E90">
        <w:rPr>
          <w:i/>
          <w:color w:val="000000" w:themeColor="text1"/>
          <w:sz w:val="22"/>
          <w:szCs w:val="22"/>
        </w:rPr>
        <w:t>JoVE</w:t>
      </w:r>
    </w:p>
    <w:p w14:paraId="24A212D2" w14:textId="77777777" w:rsidR="003A0E90" w:rsidRPr="00134105" w:rsidRDefault="003A0E90" w:rsidP="003A0E90">
      <w:pPr>
        <w:jc w:val="both"/>
        <w:outlineLvl w:val="0"/>
        <w:rPr>
          <w:color w:val="000000" w:themeColor="text1"/>
          <w:sz w:val="22"/>
          <w:szCs w:val="22"/>
          <w:highlight w:val="green"/>
        </w:rPr>
      </w:pPr>
    </w:p>
    <w:p w14:paraId="0B6FF43F" w14:textId="62E25DB3" w:rsidR="00582B11" w:rsidRPr="00134105" w:rsidRDefault="00582B11" w:rsidP="002A2058">
      <w:pPr>
        <w:pStyle w:val="Perso"/>
        <w:spacing w:line="240" w:lineRule="auto"/>
        <w:ind w:firstLine="0"/>
        <w:rPr>
          <w:rFonts w:cs="Times New Roman"/>
          <w:sz w:val="22"/>
        </w:rPr>
      </w:pPr>
      <w:r w:rsidRPr="00134105">
        <w:rPr>
          <w:rFonts w:cs="Times New Roman"/>
          <w:sz w:val="22"/>
        </w:rPr>
        <w:t xml:space="preserve">Dear Dr. </w:t>
      </w:r>
      <w:r w:rsidR="003A0E90">
        <w:rPr>
          <w:rFonts w:cs="Times New Roman"/>
          <w:sz w:val="22"/>
        </w:rPr>
        <w:t>Wu,</w:t>
      </w:r>
    </w:p>
    <w:p w14:paraId="60F9DBFE" w14:textId="77777777" w:rsidR="00582B11" w:rsidRPr="00134105" w:rsidRDefault="00582B11" w:rsidP="002A2058">
      <w:pPr>
        <w:jc w:val="both"/>
        <w:rPr>
          <w:sz w:val="22"/>
          <w:szCs w:val="22"/>
        </w:rPr>
      </w:pPr>
    </w:p>
    <w:p w14:paraId="16F6C503" w14:textId="5B21E84C" w:rsidR="008C2C2A" w:rsidRPr="00134105" w:rsidRDefault="008C2C2A" w:rsidP="002A2058">
      <w:pPr>
        <w:ind w:firstLine="360"/>
        <w:jc w:val="both"/>
        <w:rPr>
          <w:sz w:val="22"/>
          <w:szCs w:val="22"/>
        </w:rPr>
      </w:pPr>
      <w:r w:rsidRPr="00134105">
        <w:rPr>
          <w:sz w:val="22"/>
          <w:szCs w:val="22"/>
        </w:rPr>
        <w:t xml:space="preserve">Attached please find our revisions to the manuscript we have submitted to </w:t>
      </w:r>
      <w:r w:rsidR="003A0E90">
        <w:rPr>
          <w:i/>
          <w:sz w:val="22"/>
          <w:szCs w:val="22"/>
        </w:rPr>
        <w:t>JoVE</w:t>
      </w:r>
      <w:r w:rsidRPr="00134105">
        <w:rPr>
          <w:sz w:val="22"/>
          <w:szCs w:val="22"/>
        </w:rPr>
        <w:t xml:space="preserve"> entitled </w:t>
      </w:r>
      <w:r w:rsidRPr="00D14F47">
        <w:rPr>
          <w:sz w:val="22"/>
          <w:szCs w:val="22"/>
        </w:rPr>
        <w:t>“</w:t>
      </w:r>
      <w:r w:rsidR="003A0E90">
        <w:rPr>
          <w:sz w:val="22"/>
          <w:szCs w:val="22"/>
          <w:u w:val="single"/>
        </w:rPr>
        <w:t>Pretargeted Radioimmunotherapy Based on the Inverse Electron Demand Diels-Alder Reaction</w:t>
      </w:r>
      <w:r w:rsidRPr="00D14F47">
        <w:rPr>
          <w:sz w:val="22"/>
          <w:szCs w:val="22"/>
        </w:rPr>
        <w:t xml:space="preserve">” </w:t>
      </w:r>
      <w:r w:rsidRPr="00134105">
        <w:rPr>
          <w:sz w:val="22"/>
          <w:szCs w:val="22"/>
        </w:rPr>
        <w:t>(</w:t>
      </w:r>
      <w:r w:rsidR="003A0E90">
        <w:rPr>
          <w:sz w:val="22"/>
          <w:szCs w:val="22"/>
        </w:rPr>
        <w:t>JoVE59041</w:t>
      </w:r>
      <w:r w:rsidRPr="00134105">
        <w:rPr>
          <w:sz w:val="22"/>
          <w:szCs w:val="22"/>
        </w:rPr>
        <w:t>). We would like to thank you and the reviewers for your consideration of our work and your careful review of the manuscript. We have made a number of critical modifications to the manuscript based on the critiques offered in the review. As requested, we have addressed these changes on a point-by-point basis. Below we have listed the comments of the Reviewers 1</w:t>
      </w:r>
      <w:r w:rsidR="003A0E90">
        <w:rPr>
          <w:sz w:val="22"/>
          <w:szCs w:val="22"/>
        </w:rPr>
        <w:t>, 2, and 3</w:t>
      </w:r>
      <w:r w:rsidRPr="00134105">
        <w:rPr>
          <w:sz w:val="22"/>
          <w:szCs w:val="22"/>
        </w:rPr>
        <w:t xml:space="preserve"> (in </w:t>
      </w:r>
      <w:r w:rsidRPr="00134105">
        <w:rPr>
          <w:b/>
          <w:sz w:val="22"/>
          <w:szCs w:val="22"/>
        </w:rPr>
        <w:t>bold</w:t>
      </w:r>
      <w:r w:rsidRPr="00134105">
        <w:rPr>
          <w:sz w:val="22"/>
          <w:szCs w:val="22"/>
        </w:rPr>
        <w:t xml:space="preserve">) along with our responses to said comments and the changes we have made (in normal text). For the sake of clarity, any addition or modification to the text in the manuscript are listed below in </w:t>
      </w:r>
      <w:r w:rsidRPr="00134105">
        <w:rPr>
          <w:i/>
          <w:color w:val="7030A0"/>
          <w:sz w:val="22"/>
          <w:szCs w:val="22"/>
        </w:rPr>
        <w:t>purple italics</w:t>
      </w:r>
      <w:r w:rsidRPr="00134105">
        <w:rPr>
          <w:sz w:val="22"/>
          <w:szCs w:val="22"/>
        </w:rPr>
        <w:t>.</w:t>
      </w:r>
      <w:r w:rsidR="00D14F47">
        <w:rPr>
          <w:sz w:val="22"/>
          <w:szCs w:val="22"/>
        </w:rPr>
        <w:t xml:space="preserve"> </w:t>
      </w:r>
    </w:p>
    <w:p w14:paraId="0D52E640" w14:textId="77777777" w:rsidR="00582B11" w:rsidRPr="00134105" w:rsidRDefault="00582B11" w:rsidP="002A2058">
      <w:pPr>
        <w:pStyle w:val="Perso"/>
        <w:spacing w:line="240" w:lineRule="auto"/>
        <w:rPr>
          <w:rFonts w:cs="Times New Roman"/>
          <w:sz w:val="22"/>
        </w:rPr>
      </w:pPr>
    </w:p>
    <w:p w14:paraId="1ABDA84C" w14:textId="1BE42193" w:rsidR="00B646DB" w:rsidRPr="001D49C6" w:rsidRDefault="003A0E90" w:rsidP="003A0E90">
      <w:pPr>
        <w:widowControl w:val="0"/>
        <w:autoSpaceDE w:val="0"/>
        <w:autoSpaceDN w:val="0"/>
        <w:adjustRightInd w:val="0"/>
        <w:jc w:val="both"/>
        <w:rPr>
          <w:i/>
          <w:color w:val="8064A2" w:themeColor="accent4"/>
          <w:sz w:val="26"/>
          <w:szCs w:val="26"/>
        </w:rPr>
      </w:pPr>
      <w:r w:rsidRPr="001D49C6">
        <w:rPr>
          <w:b/>
          <w:color w:val="7030A0"/>
          <w:sz w:val="26"/>
          <w:szCs w:val="26"/>
          <w:u w:val="single"/>
        </w:rPr>
        <w:t>Editorial Comments:</w:t>
      </w:r>
    </w:p>
    <w:p w14:paraId="434B7918" w14:textId="77777777" w:rsidR="00232DE8" w:rsidRPr="00B646DB" w:rsidRDefault="00232DE8" w:rsidP="00B646DB">
      <w:pPr>
        <w:ind w:left="720" w:right="720"/>
        <w:jc w:val="both"/>
        <w:rPr>
          <w:i/>
          <w:color w:val="8064A2" w:themeColor="accent4"/>
          <w:sz w:val="22"/>
          <w:szCs w:val="22"/>
        </w:rPr>
      </w:pPr>
    </w:p>
    <w:p w14:paraId="554DFDA0" w14:textId="49A20618" w:rsidR="003A0E90" w:rsidRPr="003A0E90" w:rsidRDefault="003A0E90" w:rsidP="002A2058">
      <w:pPr>
        <w:jc w:val="both"/>
        <w:outlineLvl w:val="0"/>
        <w:rPr>
          <w:b/>
          <w:sz w:val="22"/>
          <w:szCs w:val="22"/>
        </w:rPr>
      </w:pPr>
      <w:r w:rsidRPr="003A0E90">
        <w:rPr>
          <w:b/>
          <w:sz w:val="22"/>
          <w:szCs w:val="22"/>
        </w:rPr>
        <w:t>Please take this opportunity to thoroughly proofread the manuscript to ensure that there are no spelling or grammar issues.</w:t>
      </w:r>
    </w:p>
    <w:p w14:paraId="41814F0A" w14:textId="77777777" w:rsidR="003A0E90" w:rsidRDefault="003A0E90" w:rsidP="002A2058">
      <w:pPr>
        <w:jc w:val="both"/>
        <w:outlineLvl w:val="0"/>
        <w:rPr>
          <w:sz w:val="22"/>
          <w:szCs w:val="22"/>
        </w:rPr>
      </w:pPr>
    </w:p>
    <w:p w14:paraId="67D0A4E7" w14:textId="79740FAD" w:rsidR="003A0E90" w:rsidRPr="003A0E90" w:rsidRDefault="003A0E90" w:rsidP="00CA3D7E">
      <w:pPr>
        <w:ind w:firstLine="360"/>
        <w:jc w:val="both"/>
        <w:outlineLvl w:val="0"/>
        <w:rPr>
          <w:sz w:val="22"/>
          <w:szCs w:val="22"/>
        </w:rPr>
      </w:pPr>
      <w:r>
        <w:rPr>
          <w:sz w:val="22"/>
          <w:szCs w:val="22"/>
        </w:rPr>
        <w:t xml:space="preserve">We have fully proofread the manuscript.  </w:t>
      </w:r>
    </w:p>
    <w:p w14:paraId="18C20249" w14:textId="77777777" w:rsidR="003A0E90" w:rsidRPr="003A0E90" w:rsidRDefault="003A0E90" w:rsidP="002A2058">
      <w:pPr>
        <w:jc w:val="both"/>
        <w:outlineLvl w:val="0"/>
        <w:rPr>
          <w:sz w:val="22"/>
          <w:szCs w:val="22"/>
        </w:rPr>
      </w:pPr>
    </w:p>
    <w:p w14:paraId="43C3754A" w14:textId="77777777" w:rsidR="003A0E90" w:rsidRPr="003A0E90" w:rsidRDefault="003A0E90" w:rsidP="002A2058">
      <w:pPr>
        <w:jc w:val="both"/>
        <w:outlineLvl w:val="0"/>
        <w:rPr>
          <w:b/>
          <w:sz w:val="22"/>
          <w:szCs w:val="22"/>
        </w:rPr>
      </w:pPr>
      <w:r w:rsidRPr="003A0E90">
        <w:rPr>
          <w:b/>
          <w:sz w:val="22"/>
          <w:szCs w:val="22"/>
        </w:rPr>
        <w:t>Please revise lines 50-52, 154-156, 192-194, 289-291, 315-318 to avoid previously published text.</w:t>
      </w:r>
    </w:p>
    <w:p w14:paraId="06CC85B6" w14:textId="4E668B77" w:rsidR="003A0E90" w:rsidRDefault="003A0E90" w:rsidP="002A2058">
      <w:pPr>
        <w:jc w:val="both"/>
        <w:outlineLvl w:val="0"/>
        <w:rPr>
          <w:sz w:val="22"/>
          <w:szCs w:val="22"/>
        </w:rPr>
      </w:pPr>
    </w:p>
    <w:p w14:paraId="763F4814" w14:textId="174F7BF7" w:rsidR="003A0E90" w:rsidRDefault="003A0E90" w:rsidP="00CA3D7E">
      <w:pPr>
        <w:ind w:firstLine="360"/>
        <w:jc w:val="both"/>
        <w:outlineLvl w:val="0"/>
        <w:rPr>
          <w:sz w:val="22"/>
          <w:szCs w:val="22"/>
        </w:rPr>
      </w:pPr>
      <w:r>
        <w:rPr>
          <w:sz w:val="22"/>
          <w:szCs w:val="22"/>
        </w:rPr>
        <w:t xml:space="preserve">These lines have now been revised. </w:t>
      </w:r>
    </w:p>
    <w:p w14:paraId="74BD255E" w14:textId="77777777" w:rsidR="003A0E90" w:rsidRDefault="003A0E90" w:rsidP="002A2058">
      <w:pPr>
        <w:jc w:val="both"/>
        <w:outlineLvl w:val="0"/>
        <w:rPr>
          <w:sz w:val="22"/>
          <w:szCs w:val="22"/>
        </w:rPr>
      </w:pPr>
    </w:p>
    <w:p w14:paraId="41DA2854" w14:textId="38EF9926" w:rsidR="00CA3D7E" w:rsidRPr="00CA3D7E" w:rsidRDefault="003A0E90" w:rsidP="002A2058">
      <w:pPr>
        <w:jc w:val="both"/>
        <w:outlineLvl w:val="0"/>
        <w:rPr>
          <w:b/>
          <w:sz w:val="22"/>
          <w:szCs w:val="22"/>
        </w:rPr>
      </w:pPr>
      <w:r w:rsidRPr="00CA3D7E">
        <w:rPr>
          <w:b/>
          <w:sz w:val="22"/>
          <w:szCs w:val="22"/>
        </w:rPr>
        <w:t xml:space="preserve">Please obtain explicit copyright permission to reuse any figures from a previous publication. Explicit permission can be expressed in the form of a letter from the editor or a link to the editorial policy that allows re-prints. Please upload this information as a </w:t>
      </w:r>
      <w:r w:rsidR="00F835A3">
        <w:rPr>
          <w:b/>
          <w:sz w:val="22"/>
          <w:szCs w:val="22"/>
        </w:rPr>
        <w:t>*</w:t>
      </w:r>
      <w:r w:rsidRPr="00CA3D7E">
        <w:rPr>
          <w:b/>
          <w:sz w:val="22"/>
          <w:szCs w:val="22"/>
        </w:rPr>
        <w:t xml:space="preserve">.doc or </w:t>
      </w:r>
      <w:r w:rsidR="00F835A3">
        <w:rPr>
          <w:b/>
          <w:sz w:val="22"/>
          <w:szCs w:val="22"/>
        </w:rPr>
        <w:t>*</w:t>
      </w:r>
      <w:proofErr w:type="gramStart"/>
      <w:r w:rsidR="00F835A3">
        <w:rPr>
          <w:b/>
          <w:sz w:val="22"/>
          <w:szCs w:val="22"/>
        </w:rPr>
        <w:t>.</w:t>
      </w:r>
      <w:r w:rsidRPr="00CA3D7E">
        <w:rPr>
          <w:b/>
          <w:sz w:val="22"/>
          <w:szCs w:val="22"/>
        </w:rPr>
        <w:t>docx</w:t>
      </w:r>
      <w:proofErr w:type="gramEnd"/>
      <w:r w:rsidRPr="00CA3D7E">
        <w:rPr>
          <w:b/>
          <w:sz w:val="22"/>
          <w:szCs w:val="22"/>
        </w:rPr>
        <w:t xml:space="preserve"> file to your Editorial Manager account. The Figure must be cited appropriately in the Figure Legend, i.e. “This figure has been modified from [citation].”</w:t>
      </w:r>
    </w:p>
    <w:p w14:paraId="550055C8" w14:textId="77777777" w:rsidR="00CA3D7E" w:rsidRDefault="00CA3D7E" w:rsidP="002A2058">
      <w:pPr>
        <w:jc w:val="both"/>
        <w:outlineLvl w:val="0"/>
        <w:rPr>
          <w:sz w:val="22"/>
          <w:szCs w:val="22"/>
        </w:rPr>
      </w:pPr>
    </w:p>
    <w:p w14:paraId="08E7C6FB" w14:textId="63C1A84C" w:rsidR="00CA3D7E" w:rsidRDefault="00CA3D7E" w:rsidP="00CA3D7E">
      <w:pPr>
        <w:ind w:firstLine="360"/>
        <w:jc w:val="both"/>
        <w:outlineLvl w:val="0"/>
        <w:rPr>
          <w:sz w:val="22"/>
          <w:szCs w:val="22"/>
        </w:rPr>
      </w:pPr>
      <w:r>
        <w:rPr>
          <w:sz w:val="22"/>
          <w:szCs w:val="22"/>
        </w:rPr>
        <w:t xml:space="preserve">All of the figures in this manuscript are either original or have been modified from our own work that was recently published in </w:t>
      </w:r>
      <w:r w:rsidRPr="00CA3D7E">
        <w:rPr>
          <w:i/>
          <w:sz w:val="22"/>
          <w:szCs w:val="22"/>
        </w:rPr>
        <w:t>Molecular Pharmaceutics</w:t>
      </w:r>
      <w:r>
        <w:rPr>
          <w:sz w:val="22"/>
          <w:szCs w:val="22"/>
        </w:rPr>
        <w:t xml:space="preserve">. Therefore, according to the rules of the American Chemical Society, permissions are not required. However, we have added the appropriate citations for the original manuscript to each of the figure captions.  </w:t>
      </w:r>
    </w:p>
    <w:p w14:paraId="3EC93F2F" w14:textId="77777777" w:rsidR="00CA3D7E" w:rsidRDefault="00CA3D7E" w:rsidP="002A2058">
      <w:pPr>
        <w:jc w:val="both"/>
        <w:outlineLvl w:val="0"/>
        <w:rPr>
          <w:sz w:val="22"/>
          <w:szCs w:val="22"/>
        </w:rPr>
      </w:pPr>
    </w:p>
    <w:p w14:paraId="5AD31A59" w14:textId="40A8CF82" w:rsidR="00F835A3" w:rsidRDefault="003A0E90" w:rsidP="002A2058">
      <w:pPr>
        <w:jc w:val="both"/>
        <w:outlineLvl w:val="0"/>
        <w:rPr>
          <w:b/>
          <w:sz w:val="22"/>
          <w:szCs w:val="22"/>
        </w:rPr>
      </w:pPr>
      <w:r w:rsidRPr="00F835A3">
        <w:rPr>
          <w:b/>
          <w:sz w:val="22"/>
          <w:szCs w:val="22"/>
        </w:rPr>
        <w:t>Please shorten the Summary to no more than 50 words.</w:t>
      </w:r>
    </w:p>
    <w:p w14:paraId="272D8BAA" w14:textId="77777777" w:rsidR="00F835A3" w:rsidRDefault="00F835A3" w:rsidP="002A2058">
      <w:pPr>
        <w:jc w:val="both"/>
        <w:outlineLvl w:val="0"/>
        <w:rPr>
          <w:b/>
          <w:sz w:val="22"/>
          <w:szCs w:val="22"/>
        </w:rPr>
      </w:pPr>
    </w:p>
    <w:p w14:paraId="216E56BD" w14:textId="57B8D422" w:rsidR="00F835A3" w:rsidRPr="002C29F1" w:rsidRDefault="00F835A3" w:rsidP="00F835A3">
      <w:pPr>
        <w:ind w:firstLine="360"/>
        <w:jc w:val="both"/>
        <w:rPr>
          <w:rFonts w:asciiTheme="minorHAnsi" w:hAnsiTheme="minorHAnsi"/>
        </w:rPr>
      </w:pPr>
      <w:r w:rsidRPr="00F835A3">
        <w:rPr>
          <w:sz w:val="22"/>
          <w:szCs w:val="22"/>
        </w:rPr>
        <w:t xml:space="preserve">The summary has been shortened, it now reads: </w:t>
      </w:r>
      <w:r w:rsidRPr="00F835A3">
        <w:rPr>
          <w:i/>
          <w:color w:val="660066"/>
          <w:sz w:val="22"/>
          <w:szCs w:val="22"/>
        </w:rPr>
        <w:t>“This protocol describes the synthesis and characterization of a trans</w:t>
      </w:r>
      <w:r w:rsidRPr="00F835A3">
        <w:rPr>
          <w:i/>
          <w:color w:val="660066"/>
          <w:sz w:val="22"/>
          <w:szCs w:val="22"/>
        </w:rPr>
        <w:softHyphen/>
        <w:t xml:space="preserve">-cyclooctene (TCO)-modified antibody and a </w:t>
      </w:r>
      <w:r w:rsidRPr="00F835A3">
        <w:rPr>
          <w:i/>
          <w:color w:val="660066"/>
          <w:sz w:val="22"/>
          <w:szCs w:val="22"/>
          <w:vertAlign w:val="superscript"/>
        </w:rPr>
        <w:t>177</w:t>
      </w:r>
      <w:r w:rsidRPr="00F835A3">
        <w:rPr>
          <w:i/>
          <w:color w:val="660066"/>
          <w:sz w:val="22"/>
          <w:szCs w:val="22"/>
        </w:rPr>
        <w:t xml:space="preserve">Lu-labeled tetrazine (Tz) radioligand for pretargeted </w:t>
      </w:r>
      <w:proofErr w:type="gramStart"/>
      <w:r w:rsidRPr="00F835A3">
        <w:rPr>
          <w:i/>
          <w:color w:val="660066"/>
          <w:sz w:val="22"/>
          <w:szCs w:val="22"/>
        </w:rPr>
        <w:lastRenderedPageBreak/>
        <w:t>radioimmunotherapy</w:t>
      </w:r>
      <w:proofErr w:type="gramEnd"/>
      <w:r w:rsidRPr="00F835A3">
        <w:rPr>
          <w:i/>
          <w:color w:val="660066"/>
          <w:sz w:val="22"/>
          <w:szCs w:val="22"/>
        </w:rPr>
        <w:t xml:space="preserve"> (PRIT).  In addition, it details the use of these two constructs for in vivo biodistribution and longitudinal therapy studies in a murine model of colorectal cancer model.”</w:t>
      </w:r>
    </w:p>
    <w:p w14:paraId="3C49014E" w14:textId="7E3FB621" w:rsidR="00F835A3" w:rsidRPr="00F835A3" w:rsidRDefault="003A0E90" w:rsidP="002A2058">
      <w:pPr>
        <w:jc w:val="both"/>
        <w:outlineLvl w:val="0"/>
        <w:rPr>
          <w:b/>
          <w:sz w:val="22"/>
          <w:szCs w:val="22"/>
        </w:rPr>
      </w:pPr>
      <w:r w:rsidRPr="00F835A3">
        <w:rPr>
          <w:b/>
          <w:sz w:val="22"/>
          <w:szCs w:val="22"/>
        </w:rPr>
        <w:t>Please spell out each abbreviation the first time it is used.</w:t>
      </w:r>
    </w:p>
    <w:p w14:paraId="10F8C17D" w14:textId="77777777" w:rsidR="00F835A3" w:rsidRDefault="00F835A3" w:rsidP="002A2058">
      <w:pPr>
        <w:jc w:val="both"/>
        <w:outlineLvl w:val="0"/>
        <w:rPr>
          <w:sz w:val="22"/>
          <w:szCs w:val="22"/>
        </w:rPr>
      </w:pPr>
    </w:p>
    <w:p w14:paraId="322399AD" w14:textId="561CA3EB" w:rsidR="00F835A3" w:rsidRDefault="00F835A3" w:rsidP="00F835A3">
      <w:pPr>
        <w:ind w:firstLine="360"/>
        <w:jc w:val="both"/>
        <w:outlineLvl w:val="0"/>
        <w:rPr>
          <w:sz w:val="22"/>
          <w:szCs w:val="22"/>
        </w:rPr>
      </w:pPr>
      <w:r>
        <w:rPr>
          <w:sz w:val="22"/>
          <w:szCs w:val="22"/>
        </w:rPr>
        <w:t xml:space="preserve">We have corrected all instances of this error.  </w:t>
      </w:r>
    </w:p>
    <w:p w14:paraId="68AF04E0" w14:textId="369E6F3C" w:rsidR="00F835A3" w:rsidRPr="001A01C6" w:rsidRDefault="001A01C6" w:rsidP="002A2058">
      <w:pPr>
        <w:jc w:val="both"/>
        <w:outlineLvl w:val="0"/>
        <w:rPr>
          <w:b/>
          <w:sz w:val="22"/>
          <w:szCs w:val="22"/>
        </w:rPr>
      </w:pPr>
      <w:r>
        <w:rPr>
          <w:sz w:val="22"/>
          <w:szCs w:val="22"/>
        </w:rPr>
        <w:br/>
      </w:r>
      <w:r w:rsidR="003A0E90" w:rsidRPr="001A01C6">
        <w:rPr>
          <w:b/>
          <w:sz w:val="22"/>
          <w:szCs w:val="22"/>
        </w:rPr>
        <w:t xml:space="preserve">JoVE cannot publish manuscripts containing commercial language. This includes trademark symbols (™), registered symbols (®), and company names before an instrument or reagent. Please remove all commercial language from your manuscript and use generic terms instead. All commercial products should be sufficiently referenced in the Table of Materials and Reagents. You may use the generic term followed by “(see table of materials)” to draw the readers’ attention to specific commercial names. Examples of commercial sounding language in your manuscript are: </w:t>
      </w:r>
      <w:proofErr w:type="spellStart"/>
      <w:r w:rsidR="003A0E90" w:rsidRPr="001A01C6">
        <w:rPr>
          <w:b/>
          <w:sz w:val="22"/>
          <w:szCs w:val="22"/>
        </w:rPr>
        <w:t>Zevalin</w:t>
      </w:r>
      <w:r w:rsidR="003A0E90" w:rsidRPr="001A01C6">
        <w:rPr>
          <w:b/>
          <w:sz w:val="22"/>
          <w:szCs w:val="22"/>
          <w:vertAlign w:val="superscript"/>
        </w:rPr>
        <w:t>TM</w:t>
      </w:r>
      <w:proofErr w:type="spellEnd"/>
      <w:r w:rsidR="003A0E90" w:rsidRPr="001A01C6">
        <w:rPr>
          <w:b/>
          <w:sz w:val="22"/>
          <w:szCs w:val="22"/>
        </w:rPr>
        <w:t xml:space="preserve">, </w:t>
      </w:r>
      <w:proofErr w:type="spellStart"/>
      <w:r w:rsidR="003A0E90" w:rsidRPr="001A01C6">
        <w:rPr>
          <w:b/>
          <w:sz w:val="22"/>
          <w:szCs w:val="22"/>
        </w:rPr>
        <w:t>Bexxar</w:t>
      </w:r>
      <w:r w:rsidR="003A0E90" w:rsidRPr="001A01C6">
        <w:rPr>
          <w:b/>
          <w:sz w:val="22"/>
          <w:szCs w:val="22"/>
          <w:vertAlign w:val="superscript"/>
        </w:rPr>
        <w:t>TM</w:t>
      </w:r>
      <w:proofErr w:type="spellEnd"/>
      <w:r w:rsidR="003A0E90" w:rsidRPr="001A01C6">
        <w:rPr>
          <w:b/>
          <w:sz w:val="22"/>
          <w:szCs w:val="22"/>
        </w:rPr>
        <w:t xml:space="preserve">, </w:t>
      </w:r>
      <w:r w:rsidR="003A0E90" w:rsidRPr="001A01C6">
        <w:rPr>
          <w:b/>
          <w:i/>
          <w:sz w:val="22"/>
          <w:szCs w:val="22"/>
        </w:rPr>
        <w:t>etc.</w:t>
      </w:r>
    </w:p>
    <w:p w14:paraId="446E18EB" w14:textId="77777777" w:rsidR="00F835A3" w:rsidRDefault="00F835A3" w:rsidP="002A2058">
      <w:pPr>
        <w:jc w:val="both"/>
        <w:outlineLvl w:val="0"/>
        <w:rPr>
          <w:sz w:val="22"/>
          <w:szCs w:val="22"/>
        </w:rPr>
      </w:pPr>
    </w:p>
    <w:p w14:paraId="771E33C6" w14:textId="2A1F047F" w:rsidR="001A01C6" w:rsidRDefault="001A01C6" w:rsidP="001A01C6">
      <w:pPr>
        <w:ind w:firstLine="360"/>
        <w:jc w:val="both"/>
        <w:outlineLvl w:val="0"/>
        <w:rPr>
          <w:sz w:val="22"/>
          <w:szCs w:val="22"/>
        </w:rPr>
      </w:pPr>
      <w:r>
        <w:rPr>
          <w:sz w:val="22"/>
          <w:szCs w:val="22"/>
        </w:rPr>
        <w:t xml:space="preserve">All commercial language has been removed from the manuscript. </w:t>
      </w:r>
    </w:p>
    <w:p w14:paraId="360D04E1" w14:textId="77777777" w:rsidR="001A01C6" w:rsidRDefault="001A01C6" w:rsidP="002A2058">
      <w:pPr>
        <w:jc w:val="both"/>
        <w:outlineLvl w:val="0"/>
        <w:rPr>
          <w:sz w:val="22"/>
          <w:szCs w:val="22"/>
        </w:rPr>
      </w:pPr>
    </w:p>
    <w:p w14:paraId="14C0D843" w14:textId="5F756769" w:rsidR="001A01C6" w:rsidRPr="001A01C6" w:rsidRDefault="003A0E90" w:rsidP="002A2058">
      <w:pPr>
        <w:jc w:val="both"/>
        <w:outlineLvl w:val="0"/>
        <w:rPr>
          <w:b/>
          <w:sz w:val="22"/>
          <w:szCs w:val="22"/>
        </w:rPr>
      </w:pPr>
      <w:r w:rsidRPr="001A01C6">
        <w:rPr>
          <w:b/>
          <w:sz w:val="22"/>
          <w:szCs w:val="22"/>
        </w:rPr>
        <w:t>Please revise the protocol text to avoid the use of any personal pronouns (e.g., "we", "you", "our" etc.).</w:t>
      </w:r>
    </w:p>
    <w:p w14:paraId="27836BE6" w14:textId="77777777" w:rsidR="001A01C6" w:rsidRDefault="001A01C6" w:rsidP="002A2058">
      <w:pPr>
        <w:jc w:val="both"/>
        <w:outlineLvl w:val="0"/>
        <w:rPr>
          <w:sz w:val="22"/>
          <w:szCs w:val="22"/>
        </w:rPr>
      </w:pPr>
    </w:p>
    <w:p w14:paraId="77CF1C16" w14:textId="58676B11" w:rsidR="001A01C6" w:rsidRDefault="001A01C6" w:rsidP="001A01C6">
      <w:pPr>
        <w:ind w:firstLine="360"/>
        <w:jc w:val="both"/>
        <w:outlineLvl w:val="0"/>
        <w:rPr>
          <w:sz w:val="22"/>
          <w:szCs w:val="22"/>
        </w:rPr>
      </w:pPr>
      <w:r>
        <w:rPr>
          <w:sz w:val="22"/>
          <w:szCs w:val="22"/>
        </w:rPr>
        <w:t xml:space="preserve">We have removed personal pronouns where appropriate, but we have kept personal pronouns in places in which we think their use improves the pedagogical framework of the article. Please do not edit further. </w:t>
      </w:r>
    </w:p>
    <w:p w14:paraId="657E2614" w14:textId="77777777" w:rsidR="001A01C6" w:rsidRPr="001A01C6" w:rsidRDefault="001A01C6" w:rsidP="002A2058">
      <w:pPr>
        <w:jc w:val="both"/>
        <w:outlineLvl w:val="0"/>
        <w:rPr>
          <w:b/>
          <w:sz w:val="22"/>
          <w:szCs w:val="22"/>
        </w:rPr>
      </w:pPr>
      <w:r>
        <w:rPr>
          <w:sz w:val="22"/>
          <w:szCs w:val="22"/>
        </w:rPr>
        <w:br/>
      </w:r>
      <w:r w:rsidR="003A0E90" w:rsidRPr="001A01C6">
        <w:rPr>
          <w:b/>
          <w:sz w:val="22"/>
          <w:szCs w:val="22"/>
        </w:rPr>
        <w:t>Please add more details to your protocol steps. There should be enough detail in each step to supplement the actions seen in the video so that viewers can easily replicate the protocol. Please ensure you answer the “how” question, i.e., how is the step performed? Alternatively, add references to published material specifying how to perform the protocol action. See examples below.</w:t>
      </w:r>
    </w:p>
    <w:p w14:paraId="7786F871" w14:textId="77777777" w:rsidR="001A01C6" w:rsidRDefault="001A01C6" w:rsidP="002A2058">
      <w:pPr>
        <w:jc w:val="both"/>
        <w:outlineLvl w:val="0"/>
        <w:rPr>
          <w:sz w:val="22"/>
          <w:szCs w:val="22"/>
        </w:rPr>
      </w:pPr>
    </w:p>
    <w:p w14:paraId="751ACA5D" w14:textId="2C68A022" w:rsidR="001A01C6" w:rsidRDefault="001A01C6" w:rsidP="001A01C6">
      <w:pPr>
        <w:ind w:firstLine="360"/>
        <w:jc w:val="both"/>
        <w:outlineLvl w:val="0"/>
        <w:rPr>
          <w:sz w:val="22"/>
          <w:szCs w:val="22"/>
        </w:rPr>
      </w:pPr>
      <w:r>
        <w:rPr>
          <w:sz w:val="22"/>
          <w:szCs w:val="22"/>
        </w:rPr>
        <w:t xml:space="preserve">We have made the necessary revisions. </w:t>
      </w:r>
    </w:p>
    <w:p w14:paraId="44D4102B" w14:textId="687228BD" w:rsidR="001A01C6" w:rsidRPr="001A01C6" w:rsidRDefault="003A0E90" w:rsidP="002A2058">
      <w:pPr>
        <w:jc w:val="both"/>
        <w:outlineLvl w:val="0"/>
        <w:rPr>
          <w:b/>
          <w:sz w:val="22"/>
          <w:szCs w:val="22"/>
        </w:rPr>
      </w:pPr>
      <w:r w:rsidRPr="001A01C6">
        <w:rPr>
          <w:b/>
          <w:sz w:val="22"/>
          <w:szCs w:val="22"/>
        </w:rPr>
        <w:br/>
        <w:t>Please specify the volume of this solution to be prepared.</w:t>
      </w:r>
    </w:p>
    <w:p w14:paraId="57E6D74C" w14:textId="77777777" w:rsidR="001A01C6" w:rsidRDefault="001A01C6" w:rsidP="002A2058">
      <w:pPr>
        <w:jc w:val="both"/>
        <w:outlineLvl w:val="0"/>
        <w:rPr>
          <w:sz w:val="22"/>
          <w:szCs w:val="22"/>
        </w:rPr>
      </w:pPr>
    </w:p>
    <w:p w14:paraId="7E91B9E4" w14:textId="37955ADC" w:rsidR="001A01C6" w:rsidRDefault="001A01C6" w:rsidP="001A01C6">
      <w:pPr>
        <w:ind w:firstLine="360"/>
        <w:jc w:val="both"/>
        <w:outlineLvl w:val="0"/>
        <w:rPr>
          <w:sz w:val="22"/>
          <w:szCs w:val="22"/>
        </w:rPr>
      </w:pPr>
      <w:r>
        <w:rPr>
          <w:sz w:val="22"/>
          <w:szCs w:val="22"/>
        </w:rPr>
        <w:t xml:space="preserve">We have added the necessary information. </w:t>
      </w:r>
    </w:p>
    <w:p w14:paraId="4DDE6915" w14:textId="77777777" w:rsidR="001A01C6" w:rsidRDefault="001A01C6" w:rsidP="002A2058">
      <w:pPr>
        <w:jc w:val="both"/>
        <w:outlineLvl w:val="0"/>
        <w:rPr>
          <w:sz w:val="22"/>
          <w:szCs w:val="22"/>
        </w:rPr>
      </w:pPr>
    </w:p>
    <w:p w14:paraId="77CB8DA6" w14:textId="45A883BD" w:rsidR="001A01C6" w:rsidRPr="001A01C6" w:rsidRDefault="003A0E90" w:rsidP="002A2058">
      <w:pPr>
        <w:jc w:val="both"/>
        <w:outlineLvl w:val="0"/>
        <w:rPr>
          <w:b/>
          <w:sz w:val="22"/>
          <w:szCs w:val="22"/>
        </w:rPr>
      </w:pPr>
      <w:r w:rsidRPr="001A01C6">
        <w:rPr>
          <w:b/>
          <w:sz w:val="22"/>
          <w:szCs w:val="22"/>
        </w:rPr>
        <w:t>Does the antibody solution refer to the huA33 solution? Please specify.</w:t>
      </w:r>
    </w:p>
    <w:p w14:paraId="402D3891" w14:textId="77777777" w:rsidR="001A01C6" w:rsidRDefault="001A01C6" w:rsidP="002A2058">
      <w:pPr>
        <w:jc w:val="both"/>
        <w:outlineLvl w:val="0"/>
        <w:rPr>
          <w:b/>
          <w:sz w:val="22"/>
          <w:szCs w:val="22"/>
        </w:rPr>
      </w:pPr>
    </w:p>
    <w:p w14:paraId="21DFDA9C" w14:textId="5701D8A5" w:rsidR="001A01C6" w:rsidRPr="001A01C6" w:rsidRDefault="001A01C6" w:rsidP="001A01C6">
      <w:pPr>
        <w:ind w:firstLine="360"/>
        <w:jc w:val="both"/>
        <w:outlineLvl w:val="0"/>
        <w:rPr>
          <w:sz w:val="22"/>
          <w:szCs w:val="22"/>
        </w:rPr>
      </w:pPr>
      <w:r>
        <w:rPr>
          <w:sz w:val="22"/>
          <w:szCs w:val="22"/>
        </w:rPr>
        <w:t xml:space="preserve">We have added the necessary information. </w:t>
      </w:r>
    </w:p>
    <w:p w14:paraId="1EB191B3" w14:textId="6CD2B3FD" w:rsidR="001A01C6" w:rsidRPr="001A01C6" w:rsidRDefault="003A0E90" w:rsidP="002A2058">
      <w:pPr>
        <w:jc w:val="both"/>
        <w:outlineLvl w:val="0"/>
        <w:rPr>
          <w:b/>
          <w:sz w:val="22"/>
          <w:szCs w:val="22"/>
        </w:rPr>
      </w:pPr>
      <w:r w:rsidRPr="001A01C6">
        <w:rPr>
          <w:b/>
          <w:sz w:val="22"/>
          <w:szCs w:val="22"/>
        </w:rPr>
        <w:br/>
        <w:t>What temperature is set during rotary evaporation?</w:t>
      </w:r>
    </w:p>
    <w:p w14:paraId="62A47146" w14:textId="77777777" w:rsidR="001A01C6" w:rsidRDefault="001A01C6" w:rsidP="001A01C6">
      <w:pPr>
        <w:ind w:firstLine="360"/>
        <w:jc w:val="both"/>
        <w:outlineLvl w:val="0"/>
        <w:rPr>
          <w:sz w:val="22"/>
          <w:szCs w:val="22"/>
        </w:rPr>
      </w:pPr>
    </w:p>
    <w:p w14:paraId="7CE119B7" w14:textId="77777777" w:rsidR="001A01C6" w:rsidRDefault="001A01C6" w:rsidP="001A01C6">
      <w:pPr>
        <w:ind w:firstLine="360"/>
        <w:jc w:val="both"/>
        <w:outlineLvl w:val="0"/>
        <w:rPr>
          <w:sz w:val="22"/>
          <w:szCs w:val="22"/>
        </w:rPr>
      </w:pPr>
      <w:r>
        <w:rPr>
          <w:sz w:val="22"/>
          <w:szCs w:val="22"/>
        </w:rPr>
        <w:t xml:space="preserve">We have added the necessary information. </w:t>
      </w:r>
    </w:p>
    <w:p w14:paraId="38DA3663" w14:textId="6404549D" w:rsidR="001A01C6" w:rsidRPr="001A01C6" w:rsidRDefault="003A0E90" w:rsidP="002A2058">
      <w:pPr>
        <w:jc w:val="both"/>
        <w:outlineLvl w:val="0"/>
        <w:rPr>
          <w:b/>
          <w:sz w:val="22"/>
          <w:szCs w:val="22"/>
        </w:rPr>
      </w:pPr>
      <w:r w:rsidRPr="001A01C6">
        <w:rPr>
          <w:b/>
          <w:sz w:val="22"/>
          <w:szCs w:val="22"/>
        </w:rPr>
        <w:br/>
        <w:t>Please</w:t>
      </w:r>
      <w:r w:rsidR="001A01C6">
        <w:rPr>
          <w:b/>
          <w:sz w:val="22"/>
          <w:szCs w:val="22"/>
        </w:rPr>
        <w:t xml:space="preserve"> specify the amount of [</w:t>
      </w:r>
      <w:proofErr w:type="gramStart"/>
      <w:r w:rsidR="001A01C6" w:rsidRPr="001A01C6">
        <w:rPr>
          <w:b/>
          <w:sz w:val="22"/>
          <w:szCs w:val="22"/>
          <w:vertAlign w:val="superscript"/>
        </w:rPr>
        <w:t>177</w:t>
      </w:r>
      <w:r w:rsidRPr="001A01C6">
        <w:rPr>
          <w:b/>
          <w:sz w:val="22"/>
          <w:szCs w:val="22"/>
        </w:rPr>
        <w:t>Lu]LuCl</w:t>
      </w:r>
      <w:r w:rsidRPr="001A01C6">
        <w:rPr>
          <w:b/>
          <w:sz w:val="22"/>
          <w:szCs w:val="22"/>
          <w:vertAlign w:val="subscript"/>
        </w:rPr>
        <w:t>3</w:t>
      </w:r>
      <w:proofErr w:type="gramEnd"/>
      <w:r w:rsidRPr="001A01C6">
        <w:rPr>
          <w:b/>
          <w:sz w:val="22"/>
          <w:szCs w:val="22"/>
        </w:rPr>
        <w:t xml:space="preserve"> added.</w:t>
      </w:r>
    </w:p>
    <w:p w14:paraId="599A6491" w14:textId="77777777" w:rsidR="001A01C6" w:rsidRDefault="001A01C6" w:rsidP="002A2058">
      <w:pPr>
        <w:jc w:val="both"/>
        <w:outlineLvl w:val="0"/>
        <w:rPr>
          <w:b/>
          <w:sz w:val="22"/>
          <w:szCs w:val="22"/>
        </w:rPr>
      </w:pPr>
    </w:p>
    <w:p w14:paraId="1310FC39" w14:textId="77777777" w:rsidR="001A01C6" w:rsidRDefault="001A01C6" w:rsidP="001A01C6">
      <w:pPr>
        <w:ind w:firstLine="360"/>
        <w:jc w:val="both"/>
        <w:outlineLvl w:val="0"/>
        <w:rPr>
          <w:sz w:val="22"/>
          <w:szCs w:val="22"/>
        </w:rPr>
      </w:pPr>
      <w:r>
        <w:rPr>
          <w:sz w:val="22"/>
          <w:szCs w:val="22"/>
        </w:rPr>
        <w:t xml:space="preserve">We have added the necessary information. </w:t>
      </w:r>
    </w:p>
    <w:p w14:paraId="1605196B" w14:textId="1335ED16" w:rsidR="001A01C6" w:rsidRPr="001A01C6" w:rsidRDefault="003A0E90" w:rsidP="002A2058">
      <w:pPr>
        <w:jc w:val="both"/>
        <w:outlineLvl w:val="0"/>
        <w:rPr>
          <w:b/>
          <w:sz w:val="22"/>
          <w:szCs w:val="22"/>
        </w:rPr>
      </w:pPr>
      <w:r w:rsidRPr="001A01C6">
        <w:rPr>
          <w:b/>
          <w:sz w:val="22"/>
          <w:szCs w:val="22"/>
        </w:rPr>
        <w:br/>
        <w:t>How to confirm that tumors are of sufficient size?</w:t>
      </w:r>
    </w:p>
    <w:p w14:paraId="0746AEB6" w14:textId="77777777" w:rsidR="001A01C6" w:rsidRDefault="001A01C6" w:rsidP="002A2058">
      <w:pPr>
        <w:jc w:val="both"/>
        <w:outlineLvl w:val="0"/>
        <w:rPr>
          <w:b/>
          <w:sz w:val="22"/>
          <w:szCs w:val="22"/>
        </w:rPr>
      </w:pPr>
    </w:p>
    <w:p w14:paraId="229759C3" w14:textId="77777777" w:rsidR="001A01C6" w:rsidRDefault="001A01C6" w:rsidP="001A01C6">
      <w:pPr>
        <w:ind w:firstLine="360"/>
        <w:jc w:val="both"/>
        <w:outlineLvl w:val="0"/>
        <w:rPr>
          <w:sz w:val="22"/>
          <w:szCs w:val="22"/>
        </w:rPr>
      </w:pPr>
      <w:r>
        <w:rPr>
          <w:sz w:val="22"/>
          <w:szCs w:val="22"/>
        </w:rPr>
        <w:t xml:space="preserve">We have added the necessary information. </w:t>
      </w:r>
    </w:p>
    <w:p w14:paraId="0DA8DF9E" w14:textId="77777777" w:rsidR="001A01C6" w:rsidRPr="001A01C6" w:rsidRDefault="001A01C6" w:rsidP="002A2058">
      <w:pPr>
        <w:jc w:val="both"/>
        <w:outlineLvl w:val="0"/>
        <w:rPr>
          <w:b/>
          <w:sz w:val="22"/>
          <w:szCs w:val="22"/>
        </w:rPr>
      </w:pPr>
    </w:p>
    <w:p w14:paraId="1D999725" w14:textId="77777777" w:rsidR="001A01C6" w:rsidRDefault="003A0E90" w:rsidP="002A2058">
      <w:pPr>
        <w:jc w:val="both"/>
        <w:outlineLvl w:val="0"/>
        <w:rPr>
          <w:b/>
          <w:sz w:val="22"/>
          <w:szCs w:val="22"/>
        </w:rPr>
      </w:pPr>
      <w:r w:rsidRPr="001A01C6">
        <w:rPr>
          <w:b/>
          <w:sz w:val="22"/>
          <w:szCs w:val="22"/>
        </w:rPr>
        <w:t>Please specify the specific step where the huA33-TCO solution is prepared, as Protocol Section 1 has many steps.</w:t>
      </w:r>
      <w:r w:rsidRPr="001A01C6">
        <w:rPr>
          <w:b/>
          <w:sz w:val="22"/>
          <w:szCs w:val="22"/>
        </w:rPr>
        <w:br/>
      </w:r>
    </w:p>
    <w:p w14:paraId="006C8083" w14:textId="77777777" w:rsidR="001A01C6" w:rsidRDefault="001A01C6" w:rsidP="001A01C6">
      <w:pPr>
        <w:ind w:firstLine="360"/>
        <w:jc w:val="both"/>
        <w:outlineLvl w:val="0"/>
        <w:rPr>
          <w:sz w:val="22"/>
          <w:szCs w:val="22"/>
        </w:rPr>
      </w:pPr>
      <w:r>
        <w:rPr>
          <w:sz w:val="22"/>
          <w:szCs w:val="22"/>
        </w:rPr>
        <w:t xml:space="preserve">We have added the necessary information. </w:t>
      </w:r>
    </w:p>
    <w:p w14:paraId="235B4B82" w14:textId="77777777" w:rsidR="001A01C6" w:rsidRPr="001A01C6" w:rsidRDefault="001A01C6" w:rsidP="002A2058">
      <w:pPr>
        <w:jc w:val="both"/>
        <w:outlineLvl w:val="0"/>
        <w:rPr>
          <w:b/>
          <w:sz w:val="22"/>
          <w:szCs w:val="22"/>
        </w:rPr>
      </w:pPr>
    </w:p>
    <w:p w14:paraId="2BFCAE71" w14:textId="284826BB" w:rsidR="001A01C6" w:rsidRPr="001A01C6" w:rsidRDefault="003A0E90" w:rsidP="002A2058">
      <w:pPr>
        <w:jc w:val="both"/>
        <w:outlineLvl w:val="0"/>
        <w:rPr>
          <w:b/>
          <w:sz w:val="22"/>
          <w:szCs w:val="22"/>
        </w:rPr>
      </w:pPr>
      <w:r w:rsidRPr="001A01C6">
        <w:rPr>
          <w:b/>
          <w:sz w:val="22"/>
          <w:szCs w:val="22"/>
        </w:rPr>
        <w:t>Please write the text in the imperative tense. Any text that cannot be written in the imperative tense may be added as a “Note.”</w:t>
      </w:r>
    </w:p>
    <w:p w14:paraId="5D8AE39A" w14:textId="77777777" w:rsidR="001A01C6" w:rsidRDefault="001A01C6" w:rsidP="002A2058">
      <w:pPr>
        <w:jc w:val="both"/>
        <w:outlineLvl w:val="0"/>
        <w:rPr>
          <w:b/>
          <w:sz w:val="22"/>
          <w:szCs w:val="22"/>
        </w:rPr>
      </w:pPr>
    </w:p>
    <w:p w14:paraId="344A65C3" w14:textId="77777777" w:rsidR="001A01C6" w:rsidRDefault="001A01C6" w:rsidP="001A01C6">
      <w:pPr>
        <w:ind w:firstLine="360"/>
        <w:jc w:val="both"/>
        <w:outlineLvl w:val="0"/>
        <w:rPr>
          <w:sz w:val="22"/>
          <w:szCs w:val="22"/>
        </w:rPr>
      </w:pPr>
      <w:r>
        <w:rPr>
          <w:sz w:val="22"/>
          <w:szCs w:val="22"/>
        </w:rPr>
        <w:lastRenderedPageBreak/>
        <w:t xml:space="preserve">We have added the necessary information. </w:t>
      </w:r>
    </w:p>
    <w:p w14:paraId="6E1027AE" w14:textId="087FE7DE" w:rsidR="001A01C6" w:rsidRPr="001A01C6" w:rsidRDefault="003A0E90" w:rsidP="002A2058">
      <w:pPr>
        <w:jc w:val="both"/>
        <w:outlineLvl w:val="0"/>
        <w:rPr>
          <w:b/>
          <w:sz w:val="22"/>
          <w:szCs w:val="22"/>
        </w:rPr>
      </w:pPr>
      <w:r w:rsidRPr="001A01C6">
        <w:rPr>
          <w:b/>
          <w:sz w:val="22"/>
          <w:szCs w:val="22"/>
        </w:rPr>
        <w:br/>
        <w:t>Please specify the dose of radioligand.</w:t>
      </w:r>
    </w:p>
    <w:p w14:paraId="0AE8407C" w14:textId="77777777" w:rsidR="001A01C6" w:rsidRDefault="001A01C6" w:rsidP="001A01C6">
      <w:pPr>
        <w:ind w:firstLine="360"/>
        <w:jc w:val="both"/>
        <w:outlineLvl w:val="0"/>
        <w:rPr>
          <w:sz w:val="22"/>
          <w:szCs w:val="22"/>
        </w:rPr>
      </w:pPr>
    </w:p>
    <w:p w14:paraId="252EAE7A" w14:textId="77777777" w:rsidR="001A01C6" w:rsidRDefault="001A01C6" w:rsidP="001A01C6">
      <w:pPr>
        <w:ind w:firstLine="360"/>
        <w:jc w:val="both"/>
        <w:outlineLvl w:val="0"/>
        <w:rPr>
          <w:sz w:val="22"/>
          <w:szCs w:val="22"/>
        </w:rPr>
      </w:pPr>
      <w:r>
        <w:rPr>
          <w:sz w:val="22"/>
          <w:szCs w:val="22"/>
        </w:rPr>
        <w:t xml:space="preserve">We have added the necessary information. </w:t>
      </w:r>
    </w:p>
    <w:p w14:paraId="09887502" w14:textId="2C1675D7" w:rsidR="00601692" w:rsidRPr="00601692" w:rsidRDefault="003A0E90" w:rsidP="002A2058">
      <w:pPr>
        <w:jc w:val="both"/>
        <w:outlineLvl w:val="0"/>
        <w:rPr>
          <w:b/>
          <w:sz w:val="22"/>
          <w:szCs w:val="22"/>
        </w:rPr>
      </w:pPr>
      <w:r w:rsidRPr="003A0E90">
        <w:rPr>
          <w:sz w:val="22"/>
          <w:szCs w:val="22"/>
        </w:rPr>
        <w:br/>
      </w:r>
      <w:r w:rsidRPr="00601692">
        <w:rPr>
          <w:b/>
          <w:sz w:val="22"/>
          <w:szCs w:val="22"/>
        </w:rPr>
        <w:t>After you have made all the recommended changes to your protocol (listed above), please highlight 2.75 pages or less of the Protocol (including headings and spacing) that identifies the essential steps of the protocol for the video, i.e., the steps that should be visualized to tell the most cohesive story of the Protocol.</w:t>
      </w:r>
    </w:p>
    <w:p w14:paraId="60C8AB47" w14:textId="77777777" w:rsidR="00601692" w:rsidRDefault="00601692" w:rsidP="002A2058">
      <w:pPr>
        <w:jc w:val="both"/>
        <w:outlineLvl w:val="0"/>
        <w:rPr>
          <w:b/>
          <w:sz w:val="22"/>
          <w:szCs w:val="22"/>
        </w:rPr>
      </w:pPr>
    </w:p>
    <w:p w14:paraId="0D5FB7AF" w14:textId="56F14A11" w:rsidR="00601692" w:rsidRPr="0091507C" w:rsidRDefault="0091507C" w:rsidP="0091507C">
      <w:pPr>
        <w:ind w:firstLine="360"/>
        <w:jc w:val="both"/>
        <w:outlineLvl w:val="0"/>
        <w:rPr>
          <w:sz w:val="22"/>
          <w:szCs w:val="22"/>
        </w:rPr>
      </w:pPr>
      <w:r>
        <w:rPr>
          <w:sz w:val="22"/>
          <w:szCs w:val="22"/>
        </w:rPr>
        <w:t xml:space="preserve">The appropriate </w:t>
      </w:r>
      <w:r w:rsidR="00601692" w:rsidRPr="0091507C">
        <w:rPr>
          <w:sz w:val="22"/>
          <w:szCs w:val="22"/>
        </w:rPr>
        <w:t xml:space="preserve">sections have now </w:t>
      </w:r>
      <w:r>
        <w:rPr>
          <w:sz w:val="22"/>
          <w:szCs w:val="22"/>
        </w:rPr>
        <w:t xml:space="preserve">been highlighted. </w:t>
      </w:r>
    </w:p>
    <w:p w14:paraId="765AB330" w14:textId="4DEF2895" w:rsidR="0091507C" w:rsidRPr="0091507C" w:rsidRDefault="003A0E90" w:rsidP="002A2058">
      <w:pPr>
        <w:jc w:val="both"/>
        <w:outlineLvl w:val="0"/>
        <w:rPr>
          <w:b/>
          <w:sz w:val="22"/>
          <w:szCs w:val="22"/>
        </w:rPr>
      </w:pPr>
      <w:r w:rsidRPr="003A0E90">
        <w:rPr>
          <w:sz w:val="22"/>
          <w:szCs w:val="22"/>
        </w:rPr>
        <w:br/>
      </w:r>
      <w:r w:rsidRPr="0091507C">
        <w:rPr>
          <w:b/>
          <w:sz w:val="22"/>
          <w:szCs w:val="22"/>
        </w:rPr>
        <w:t>Please highlight complete sentences (not parts of sentences). Please ensure that the highlighted part of the step includes at least one action that is written in imperative tense. Please do not highlight any steps describing anesthetization and euthanasia.</w:t>
      </w:r>
    </w:p>
    <w:p w14:paraId="5F920F2C" w14:textId="77777777" w:rsidR="0091507C" w:rsidRDefault="0091507C" w:rsidP="002A2058">
      <w:pPr>
        <w:jc w:val="both"/>
        <w:outlineLvl w:val="0"/>
        <w:rPr>
          <w:sz w:val="22"/>
          <w:szCs w:val="22"/>
        </w:rPr>
      </w:pPr>
    </w:p>
    <w:p w14:paraId="015CE49A" w14:textId="63BAA4B6" w:rsidR="0091507C" w:rsidRDefault="0091507C" w:rsidP="0091507C">
      <w:pPr>
        <w:ind w:firstLine="360"/>
        <w:jc w:val="both"/>
        <w:outlineLvl w:val="0"/>
        <w:rPr>
          <w:sz w:val="22"/>
          <w:szCs w:val="22"/>
        </w:rPr>
      </w:pPr>
      <w:r>
        <w:rPr>
          <w:sz w:val="22"/>
          <w:szCs w:val="22"/>
        </w:rPr>
        <w:t xml:space="preserve">These directions have been followed. </w:t>
      </w:r>
    </w:p>
    <w:p w14:paraId="01B340E7" w14:textId="396342AA" w:rsidR="0091507C" w:rsidRPr="0091507C" w:rsidRDefault="003A0E90" w:rsidP="002A2058">
      <w:pPr>
        <w:jc w:val="both"/>
        <w:outlineLvl w:val="0"/>
        <w:rPr>
          <w:b/>
          <w:sz w:val="22"/>
          <w:szCs w:val="22"/>
        </w:rPr>
      </w:pPr>
      <w:r w:rsidRPr="003A0E90">
        <w:rPr>
          <w:sz w:val="22"/>
          <w:szCs w:val="22"/>
        </w:rPr>
        <w:br/>
      </w:r>
      <w:r w:rsidRPr="0091507C">
        <w:rPr>
          <w:b/>
          <w:sz w:val="22"/>
          <w:szCs w:val="22"/>
        </w:rPr>
        <w:t>Please include all relevant details that are required to perform the step in the highlighting. For example: If step 2.5 is highlighted for filming and the details of how to perform the step are given in steps 2.5.1 and 2.5.2, then the sub-steps where the details are provided must be highlighted.</w:t>
      </w:r>
    </w:p>
    <w:p w14:paraId="6A9DC067" w14:textId="77777777" w:rsidR="0091507C" w:rsidRDefault="0091507C" w:rsidP="002A2058">
      <w:pPr>
        <w:jc w:val="both"/>
        <w:outlineLvl w:val="0"/>
        <w:rPr>
          <w:sz w:val="22"/>
          <w:szCs w:val="22"/>
        </w:rPr>
      </w:pPr>
    </w:p>
    <w:p w14:paraId="3916E5C7" w14:textId="121515BA" w:rsidR="0091507C" w:rsidRDefault="0091507C" w:rsidP="0091507C">
      <w:pPr>
        <w:ind w:firstLine="360"/>
        <w:jc w:val="both"/>
        <w:outlineLvl w:val="0"/>
        <w:rPr>
          <w:sz w:val="22"/>
          <w:szCs w:val="22"/>
        </w:rPr>
      </w:pPr>
      <w:r>
        <w:rPr>
          <w:sz w:val="22"/>
          <w:szCs w:val="22"/>
        </w:rPr>
        <w:t xml:space="preserve">These directions have been followed. </w:t>
      </w:r>
    </w:p>
    <w:p w14:paraId="3E79D57D" w14:textId="77777777" w:rsidR="0091507C" w:rsidRDefault="0091507C" w:rsidP="002A2058">
      <w:pPr>
        <w:jc w:val="both"/>
        <w:outlineLvl w:val="0"/>
        <w:rPr>
          <w:sz w:val="22"/>
          <w:szCs w:val="22"/>
        </w:rPr>
      </w:pPr>
    </w:p>
    <w:p w14:paraId="40EB176B" w14:textId="62BD3036" w:rsidR="0091507C" w:rsidRPr="0091507C" w:rsidRDefault="003A0E90" w:rsidP="002A2058">
      <w:pPr>
        <w:jc w:val="both"/>
        <w:outlineLvl w:val="0"/>
        <w:rPr>
          <w:b/>
          <w:sz w:val="22"/>
          <w:szCs w:val="22"/>
        </w:rPr>
      </w:pPr>
      <w:r w:rsidRPr="0091507C">
        <w:rPr>
          <w:b/>
          <w:sz w:val="22"/>
          <w:szCs w:val="22"/>
        </w:rPr>
        <w:t>As Table 1 shows NMR and MS assignments, please indicate in the protocol that the organic compounds are characterized with NMR and MS.</w:t>
      </w:r>
    </w:p>
    <w:p w14:paraId="706EB907" w14:textId="77777777" w:rsidR="0091507C" w:rsidRDefault="0091507C" w:rsidP="002A2058">
      <w:pPr>
        <w:jc w:val="both"/>
        <w:outlineLvl w:val="0"/>
        <w:rPr>
          <w:sz w:val="22"/>
          <w:szCs w:val="22"/>
        </w:rPr>
      </w:pPr>
    </w:p>
    <w:p w14:paraId="0EEF6C66" w14:textId="121E444C" w:rsidR="0091507C" w:rsidRDefault="0091507C" w:rsidP="0091507C">
      <w:pPr>
        <w:ind w:firstLine="360"/>
        <w:jc w:val="both"/>
        <w:outlineLvl w:val="0"/>
        <w:rPr>
          <w:sz w:val="22"/>
          <w:szCs w:val="22"/>
        </w:rPr>
      </w:pPr>
      <w:r>
        <w:rPr>
          <w:sz w:val="22"/>
          <w:szCs w:val="22"/>
        </w:rPr>
        <w:t xml:space="preserve">This has been added. </w:t>
      </w:r>
    </w:p>
    <w:p w14:paraId="6AF4B5D1" w14:textId="2540CD28" w:rsidR="0091507C" w:rsidRPr="0091507C" w:rsidRDefault="0091507C" w:rsidP="002A2058">
      <w:pPr>
        <w:jc w:val="both"/>
        <w:outlineLvl w:val="0"/>
        <w:rPr>
          <w:b/>
          <w:sz w:val="22"/>
          <w:szCs w:val="22"/>
        </w:rPr>
      </w:pPr>
      <w:r>
        <w:rPr>
          <w:sz w:val="22"/>
          <w:szCs w:val="22"/>
        </w:rPr>
        <w:br/>
      </w:r>
      <w:r w:rsidR="003A0E90" w:rsidRPr="0091507C">
        <w:rPr>
          <w:b/>
          <w:sz w:val="22"/>
          <w:szCs w:val="22"/>
        </w:rPr>
        <w:t>Please combine some of the shorter Protocol steps so that individual steps contain 2-3 actions and maximum of 4 sentences per step.</w:t>
      </w:r>
    </w:p>
    <w:p w14:paraId="39CAB0D0" w14:textId="77777777" w:rsidR="0091507C" w:rsidRDefault="0091507C" w:rsidP="002A2058">
      <w:pPr>
        <w:jc w:val="both"/>
        <w:outlineLvl w:val="0"/>
        <w:rPr>
          <w:sz w:val="22"/>
          <w:szCs w:val="22"/>
        </w:rPr>
      </w:pPr>
    </w:p>
    <w:p w14:paraId="2FEDE90A" w14:textId="420B48E7" w:rsidR="0091507C" w:rsidRDefault="0091507C" w:rsidP="0091507C">
      <w:pPr>
        <w:ind w:firstLine="360"/>
        <w:jc w:val="both"/>
        <w:outlineLvl w:val="0"/>
        <w:rPr>
          <w:sz w:val="22"/>
          <w:szCs w:val="22"/>
        </w:rPr>
      </w:pPr>
      <w:r>
        <w:rPr>
          <w:sz w:val="22"/>
          <w:szCs w:val="22"/>
        </w:rPr>
        <w:t xml:space="preserve">This has been done where appropriate. </w:t>
      </w:r>
    </w:p>
    <w:p w14:paraId="792EC0F6" w14:textId="0744E1E0" w:rsidR="0091507C" w:rsidRPr="0091507C" w:rsidRDefault="0091507C" w:rsidP="002A2058">
      <w:pPr>
        <w:jc w:val="both"/>
        <w:outlineLvl w:val="0"/>
        <w:rPr>
          <w:b/>
          <w:sz w:val="22"/>
          <w:szCs w:val="22"/>
        </w:rPr>
      </w:pPr>
      <w:r>
        <w:rPr>
          <w:sz w:val="22"/>
          <w:szCs w:val="22"/>
        </w:rPr>
        <w:br/>
      </w:r>
      <w:r w:rsidR="003A0E90" w:rsidRPr="0091507C">
        <w:rPr>
          <w:b/>
          <w:sz w:val="22"/>
          <w:szCs w:val="22"/>
        </w:rPr>
        <w:t>Please reference Figure 3 and Figure 4 in the manuscript.</w:t>
      </w:r>
    </w:p>
    <w:p w14:paraId="4DECEB7E" w14:textId="77777777" w:rsidR="0091507C" w:rsidRDefault="0091507C" w:rsidP="002A2058">
      <w:pPr>
        <w:jc w:val="both"/>
        <w:outlineLvl w:val="0"/>
        <w:rPr>
          <w:sz w:val="22"/>
          <w:szCs w:val="22"/>
        </w:rPr>
      </w:pPr>
    </w:p>
    <w:p w14:paraId="15130C9B" w14:textId="77777777" w:rsidR="0091507C" w:rsidRDefault="0091507C" w:rsidP="0091507C">
      <w:pPr>
        <w:ind w:firstLine="360"/>
        <w:jc w:val="both"/>
        <w:outlineLvl w:val="0"/>
        <w:rPr>
          <w:sz w:val="22"/>
          <w:szCs w:val="22"/>
        </w:rPr>
      </w:pPr>
      <w:r>
        <w:rPr>
          <w:sz w:val="22"/>
          <w:szCs w:val="22"/>
        </w:rPr>
        <w:t>These references have been added</w:t>
      </w:r>
    </w:p>
    <w:p w14:paraId="789A04D8" w14:textId="100AD87E" w:rsidR="0091507C" w:rsidRPr="0091507C" w:rsidRDefault="0091507C" w:rsidP="002A2058">
      <w:pPr>
        <w:jc w:val="both"/>
        <w:outlineLvl w:val="0"/>
        <w:rPr>
          <w:b/>
          <w:sz w:val="22"/>
          <w:szCs w:val="22"/>
        </w:rPr>
      </w:pPr>
      <w:r>
        <w:rPr>
          <w:sz w:val="22"/>
          <w:szCs w:val="22"/>
        </w:rPr>
        <w:br/>
      </w:r>
      <w:r w:rsidR="003A0E90" w:rsidRPr="0091507C">
        <w:rPr>
          <w:b/>
          <w:sz w:val="22"/>
          <w:szCs w:val="22"/>
        </w:rPr>
        <w:t>Figure 3: Please change “30 m” to “30 min” and “60 m” to “60 min” if the “m” is intended for time unit.</w:t>
      </w:r>
    </w:p>
    <w:p w14:paraId="18C47ED1" w14:textId="77777777" w:rsidR="0091507C" w:rsidRDefault="0091507C" w:rsidP="002A2058">
      <w:pPr>
        <w:jc w:val="both"/>
        <w:outlineLvl w:val="0"/>
        <w:rPr>
          <w:sz w:val="22"/>
          <w:szCs w:val="22"/>
        </w:rPr>
      </w:pPr>
    </w:p>
    <w:p w14:paraId="4541DCB6" w14:textId="0B200B74" w:rsidR="0091507C" w:rsidRDefault="0091507C" w:rsidP="0091507C">
      <w:pPr>
        <w:ind w:firstLine="360"/>
        <w:jc w:val="both"/>
        <w:outlineLvl w:val="0"/>
        <w:rPr>
          <w:sz w:val="22"/>
          <w:szCs w:val="22"/>
        </w:rPr>
      </w:pPr>
      <w:r>
        <w:rPr>
          <w:sz w:val="22"/>
          <w:szCs w:val="22"/>
        </w:rPr>
        <w:t>These changes have been made.</w:t>
      </w:r>
    </w:p>
    <w:p w14:paraId="361016B8" w14:textId="02C6B7D6" w:rsidR="003A0E90" w:rsidRDefault="0091507C" w:rsidP="002A2058">
      <w:pPr>
        <w:jc w:val="both"/>
        <w:outlineLvl w:val="0"/>
        <w:rPr>
          <w:b/>
          <w:sz w:val="22"/>
          <w:szCs w:val="22"/>
        </w:rPr>
      </w:pPr>
      <w:r>
        <w:rPr>
          <w:sz w:val="22"/>
          <w:szCs w:val="22"/>
        </w:rPr>
        <w:br/>
      </w:r>
      <w:r w:rsidR="003A0E90" w:rsidRPr="003A0E90">
        <w:rPr>
          <w:b/>
          <w:sz w:val="22"/>
          <w:szCs w:val="22"/>
        </w:rPr>
        <w:t>Please remove the embedded figure(s) from the manuscript. All figures should be uploaded separately to your Editorial Manager account. Each figure must be accompanied by a title and a description after the Representative Results of the manuscript text.</w:t>
      </w:r>
      <w:r>
        <w:rPr>
          <w:b/>
          <w:sz w:val="22"/>
          <w:szCs w:val="22"/>
        </w:rPr>
        <w:t xml:space="preserve"> </w:t>
      </w:r>
      <w:r w:rsidR="003A0E90" w:rsidRPr="003A0E90">
        <w:rPr>
          <w:b/>
          <w:sz w:val="22"/>
          <w:szCs w:val="22"/>
        </w:rPr>
        <w:t>Please remove the embedded table(s) from the manuscript. Each table must be accompanied by a title and a description after the Representative Results of the manuscript text.</w:t>
      </w:r>
      <w:r>
        <w:rPr>
          <w:b/>
          <w:sz w:val="22"/>
          <w:szCs w:val="22"/>
        </w:rPr>
        <w:t xml:space="preserve"> </w:t>
      </w:r>
      <w:r w:rsidR="003A0E90" w:rsidRPr="0091507C">
        <w:rPr>
          <w:b/>
          <w:sz w:val="22"/>
          <w:szCs w:val="22"/>
        </w:rPr>
        <w:t>Please remove embedded Table of Materials from the manuscript. Please remove trademark (™) and registered (®) symbols.</w:t>
      </w:r>
    </w:p>
    <w:p w14:paraId="1C87452A" w14:textId="77777777" w:rsidR="0091507C" w:rsidRDefault="0091507C" w:rsidP="002A2058">
      <w:pPr>
        <w:jc w:val="both"/>
        <w:outlineLvl w:val="0"/>
        <w:rPr>
          <w:b/>
          <w:sz w:val="22"/>
          <w:szCs w:val="22"/>
        </w:rPr>
      </w:pPr>
    </w:p>
    <w:p w14:paraId="0C752D7C" w14:textId="065EB4A2" w:rsidR="0091507C" w:rsidRPr="0091507C" w:rsidRDefault="0091507C" w:rsidP="0091507C">
      <w:pPr>
        <w:ind w:firstLine="360"/>
        <w:jc w:val="both"/>
        <w:outlineLvl w:val="0"/>
        <w:rPr>
          <w:sz w:val="22"/>
          <w:szCs w:val="22"/>
        </w:rPr>
      </w:pPr>
      <w:r w:rsidRPr="0091507C">
        <w:rPr>
          <w:sz w:val="22"/>
          <w:szCs w:val="22"/>
        </w:rPr>
        <w:t xml:space="preserve">All embedded tables and figures have been removed from the manuscript. </w:t>
      </w:r>
    </w:p>
    <w:p w14:paraId="0868F767" w14:textId="77777777" w:rsidR="00DF42E2" w:rsidRPr="00134105" w:rsidRDefault="00DF42E2" w:rsidP="00DF42E2">
      <w:pPr>
        <w:pStyle w:val="Perso"/>
        <w:spacing w:line="240" w:lineRule="auto"/>
        <w:rPr>
          <w:rFonts w:cs="Times New Roman"/>
          <w:sz w:val="22"/>
        </w:rPr>
      </w:pPr>
    </w:p>
    <w:p w14:paraId="3DE7E473" w14:textId="57A00812" w:rsidR="00DF42E2" w:rsidRPr="001D49C6" w:rsidRDefault="00DF42E2" w:rsidP="00DF42E2">
      <w:pPr>
        <w:widowControl w:val="0"/>
        <w:autoSpaceDE w:val="0"/>
        <w:autoSpaceDN w:val="0"/>
        <w:adjustRightInd w:val="0"/>
        <w:jc w:val="both"/>
        <w:rPr>
          <w:i/>
          <w:color w:val="8064A2" w:themeColor="accent4"/>
          <w:sz w:val="26"/>
          <w:szCs w:val="26"/>
        </w:rPr>
      </w:pPr>
      <w:r w:rsidRPr="001D49C6">
        <w:rPr>
          <w:b/>
          <w:color w:val="7030A0"/>
          <w:sz w:val="26"/>
          <w:szCs w:val="26"/>
          <w:u w:val="single"/>
        </w:rPr>
        <w:t>Reviewer #1:</w:t>
      </w:r>
    </w:p>
    <w:p w14:paraId="335668EC" w14:textId="77777777" w:rsidR="003A0E90" w:rsidRDefault="003A0E90" w:rsidP="002A2058">
      <w:pPr>
        <w:jc w:val="both"/>
        <w:outlineLvl w:val="0"/>
        <w:rPr>
          <w:color w:val="000000" w:themeColor="text1"/>
          <w:sz w:val="22"/>
          <w:szCs w:val="22"/>
        </w:rPr>
      </w:pPr>
    </w:p>
    <w:p w14:paraId="104361D7" w14:textId="6E020570" w:rsidR="00DF42E2" w:rsidRDefault="00DF42E2" w:rsidP="002A2058">
      <w:pPr>
        <w:jc w:val="both"/>
        <w:outlineLvl w:val="0"/>
        <w:rPr>
          <w:b/>
          <w:sz w:val="22"/>
          <w:szCs w:val="22"/>
        </w:rPr>
      </w:pPr>
      <w:r w:rsidRPr="00DF42E2">
        <w:rPr>
          <w:b/>
          <w:sz w:val="22"/>
          <w:szCs w:val="22"/>
        </w:rPr>
        <w:t xml:space="preserve">The current manuscript by Membreno and Zeglis, builds on the extensive work published by their group and others on the in vivo pretargeting approach based on the inverse electron demand Diels-Alder reaction. This is a </w:t>
      </w:r>
      <w:r w:rsidRPr="00DF42E2">
        <w:rPr>
          <w:b/>
          <w:sz w:val="22"/>
          <w:szCs w:val="22"/>
        </w:rPr>
        <w:lastRenderedPageBreak/>
        <w:t xml:space="preserve">high impact topic for the scientific community, with potential and imminent clinical applicability for the circumvention of the long residence times of radiolabeled antibodies. This is a very thorough methods article, which is well written, correctly organized and that describes the modification of the huA33 antibody with a TCO moiety, radiosynthesis of </w:t>
      </w:r>
      <w:r w:rsidRPr="00DF42E2">
        <w:rPr>
          <w:b/>
          <w:sz w:val="22"/>
          <w:szCs w:val="22"/>
          <w:vertAlign w:val="superscript"/>
        </w:rPr>
        <w:t>177</w:t>
      </w:r>
      <w:r w:rsidRPr="00DF42E2">
        <w:rPr>
          <w:b/>
          <w:sz w:val="22"/>
          <w:szCs w:val="22"/>
        </w:rPr>
        <w:t>Lu-labeled tetrazine and in vivo evaluation of this system. Only a minor revision is recommended.</w:t>
      </w:r>
    </w:p>
    <w:p w14:paraId="5E978582" w14:textId="77777777" w:rsidR="00DF42E2" w:rsidRPr="00893DB3" w:rsidRDefault="00DF42E2" w:rsidP="00893DB3">
      <w:pPr>
        <w:jc w:val="both"/>
        <w:outlineLvl w:val="0"/>
        <w:rPr>
          <w:b/>
          <w:sz w:val="22"/>
          <w:szCs w:val="22"/>
        </w:rPr>
      </w:pPr>
    </w:p>
    <w:p w14:paraId="75E9B4C0" w14:textId="137A8FF2" w:rsidR="00DF42E2" w:rsidRPr="00893DB3" w:rsidRDefault="00DF42E2" w:rsidP="00893DB3">
      <w:pPr>
        <w:ind w:firstLine="360"/>
        <w:jc w:val="both"/>
        <w:outlineLvl w:val="0"/>
        <w:rPr>
          <w:sz w:val="22"/>
          <w:szCs w:val="22"/>
        </w:rPr>
      </w:pPr>
      <w:r w:rsidRPr="00893DB3">
        <w:rPr>
          <w:sz w:val="22"/>
          <w:szCs w:val="22"/>
        </w:rPr>
        <w:t xml:space="preserve">We thank the reviewer for their thorough critique of our work. </w:t>
      </w:r>
    </w:p>
    <w:p w14:paraId="21C81280" w14:textId="77777777" w:rsidR="00DF42E2" w:rsidRPr="00893DB3" w:rsidRDefault="00DF42E2" w:rsidP="00893DB3">
      <w:pPr>
        <w:jc w:val="both"/>
        <w:outlineLvl w:val="0"/>
        <w:rPr>
          <w:b/>
          <w:color w:val="000000" w:themeColor="text1"/>
          <w:sz w:val="22"/>
          <w:szCs w:val="22"/>
        </w:rPr>
      </w:pPr>
    </w:p>
    <w:p w14:paraId="39E46AE1" w14:textId="3BFF34FF" w:rsidR="00893DB3" w:rsidRPr="00893DB3" w:rsidRDefault="00893DB3" w:rsidP="00893DB3">
      <w:pPr>
        <w:jc w:val="both"/>
        <w:rPr>
          <w:b/>
          <w:sz w:val="22"/>
          <w:szCs w:val="22"/>
        </w:rPr>
      </w:pPr>
      <w:r w:rsidRPr="00893DB3">
        <w:rPr>
          <w:b/>
          <w:sz w:val="22"/>
          <w:szCs w:val="22"/>
        </w:rPr>
        <w:t>Line 2: Although the title of this manuscript is very appealing, it seems generic also. There are several other pretargeted radioimmunotherapy approaches than the one described here by the authors. This is only one of them, using the IEDDA reaction. Please make the title more concise and informative.</w:t>
      </w:r>
    </w:p>
    <w:p w14:paraId="1101C861" w14:textId="77777777" w:rsidR="00893DB3" w:rsidRPr="00893DB3" w:rsidRDefault="00893DB3" w:rsidP="00893DB3">
      <w:pPr>
        <w:jc w:val="both"/>
        <w:rPr>
          <w:i/>
          <w:sz w:val="22"/>
          <w:szCs w:val="22"/>
        </w:rPr>
      </w:pPr>
    </w:p>
    <w:p w14:paraId="0AE51275" w14:textId="4F84A0AE" w:rsidR="00893DB3" w:rsidRPr="00893DB3" w:rsidRDefault="00893DB3" w:rsidP="00893DB3">
      <w:pPr>
        <w:ind w:firstLine="360"/>
        <w:jc w:val="both"/>
        <w:rPr>
          <w:sz w:val="22"/>
          <w:szCs w:val="22"/>
        </w:rPr>
      </w:pPr>
      <w:r w:rsidRPr="00893DB3">
        <w:rPr>
          <w:sz w:val="22"/>
          <w:szCs w:val="22"/>
        </w:rPr>
        <w:t>This is an excellent point, we have added the phrase “</w:t>
      </w:r>
      <w:r w:rsidRPr="00893DB3">
        <w:rPr>
          <w:i/>
          <w:color w:val="660066"/>
          <w:sz w:val="22"/>
          <w:szCs w:val="22"/>
        </w:rPr>
        <w:t>Based on the Inverse Electron Demand Diels-Alder Reaction</w:t>
      </w:r>
      <w:r w:rsidRPr="00893DB3">
        <w:rPr>
          <w:sz w:val="22"/>
          <w:szCs w:val="22"/>
        </w:rPr>
        <w:t>” to the title in order to be more specific and distinguish this approach from other pretargeting methodologies (i.e. streptavidin/biotin, oligonucleotides, bispecific antibodies, etc.).</w:t>
      </w:r>
    </w:p>
    <w:p w14:paraId="6AA6F68A" w14:textId="77777777" w:rsidR="00DF42E2" w:rsidRPr="00CE1536" w:rsidRDefault="00DF42E2" w:rsidP="002A2058">
      <w:pPr>
        <w:jc w:val="both"/>
        <w:outlineLvl w:val="0"/>
        <w:rPr>
          <w:b/>
          <w:color w:val="000000" w:themeColor="text1"/>
          <w:sz w:val="22"/>
          <w:szCs w:val="22"/>
        </w:rPr>
      </w:pPr>
    </w:p>
    <w:p w14:paraId="6A4C99D1" w14:textId="77777777" w:rsidR="00CE1536" w:rsidRPr="00CE1536" w:rsidRDefault="00CE1536" w:rsidP="00CE1536">
      <w:pPr>
        <w:jc w:val="both"/>
        <w:rPr>
          <w:b/>
          <w:sz w:val="22"/>
          <w:szCs w:val="22"/>
        </w:rPr>
      </w:pPr>
      <w:r w:rsidRPr="00CE1536">
        <w:rPr>
          <w:b/>
          <w:sz w:val="22"/>
          <w:szCs w:val="22"/>
        </w:rPr>
        <w:t>Lines 78-80: To circumvent the problem of long residence times of the antibodies in the blood several strategies are presented. Recent findings using radiolabeled nanobodies emphasize their potential as therapeutic tools in cancer treatment. However, the authors fail to mention the nanobodies in their list of available alternative strategies.</w:t>
      </w:r>
    </w:p>
    <w:p w14:paraId="5494A10C" w14:textId="77777777" w:rsidR="00CE1536" w:rsidRPr="00CE1536" w:rsidRDefault="00CE1536" w:rsidP="00CE1536">
      <w:pPr>
        <w:jc w:val="both"/>
        <w:rPr>
          <w:sz w:val="22"/>
          <w:szCs w:val="22"/>
        </w:rPr>
      </w:pPr>
    </w:p>
    <w:p w14:paraId="17B5E28F" w14:textId="42CEE0BF" w:rsidR="00CE1536" w:rsidRPr="00565707" w:rsidRDefault="00565707" w:rsidP="00565707">
      <w:pPr>
        <w:ind w:firstLine="360"/>
        <w:jc w:val="both"/>
        <w:rPr>
          <w:sz w:val="22"/>
          <w:szCs w:val="22"/>
        </w:rPr>
      </w:pPr>
      <w:r w:rsidRPr="00565707">
        <w:rPr>
          <w:sz w:val="22"/>
          <w:szCs w:val="22"/>
        </w:rPr>
        <w:t>This is a good point. We did not mean for list to be exhaustive. We have now added “</w:t>
      </w:r>
      <w:r w:rsidRPr="00565707">
        <w:rPr>
          <w:i/>
          <w:color w:val="660066"/>
          <w:sz w:val="22"/>
          <w:szCs w:val="22"/>
        </w:rPr>
        <w:t>nanobodies</w:t>
      </w:r>
      <w:r w:rsidRPr="00565707">
        <w:rPr>
          <w:sz w:val="22"/>
          <w:szCs w:val="22"/>
        </w:rPr>
        <w:t>”.</w:t>
      </w:r>
    </w:p>
    <w:p w14:paraId="773C7B9B" w14:textId="77777777" w:rsidR="00DF42E2" w:rsidRPr="000A40DA" w:rsidRDefault="00DF42E2" w:rsidP="000A40DA">
      <w:pPr>
        <w:ind w:firstLine="360"/>
        <w:jc w:val="both"/>
        <w:outlineLvl w:val="0"/>
        <w:rPr>
          <w:color w:val="000000" w:themeColor="text1"/>
          <w:sz w:val="22"/>
          <w:szCs w:val="22"/>
        </w:rPr>
      </w:pPr>
    </w:p>
    <w:p w14:paraId="1D113B62" w14:textId="77777777" w:rsidR="000A40DA" w:rsidRPr="000A40DA" w:rsidRDefault="000A40DA" w:rsidP="000A40DA">
      <w:pPr>
        <w:jc w:val="both"/>
        <w:rPr>
          <w:b/>
          <w:sz w:val="22"/>
          <w:szCs w:val="22"/>
        </w:rPr>
      </w:pPr>
      <w:r w:rsidRPr="000A40DA">
        <w:rPr>
          <w:b/>
          <w:sz w:val="22"/>
          <w:szCs w:val="22"/>
        </w:rPr>
        <w:t xml:space="preserve">Line 102: The claim that "TCO is more stable in vivo than its Tz partner" should be rephrased. This is not always true. </w:t>
      </w:r>
      <w:proofErr w:type="gramStart"/>
      <w:r w:rsidRPr="000A40DA">
        <w:rPr>
          <w:b/>
          <w:sz w:val="22"/>
          <w:szCs w:val="22"/>
        </w:rPr>
        <w:t xml:space="preserve">Physiologically stable radiolabeled tetrazines have been developed by different labs, including the one of </w:t>
      </w:r>
      <w:proofErr w:type="spellStart"/>
      <w:r w:rsidRPr="000A40DA">
        <w:rPr>
          <w:b/>
          <w:sz w:val="22"/>
          <w:szCs w:val="22"/>
        </w:rPr>
        <w:t>Hannes</w:t>
      </w:r>
      <w:proofErr w:type="spellEnd"/>
      <w:r w:rsidRPr="000A40DA">
        <w:rPr>
          <w:b/>
          <w:sz w:val="22"/>
          <w:szCs w:val="22"/>
        </w:rPr>
        <w:t xml:space="preserve"> </w:t>
      </w:r>
      <w:proofErr w:type="spellStart"/>
      <w:r w:rsidRPr="000A40DA">
        <w:rPr>
          <w:b/>
          <w:sz w:val="22"/>
          <w:szCs w:val="22"/>
        </w:rPr>
        <w:t>Mikula</w:t>
      </w:r>
      <w:proofErr w:type="spellEnd"/>
      <w:r w:rsidRPr="000A40DA">
        <w:rPr>
          <w:b/>
          <w:sz w:val="22"/>
          <w:szCs w:val="22"/>
        </w:rPr>
        <w:t xml:space="preserve"> in Vienna</w:t>
      </w:r>
      <w:proofErr w:type="gramEnd"/>
      <w:r w:rsidRPr="000A40DA">
        <w:rPr>
          <w:b/>
          <w:sz w:val="22"/>
          <w:szCs w:val="22"/>
        </w:rPr>
        <w:t>. Also, other authors have attempted the inverse strategy (Tz-modified antibody and a TCO-bearing radioligand) with success. Reformulate accordingly.</w:t>
      </w:r>
    </w:p>
    <w:p w14:paraId="14E219E8" w14:textId="77777777" w:rsidR="000A40DA" w:rsidRPr="000A40DA" w:rsidRDefault="000A40DA" w:rsidP="000A40DA">
      <w:pPr>
        <w:jc w:val="both"/>
        <w:rPr>
          <w:sz w:val="22"/>
          <w:szCs w:val="22"/>
        </w:rPr>
      </w:pPr>
    </w:p>
    <w:p w14:paraId="391FD2AD" w14:textId="4999AC2B" w:rsidR="000A40DA" w:rsidRPr="000A40DA" w:rsidRDefault="000A40DA" w:rsidP="000A40DA">
      <w:pPr>
        <w:ind w:firstLine="360"/>
        <w:jc w:val="both"/>
        <w:rPr>
          <w:sz w:val="22"/>
          <w:szCs w:val="22"/>
        </w:rPr>
      </w:pPr>
      <w:r w:rsidRPr="000A40DA">
        <w:rPr>
          <w:sz w:val="22"/>
          <w:szCs w:val="22"/>
        </w:rPr>
        <w:t xml:space="preserve">Great find! The wording of the section has now been modified to suggest that there are other methodologies to IEDDA pretargeting.  We have elected not to include more discussion of these alternative tetrazine/TCO formulations, as it would be beyond scope of this protocol. That said, while there is certainly some interesting chemistry being evaluated, very little of it has been tested </w:t>
      </w:r>
      <w:r w:rsidRPr="000A40DA">
        <w:rPr>
          <w:i/>
          <w:sz w:val="22"/>
          <w:szCs w:val="22"/>
        </w:rPr>
        <w:t>in vivo</w:t>
      </w:r>
      <w:r w:rsidRPr="000A40DA">
        <w:rPr>
          <w:sz w:val="22"/>
          <w:szCs w:val="22"/>
        </w:rPr>
        <w:t>.</w:t>
      </w:r>
    </w:p>
    <w:p w14:paraId="665EE204" w14:textId="77777777" w:rsidR="00DF42E2" w:rsidRPr="00AD37FF" w:rsidRDefault="00DF42E2" w:rsidP="00AD37FF">
      <w:pPr>
        <w:jc w:val="both"/>
        <w:outlineLvl w:val="0"/>
        <w:rPr>
          <w:color w:val="000000" w:themeColor="text1"/>
          <w:sz w:val="22"/>
          <w:szCs w:val="22"/>
        </w:rPr>
      </w:pPr>
    </w:p>
    <w:p w14:paraId="7185E355" w14:textId="77777777" w:rsidR="00AD37FF" w:rsidRPr="00A7064D" w:rsidRDefault="00AD37FF" w:rsidP="00AD37FF">
      <w:pPr>
        <w:jc w:val="both"/>
        <w:rPr>
          <w:b/>
          <w:sz w:val="22"/>
          <w:szCs w:val="22"/>
        </w:rPr>
      </w:pPr>
      <w:r w:rsidRPr="00A7064D">
        <w:rPr>
          <w:b/>
          <w:sz w:val="22"/>
          <w:szCs w:val="22"/>
        </w:rPr>
        <w:t>Line 150, 1.2: Were normal 1.7 mL microcentrifuge tubes used or low protein binding tubes? The latter could help minimize protein sample loss during sample manipulation.</w:t>
      </w:r>
    </w:p>
    <w:p w14:paraId="1BE90A11" w14:textId="77777777" w:rsidR="00AD37FF" w:rsidRPr="00AD37FF" w:rsidRDefault="00AD37FF" w:rsidP="00AD37FF">
      <w:pPr>
        <w:jc w:val="both"/>
        <w:rPr>
          <w:sz w:val="22"/>
          <w:szCs w:val="22"/>
        </w:rPr>
      </w:pPr>
    </w:p>
    <w:p w14:paraId="386F2B9D" w14:textId="26EAFFDB" w:rsidR="00AD37FF" w:rsidRPr="00A7064D" w:rsidRDefault="00AD37FF" w:rsidP="00A7064D">
      <w:pPr>
        <w:ind w:firstLine="360"/>
        <w:jc w:val="both"/>
        <w:rPr>
          <w:sz w:val="22"/>
          <w:szCs w:val="22"/>
        </w:rPr>
      </w:pPr>
      <w:r w:rsidRPr="00A7064D">
        <w:rPr>
          <w:sz w:val="22"/>
          <w:szCs w:val="22"/>
        </w:rPr>
        <w:t>For these experiments</w:t>
      </w:r>
      <w:r w:rsidR="00A7064D">
        <w:rPr>
          <w:sz w:val="22"/>
          <w:szCs w:val="22"/>
        </w:rPr>
        <w:t>,</w:t>
      </w:r>
      <w:r w:rsidRPr="00A7064D">
        <w:rPr>
          <w:sz w:val="22"/>
          <w:szCs w:val="22"/>
        </w:rPr>
        <w:t xml:space="preserve"> we actually found that </w:t>
      </w:r>
      <w:r w:rsidR="0051447C">
        <w:rPr>
          <w:sz w:val="22"/>
          <w:szCs w:val="22"/>
        </w:rPr>
        <w:t xml:space="preserve">low protein binding </w:t>
      </w:r>
      <w:r w:rsidRPr="00A7064D">
        <w:rPr>
          <w:sz w:val="22"/>
          <w:szCs w:val="22"/>
        </w:rPr>
        <w:t>tubes were not necessary for high-yield!</w:t>
      </w:r>
      <w:r w:rsidR="00A7064D">
        <w:rPr>
          <w:sz w:val="22"/>
          <w:szCs w:val="22"/>
        </w:rPr>
        <w:t xml:space="preserve"> The text has been modified accordingly. </w:t>
      </w:r>
    </w:p>
    <w:p w14:paraId="249792C2" w14:textId="77777777" w:rsidR="00A07C3C" w:rsidRPr="00A07C3C" w:rsidRDefault="00A07C3C" w:rsidP="00A07C3C">
      <w:pPr>
        <w:rPr>
          <w:b/>
          <w:sz w:val="22"/>
          <w:szCs w:val="22"/>
        </w:rPr>
      </w:pPr>
      <w:r w:rsidRPr="00A07C3C">
        <w:rPr>
          <w:b/>
        </w:rPr>
        <w:br/>
      </w:r>
      <w:r w:rsidRPr="00A07C3C">
        <w:rPr>
          <w:b/>
          <w:sz w:val="22"/>
          <w:szCs w:val="22"/>
        </w:rPr>
        <w:t>Line 223, 2.6: For purification of the reaction, was the reaction diluted? Or was it injected directly on the HPLC?</w:t>
      </w:r>
    </w:p>
    <w:p w14:paraId="3EAF1B0F" w14:textId="77777777" w:rsidR="00A07C3C" w:rsidRPr="00A07C3C" w:rsidRDefault="00A07C3C" w:rsidP="00A07C3C">
      <w:pPr>
        <w:rPr>
          <w:sz w:val="22"/>
          <w:szCs w:val="22"/>
        </w:rPr>
      </w:pPr>
    </w:p>
    <w:p w14:paraId="65E5DF29" w14:textId="61A908CE" w:rsidR="00A07C3C" w:rsidRPr="00A07C3C" w:rsidRDefault="00A07C3C" w:rsidP="00A07C3C">
      <w:pPr>
        <w:ind w:firstLine="360"/>
        <w:rPr>
          <w:sz w:val="22"/>
          <w:szCs w:val="22"/>
        </w:rPr>
      </w:pPr>
      <w:r w:rsidRPr="00A07C3C">
        <w:rPr>
          <w:sz w:val="22"/>
          <w:szCs w:val="22"/>
        </w:rPr>
        <w:t>Great catch! The reaction was diluted in water prior to purification. This change has been made to 2.5 and 4.5.</w:t>
      </w:r>
    </w:p>
    <w:p w14:paraId="5BADFC20" w14:textId="77777777" w:rsidR="00A07C3C" w:rsidRPr="00A07C3C" w:rsidRDefault="00A07C3C" w:rsidP="00A07C3C">
      <w:pPr>
        <w:rPr>
          <w:b/>
          <w:i/>
          <w:sz w:val="22"/>
          <w:szCs w:val="22"/>
        </w:rPr>
      </w:pPr>
    </w:p>
    <w:p w14:paraId="3CAE5175" w14:textId="3F59DD9F" w:rsidR="00A07C3C" w:rsidRPr="00A07C3C" w:rsidRDefault="00A07C3C" w:rsidP="00A07C3C">
      <w:pPr>
        <w:jc w:val="both"/>
        <w:rPr>
          <w:b/>
          <w:sz w:val="22"/>
          <w:szCs w:val="22"/>
        </w:rPr>
      </w:pPr>
      <w:r w:rsidRPr="00A07C3C">
        <w:rPr>
          <w:b/>
          <w:sz w:val="22"/>
          <w:szCs w:val="22"/>
        </w:rPr>
        <w:t>Line 230: I assume the mobile phase was used without any (acid) additive to prevent removal of the Boc protecting group. It would state the importance of this in the text, to be clear to the readers as well.</w:t>
      </w:r>
    </w:p>
    <w:p w14:paraId="7597F181" w14:textId="77777777" w:rsidR="00A07C3C" w:rsidRPr="00A07C3C" w:rsidRDefault="00A07C3C" w:rsidP="00A07C3C">
      <w:pPr>
        <w:jc w:val="both"/>
        <w:rPr>
          <w:i/>
          <w:sz w:val="22"/>
          <w:szCs w:val="22"/>
        </w:rPr>
      </w:pPr>
    </w:p>
    <w:p w14:paraId="136C1781" w14:textId="77777777" w:rsidR="00A07C3C" w:rsidRDefault="00A07C3C" w:rsidP="00A07C3C">
      <w:pPr>
        <w:ind w:firstLine="360"/>
        <w:jc w:val="both"/>
        <w:rPr>
          <w:sz w:val="22"/>
          <w:szCs w:val="22"/>
        </w:rPr>
      </w:pPr>
      <w:r w:rsidRPr="00A07C3C">
        <w:rPr>
          <w:sz w:val="22"/>
          <w:szCs w:val="22"/>
        </w:rPr>
        <w:t xml:space="preserve">We had previously stated in </w:t>
      </w:r>
      <w:r>
        <w:rPr>
          <w:sz w:val="22"/>
          <w:szCs w:val="22"/>
        </w:rPr>
        <w:t>S</w:t>
      </w:r>
      <w:r w:rsidRPr="00A07C3C">
        <w:rPr>
          <w:sz w:val="22"/>
          <w:szCs w:val="22"/>
        </w:rPr>
        <w:t xml:space="preserve">tep 2.5 that </w:t>
      </w:r>
      <w:r>
        <w:rPr>
          <w:sz w:val="22"/>
          <w:szCs w:val="22"/>
        </w:rPr>
        <w:t xml:space="preserve">the </w:t>
      </w:r>
      <w:r w:rsidRPr="00A07C3C">
        <w:rPr>
          <w:sz w:val="22"/>
          <w:szCs w:val="22"/>
        </w:rPr>
        <w:t>HPLC</w:t>
      </w:r>
      <w:r>
        <w:rPr>
          <w:sz w:val="22"/>
          <w:szCs w:val="22"/>
        </w:rPr>
        <w:t xml:space="preserve"> should be run without additive. However, we </w:t>
      </w:r>
      <w:r w:rsidRPr="00A07C3C">
        <w:rPr>
          <w:sz w:val="22"/>
          <w:szCs w:val="22"/>
        </w:rPr>
        <w:t xml:space="preserve">have updated the text </w:t>
      </w:r>
      <w:r>
        <w:rPr>
          <w:sz w:val="22"/>
          <w:szCs w:val="22"/>
        </w:rPr>
        <w:t xml:space="preserve">to note that, </w:t>
      </w:r>
      <w:r w:rsidRPr="00A07C3C">
        <w:rPr>
          <w:sz w:val="22"/>
          <w:szCs w:val="22"/>
        </w:rPr>
        <w:t>“</w:t>
      </w:r>
      <w:r w:rsidRPr="00A07C3C">
        <w:rPr>
          <w:i/>
          <w:color w:val="660066"/>
          <w:sz w:val="22"/>
          <w:szCs w:val="22"/>
        </w:rPr>
        <w:t>Solvents without acid should be used to prevent the premature removal of the Boc protecting group</w:t>
      </w:r>
      <w:r>
        <w:rPr>
          <w:sz w:val="22"/>
          <w:szCs w:val="22"/>
        </w:rPr>
        <w:t>.”</w:t>
      </w:r>
    </w:p>
    <w:p w14:paraId="1AD2EDFD" w14:textId="618ABC51" w:rsidR="00A07C3C" w:rsidRPr="00A07C3C" w:rsidRDefault="00A07C3C" w:rsidP="00A07C3C">
      <w:pPr>
        <w:rPr>
          <w:b/>
          <w:sz w:val="22"/>
          <w:szCs w:val="22"/>
        </w:rPr>
      </w:pPr>
      <w:r w:rsidRPr="00A07C3C">
        <w:rPr>
          <w:sz w:val="22"/>
          <w:szCs w:val="22"/>
        </w:rPr>
        <w:br/>
      </w:r>
      <w:r w:rsidRPr="00A07C3C">
        <w:rPr>
          <w:b/>
          <w:sz w:val="22"/>
          <w:szCs w:val="22"/>
        </w:rPr>
        <w:t>Line 234, 2.7: Could you provide an alternative to using liquid nitrogen to freeze the sample with before placing it in the lyophilizer? Some labs do not have access to it.</w:t>
      </w:r>
    </w:p>
    <w:p w14:paraId="22676630" w14:textId="77777777" w:rsidR="00A07C3C" w:rsidRPr="00A07C3C" w:rsidRDefault="00A07C3C" w:rsidP="00A07C3C">
      <w:pPr>
        <w:rPr>
          <w:i/>
        </w:rPr>
      </w:pPr>
    </w:p>
    <w:p w14:paraId="2900C513" w14:textId="3F8BB845" w:rsidR="00A07C3C" w:rsidRPr="00A07C3C" w:rsidRDefault="00A07C3C" w:rsidP="00A07C3C">
      <w:pPr>
        <w:ind w:firstLine="360"/>
        <w:rPr>
          <w:sz w:val="22"/>
          <w:szCs w:val="22"/>
        </w:rPr>
      </w:pPr>
      <w:proofErr w:type="gramStart"/>
      <w:r>
        <w:rPr>
          <w:sz w:val="22"/>
          <w:szCs w:val="22"/>
        </w:rPr>
        <w:t>An excellent point.</w:t>
      </w:r>
      <w:proofErr w:type="gramEnd"/>
      <w:r w:rsidRPr="00A07C3C">
        <w:rPr>
          <w:sz w:val="22"/>
          <w:szCs w:val="22"/>
        </w:rPr>
        <w:t xml:space="preserve"> We have updated the protocol to include alternatives.</w:t>
      </w:r>
    </w:p>
    <w:p w14:paraId="1E647B5A" w14:textId="77777777" w:rsidR="00A07C3C" w:rsidRDefault="00A07C3C" w:rsidP="00A07C3C">
      <w:pPr>
        <w:rPr>
          <w:sz w:val="22"/>
          <w:szCs w:val="22"/>
        </w:rPr>
      </w:pPr>
    </w:p>
    <w:p w14:paraId="5E3462F3" w14:textId="0D089C65" w:rsidR="00A07C3C" w:rsidRPr="00A07C3C" w:rsidRDefault="00A07C3C" w:rsidP="00A07C3C">
      <w:pPr>
        <w:rPr>
          <w:b/>
          <w:sz w:val="22"/>
          <w:szCs w:val="22"/>
        </w:rPr>
      </w:pPr>
      <w:r w:rsidRPr="00A07C3C">
        <w:rPr>
          <w:b/>
          <w:sz w:val="22"/>
          <w:szCs w:val="22"/>
        </w:rPr>
        <w:lastRenderedPageBreak/>
        <w:t>Lines 230-232 and 258-260: What was the HPLC flow rate used to get the retention times mentioned in the text? Please clarify.</w:t>
      </w:r>
    </w:p>
    <w:p w14:paraId="1AC4DABF" w14:textId="28E5DB96" w:rsidR="00A07C3C" w:rsidRPr="00A07C3C" w:rsidRDefault="00A07C3C" w:rsidP="00A07C3C">
      <w:pPr>
        <w:ind w:firstLine="360"/>
        <w:rPr>
          <w:sz w:val="22"/>
          <w:szCs w:val="22"/>
        </w:rPr>
      </w:pPr>
      <w:r w:rsidRPr="00A07C3C">
        <w:rPr>
          <w:sz w:val="22"/>
          <w:szCs w:val="22"/>
        </w:rPr>
        <w:t xml:space="preserve">We have clarified in both sections: a </w:t>
      </w:r>
      <w:proofErr w:type="gramStart"/>
      <w:r w:rsidRPr="00A07C3C">
        <w:rPr>
          <w:sz w:val="22"/>
          <w:szCs w:val="22"/>
        </w:rPr>
        <w:t>1 mL/</w:t>
      </w:r>
      <w:proofErr w:type="gramEnd"/>
      <w:r w:rsidRPr="00A07C3C">
        <w:rPr>
          <w:sz w:val="22"/>
          <w:szCs w:val="22"/>
        </w:rPr>
        <w:t>min flow rate is used.</w:t>
      </w:r>
    </w:p>
    <w:p w14:paraId="0A1CD707" w14:textId="77777777" w:rsidR="00DF42E2" w:rsidRPr="00A07C3C" w:rsidRDefault="00DF42E2" w:rsidP="002A2058">
      <w:pPr>
        <w:jc w:val="both"/>
        <w:outlineLvl w:val="0"/>
        <w:rPr>
          <w:color w:val="000000" w:themeColor="text1"/>
          <w:sz w:val="22"/>
          <w:szCs w:val="22"/>
        </w:rPr>
      </w:pPr>
    </w:p>
    <w:p w14:paraId="14FA3EB6" w14:textId="3D3634EA" w:rsidR="00A07C3C" w:rsidRPr="00A07C3C" w:rsidRDefault="00A07C3C" w:rsidP="00A07C3C">
      <w:pPr>
        <w:rPr>
          <w:b/>
          <w:sz w:val="22"/>
          <w:szCs w:val="22"/>
        </w:rPr>
      </w:pPr>
      <w:r w:rsidRPr="00A07C3C">
        <w:rPr>
          <w:b/>
          <w:sz w:val="22"/>
          <w:szCs w:val="22"/>
        </w:rPr>
        <w:t>Line 314, 5: For the radiolabelin</w:t>
      </w:r>
      <w:r>
        <w:rPr>
          <w:b/>
          <w:sz w:val="22"/>
          <w:szCs w:val="22"/>
        </w:rPr>
        <w:t>g of Tz-PEG</w:t>
      </w:r>
      <w:r w:rsidRPr="00A07C3C">
        <w:rPr>
          <w:b/>
          <w:sz w:val="22"/>
          <w:szCs w:val="22"/>
          <w:vertAlign w:val="subscript"/>
        </w:rPr>
        <w:t>7</w:t>
      </w:r>
      <w:r w:rsidRPr="00A07C3C">
        <w:rPr>
          <w:b/>
          <w:sz w:val="22"/>
          <w:szCs w:val="22"/>
        </w:rPr>
        <w:t xml:space="preserve">-DOTA, is it important to work in metal-free conditions? </w:t>
      </w:r>
      <w:proofErr w:type="gramStart"/>
      <w:r w:rsidRPr="00A07C3C">
        <w:rPr>
          <w:b/>
          <w:sz w:val="22"/>
          <w:szCs w:val="22"/>
        </w:rPr>
        <w:t>For example, for the preparation of the ammonium acetate buffer.</w:t>
      </w:r>
      <w:proofErr w:type="gramEnd"/>
    </w:p>
    <w:p w14:paraId="61614194" w14:textId="77777777" w:rsidR="00A07C3C" w:rsidRPr="00A07C3C" w:rsidRDefault="00A07C3C" w:rsidP="00A07C3C">
      <w:pPr>
        <w:rPr>
          <w:sz w:val="22"/>
          <w:szCs w:val="22"/>
        </w:rPr>
      </w:pPr>
    </w:p>
    <w:p w14:paraId="68755239" w14:textId="55DD9883" w:rsidR="00A07C3C" w:rsidRPr="00F340B4" w:rsidRDefault="00EB31C3" w:rsidP="00052C72">
      <w:pPr>
        <w:ind w:firstLine="360"/>
        <w:rPr>
          <w:color w:val="000000" w:themeColor="text1"/>
          <w:sz w:val="22"/>
          <w:szCs w:val="22"/>
        </w:rPr>
      </w:pPr>
      <w:r>
        <w:rPr>
          <w:sz w:val="22"/>
          <w:szCs w:val="22"/>
        </w:rPr>
        <w:t xml:space="preserve">Interestingly, across dozens of radiolabeling experiments, </w:t>
      </w:r>
      <w:r w:rsidR="00A07C3C" w:rsidRPr="00F340B4">
        <w:rPr>
          <w:sz w:val="22"/>
          <w:szCs w:val="22"/>
        </w:rPr>
        <w:t xml:space="preserve">we </w:t>
      </w:r>
      <w:r>
        <w:rPr>
          <w:sz w:val="22"/>
          <w:szCs w:val="22"/>
        </w:rPr>
        <w:t>have found that these procedures do</w:t>
      </w:r>
      <w:r w:rsidR="00A07C3C" w:rsidRPr="00F340B4">
        <w:rPr>
          <w:sz w:val="22"/>
          <w:szCs w:val="22"/>
        </w:rPr>
        <w:t xml:space="preserve"> not require metal-free buffers or solvents.  </w:t>
      </w:r>
      <w:r w:rsidR="00052C72">
        <w:rPr>
          <w:sz w:val="22"/>
          <w:szCs w:val="22"/>
        </w:rPr>
        <w:t xml:space="preserve">At the beginning of Section 5, however, we have noted </w:t>
      </w:r>
      <w:r w:rsidR="00A07C3C" w:rsidRPr="00F340B4">
        <w:rPr>
          <w:sz w:val="22"/>
          <w:szCs w:val="22"/>
        </w:rPr>
        <w:t>that this is a good practice</w:t>
      </w:r>
      <w:r w:rsidR="00052C72">
        <w:rPr>
          <w:sz w:val="22"/>
          <w:szCs w:val="22"/>
        </w:rPr>
        <w:t xml:space="preserve">! </w:t>
      </w:r>
    </w:p>
    <w:p w14:paraId="0581E180" w14:textId="3C8522D2" w:rsidR="00052C72" w:rsidRPr="00052C72" w:rsidRDefault="00052C72" w:rsidP="00052C72">
      <w:pPr>
        <w:rPr>
          <w:b/>
          <w:sz w:val="22"/>
          <w:szCs w:val="22"/>
        </w:rPr>
      </w:pPr>
      <w:r w:rsidRPr="00052C72">
        <w:rPr>
          <w:b/>
          <w:sz w:val="22"/>
          <w:szCs w:val="22"/>
        </w:rPr>
        <w:br/>
        <w:t>Lines 330-332, 5.6: Please explain with more detail the procedure to alter</w:t>
      </w:r>
      <w:r>
        <w:rPr>
          <w:b/>
          <w:sz w:val="22"/>
          <w:szCs w:val="22"/>
        </w:rPr>
        <w:t>natively purify the labeled [</w:t>
      </w:r>
      <w:proofErr w:type="gramStart"/>
      <w:r w:rsidRPr="00052C72">
        <w:rPr>
          <w:b/>
          <w:sz w:val="22"/>
          <w:szCs w:val="22"/>
          <w:vertAlign w:val="superscript"/>
        </w:rPr>
        <w:t>177</w:t>
      </w:r>
      <w:r>
        <w:rPr>
          <w:b/>
          <w:sz w:val="22"/>
          <w:szCs w:val="22"/>
        </w:rPr>
        <w:t>Lu]Lu</w:t>
      </w:r>
      <w:proofErr w:type="gramEnd"/>
      <w:r>
        <w:rPr>
          <w:b/>
          <w:sz w:val="22"/>
          <w:szCs w:val="22"/>
        </w:rPr>
        <w:t>-DOTA-PEG</w:t>
      </w:r>
      <w:r w:rsidRPr="00052C72">
        <w:rPr>
          <w:b/>
          <w:sz w:val="22"/>
          <w:szCs w:val="22"/>
          <w:vertAlign w:val="subscript"/>
        </w:rPr>
        <w:t>7</w:t>
      </w:r>
      <w:r>
        <w:rPr>
          <w:b/>
          <w:sz w:val="22"/>
          <w:szCs w:val="22"/>
        </w:rPr>
        <w:t>-Tz using a C</w:t>
      </w:r>
      <w:r w:rsidRPr="00052C72">
        <w:rPr>
          <w:b/>
          <w:sz w:val="22"/>
          <w:szCs w:val="22"/>
          <w:vertAlign w:val="subscript"/>
        </w:rPr>
        <w:t xml:space="preserve">18 </w:t>
      </w:r>
      <w:r w:rsidRPr="00052C72">
        <w:rPr>
          <w:b/>
          <w:sz w:val="22"/>
          <w:szCs w:val="22"/>
        </w:rPr>
        <w:t>cartridge. The way it is written now is too much simplified.</w:t>
      </w:r>
    </w:p>
    <w:p w14:paraId="476BC12C" w14:textId="77777777" w:rsidR="00052C72" w:rsidRPr="00052C72" w:rsidRDefault="00052C72" w:rsidP="00052C72">
      <w:pPr>
        <w:ind w:firstLine="360"/>
        <w:rPr>
          <w:sz w:val="22"/>
          <w:szCs w:val="22"/>
        </w:rPr>
      </w:pPr>
    </w:p>
    <w:p w14:paraId="62B4A6B1" w14:textId="7762369B" w:rsidR="00052C72" w:rsidRPr="00052C72" w:rsidRDefault="00052C72" w:rsidP="00052C72">
      <w:pPr>
        <w:ind w:firstLine="360"/>
        <w:rPr>
          <w:sz w:val="22"/>
          <w:szCs w:val="22"/>
        </w:rPr>
      </w:pPr>
      <w:r w:rsidRPr="00052C72">
        <w:rPr>
          <w:sz w:val="22"/>
          <w:szCs w:val="22"/>
        </w:rPr>
        <w:t>Thank you for bringing this to our attention! We have now expanded this section to include more detail.</w:t>
      </w:r>
    </w:p>
    <w:p w14:paraId="2647A815" w14:textId="77777777" w:rsidR="00A07C3C" w:rsidRPr="00052C72" w:rsidRDefault="00A07C3C" w:rsidP="002A2058">
      <w:pPr>
        <w:jc w:val="both"/>
        <w:outlineLvl w:val="0"/>
        <w:rPr>
          <w:b/>
          <w:color w:val="000000" w:themeColor="text1"/>
          <w:sz w:val="22"/>
          <w:szCs w:val="22"/>
        </w:rPr>
      </w:pPr>
    </w:p>
    <w:p w14:paraId="0A8536DD" w14:textId="77777777" w:rsidR="00052C72" w:rsidRPr="00052C72" w:rsidRDefault="00052C72" w:rsidP="00052C72">
      <w:pPr>
        <w:rPr>
          <w:b/>
          <w:sz w:val="22"/>
          <w:szCs w:val="22"/>
        </w:rPr>
      </w:pPr>
      <w:r w:rsidRPr="00052C72">
        <w:rPr>
          <w:b/>
          <w:sz w:val="22"/>
          <w:szCs w:val="22"/>
        </w:rPr>
        <w:t>Line 343, 6.1.1: How do you identify the mice in the biodistribution experiment if they do not receive ear tags. You need to know which ones are euthanized at the different time points.</w:t>
      </w:r>
    </w:p>
    <w:p w14:paraId="2D4A5D83" w14:textId="77777777" w:rsidR="00052C72" w:rsidRPr="00052C72" w:rsidRDefault="00052C72" w:rsidP="00052C72">
      <w:pPr>
        <w:rPr>
          <w:sz w:val="22"/>
          <w:szCs w:val="22"/>
        </w:rPr>
      </w:pPr>
    </w:p>
    <w:p w14:paraId="33966FC3" w14:textId="64A16249" w:rsidR="00052C72" w:rsidRPr="00052C72" w:rsidRDefault="00052C72" w:rsidP="00052C72">
      <w:pPr>
        <w:ind w:firstLine="360"/>
        <w:rPr>
          <w:sz w:val="22"/>
          <w:szCs w:val="22"/>
        </w:rPr>
      </w:pPr>
      <w:r w:rsidRPr="00052C72">
        <w:rPr>
          <w:sz w:val="22"/>
          <w:szCs w:val="22"/>
        </w:rPr>
        <w:t>We have now updated this section to include our use of tail markings.</w:t>
      </w:r>
    </w:p>
    <w:p w14:paraId="2885B00B" w14:textId="1631BD91" w:rsidR="00052C72" w:rsidRPr="00052C72" w:rsidRDefault="00052C72" w:rsidP="00052C72">
      <w:pPr>
        <w:jc w:val="both"/>
        <w:rPr>
          <w:b/>
          <w:sz w:val="22"/>
          <w:szCs w:val="22"/>
        </w:rPr>
      </w:pPr>
      <w:r w:rsidRPr="00052C72">
        <w:rPr>
          <w:sz w:val="22"/>
          <w:szCs w:val="22"/>
        </w:rPr>
        <w:br/>
      </w:r>
      <w:r w:rsidRPr="00052C72">
        <w:rPr>
          <w:b/>
          <w:sz w:val="22"/>
          <w:szCs w:val="22"/>
        </w:rPr>
        <w:t>Lines 343-369: Sections 6.1.1 and 6.1.2 contain mostly the same information. The information could be mentioned in one section only, for both biodistribution and therapy studies.</w:t>
      </w:r>
    </w:p>
    <w:p w14:paraId="67B13340" w14:textId="77777777" w:rsidR="00052C72" w:rsidRPr="00052C72" w:rsidRDefault="00052C72" w:rsidP="00052C72">
      <w:pPr>
        <w:jc w:val="both"/>
        <w:rPr>
          <w:sz w:val="22"/>
          <w:szCs w:val="22"/>
        </w:rPr>
      </w:pPr>
    </w:p>
    <w:p w14:paraId="2BBF5F21" w14:textId="0653C260" w:rsidR="00052C72" w:rsidRPr="00052C72" w:rsidRDefault="00052C72" w:rsidP="00052C72">
      <w:pPr>
        <w:ind w:firstLine="360"/>
        <w:jc w:val="both"/>
        <w:rPr>
          <w:sz w:val="22"/>
          <w:szCs w:val="22"/>
        </w:rPr>
      </w:pPr>
      <w:r w:rsidRPr="00052C72">
        <w:rPr>
          <w:sz w:val="22"/>
          <w:szCs w:val="22"/>
        </w:rPr>
        <w:t>We agree that the inclusion of tumor growth information was redundant, and this has been condensed accordingly.  However, we have elected to keep sorting of animals separate for each, as the rigor needed for ensuring highly homogeneous tumor distributions for a therapy experiment is greater than that needed for a biodistribution experiment.</w:t>
      </w:r>
    </w:p>
    <w:p w14:paraId="7CF60282" w14:textId="77777777" w:rsidR="00052C72" w:rsidRPr="00052C72" w:rsidRDefault="00052C72" w:rsidP="00052C72">
      <w:pPr>
        <w:rPr>
          <w:b/>
          <w:sz w:val="22"/>
          <w:szCs w:val="22"/>
        </w:rPr>
      </w:pPr>
      <w:r w:rsidRPr="00052C72">
        <w:rPr>
          <w:b/>
        </w:rPr>
        <w:br/>
      </w:r>
      <w:r w:rsidRPr="00052C72">
        <w:rPr>
          <w:b/>
          <w:sz w:val="22"/>
          <w:szCs w:val="22"/>
        </w:rPr>
        <w:t>Lines 395, 396, </w:t>
      </w:r>
      <w:r w:rsidRPr="00052C72">
        <w:fldChar w:fldCharType="begin"/>
      </w:r>
      <w:r w:rsidRPr="00052C72">
        <w:rPr>
          <w:b/>
          <w:sz w:val="22"/>
          <w:szCs w:val="22"/>
        </w:rPr>
        <w:instrText xml:space="preserve"> HYPERLINK "http://6.2.1.2/" \t "_blank" </w:instrText>
      </w:r>
      <w:r w:rsidRPr="00052C72">
        <w:fldChar w:fldCharType="separate"/>
      </w:r>
      <w:r w:rsidRPr="00052C72">
        <w:rPr>
          <w:rStyle w:val="Hyperlink"/>
          <w:b/>
          <w:sz w:val="22"/>
          <w:szCs w:val="22"/>
        </w:rPr>
        <w:t>6.2.1.2</w:t>
      </w:r>
      <w:r w:rsidRPr="00052C72">
        <w:rPr>
          <w:rStyle w:val="Hyperlink"/>
          <w:b/>
          <w:sz w:val="22"/>
          <w:szCs w:val="22"/>
        </w:rPr>
        <w:fldChar w:fldCharType="end"/>
      </w:r>
      <w:r w:rsidRPr="00052C72">
        <w:rPr>
          <w:b/>
          <w:sz w:val="22"/>
          <w:szCs w:val="22"/>
        </w:rPr>
        <w:t>: Is this a critical step? Is it to prevent aggregation? Please clarify.</w:t>
      </w:r>
    </w:p>
    <w:p w14:paraId="049F39C3" w14:textId="77777777" w:rsidR="00052C72" w:rsidRPr="00052C72" w:rsidRDefault="00052C72" w:rsidP="00052C72">
      <w:pPr>
        <w:rPr>
          <w:sz w:val="22"/>
          <w:szCs w:val="22"/>
        </w:rPr>
      </w:pPr>
    </w:p>
    <w:p w14:paraId="04CB4192" w14:textId="368EC98F" w:rsidR="00052C72" w:rsidRPr="00052C72" w:rsidRDefault="00052C72" w:rsidP="00052C72">
      <w:pPr>
        <w:ind w:firstLine="360"/>
        <w:rPr>
          <w:sz w:val="22"/>
          <w:szCs w:val="22"/>
        </w:rPr>
      </w:pPr>
      <w:r>
        <w:rPr>
          <w:sz w:val="22"/>
          <w:szCs w:val="22"/>
        </w:rPr>
        <w:t xml:space="preserve">We have added the following clarification: </w:t>
      </w:r>
      <w:r w:rsidRPr="00052C72">
        <w:rPr>
          <w:sz w:val="22"/>
          <w:szCs w:val="22"/>
        </w:rPr>
        <w:t>“</w:t>
      </w:r>
      <w:r w:rsidRPr="00052C72">
        <w:rPr>
          <w:i/>
          <w:color w:val="660066"/>
          <w:sz w:val="22"/>
          <w:szCs w:val="22"/>
        </w:rPr>
        <w:t>NOTE: PBS treatment is necessary to prevent nonspecific binding of the antibody to the walls of the syringe.”</w:t>
      </w:r>
    </w:p>
    <w:p w14:paraId="3B156FCB" w14:textId="4B6BAD12" w:rsidR="00052C72" w:rsidRPr="00052C72" w:rsidRDefault="00052C72" w:rsidP="00052C72">
      <w:pPr>
        <w:jc w:val="both"/>
        <w:rPr>
          <w:b/>
          <w:sz w:val="22"/>
          <w:szCs w:val="22"/>
        </w:rPr>
      </w:pPr>
      <w:r w:rsidRPr="0050615B">
        <w:br/>
      </w:r>
      <w:r w:rsidRPr="00052C72">
        <w:rPr>
          <w:b/>
          <w:sz w:val="22"/>
          <w:szCs w:val="22"/>
        </w:rPr>
        <w:t xml:space="preserve">Line 405, 6.2.2: This section is lacking the description of the use of controls. I can see in Figures 6 and 7 (huA33-TCO only and radioligand only controls) that you have used them. Therefore, these should also be mentioned in the text as well. Did you consider using a </w:t>
      </w:r>
      <w:proofErr w:type="gramStart"/>
      <w:r w:rsidRPr="00052C72">
        <w:rPr>
          <w:b/>
          <w:sz w:val="22"/>
          <w:szCs w:val="22"/>
        </w:rPr>
        <w:t>tumor which</w:t>
      </w:r>
      <w:proofErr w:type="gramEnd"/>
      <w:r w:rsidRPr="00052C72">
        <w:rPr>
          <w:b/>
          <w:sz w:val="22"/>
          <w:szCs w:val="22"/>
        </w:rPr>
        <w:t xml:space="preserve"> does not express A33 or only expresses it at low levels as negative control?</w:t>
      </w:r>
      <w:r>
        <w:rPr>
          <w:b/>
          <w:sz w:val="22"/>
          <w:szCs w:val="22"/>
        </w:rPr>
        <w:t xml:space="preserve"> </w:t>
      </w:r>
      <w:r w:rsidRPr="00052C72">
        <w:rPr>
          <w:b/>
          <w:sz w:val="22"/>
          <w:szCs w:val="22"/>
        </w:rPr>
        <w:t>It is not clear to me if the mAb is also injected in the biodistribution experiment. Please specify what is the injection sequence for the biodistribution experiment and the therapy study.</w:t>
      </w:r>
    </w:p>
    <w:p w14:paraId="366DF652" w14:textId="77777777" w:rsidR="00052C72" w:rsidRPr="00052C72" w:rsidRDefault="00052C72" w:rsidP="00052C72">
      <w:pPr>
        <w:rPr>
          <w:sz w:val="22"/>
          <w:szCs w:val="22"/>
        </w:rPr>
      </w:pPr>
    </w:p>
    <w:p w14:paraId="406E84CE" w14:textId="7CDB5BEF" w:rsidR="00052C72" w:rsidRDefault="00052C72" w:rsidP="00052C72">
      <w:pPr>
        <w:ind w:firstLine="360"/>
        <w:rPr>
          <w:sz w:val="22"/>
          <w:szCs w:val="22"/>
        </w:rPr>
      </w:pPr>
      <w:r w:rsidRPr="00052C72">
        <w:rPr>
          <w:sz w:val="22"/>
          <w:szCs w:val="22"/>
        </w:rPr>
        <w:t xml:space="preserve">To address the reviewer’s </w:t>
      </w:r>
      <w:r>
        <w:rPr>
          <w:sz w:val="22"/>
          <w:szCs w:val="22"/>
        </w:rPr>
        <w:t xml:space="preserve">excellent </w:t>
      </w:r>
      <w:r w:rsidRPr="00052C72">
        <w:rPr>
          <w:sz w:val="22"/>
          <w:szCs w:val="22"/>
        </w:rPr>
        <w:t>points in order:</w:t>
      </w:r>
    </w:p>
    <w:p w14:paraId="29B2EDE7" w14:textId="77777777" w:rsidR="00052C72" w:rsidRPr="00052C72" w:rsidRDefault="00052C72" w:rsidP="00052C72">
      <w:pPr>
        <w:ind w:firstLine="360"/>
        <w:jc w:val="both"/>
        <w:rPr>
          <w:sz w:val="22"/>
          <w:szCs w:val="22"/>
        </w:rPr>
      </w:pPr>
    </w:p>
    <w:p w14:paraId="209DE584" w14:textId="0258A8F1" w:rsidR="00052C72" w:rsidRPr="00052C72" w:rsidRDefault="00052C72" w:rsidP="00052C72">
      <w:pPr>
        <w:pStyle w:val="ListParagraph"/>
        <w:numPr>
          <w:ilvl w:val="0"/>
          <w:numId w:val="13"/>
        </w:numPr>
        <w:spacing w:after="160" w:line="259" w:lineRule="auto"/>
        <w:jc w:val="both"/>
        <w:rPr>
          <w:rFonts w:ascii="Times New Roman" w:hAnsi="Times New Roman"/>
        </w:rPr>
      </w:pPr>
      <w:r w:rsidRPr="00052C72">
        <w:rPr>
          <w:rFonts w:ascii="Times New Roman" w:hAnsi="Times New Roman"/>
        </w:rPr>
        <w:t>We have added the following passage following Line 768: “</w:t>
      </w:r>
      <w:r w:rsidRPr="00052C72">
        <w:rPr>
          <w:rFonts w:ascii="Times New Roman" w:hAnsi="Times New Roman"/>
          <w:i/>
          <w:color w:val="660066"/>
        </w:rPr>
        <w:t>It is also recommended that appropriate controls be run in tandem, including but not limited to the use of an antigen-negative cell lines, antigen blocking with an excess of unconjugated antibody, and the injection of isotype control immunoconjugates to determine non-specific accumulation at the tumor.</w:t>
      </w:r>
      <w:r w:rsidRPr="00052C72">
        <w:rPr>
          <w:rFonts w:ascii="Times New Roman" w:hAnsi="Times New Roman"/>
        </w:rPr>
        <w:t>”  We have also added emphasis to the use of key controls for the therapy study in Line 533.</w:t>
      </w:r>
    </w:p>
    <w:p w14:paraId="3C15A9E2" w14:textId="5BA7F36B" w:rsidR="00052C72" w:rsidRPr="00052C72" w:rsidRDefault="00052C72" w:rsidP="00052C72">
      <w:pPr>
        <w:pStyle w:val="ListParagraph"/>
        <w:numPr>
          <w:ilvl w:val="0"/>
          <w:numId w:val="13"/>
        </w:numPr>
        <w:spacing w:after="160" w:line="259" w:lineRule="auto"/>
        <w:jc w:val="both"/>
        <w:rPr>
          <w:rFonts w:ascii="Times New Roman" w:hAnsi="Times New Roman"/>
        </w:rPr>
      </w:pPr>
      <w:r w:rsidRPr="00052C72">
        <w:rPr>
          <w:rFonts w:ascii="Times New Roman" w:hAnsi="Times New Roman"/>
        </w:rPr>
        <w:t xml:space="preserve">Comparisons with an A33 negative cell </w:t>
      </w:r>
      <w:r>
        <w:rPr>
          <w:rFonts w:ascii="Times New Roman" w:hAnsi="Times New Roman"/>
        </w:rPr>
        <w:t>line have been investigated in</w:t>
      </w:r>
      <w:r w:rsidRPr="00052C72">
        <w:rPr>
          <w:rFonts w:ascii="Times New Roman" w:hAnsi="Times New Roman"/>
        </w:rPr>
        <w:t xml:space="preserve"> previously published</w:t>
      </w:r>
      <w:r>
        <w:rPr>
          <w:rFonts w:ascii="Times New Roman" w:hAnsi="Times New Roman"/>
        </w:rPr>
        <w:t xml:space="preserve"> work</w:t>
      </w:r>
      <w:r w:rsidRPr="00052C72">
        <w:rPr>
          <w:rFonts w:ascii="Times New Roman" w:hAnsi="Times New Roman"/>
        </w:rPr>
        <w:t>.  Interestingly, comparing different cell lines in an experiment like this would be quite difficult</w:t>
      </w:r>
      <w:r>
        <w:rPr>
          <w:rFonts w:ascii="Times New Roman" w:hAnsi="Times New Roman"/>
        </w:rPr>
        <w:t>,</w:t>
      </w:r>
      <w:r w:rsidRPr="00052C72">
        <w:rPr>
          <w:rFonts w:ascii="Times New Roman" w:hAnsi="Times New Roman"/>
        </w:rPr>
        <w:t xml:space="preserve"> as they would likely have different growth rates, morphology, and responses to therapy.  A blocking study could certainly be an option, but </w:t>
      </w:r>
      <w:r>
        <w:rPr>
          <w:rFonts w:ascii="Times New Roman" w:hAnsi="Times New Roman"/>
        </w:rPr>
        <w:t xml:space="preserve">it </w:t>
      </w:r>
      <w:r w:rsidRPr="00052C72">
        <w:rPr>
          <w:rFonts w:ascii="Times New Roman" w:hAnsi="Times New Roman"/>
        </w:rPr>
        <w:t>would be much easier to run as a</w:t>
      </w:r>
      <w:r>
        <w:rPr>
          <w:rFonts w:ascii="Times New Roman" w:hAnsi="Times New Roman"/>
        </w:rPr>
        <w:t xml:space="preserve"> part of a</w:t>
      </w:r>
      <w:r w:rsidRPr="00052C72">
        <w:rPr>
          <w:rFonts w:ascii="Times New Roman" w:hAnsi="Times New Roman"/>
        </w:rPr>
        <w:t xml:space="preserve"> biodistribution</w:t>
      </w:r>
      <w:r>
        <w:rPr>
          <w:rFonts w:ascii="Times New Roman" w:hAnsi="Times New Roman"/>
        </w:rPr>
        <w:t xml:space="preserve"> experiment</w:t>
      </w:r>
      <w:r w:rsidRPr="00052C72">
        <w:rPr>
          <w:rFonts w:ascii="Times New Roman" w:hAnsi="Times New Roman"/>
        </w:rPr>
        <w:t>.</w:t>
      </w:r>
    </w:p>
    <w:p w14:paraId="51E8019D" w14:textId="211957F0" w:rsidR="00052C72" w:rsidRPr="00052C72" w:rsidRDefault="001B5105" w:rsidP="00052C72">
      <w:pPr>
        <w:pStyle w:val="ListParagraph"/>
        <w:numPr>
          <w:ilvl w:val="0"/>
          <w:numId w:val="13"/>
        </w:numPr>
        <w:spacing w:after="160" w:line="259" w:lineRule="auto"/>
        <w:jc w:val="both"/>
        <w:rPr>
          <w:rFonts w:ascii="Times New Roman" w:hAnsi="Times New Roman"/>
        </w:rPr>
      </w:pPr>
      <w:r>
        <w:rPr>
          <w:rFonts w:ascii="Times New Roman" w:hAnsi="Times New Roman"/>
        </w:rPr>
        <w:t>The sequence of injections has now been addressed</w:t>
      </w:r>
      <w:r w:rsidR="00052C72" w:rsidRPr="00052C72">
        <w:rPr>
          <w:rFonts w:ascii="Times New Roman" w:hAnsi="Times New Roman"/>
        </w:rPr>
        <w:t xml:space="preserve"> in Section 6.2 “</w:t>
      </w:r>
      <w:r w:rsidR="00052C72" w:rsidRPr="001B5105">
        <w:rPr>
          <w:rFonts w:ascii="Times New Roman" w:hAnsi="Times New Roman"/>
          <w:i/>
          <w:color w:val="660066"/>
        </w:rPr>
        <w:t>NOTE: The sequence of injection</w:t>
      </w:r>
      <w:r w:rsidRPr="001B5105">
        <w:rPr>
          <w:rFonts w:ascii="Times New Roman" w:hAnsi="Times New Roman"/>
          <w:i/>
          <w:color w:val="660066"/>
        </w:rPr>
        <w:t>s</w:t>
      </w:r>
      <w:r w:rsidR="00052C72" w:rsidRPr="001B5105">
        <w:rPr>
          <w:rFonts w:ascii="Times New Roman" w:hAnsi="Times New Roman"/>
          <w:i/>
          <w:color w:val="660066"/>
        </w:rPr>
        <w:t xml:space="preserve"> for both biodistribution </w:t>
      </w:r>
      <w:r w:rsidRPr="001B5105">
        <w:rPr>
          <w:rFonts w:ascii="Times New Roman" w:hAnsi="Times New Roman"/>
          <w:i/>
          <w:color w:val="660066"/>
        </w:rPr>
        <w:t xml:space="preserve">experiments </w:t>
      </w:r>
      <w:r w:rsidR="00052C72" w:rsidRPr="001B5105">
        <w:rPr>
          <w:rFonts w:ascii="Times New Roman" w:hAnsi="Times New Roman"/>
          <w:i/>
          <w:color w:val="660066"/>
        </w:rPr>
        <w:t>and ther</w:t>
      </w:r>
      <w:r w:rsidRPr="001B5105">
        <w:rPr>
          <w:rFonts w:ascii="Times New Roman" w:hAnsi="Times New Roman"/>
          <w:i/>
          <w:color w:val="660066"/>
        </w:rPr>
        <w:t>apy studies proceeds as follows:</w:t>
      </w:r>
      <w:r w:rsidR="00052C72" w:rsidRPr="001B5105">
        <w:rPr>
          <w:rFonts w:ascii="Times New Roman" w:hAnsi="Times New Roman"/>
          <w:i/>
          <w:color w:val="660066"/>
        </w:rPr>
        <w:t xml:space="preserve"> </w:t>
      </w:r>
      <w:r w:rsidRPr="001B5105">
        <w:rPr>
          <w:rFonts w:ascii="Times New Roman" w:hAnsi="Times New Roman"/>
          <w:i/>
          <w:color w:val="660066"/>
        </w:rPr>
        <w:t xml:space="preserve">huA33-TCO is injected first, followed by </w:t>
      </w:r>
      <w:r w:rsidR="00052C72" w:rsidRPr="001B5105">
        <w:rPr>
          <w:rFonts w:ascii="Times New Roman" w:hAnsi="Times New Roman"/>
          <w:i/>
          <w:color w:val="660066"/>
        </w:rPr>
        <w:t>[</w:t>
      </w:r>
      <w:proofErr w:type="gramStart"/>
      <w:r w:rsidR="00052C72" w:rsidRPr="001B5105">
        <w:rPr>
          <w:rFonts w:ascii="Times New Roman" w:hAnsi="Times New Roman"/>
          <w:i/>
          <w:color w:val="660066"/>
          <w:vertAlign w:val="superscript"/>
        </w:rPr>
        <w:t>177</w:t>
      </w:r>
      <w:r w:rsidR="00052C72" w:rsidRPr="001B5105">
        <w:rPr>
          <w:rFonts w:ascii="Times New Roman" w:hAnsi="Times New Roman"/>
          <w:i/>
          <w:color w:val="660066"/>
        </w:rPr>
        <w:t>Lu]Lu</w:t>
      </w:r>
      <w:proofErr w:type="gramEnd"/>
      <w:r w:rsidR="00052C72" w:rsidRPr="001B5105">
        <w:rPr>
          <w:rFonts w:ascii="Times New Roman" w:hAnsi="Times New Roman"/>
          <w:i/>
          <w:color w:val="660066"/>
        </w:rPr>
        <w:t>-DOTA-PEG</w:t>
      </w:r>
      <w:r w:rsidR="00052C72" w:rsidRPr="001B5105">
        <w:rPr>
          <w:rFonts w:ascii="Times New Roman" w:hAnsi="Times New Roman"/>
          <w:i/>
          <w:color w:val="660066"/>
          <w:vertAlign w:val="subscript"/>
        </w:rPr>
        <w:t>7</w:t>
      </w:r>
      <w:r w:rsidR="00052C72" w:rsidRPr="001B5105">
        <w:rPr>
          <w:rFonts w:ascii="Times New Roman" w:hAnsi="Times New Roman"/>
          <w:i/>
          <w:color w:val="660066"/>
        </w:rPr>
        <w:t xml:space="preserve">-Tz </w:t>
      </w:r>
      <w:r w:rsidRPr="001B5105">
        <w:rPr>
          <w:rFonts w:ascii="Times New Roman" w:hAnsi="Times New Roman"/>
          <w:i/>
          <w:color w:val="660066"/>
        </w:rPr>
        <w:t>after a</w:t>
      </w:r>
      <w:r w:rsidR="00052C72" w:rsidRPr="001B5105">
        <w:rPr>
          <w:rFonts w:ascii="Times New Roman" w:hAnsi="Times New Roman"/>
          <w:i/>
          <w:color w:val="660066"/>
        </w:rPr>
        <w:t xml:space="preserve"> pr</w:t>
      </w:r>
      <w:r w:rsidRPr="001B5105">
        <w:rPr>
          <w:rFonts w:ascii="Times New Roman" w:hAnsi="Times New Roman"/>
          <w:i/>
          <w:color w:val="660066"/>
        </w:rPr>
        <w:t xml:space="preserve">edetermined </w:t>
      </w:r>
      <w:r w:rsidR="00052C72" w:rsidRPr="001B5105">
        <w:rPr>
          <w:rFonts w:ascii="Times New Roman" w:hAnsi="Times New Roman"/>
          <w:i/>
          <w:color w:val="660066"/>
        </w:rPr>
        <w:t>interval.”</w:t>
      </w:r>
    </w:p>
    <w:p w14:paraId="0F48E3C6" w14:textId="77777777" w:rsidR="00A07C3C" w:rsidRDefault="00A07C3C" w:rsidP="002A2058">
      <w:pPr>
        <w:jc w:val="both"/>
        <w:outlineLvl w:val="0"/>
        <w:rPr>
          <w:color w:val="000000" w:themeColor="text1"/>
          <w:sz w:val="22"/>
          <w:szCs w:val="22"/>
        </w:rPr>
      </w:pPr>
    </w:p>
    <w:p w14:paraId="0EFD2C17" w14:textId="77777777" w:rsidR="00832102" w:rsidRPr="00832102" w:rsidRDefault="00832102" w:rsidP="00832102">
      <w:pPr>
        <w:jc w:val="both"/>
        <w:rPr>
          <w:b/>
          <w:sz w:val="22"/>
          <w:szCs w:val="22"/>
        </w:rPr>
      </w:pPr>
      <w:r w:rsidRPr="0050615B">
        <w:br/>
      </w:r>
      <w:r w:rsidRPr="00832102">
        <w:rPr>
          <w:b/>
          <w:sz w:val="22"/>
          <w:szCs w:val="22"/>
        </w:rPr>
        <w:t>Line 431, 6.3.2: How and when is the blood collected? Is it using cardiac puncture? Is it before the mouse is euthanized? Please specify.</w:t>
      </w:r>
    </w:p>
    <w:p w14:paraId="55FFCEBE" w14:textId="77777777" w:rsidR="00832102" w:rsidRPr="00832102" w:rsidRDefault="00832102" w:rsidP="00832102">
      <w:pPr>
        <w:ind w:firstLine="360"/>
        <w:jc w:val="both"/>
        <w:rPr>
          <w:sz w:val="22"/>
          <w:szCs w:val="22"/>
        </w:rPr>
      </w:pPr>
    </w:p>
    <w:p w14:paraId="219115D8" w14:textId="2F4E2C52" w:rsidR="00832102" w:rsidRPr="00832102" w:rsidRDefault="00832102" w:rsidP="00832102">
      <w:pPr>
        <w:ind w:firstLine="360"/>
        <w:jc w:val="both"/>
        <w:rPr>
          <w:sz w:val="22"/>
          <w:szCs w:val="22"/>
        </w:rPr>
      </w:pPr>
      <w:r w:rsidRPr="00832102">
        <w:rPr>
          <w:sz w:val="22"/>
          <w:szCs w:val="22"/>
        </w:rPr>
        <w:t xml:space="preserve">We have added “post-euthanasia” to remove </w:t>
      </w:r>
      <w:r>
        <w:rPr>
          <w:sz w:val="22"/>
          <w:szCs w:val="22"/>
        </w:rPr>
        <w:t xml:space="preserve">any </w:t>
      </w:r>
      <w:r w:rsidRPr="00832102">
        <w:rPr>
          <w:sz w:val="22"/>
          <w:szCs w:val="22"/>
        </w:rPr>
        <w:t xml:space="preserve">confusion.  The exact method will be left to the reader based on institutional </w:t>
      </w:r>
      <w:r>
        <w:rPr>
          <w:sz w:val="22"/>
          <w:szCs w:val="22"/>
        </w:rPr>
        <w:t xml:space="preserve">guidelines </w:t>
      </w:r>
      <w:r w:rsidRPr="00832102">
        <w:rPr>
          <w:sz w:val="22"/>
          <w:szCs w:val="22"/>
        </w:rPr>
        <w:t>and group-specific methodologies.</w:t>
      </w:r>
    </w:p>
    <w:p w14:paraId="52DA23BA" w14:textId="77777777" w:rsidR="00832102" w:rsidRPr="00832102" w:rsidRDefault="00832102" w:rsidP="00832102">
      <w:pPr>
        <w:jc w:val="both"/>
        <w:rPr>
          <w:b/>
          <w:sz w:val="22"/>
          <w:szCs w:val="22"/>
        </w:rPr>
      </w:pPr>
      <w:r w:rsidRPr="00832102">
        <w:rPr>
          <w:b/>
          <w:sz w:val="22"/>
          <w:szCs w:val="22"/>
        </w:rPr>
        <w:br/>
        <w:t>A data analysis section is missing on the "PROTOCOL" section. Statistical analysis methods should also be specified.</w:t>
      </w:r>
    </w:p>
    <w:p w14:paraId="3DA7D038" w14:textId="77777777" w:rsidR="00832102" w:rsidRPr="00EB1856" w:rsidRDefault="00832102" w:rsidP="00EB1856">
      <w:pPr>
        <w:ind w:firstLine="360"/>
        <w:jc w:val="both"/>
        <w:rPr>
          <w:sz w:val="22"/>
          <w:szCs w:val="22"/>
        </w:rPr>
      </w:pPr>
    </w:p>
    <w:p w14:paraId="731B268B" w14:textId="56189DF3" w:rsidR="00A07C3C" w:rsidRPr="00EB1856" w:rsidRDefault="00832102" w:rsidP="00EB1856">
      <w:pPr>
        <w:ind w:firstLine="360"/>
        <w:jc w:val="both"/>
        <w:rPr>
          <w:sz w:val="22"/>
          <w:szCs w:val="22"/>
        </w:rPr>
      </w:pPr>
      <w:r w:rsidRPr="00EB1856">
        <w:rPr>
          <w:sz w:val="22"/>
          <w:szCs w:val="22"/>
        </w:rPr>
        <w:t>While we have not added a data analysis section, we have included additional steps in the protocol (6.4.4 and</w:t>
      </w:r>
      <w:r w:rsidR="00EB1856" w:rsidRPr="00EB1856">
        <w:rPr>
          <w:sz w:val="22"/>
          <w:szCs w:val="22"/>
        </w:rPr>
        <w:t xml:space="preserve"> 6.3.5) with suggestions on the</w:t>
      </w:r>
      <w:r w:rsidRPr="00EB1856">
        <w:rPr>
          <w:sz w:val="22"/>
          <w:szCs w:val="22"/>
        </w:rPr>
        <w:t xml:space="preserve"> presentation </w:t>
      </w:r>
      <w:r w:rsidR="00EB1856" w:rsidRPr="00EB1856">
        <w:rPr>
          <w:sz w:val="22"/>
          <w:szCs w:val="22"/>
        </w:rPr>
        <w:t xml:space="preserve">of data as well as </w:t>
      </w:r>
      <w:r w:rsidRPr="00EB1856">
        <w:rPr>
          <w:sz w:val="22"/>
          <w:szCs w:val="22"/>
        </w:rPr>
        <w:t>basic statistical tests that can be utilized.  In addition</w:t>
      </w:r>
      <w:r w:rsidR="00EB1856" w:rsidRPr="00EB1856">
        <w:rPr>
          <w:sz w:val="22"/>
          <w:szCs w:val="22"/>
        </w:rPr>
        <w:t>, the “Representative R</w:t>
      </w:r>
      <w:r w:rsidRPr="00EB1856">
        <w:rPr>
          <w:sz w:val="22"/>
          <w:szCs w:val="22"/>
        </w:rPr>
        <w:t xml:space="preserve">esults” should give readers </w:t>
      </w:r>
      <w:r w:rsidR="00EB1856" w:rsidRPr="00EB1856">
        <w:rPr>
          <w:sz w:val="22"/>
          <w:szCs w:val="22"/>
        </w:rPr>
        <w:t xml:space="preserve">an </w:t>
      </w:r>
      <w:r w:rsidRPr="00EB1856">
        <w:rPr>
          <w:sz w:val="22"/>
          <w:szCs w:val="22"/>
        </w:rPr>
        <w:t>appropriate level of initial guidance in their analysis.</w:t>
      </w:r>
    </w:p>
    <w:p w14:paraId="4B308573" w14:textId="77777777" w:rsidR="00EB1856" w:rsidRPr="00EB1856" w:rsidRDefault="00EB1856" w:rsidP="00EB1856">
      <w:pPr>
        <w:jc w:val="both"/>
        <w:rPr>
          <w:b/>
          <w:sz w:val="22"/>
          <w:szCs w:val="22"/>
        </w:rPr>
      </w:pPr>
      <w:r w:rsidRPr="00EB1856">
        <w:rPr>
          <w:sz w:val="22"/>
          <w:szCs w:val="22"/>
        </w:rPr>
        <w:br/>
      </w:r>
      <w:r w:rsidRPr="00EB1856">
        <w:rPr>
          <w:b/>
          <w:sz w:val="22"/>
          <w:szCs w:val="22"/>
        </w:rPr>
        <w:t xml:space="preserve">As </w:t>
      </w:r>
      <w:r w:rsidRPr="00EB1856">
        <w:rPr>
          <w:b/>
          <w:sz w:val="22"/>
          <w:szCs w:val="22"/>
          <w:vertAlign w:val="superscript"/>
        </w:rPr>
        <w:t>177</w:t>
      </w:r>
      <w:r w:rsidRPr="00EB1856">
        <w:rPr>
          <w:b/>
          <w:sz w:val="22"/>
          <w:szCs w:val="22"/>
        </w:rPr>
        <w:t>Lu can be used for SPECT imaging, together with biodistribution experiments, radiation dosimetry for this radiotracer could be determined. Why was this not performed?</w:t>
      </w:r>
    </w:p>
    <w:p w14:paraId="04091B19" w14:textId="77777777" w:rsidR="00EB1856" w:rsidRPr="00EB1856" w:rsidRDefault="00EB1856" w:rsidP="00EB1856">
      <w:pPr>
        <w:jc w:val="both"/>
        <w:rPr>
          <w:sz w:val="22"/>
          <w:szCs w:val="22"/>
        </w:rPr>
      </w:pPr>
    </w:p>
    <w:p w14:paraId="1F7C7109" w14:textId="287F5248" w:rsidR="00EB1856" w:rsidRPr="00EB1856" w:rsidRDefault="00EB1856" w:rsidP="00EB1856">
      <w:pPr>
        <w:ind w:firstLine="360"/>
        <w:jc w:val="both"/>
        <w:rPr>
          <w:sz w:val="22"/>
          <w:szCs w:val="22"/>
        </w:rPr>
      </w:pPr>
      <w:r w:rsidRPr="00EB1856">
        <w:rPr>
          <w:sz w:val="22"/>
          <w:szCs w:val="22"/>
        </w:rPr>
        <w:t xml:space="preserve">Radiation dosimetry was calculated from biodistribution experiments and published in </w:t>
      </w:r>
      <w:r>
        <w:rPr>
          <w:sz w:val="22"/>
          <w:szCs w:val="22"/>
        </w:rPr>
        <w:t xml:space="preserve">our </w:t>
      </w:r>
      <w:r w:rsidRPr="00EB1856">
        <w:rPr>
          <w:i/>
          <w:sz w:val="22"/>
          <w:szCs w:val="22"/>
        </w:rPr>
        <w:t>Molecular Pharmaceutics</w:t>
      </w:r>
      <w:r w:rsidRPr="00EB1856">
        <w:rPr>
          <w:sz w:val="22"/>
          <w:szCs w:val="22"/>
        </w:rPr>
        <w:t xml:space="preserve"> </w:t>
      </w:r>
      <w:r>
        <w:rPr>
          <w:sz w:val="22"/>
          <w:szCs w:val="22"/>
        </w:rPr>
        <w:t xml:space="preserve">manuscript! </w:t>
      </w:r>
      <w:r w:rsidRPr="00EB1856">
        <w:rPr>
          <w:sz w:val="22"/>
          <w:szCs w:val="22"/>
        </w:rPr>
        <w:t xml:space="preserve"> The da</w:t>
      </w:r>
      <w:r>
        <w:rPr>
          <w:sz w:val="22"/>
          <w:szCs w:val="22"/>
        </w:rPr>
        <w:t>ta was not included in this</w:t>
      </w:r>
      <w:r w:rsidRPr="00EB1856">
        <w:rPr>
          <w:sz w:val="22"/>
          <w:szCs w:val="22"/>
        </w:rPr>
        <w:t xml:space="preserve"> protocol</w:t>
      </w:r>
      <w:r>
        <w:rPr>
          <w:sz w:val="22"/>
          <w:szCs w:val="22"/>
        </w:rPr>
        <w:t>,</w:t>
      </w:r>
      <w:r w:rsidRPr="00EB1856">
        <w:rPr>
          <w:sz w:val="22"/>
          <w:szCs w:val="22"/>
        </w:rPr>
        <w:t xml:space="preserve"> as its c</w:t>
      </w:r>
      <w:r>
        <w:rPr>
          <w:sz w:val="22"/>
          <w:szCs w:val="22"/>
        </w:rPr>
        <w:t>alculation was deemed beyond the</w:t>
      </w:r>
      <w:r w:rsidRPr="00EB1856">
        <w:rPr>
          <w:sz w:val="22"/>
          <w:szCs w:val="22"/>
        </w:rPr>
        <w:t xml:space="preserve"> scope</w:t>
      </w:r>
      <w:r>
        <w:rPr>
          <w:sz w:val="22"/>
          <w:szCs w:val="22"/>
        </w:rPr>
        <w:t xml:space="preserve"> of this work</w:t>
      </w:r>
      <w:r w:rsidRPr="00EB1856">
        <w:rPr>
          <w:sz w:val="22"/>
          <w:szCs w:val="22"/>
        </w:rPr>
        <w:t>.</w:t>
      </w:r>
    </w:p>
    <w:p w14:paraId="41CE6AF6" w14:textId="77777777" w:rsidR="00EB1856" w:rsidRPr="00EB1856" w:rsidRDefault="00EB1856" w:rsidP="00EB1856">
      <w:pPr>
        <w:jc w:val="both"/>
        <w:rPr>
          <w:b/>
          <w:sz w:val="22"/>
          <w:szCs w:val="22"/>
        </w:rPr>
      </w:pPr>
      <w:r w:rsidRPr="00EB1856">
        <w:rPr>
          <w:sz w:val="22"/>
          <w:szCs w:val="22"/>
        </w:rPr>
        <w:br/>
      </w:r>
      <w:r w:rsidRPr="00EB1856">
        <w:rPr>
          <w:b/>
          <w:sz w:val="22"/>
          <w:szCs w:val="22"/>
        </w:rPr>
        <w:t>Line 489: According to the latest nomenclature rules for radiotracers (</w:t>
      </w:r>
      <w:proofErr w:type="spellStart"/>
      <w:r w:rsidRPr="00EB1856">
        <w:rPr>
          <w:b/>
          <w:sz w:val="22"/>
          <w:szCs w:val="22"/>
        </w:rPr>
        <w:t>cfr</w:t>
      </w:r>
      <w:proofErr w:type="spellEnd"/>
      <w:r w:rsidRPr="00EB1856">
        <w:rPr>
          <w:b/>
          <w:sz w:val="22"/>
          <w:szCs w:val="22"/>
        </w:rPr>
        <w:t xml:space="preserve">. </w:t>
      </w:r>
      <w:proofErr w:type="spellStart"/>
      <w:proofErr w:type="gramStart"/>
      <w:r w:rsidRPr="00EB1856">
        <w:rPr>
          <w:b/>
          <w:sz w:val="22"/>
          <w:szCs w:val="22"/>
        </w:rPr>
        <w:t>Coenen</w:t>
      </w:r>
      <w:proofErr w:type="spellEnd"/>
      <w:r w:rsidRPr="00EB1856">
        <w:rPr>
          <w:b/>
          <w:sz w:val="22"/>
          <w:szCs w:val="22"/>
        </w:rPr>
        <w:t xml:space="preserve"> et al., 2017.</w:t>
      </w:r>
      <w:proofErr w:type="gramEnd"/>
      <w:r w:rsidRPr="00EB1856">
        <w:rPr>
          <w:b/>
          <w:sz w:val="22"/>
          <w:szCs w:val="22"/>
        </w:rPr>
        <w:t xml:space="preserve"> Nuclear Medicine and Biology. Consensus nomenclature rules for radiopharmaceutical chemistry — Setting the record straight.) </w:t>
      </w:r>
      <w:proofErr w:type="gramStart"/>
      <w:r w:rsidRPr="00EB1856">
        <w:rPr>
          <w:b/>
          <w:sz w:val="22"/>
          <w:szCs w:val="22"/>
        </w:rPr>
        <w:t>instead</w:t>
      </w:r>
      <w:proofErr w:type="gramEnd"/>
      <w:r w:rsidRPr="00EB1856">
        <w:rPr>
          <w:b/>
          <w:sz w:val="22"/>
          <w:szCs w:val="22"/>
        </w:rPr>
        <w:t xml:space="preserve"> of "specific activity", molar activity should be mentioned on the text since it is the measured radioactivity per mole of compound. Please reformulate this here and in the different parts of the text where "specific activity" is mentioned.</w:t>
      </w:r>
    </w:p>
    <w:p w14:paraId="04BDDF9E" w14:textId="77777777" w:rsidR="00EB1856" w:rsidRPr="00EB1856" w:rsidRDefault="00EB1856" w:rsidP="00EB1856">
      <w:pPr>
        <w:jc w:val="both"/>
        <w:rPr>
          <w:sz w:val="22"/>
          <w:szCs w:val="22"/>
        </w:rPr>
      </w:pPr>
    </w:p>
    <w:p w14:paraId="50EF8CA1" w14:textId="242BA7C2" w:rsidR="00A07C3C" w:rsidRPr="00EB1856" w:rsidRDefault="00EB1856" w:rsidP="00EB1856">
      <w:pPr>
        <w:ind w:firstLine="360"/>
        <w:jc w:val="both"/>
        <w:rPr>
          <w:sz w:val="22"/>
          <w:szCs w:val="22"/>
        </w:rPr>
      </w:pPr>
      <w:r w:rsidRPr="00EB1856">
        <w:rPr>
          <w:sz w:val="22"/>
          <w:szCs w:val="22"/>
        </w:rPr>
        <w:t xml:space="preserve">This is an excellent point. We have amended the manuscript accordingly. </w:t>
      </w:r>
    </w:p>
    <w:p w14:paraId="39CF7F57" w14:textId="77777777" w:rsidR="00EB1856" w:rsidRPr="00EB1856" w:rsidRDefault="00EB1856" w:rsidP="00EB1856">
      <w:pPr>
        <w:jc w:val="both"/>
        <w:rPr>
          <w:b/>
          <w:i/>
        </w:rPr>
      </w:pPr>
    </w:p>
    <w:p w14:paraId="3F48BB43" w14:textId="37362DC8" w:rsidR="00EB1856" w:rsidRPr="00EB1856" w:rsidRDefault="00EB1856" w:rsidP="00EB1856">
      <w:pPr>
        <w:jc w:val="both"/>
        <w:rPr>
          <w:b/>
          <w:sz w:val="22"/>
          <w:szCs w:val="22"/>
        </w:rPr>
      </w:pPr>
      <w:r w:rsidRPr="00EB1856">
        <w:rPr>
          <w:b/>
          <w:sz w:val="22"/>
          <w:szCs w:val="22"/>
        </w:rPr>
        <w:t>Line 508: A small typo: "</w:t>
      </w:r>
      <w:proofErr w:type="spellStart"/>
      <w:r w:rsidRPr="00EB1856">
        <w:rPr>
          <w:b/>
          <w:sz w:val="22"/>
          <w:szCs w:val="22"/>
        </w:rPr>
        <w:t>xenogarfts</w:t>
      </w:r>
      <w:proofErr w:type="spellEnd"/>
      <w:r w:rsidRPr="00EB1856">
        <w:rPr>
          <w:b/>
          <w:sz w:val="22"/>
          <w:szCs w:val="22"/>
        </w:rPr>
        <w:t>" should be xenografts instead.</w:t>
      </w:r>
    </w:p>
    <w:p w14:paraId="34871278" w14:textId="77777777" w:rsidR="00EB1856" w:rsidRDefault="00EB1856" w:rsidP="00EB1856">
      <w:pPr>
        <w:jc w:val="both"/>
        <w:rPr>
          <w:sz w:val="22"/>
          <w:szCs w:val="22"/>
        </w:rPr>
      </w:pPr>
    </w:p>
    <w:p w14:paraId="34D577B6" w14:textId="77777777" w:rsidR="00EB1856" w:rsidRDefault="00EB1856" w:rsidP="004C7E21">
      <w:pPr>
        <w:ind w:firstLine="360"/>
        <w:jc w:val="both"/>
        <w:rPr>
          <w:sz w:val="22"/>
          <w:szCs w:val="22"/>
        </w:rPr>
      </w:pPr>
      <w:r>
        <w:rPr>
          <w:sz w:val="22"/>
          <w:szCs w:val="22"/>
        </w:rPr>
        <w:t>Great catch! We have corrected this typo!</w:t>
      </w:r>
    </w:p>
    <w:p w14:paraId="6444E0E4" w14:textId="294F9016" w:rsidR="00EB1856" w:rsidRPr="00EB1856" w:rsidRDefault="00EB1856" w:rsidP="00EB1856">
      <w:pPr>
        <w:jc w:val="both"/>
        <w:rPr>
          <w:sz w:val="22"/>
          <w:szCs w:val="22"/>
        </w:rPr>
      </w:pPr>
    </w:p>
    <w:p w14:paraId="417465B7" w14:textId="6CF51BBD" w:rsidR="00EB1856" w:rsidRPr="00EB1856" w:rsidRDefault="00EB1856" w:rsidP="00EB1856">
      <w:pPr>
        <w:jc w:val="both"/>
        <w:rPr>
          <w:b/>
          <w:sz w:val="22"/>
          <w:szCs w:val="22"/>
        </w:rPr>
      </w:pPr>
      <w:r w:rsidRPr="00EB1856">
        <w:rPr>
          <w:b/>
          <w:sz w:val="22"/>
          <w:szCs w:val="22"/>
        </w:rPr>
        <w:t>Table 1: The calculated m/z for Tz-PEG7-DOTA is missing two decimal digits.</w:t>
      </w:r>
    </w:p>
    <w:p w14:paraId="3D515FFD" w14:textId="77777777" w:rsidR="00EB1856" w:rsidRDefault="00EB1856" w:rsidP="00EB1856">
      <w:pPr>
        <w:jc w:val="both"/>
        <w:rPr>
          <w:sz w:val="22"/>
          <w:szCs w:val="22"/>
        </w:rPr>
      </w:pPr>
    </w:p>
    <w:p w14:paraId="75DC3357" w14:textId="6B2DD6EB" w:rsidR="00EB1856" w:rsidRDefault="00EB1856" w:rsidP="004C7E21">
      <w:pPr>
        <w:ind w:firstLine="360"/>
        <w:jc w:val="both"/>
        <w:rPr>
          <w:sz w:val="22"/>
          <w:szCs w:val="22"/>
        </w:rPr>
      </w:pPr>
      <w:r>
        <w:rPr>
          <w:sz w:val="22"/>
          <w:szCs w:val="22"/>
        </w:rPr>
        <w:t>Another great catch! We have corrected this typo, too!</w:t>
      </w:r>
    </w:p>
    <w:p w14:paraId="589AD3EE" w14:textId="77777777" w:rsidR="00EB1856" w:rsidRPr="00EB1856" w:rsidRDefault="00EB1856" w:rsidP="00EB1856">
      <w:pPr>
        <w:jc w:val="both"/>
        <w:rPr>
          <w:b/>
          <w:sz w:val="22"/>
          <w:szCs w:val="22"/>
        </w:rPr>
      </w:pPr>
      <w:r w:rsidRPr="00EB1856">
        <w:rPr>
          <w:b/>
          <w:sz w:val="22"/>
          <w:szCs w:val="22"/>
        </w:rPr>
        <w:br/>
        <w:t>Lines 795, 796: The use of the inverse strategy (Tz-modified antibody and a TCO-bearing radioligand) should also be discussed.</w:t>
      </w:r>
    </w:p>
    <w:p w14:paraId="4920DD80" w14:textId="6BB713C1" w:rsidR="004C7E21" w:rsidRDefault="004C7E21" w:rsidP="004C7E21">
      <w:pPr>
        <w:ind w:firstLine="360"/>
        <w:jc w:val="both"/>
        <w:rPr>
          <w:sz w:val="22"/>
          <w:szCs w:val="22"/>
        </w:rPr>
      </w:pPr>
    </w:p>
    <w:p w14:paraId="32C72B37" w14:textId="4295FF5D" w:rsidR="00EB1856" w:rsidRPr="001D49C6" w:rsidRDefault="00EB1856" w:rsidP="001D49C6">
      <w:pPr>
        <w:ind w:firstLine="360"/>
        <w:jc w:val="both"/>
        <w:rPr>
          <w:sz w:val="22"/>
          <w:szCs w:val="22"/>
        </w:rPr>
      </w:pPr>
      <w:r>
        <w:rPr>
          <w:sz w:val="22"/>
          <w:szCs w:val="22"/>
        </w:rPr>
        <w:t>In this protocol, w</w:t>
      </w:r>
      <w:r w:rsidRPr="00EB1856">
        <w:rPr>
          <w:sz w:val="22"/>
          <w:szCs w:val="22"/>
        </w:rPr>
        <w:t xml:space="preserve">e have elected to only </w:t>
      </w:r>
      <w:r>
        <w:rPr>
          <w:sz w:val="22"/>
          <w:szCs w:val="22"/>
        </w:rPr>
        <w:t>address the</w:t>
      </w:r>
      <w:r w:rsidRPr="00EB1856">
        <w:rPr>
          <w:sz w:val="22"/>
          <w:szCs w:val="22"/>
        </w:rPr>
        <w:t xml:space="preserve"> more established mA</w:t>
      </w:r>
      <w:r>
        <w:rPr>
          <w:sz w:val="22"/>
          <w:szCs w:val="22"/>
        </w:rPr>
        <w:t xml:space="preserve">b-TCO/Tz-radioligand strategy. While the inverse strategy has shown some potential, the efficacy of PRIT based on this approach has yet to be demonstrated. Furthermore, we would never want to step on the toes of these authors if they were to want to publish a protocol in </w:t>
      </w:r>
      <w:r w:rsidRPr="00EB1856">
        <w:rPr>
          <w:i/>
          <w:sz w:val="22"/>
          <w:szCs w:val="22"/>
        </w:rPr>
        <w:t>JoVE</w:t>
      </w:r>
      <w:r>
        <w:rPr>
          <w:sz w:val="22"/>
          <w:szCs w:val="22"/>
        </w:rPr>
        <w:t xml:space="preserve">. </w:t>
      </w:r>
    </w:p>
    <w:p w14:paraId="1DD1AA02" w14:textId="77777777" w:rsidR="00EB1856" w:rsidRPr="001D49C6" w:rsidRDefault="00EB1856" w:rsidP="00EB1856">
      <w:pPr>
        <w:rPr>
          <w:color w:val="000000" w:themeColor="text1"/>
          <w:sz w:val="26"/>
          <w:szCs w:val="26"/>
        </w:rPr>
      </w:pPr>
    </w:p>
    <w:p w14:paraId="7FA1F0C1" w14:textId="06B400F9" w:rsidR="001D49C6" w:rsidRPr="001D49C6" w:rsidRDefault="001D49C6" w:rsidP="001D49C6">
      <w:pPr>
        <w:widowControl w:val="0"/>
        <w:autoSpaceDE w:val="0"/>
        <w:autoSpaceDN w:val="0"/>
        <w:adjustRightInd w:val="0"/>
        <w:jc w:val="both"/>
        <w:rPr>
          <w:i/>
          <w:color w:val="8064A2" w:themeColor="accent4"/>
          <w:sz w:val="26"/>
          <w:szCs w:val="26"/>
        </w:rPr>
      </w:pPr>
      <w:r>
        <w:rPr>
          <w:b/>
          <w:color w:val="7030A0"/>
          <w:sz w:val="26"/>
          <w:szCs w:val="26"/>
          <w:u w:val="single"/>
        </w:rPr>
        <w:t>Reviewer #2</w:t>
      </w:r>
      <w:r w:rsidRPr="001D49C6">
        <w:rPr>
          <w:b/>
          <w:color w:val="7030A0"/>
          <w:sz w:val="26"/>
          <w:szCs w:val="26"/>
          <w:u w:val="single"/>
        </w:rPr>
        <w:t>:</w:t>
      </w:r>
    </w:p>
    <w:p w14:paraId="00BAAF6A" w14:textId="77777777" w:rsidR="004C7E21" w:rsidRDefault="004C7E21" w:rsidP="00EB1856">
      <w:pPr>
        <w:rPr>
          <w:color w:val="000000" w:themeColor="text1"/>
          <w:sz w:val="22"/>
          <w:szCs w:val="22"/>
        </w:rPr>
      </w:pPr>
    </w:p>
    <w:p w14:paraId="14E8307B" w14:textId="22BD5FAB" w:rsidR="004C7E21" w:rsidRPr="006E6C68" w:rsidRDefault="006E6C68" w:rsidP="006E6C68">
      <w:pPr>
        <w:jc w:val="both"/>
        <w:rPr>
          <w:b/>
          <w:color w:val="000000" w:themeColor="text1"/>
          <w:sz w:val="22"/>
          <w:szCs w:val="22"/>
        </w:rPr>
      </w:pPr>
      <w:r w:rsidRPr="006E6C68">
        <w:rPr>
          <w:b/>
          <w:sz w:val="22"/>
          <w:szCs w:val="22"/>
        </w:rPr>
        <w:t xml:space="preserve">This methods article describes in detail the concept for pretargeted radioimmunotherapy (PRIT) in a very elaborate way. They use the inverse electron demand Diels-Alder click reaction between a radiolabeled tetrazine (Tz) and a trans-cyclooctene (TCO) coupled to an antibody. The TCO-antibody is injected and allowed to accumulate at the target tissue (slow process) for 24 hours before the radiolabeled-Tz is administered. The Tz then clicks to the antibody (quick process) and excess radioactivity is cleared quickly. This approach minimizes radiation to healthy tissue and increase radioactivity concentration within the target region. The theoretical background is thoroughly described in the introduction that gives the reader a good overview followed by a </w:t>
      </w:r>
      <w:r w:rsidRPr="006E6C68">
        <w:rPr>
          <w:b/>
          <w:sz w:val="22"/>
          <w:szCs w:val="22"/>
        </w:rPr>
        <w:lastRenderedPageBreak/>
        <w:t xml:space="preserve">detailed protocol for how the technique should be executed and the results analyzed. I recommend </w:t>
      </w:r>
      <w:proofErr w:type="gramStart"/>
      <w:r w:rsidRPr="006E6C68">
        <w:rPr>
          <w:b/>
          <w:sz w:val="22"/>
          <w:szCs w:val="22"/>
        </w:rPr>
        <w:t>to accept</w:t>
      </w:r>
      <w:proofErr w:type="gramEnd"/>
      <w:r w:rsidRPr="006E6C68">
        <w:rPr>
          <w:b/>
          <w:sz w:val="22"/>
          <w:szCs w:val="22"/>
        </w:rPr>
        <w:t xml:space="preserve"> this article after minor revision.</w:t>
      </w:r>
    </w:p>
    <w:p w14:paraId="2A98904A" w14:textId="77777777" w:rsidR="004C7E21" w:rsidRDefault="004C7E21" w:rsidP="00EB1856">
      <w:pPr>
        <w:rPr>
          <w:color w:val="000000" w:themeColor="text1"/>
          <w:sz w:val="22"/>
          <w:szCs w:val="22"/>
        </w:rPr>
      </w:pPr>
    </w:p>
    <w:p w14:paraId="560BF64A" w14:textId="43437A5C" w:rsidR="006E6C68" w:rsidRDefault="006E6C68" w:rsidP="006E6C68">
      <w:pPr>
        <w:ind w:firstLine="360"/>
        <w:rPr>
          <w:color w:val="000000" w:themeColor="text1"/>
          <w:sz w:val="22"/>
          <w:szCs w:val="22"/>
        </w:rPr>
      </w:pPr>
      <w:r>
        <w:rPr>
          <w:color w:val="000000" w:themeColor="text1"/>
          <w:sz w:val="22"/>
          <w:szCs w:val="22"/>
        </w:rPr>
        <w:t xml:space="preserve">We thank the reviewer for their kind words about our manuscript. </w:t>
      </w:r>
    </w:p>
    <w:p w14:paraId="63BD9ABD" w14:textId="18A4367F" w:rsidR="006E6C68" w:rsidRPr="006E6C68" w:rsidRDefault="006E6C68" w:rsidP="006E6C68">
      <w:pPr>
        <w:rPr>
          <w:b/>
          <w:sz w:val="22"/>
          <w:szCs w:val="22"/>
        </w:rPr>
      </w:pPr>
      <w:r w:rsidRPr="006E6C68">
        <w:rPr>
          <w:sz w:val="22"/>
          <w:szCs w:val="22"/>
        </w:rPr>
        <w:br/>
      </w:r>
      <w:r w:rsidRPr="006E6C68">
        <w:rPr>
          <w:b/>
          <w:sz w:val="22"/>
          <w:szCs w:val="22"/>
        </w:rPr>
        <w:t>Line 147, page 5: The preparation of huA33-TCO: Please, specify which TCO is used or reference to "Table of materials".</w:t>
      </w:r>
    </w:p>
    <w:p w14:paraId="462A064D" w14:textId="77777777" w:rsidR="006E6C68" w:rsidRPr="006E6C68" w:rsidRDefault="006E6C68" w:rsidP="006E6C68">
      <w:pPr>
        <w:rPr>
          <w:sz w:val="22"/>
          <w:szCs w:val="22"/>
        </w:rPr>
      </w:pPr>
    </w:p>
    <w:p w14:paraId="7BE61E6C" w14:textId="14D15967" w:rsidR="006E6C68" w:rsidRPr="006E6C68" w:rsidRDefault="006E6C68" w:rsidP="006E6C68">
      <w:pPr>
        <w:ind w:firstLine="360"/>
        <w:rPr>
          <w:sz w:val="22"/>
          <w:szCs w:val="22"/>
        </w:rPr>
      </w:pPr>
      <w:r w:rsidRPr="006E6C68">
        <w:rPr>
          <w:i/>
          <w:sz w:val="22"/>
          <w:szCs w:val="22"/>
        </w:rPr>
        <w:t>Trans</w:t>
      </w:r>
      <w:r w:rsidRPr="006E6C68">
        <w:rPr>
          <w:sz w:val="22"/>
          <w:szCs w:val="22"/>
        </w:rPr>
        <w:t xml:space="preserve">-cyclooctene NHS ester </w:t>
      </w:r>
      <w:r>
        <w:rPr>
          <w:sz w:val="22"/>
          <w:szCs w:val="22"/>
        </w:rPr>
        <w:t>(TCO-NHS) is listed in the Table of Materials. W</w:t>
      </w:r>
      <w:r w:rsidRPr="006E6C68">
        <w:rPr>
          <w:sz w:val="22"/>
          <w:szCs w:val="22"/>
        </w:rPr>
        <w:t>e have added the commonly used abbreviation for clarification.</w:t>
      </w:r>
    </w:p>
    <w:p w14:paraId="0EB9EDC5" w14:textId="77777777" w:rsidR="006E6C68" w:rsidRDefault="006E6C68" w:rsidP="002A2058">
      <w:pPr>
        <w:jc w:val="both"/>
        <w:outlineLvl w:val="0"/>
        <w:rPr>
          <w:color w:val="000000" w:themeColor="text1"/>
          <w:sz w:val="22"/>
          <w:szCs w:val="22"/>
        </w:rPr>
      </w:pPr>
    </w:p>
    <w:p w14:paraId="76546BBF" w14:textId="36823FD8" w:rsidR="006E6C68" w:rsidRPr="006E6C68" w:rsidRDefault="006E6C68" w:rsidP="006E6C68">
      <w:pPr>
        <w:rPr>
          <w:b/>
          <w:sz w:val="22"/>
          <w:szCs w:val="22"/>
        </w:rPr>
      </w:pPr>
      <w:r w:rsidRPr="006E6C68">
        <w:rPr>
          <w:b/>
          <w:sz w:val="22"/>
          <w:szCs w:val="22"/>
        </w:rPr>
        <w:t>Some abbreviations should be added to the "Table of materials": For example, NHS, DMF, DMSO, MeCN or TEA. Please, check the whole manuscript.</w:t>
      </w:r>
    </w:p>
    <w:p w14:paraId="3DD8226D" w14:textId="77777777" w:rsidR="006E6C68" w:rsidRPr="006E6C68" w:rsidRDefault="006E6C68" w:rsidP="006E6C68">
      <w:pPr>
        <w:rPr>
          <w:sz w:val="22"/>
          <w:szCs w:val="22"/>
        </w:rPr>
      </w:pPr>
    </w:p>
    <w:p w14:paraId="1FB67A65" w14:textId="466BD774" w:rsidR="006E6C68" w:rsidRPr="006E6C68" w:rsidRDefault="006E6C68" w:rsidP="006E6C68">
      <w:pPr>
        <w:ind w:firstLine="360"/>
        <w:rPr>
          <w:sz w:val="22"/>
          <w:szCs w:val="22"/>
        </w:rPr>
      </w:pPr>
      <w:r w:rsidRPr="006E6C68">
        <w:rPr>
          <w:sz w:val="22"/>
          <w:szCs w:val="22"/>
        </w:rPr>
        <w:t>This is a great point. We have added all these abbreviations to the Table of Materials!</w:t>
      </w:r>
    </w:p>
    <w:p w14:paraId="00B7CD49" w14:textId="77777777" w:rsidR="006E6C68" w:rsidRDefault="006E6C68" w:rsidP="002A2058">
      <w:pPr>
        <w:jc w:val="both"/>
        <w:outlineLvl w:val="0"/>
        <w:rPr>
          <w:color w:val="000000" w:themeColor="text1"/>
          <w:sz w:val="22"/>
          <w:szCs w:val="22"/>
        </w:rPr>
      </w:pPr>
    </w:p>
    <w:p w14:paraId="6A2B3DAC" w14:textId="7FD75B92" w:rsidR="006E6C68" w:rsidRPr="006E6C68" w:rsidRDefault="006E6C68" w:rsidP="006E6C68">
      <w:pPr>
        <w:rPr>
          <w:b/>
          <w:sz w:val="22"/>
          <w:szCs w:val="22"/>
        </w:rPr>
      </w:pPr>
      <w:r w:rsidRPr="006E6C68">
        <w:rPr>
          <w:b/>
          <w:sz w:val="22"/>
          <w:szCs w:val="22"/>
        </w:rPr>
        <w:t>Line 209, page 6 (2. The synthesis of Tz-PEG7-NHBoc): Please, specify what Tz is used.</w:t>
      </w:r>
    </w:p>
    <w:p w14:paraId="03E0E289" w14:textId="77777777" w:rsidR="006E6C68" w:rsidRPr="006E6C68" w:rsidRDefault="006E6C68" w:rsidP="006E6C68">
      <w:pPr>
        <w:rPr>
          <w:sz w:val="22"/>
          <w:szCs w:val="22"/>
        </w:rPr>
      </w:pPr>
    </w:p>
    <w:p w14:paraId="17E9CFD8" w14:textId="3F0BF1D0" w:rsidR="006E6C68" w:rsidRPr="006E6C68" w:rsidRDefault="006E6C68" w:rsidP="006E6C68">
      <w:pPr>
        <w:ind w:firstLine="360"/>
        <w:rPr>
          <w:sz w:val="22"/>
          <w:szCs w:val="22"/>
        </w:rPr>
      </w:pPr>
      <w:r w:rsidRPr="006E6C68">
        <w:rPr>
          <w:sz w:val="22"/>
          <w:szCs w:val="22"/>
        </w:rPr>
        <w:t>The tetrazine used is specified in the Table of Materials.  We have added the abbreviation for clarification.</w:t>
      </w:r>
    </w:p>
    <w:p w14:paraId="0DE369F3" w14:textId="77777777" w:rsidR="006E6C68" w:rsidRPr="006E6C68" w:rsidRDefault="006E6C68" w:rsidP="006E6C68">
      <w:pPr>
        <w:jc w:val="both"/>
        <w:outlineLvl w:val="0"/>
        <w:rPr>
          <w:b/>
          <w:color w:val="000000" w:themeColor="text1"/>
          <w:sz w:val="22"/>
          <w:szCs w:val="22"/>
        </w:rPr>
      </w:pPr>
    </w:p>
    <w:p w14:paraId="1705A992" w14:textId="70329662" w:rsidR="006E6C68" w:rsidRPr="006E6C68" w:rsidRDefault="006E6C68" w:rsidP="006E6C68">
      <w:pPr>
        <w:jc w:val="both"/>
        <w:rPr>
          <w:b/>
          <w:sz w:val="22"/>
          <w:szCs w:val="22"/>
        </w:rPr>
      </w:pPr>
      <w:r w:rsidRPr="006E6C68">
        <w:rPr>
          <w:b/>
          <w:sz w:val="22"/>
          <w:szCs w:val="22"/>
        </w:rPr>
        <w:t>Line 350, page 10 (6.1. Preparation of animals) "Once the tumors are of sufficient size". Please, indicate what this means. Are you referring to the size mentioned on 6.1.1.1 (100-150 mm2)</w:t>
      </w:r>
      <w:proofErr w:type="gramStart"/>
      <w:r w:rsidRPr="006E6C68">
        <w:rPr>
          <w:b/>
          <w:sz w:val="22"/>
          <w:szCs w:val="22"/>
        </w:rPr>
        <w:t>.</w:t>
      </w:r>
      <w:proofErr w:type="gramEnd"/>
    </w:p>
    <w:p w14:paraId="5FC01813" w14:textId="77777777" w:rsidR="006E6C68" w:rsidRDefault="006E6C68" w:rsidP="006E6C68">
      <w:pPr>
        <w:rPr>
          <w:sz w:val="22"/>
          <w:szCs w:val="22"/>
        </w:rPr>
      </w:pPr>
    </w:p>
    <w:p w14:paraId="4F46F505" w14:textId="16B6B15F" w:rsidR="006E6C68" w:rsidRPr="006E6C68" w:rsidRDefault="006E6C68" w:rsidP="006E6C68">
      <w:pPr>
        <w:ind w:firstLine="360"/>
        <w:rPr>
          <w:sz w:val="22"/>
          <w:szCs w:val="22"/>
        </w:rPr>
      </w:pPr>
      <w:r>
        <w:rPr>
          <w:sz w:val="22"/>
          <w:szCs w:val="22"/>
        </w:rPr>
        <w:t>Good catch! We have u</w:t>
      </w:r>
      <w:r w:rsidRPr="006E6C68">
        <w:rPr>
          <w:sz w:val="22"/>
          <w:szCs w:val="22"/>
        </w:rPr>
        <w:t xml:space="preserve">pdated </w:t>
      </w:r>
      <w:r>
        <w:rPr>
          <w:sz w:val="22"/>
          <w:szCs w:val="22"/>
        </w:rPr>
        <w:t xml:space="preserve">this </w:t>
      </w:r>
      <w:r w:rsidRPr="006E6C68">
        <w:rPr>
          <w:sz w:val="22"/>
          <w:szCs w:val="22"/>
        </w:rPr>
        <w:t xml:space="preserve">for </w:t>
      </w:r>
      <w:r>
        <w:rPr>
          <w:sz w:val="22"/>
          <w:szCs w:val="22"/>
        </w:rPr>
        <w:t xml:space="preserve">the sake of </w:t>
      </w:r>
      <w:r w:rsidRPr="006E6C68">
        <w:rPr>
          <w:sz w:val="22"/>
          <w:szCs w:val="22"/>
        </w:rPr>
        <w:t>clarity, referencing 6.1.1.1.</w:t>
      </w:r>
    </w:p>
    <w:p w14:paraId="12A18111" w14:textId="47978955" w:rsidR="006E6C68" w:rsidRPr="006E6C68" w:rsidRDefault="006E6C68" w:rsidP="006E6C68">
      <w:pPr>
        <w:jc w:val="both"/>
        <w:rPr>
          <w:b/>
          <w:sz w:val="22"/>
          <w:szCs w:val="22"/>
        </w:rPr>
      </w:pPr>
      <w:r w:rsidRPr="006E6C68">
        <w:rPr>
          <w:b/>
        </w:rPr>
        <w:br/>
      </w:r>
      <w:r w:rsidRPr="006E6C68">
        <w:rPr>
          <w:b/>
          <w:sz w:val="22"/>
          <w:szCs w:val="22"/>
        </w:rPr>
        <w:t xml:space="preserve">Lines 355-357 and 367-369, page 10 (6.1. Preparation of animals): These two paragraphs are repetitions of 6.1.1. Consider removing 6.1.1. </w:t>
      </w:r>
      <w:proofErr w:type="gramStart"/>
      <w:r w:rsidRPr="006E6C68">
        <w:rPr>
          <w:b/>
          <w:sz w:val="22"/>
          <w:szCs w:val="22"/>
        </w:rPr>
        <w:t>or</w:t>
      </w:r>
      <w:proofErr w:type="gramEnd"/>
      <w:r w:rsidRPr="006E6C68">
        <w:rPr>
          <w:b/>
          <w:sz w:val="22"/>
          <w:szCs w:val="22"/>
        </w:rPr>
        <w:t xml:space="preserve"> refer to it without repeating the text in these paragraphs.</w:t>
      </w:r>
    </w:p>
    <w:p w14:paraId="1B7C59B3" w14:textId="77777777" w:rsidR="006E6C68" w:rsidRPr="006E6C68" w:rsidRDefault="006E6C68" w:rsidP="006E6C68">
      <w:pPr>
        <w:rPr>
          <w:i/>
          <w:sz w:val="22"/>
          <w:szCs w:val="22"/>
        </w:rPr>
      </w:pPr>
    </w:p>
    <w:p w14:paraId="58E11921" w14:textId="79CB80F3" w:rsidR="006E6C68" w:rsidRPr="006E6C68" w:rsidRDefault="006E6C68" w:rsidP="006E6C68">
      <w:pPr>
        <w:ind w:firstLine="360"/>
        <w:rPr>
          <w:sz w:val="22"/>
          <w:szCs w:val="22"/>
        </w:rPr>
      </w:pPr>
      <w:r>
        <w:rPr>
          <w:sz w:val="22"/>
          <w:szCs w:val="22"/>
        </w:rPr>
        <w:t>We have c</w:t>
      </w:r>
      <w:r w:rsidRPr="006E6C68">
        <w:rPr>
          <w:sz w:val="22"/>
          <w:szCs w:val="22"/>
        </w:rPr>
        <w:t xml:space="preserve">onsolidated </w:t>
      </w:r>
      <w:r>
        <w:rPr>
          <w:sz w:val="22"/>
          <w:szCs w:val="22"/>
        </w:rPr>
        <w:t xml:space="preserve">these </w:t>
      </w:r>
      <w:r w:rsidRPr="006E6C68">
        <w:rPr>
          <w:sz w:val="22"/>
          <w:szCs w:val="22"/>
        </w:rPr>
        <w:t>paragraphs to minimize repetitions.</w:t>
      </w:r>
    </w:p>
    <w:p w14:paraId="3D0486BA" w14:textId="77777777" w:rsidR="006E6C68" w:rsidRDefault="006E6C68" w:rsidP="002A2058">
      <w:pPr>
        <w:jc w:val="both"/>
        <w:outlineLvl w:val="0"/>
        <w:rPr>
          <w:color w:val="000000" w:themeColor="text1"/>
          <w:sz w:val="22"/>
          <w:szCs w:val="22"/>
        </w:rPr>
      </w:pPr>
    </w:p>
    <w:p w14:paraId="5E521CE2" w14:textId="6C274E43" w:rsidR="006E6C68" w:rsidRPr="006E6C68" w:rsidRDefault="006E6C68" w:rsidP="006E6C68">
      <w:pPr>
        <w:jc w:val="both"/>
        <w:rPr>
          <w:b/>
          <w:sz w:val="22"/>
          <w:szCs w:val="22"/>
        </w:rPr>
      </w:pPr>
      <w:r w:rsidRPr="006E6C68">
        <w:rPr>
          <w:b/>
          <w:sz w:val="22"/>
          <w:szCs w:val="22"/>
        </w:rPr>
        <w:t>Please, refer to GBq/mg when you use the term specific activity and GBq/µmol when molar activity is used. Recently, a Consensus nomenclature rules for radiopharmaceutical chemistry (2017) was published. Please, follow it.</w:t>
      </w:r>
    </w:p>
    <w:p w14:paraId="3AF2495A" w14:textId="77777777" w:rsidR="006E6C68" w:rsidRDefault="006E6C68" w:rsidP="006E6C68">
      <w:pPr>
        <w:rPr>
          <w:sz w:val="22"/>
          <w:szCs w:val="22"/>
        </w:rPr>
      </w:pPr>
    </w:p>
    <w:p w14:paraId="0F2B0583" w14:textId="1D198078" w:rsidR="006E6C68" w:rsidRDefault="006E6C68" w:rsidP="006E6C68">
      <w:pPr>
        <w:ind w:firstLine="360"/>
        <w:rPr>
          <w:sz w:val="22"/>
          <w:szCs w:val="22"/>
        </w:rPr>
      </w:pPr>
      <w:r>
        <w:rPr>
          <w:sz w:val="22"/>
          <w:szCs w:val="22"/>
        </w:rPr>
        <w:t>We have updated the nomenclature to</w:t>
      </w:r>
      <w:r w:rsidRPr="006E6C68">
        <w:rPr>
          <w:sz w:val="22"/>
          <w:szCs w:val="22"/>
        </w:rPr>
        <w:t xml:space="preserve"> reflect </w:t>
      </w:r>
      <w:r>
        <w:rPr>
          <w:sz w:val="22"/>
          <w:szCs w:val="22"/>
        </w:rPr>
        <w:t>“</w:t>
      </w:r>
      <w:r w:rsidRPr="006E6C68">
        <w:rPr>
          <w:sz w:val="22"/>
          <w:szCs w:val="22"/>
        </w:rPr>
        <w:t>molar activity</w:t>
      </w:r>
      <w:r>
        <w:rPr>
          <w:sz w:val="22"/>
          <w:szCs w:val="22"/>
        </w:rPr>
        <w:t>”</w:t>
      </w:r>
      <w:r w:rsidRPr="006E6C68">
        <w:rPr>
          <w:sz w:val="22"/>
          <w:szCs w:val="22"/>
        </w:rPr>
        <w:t xml:space="preserve"> rather than </w:t>
      </w:r>
      <w:r>
        <w:rPr>
          <w:sz w:val="22"/>
          <w:szCs w:val="22"/>
        </w:rPr>
        <w:t>“</w:t>
      </w:r>
      <w:r w:rsidRPr="006E6C68">
        <w:rPr>
          <w:sz w:val="22"/>
          <w:szCs w:val="22"/>
        </w:rPr>
        <w:t>specific activity</w:t>
      </w:r>
      <w:r>
        <w:rPr>
          <w:sz w:val="22"/>
          <w:szCs w:val="22"/>
        </w:rPr>
        <w:t>”</w:t>
      </w:r>
      <w:r w:rsidRPr="006E6C68">
        <w:rPr>
          <w:sz w:val="22"/>
          <w:szCs w:val="22"/>
        </w:rPr>
        <w:t>.</w:t>
      </w:r>
    </w:p>
    <w:p w14:paraId="5657E3D1" w14:textId="77777777" w:rsidR="006E6C68" w:rsidRDefault="006E6C68" w:rsidP="006E6C68">
      <w:pPr>
        <w:ind w:firstLine="360"/>
        <w:rPr>
          <w:sz w:val="22"/>
          <w:szCs w:val="22"/>
        </w:rPr>
      </w:pPr>
    </w:p>
    <w:p w14:paraId="1AA339D7" w14:textId="77777777" w:rsidR="006E6C68" w:rsidRPr="006E6C68" w:rsidRDefault="006E6C68" w:rsidP="006E6C68">
      <w:pPr>
        <w:rPr>
          <w:b/>
          <w:sz w:val="22"/>
          <w:szCs w:val="22"/>
        </w:rPr>
      </w:pPr>
      <w:r w:rsidRPr="006E6C68">
        <w:rPr>
          <w:b/>
          <w:sz w:val="22"/>
          <w:szCs w:val="22"/>
        </w:rPr>
        <w:t>Please, use in the whole manuscript GBq or MBq and not mCi (for example, line 321, page 9).</w:t>
      </w:r>
      <w:r w:rsidRPr="006E6C68">
        <w:rPr>
          <w:b/>
          <w:sz w:val="22"/>
          <w:szCs w:val="22"/>
        </w:rPr>
        <w:br/>
      </w:r>
    </w:p>
    <w:p w14:paraId="1B09F9CA" w14:textId="2A8D3A69" w:rsidR="006E6C68" w:rsidRPr="006E6C68" w:rsidRDefault="006E6C68" w:rsidP="006E6C68">
      <w:pPr>
        <w:ind w:firstLine="360"/>
        <w:rPr>
          <w:sz w:val="22"/>
          <w:szCs w:val="22"/>
        </w:rPr>
      </w:pPr>
      <w:r>
        <w:rPr>
          <w:sz w:val="22"/>
          <w:szCs w:val="22"/>
        </w:rPr>
        <w:t>We have updated the manuscript accordingly.</w:t>
      </w:r>
      <w:r w:rsidRPr="006E6C68">
        <w:rPr>
          <w:sz w:val="22"/>
          <w:szCs w:val="22"/>
        </w:rPr>
        <w:br/>
      </w:r>
    </w:p>
    <w:p w14:paraId="68C06B75" w14:textId="205CFE1C" w:rsidR="006E6C68" w:rsidRPr="001D49C6" w:rsidRDefault="006E6C68" w:rsidP="006E6C68">
      <w:pPr>
        <w:widowControl w:val="0"/>
        <w:autoSpaceDE w:val="0"/>
        <w:autoSpaceDN w:val="0"/>
        <w:adjustRightInd w:val="0"/>
        <w:jc w:val="both"/>
        <w:rPr>
          <w:i/>
          <w:color w:val="8064A2" w:themeColor="accent4"/>
          <w:sz w:val="26"/>
          <w:szCs w:val="26"/>
        </w:rPr>
      </w:pPr>
      <w:r>
        <w:rPr>
          <w:b/>
          <w:color w:val="7030A0"/>
          <w:sz w:val="26"/>
          <w:szCs w:val="26"/>
          <w:u w:val="single"/>
        </w:rPr>
        <w:t>Reviewer #3</w:t>
      </w:r>
      <w:r w:rsidRPr="001D49C6">
        <w:rPr>
          <w:b/>
          <w:color w:val="7030A0"/>
          <w:sz w:val="26"/>
          <w:szCs w:val="26"/>
          <w:u w:val="single"/>
        </w:rPr>
        <w:t>:</w:t>
      </w:r>
    </w:p>
    <w:p w14:paraId="71B167A2" w14:textId="77777777" w:rsidR="006E6C68" w:rsidRDefault="006E6C68" w:rsidP="002A2058">
      <w:pPr>
        <w:jc w:val="both"/>
        <w:outlineLvl w:val="0"/>
        <w:rPr>
          <w:color w:val="000000" w:themeColor="text1"/>
          <w:sz w:val="22"/>
          <w:szCs w:val="22"/>
        </w:rPr>
      </w:pPr>
    </w:p>
    <w:p w14:paraId="40947DCA" w14:textId="75A0C240" w:rsidR="006E6C68" w:rsidRPr="006E6C68" w:rsidRDefault="006E6C68" w:rsidP="006E6C68">
      <w:pPr>
        <w:jc w:val="both"/>
        <w:outlineLvl w:val="0"/>
        <w:rPr>
          <w:b/>
          <w:color w:val="000000" w:themeColor="text1"/>
          <w:sz w:val="22"/>
          <w:szCs w:val="22"/>
        </w:rPr>
      </w:pPr>
      <w:r w:rsidRPr="006E6C68">
        <w:rPr>
          <w:b/>
          <w:sz w:val="22"/>
          <w:szCs w:val="22"/>
        </w:rPr>
        <w:t xml:space="preserve">In this manuscript the authors described the construction of a TCO-modified immunoconjugate of the huA33 antibody, the synthesis of a </w:t>
      </w:r>
      <w:r w:rsidRPr="006E6C68">
        <w:rPr>
          <w:b/>
          <w:sz w:val="22"/>
          <w:szCs w:val="22"/>
          <w:vertAlign w:val="superscript"/>
        </w:rPr>
        <w:t>177</w:t>
      </w:r>
      <w:r w:rsidRPr="006E6C68">
        <w:rPr>
          <w:b/>
          <w:sz w:val="22"/>
          <w:szCs w:val="22"/>
        </w:rPr>
        <w:t>Lu-DOTA-labeled Tz radioligand, and the performance of in vivo biodistribution and therapy studies using this system in a murine model of colorectal carcinoma. The manuscript was comprehensive in the experiment procedures and provided adequate results. There are some minor revisions needed and are listed below:</w:t>
      </w:r>
    </w:p>
    <w:p w14:paraId="1BAA76EA" w14:textId="77777777" w:rsidR="006E6C68" w:rsidRPr="006E6C68" w:rsidRDefault="006E6C68" w:rsidP="002A2058">
      <w:pPr>
        <w:jc w:val="both"/>
        <w:outlineLvl w:val="0"/>
        <w:rPr>
          <w:color w:val="000000" w:themeColor="text1"/>
          <w:sz w:val="22"/>
          <w:szCs w:val="22"/>
        </w:rPr>
      </w:pPr>
    </w:p>
    <w:p w14:paraId="2D95E2D1" w14:textId="140D0E07" w:rsidR="006E6C68" w:rsidRDefault="006E6C68" w:rsidP="00920F04">
      <w:pPr>
        <w:ind w:firstLine="360"/>
        <w:jc w:val="both"/>
        <w:outlineLvl w:val="0"/>
        <w:rPr>
          <w:color w:val="000000" w:themeColor="text1"/>
          <w:sz w:val="22"/>
          <w:szCs w:val="22"/>
        </w:rPr>
      </w:pPr>
      <w:r>
        <w:rPr>
          <w:color w:val="000000" w:themeColor="text1"/>
          <w:sz w:val="22"/>
          <w:szCs w:val="22"/>
        </w:rPr>
        <w:t xml:space="preserve">We thank the reviewer for their careful consideration of our work. </w:t>
      </w:r>
    </w:p>
    <w:p w14:paraId="334909E3" w14:textId="77777777" w:rsidR="006E6C68" w:rsidRPr="00920F04" w:rsidRDefault="006E6C68" w:rsidP="002A2058">
      <w:pPr>
        <w:jc w:val="both"/>
        <w:outlineLvl w:val="0"/>
        <w:rPr>
          <w:color w:val="000000" w:themeColor="text1"/>
          <w:sz w:val="22"/>
          <w:szCs w:val="22"/>
        </w:rPr>
      </w:pPr>
    </w:p>
    <w:p w14:paraId="6C4298F4" w14:textId="3C291C8C" w:rsidR="00920F04" w:rsidRPr="00920F04" w:rsidRDefault="00920F04" w:rsidP="00920F04">
      <w:pPr>
        <w:rPr>
          <w:b/>
          <w:sz w:val="22"/>
          <w:szCs w:val="22"/>
        </w:rPr>
      </w:pPr>
      <w:r w:rsidRPr="00920F04">
        <w:rPr>
          <w:b/>
          <w:sz w:val="22"/>
          <w:szCs w:val="22"/>
        </w:rPr>
        <w:t>In the step 4.3, since DOTA is not easily dissolved in organic solvent, should it be dissolved in DMSO first before adding to the reaction? Or is there a volume/concentration requirement for the reaction?</w:t>
      </w:r>
    </w:p>
    <w:p w14:paraId="1038F46A" w14:textId="77777777" w:rsidR="00920F04" w:rsidRPr="00920F04" w:rsidRDefault="00920F04" w:rsidP="00920F04">
      <w:pPr>
        <w:rPr>
          <w:sz w:val="22"/>
          <w:szCs w:val="22"/>
        </w:rPr>
      </w:pPr>
    </w:p>
    <w:p w14:paraId="51F2B25D" w14:textId="7EAABE75" w:rsidR="00920F04" w:rsidRPr="00920F04" w:rsidRDefault="00920F04" w:rsidP="00920F04">
      <w:pPr>
        <w:ind w:firstLine="360"/>
        <w:jc w:val="both"/>
        <w:rPr>
          <w:sz w:val="22"/>
          <w:szCs w:val="22"/>
        </w:rPr>
      </w:pPr>
      <w:r w:rsidRPr="00920F04">
        <w:rPr>
          <w:sz w:val="22"/>
          <w:szCs w:val="22"/>
        </w:rPr>
        <w:lastRenderedPageBreak/>
        <w:t xml:space="preserve">This is an interesting point!  </w:t>
      </w:r>
      <w:r>
        <w:rPr>
          <w:sz w:val="22"/>
          <w:szCs w:val="22"/>
        </w:rPr>
        <w:t xml:space="preserve">We have found </w:t>
      </w:r>
      <w:r w:rsidRPr="00920F04">
        <w:rPr>
          <w:sz w:val="22"/>
          <w:szCs w:val="22"/>
        </w:rPr>
        <w:t>that</w:t>
      </w:r>
      <w:r>
        <w:rPr>
          <w:sz w:val="22"/>
          <w:szCs w:val="22"/>
        </w:rPr>
        <w:t xml:space="preserve"> pre-dissolving the</w:t>
      </w:r>
      <w:r w:rsidRPr="00920F04">
        <w:rPr>
          <w:sz w:val="22"/>
          <w:szCs w:val="22"/>
        </w:rPr>
        <w:t xml:space="preserve"> DOTA in DMSO prior to </w:t>
      </w:r>
      <w:r>
        <w:rPr>
          <w:sz w:val="22"/>
          <w:szCs w:val="22"/>
        </w:rPr>
        <w:t xml:space="preserve">its addition </w:t>
      </w:r>
      <w:r w:rsidRPr="00920F04">
        <w:rPr>
          <w:sz w:val="22"/>
          <w:szCs w:val="22"/>
        </w:rPr>
        <w:t xml:space="preserve">to the reaction mixture results in the formation of additional byproducts </w:t>
      </w:r>
      <w:r>
        <w:rPr>
          <w:sz w:val="22"/>
          <w:szCs w:val="22"/>
        </w:rPr>
        <w:t xml:space="preserve">that are not found </w:t>
      </w:r>
      <w:r w:rsidRPr="00920F04">
        <w:rPr>
          <w:sz w:val="22"/>
          <w:szCs w:val="22"/>
        </w:rPr>
        <w:t>when th</w:t>
      </w:r>
      <w:r>
        <w:rPr>
          <w:sz w:val="22"/>
          <w:szCs w:val="22"/>
        </w:rPr>
        <w:t>e solid is directly dissolved</w:t>
      </w:r>
      <w:r w:rsidRPr="00920F04">
        <w:rPr>
          <w:sz w:val="22"/>
          <w:szCs w:val="22"/>
        </w:rPr>
        <w:t xml:space="preserve"> as stated in the protoc</w:t>
      </w:r>
      <w:r>
        <w:rPr>
          <w:sz w:val="22"/>
          <w:szCs w:val="22"/>
        </w:rPr>
        <w:t>ol.</w:t>
      </w:r>
      <w:r w:rsidRPr="00920F04">
        <w:rPr>
          <w:sz w:val="22"/>
          <w:szCs w:val="22"/>
        </w:rPr>
        <w:t xml:space="preserve"> While vortexing is required,</w:t>
      </w:r>
      <w:r>
        <w:rPr>
          <w:sz w:val="22"/>
          <w:szCs w:val="22"/>
        </w:rPr>
        <w:t xml:space="preserve"> the</w:t>
      </w:r>
      <w:r w:rsidRPr="00920F04">
        <w:rPr>
          <w:sz w:val="22"/>
          <w:szCs w:val="22"/>
        </w:rPr>
        <w:t xml:space="preserve"> DO</w:t>
      </w:r>
      <w:r>
        <w:rPr>
          <w:sz w:val="22"/>
          <w:szCs w:val="22"/>
        </w:rPr>
        <w:t>TA does fully enter solution, ultimately leading</w:t>
      </w:r>
      <w:r w:rsidRPr="00920F04">
        <w:rPr>
          <w:sz w:val="22"/>
          <w:szCs w:val="22"/>
        </w:rPr>
        <w:t xml:space="preserve"> to </w:t>
      </w:r>
      <w:r>
        <w:rPr>
          <w:sz w:val="22"/>
          <w:szCs w:val="22"/>
        </w:rPr>
        <w:t xml:space="preserve">a </w:t>
      </w:r>
      <w:r w:rsidRPr="00920F04">
        <w:rPr>
          <w:sz w:val="22"/>
          <w:szCs w:val="22"/>
        </w:rPr>
        <w:t>cleaner product and higher yield.  We have added a note that</w:t>
      </w:r>
      <w:r>
        <w:rPr>
          <w:sz w:val="22"/>
          <w:szCs w:val="22"/>
        </w:rPr>
        <w:t xml:space="preserve"> this</w:t>
      </w:r>
      <w:r w:rsidRPr="00920F04">
        <w:rPr>
          <w:sz w:val="22"/>
          <w:szCs w:val="22"/>
        </w:rPr>
        <w:t xml:space="preserve"> vortexing may take a couple of minutes.</w:t>
      </w:r>
    </w:p>
    <w:p w14:paraId="0F798DED" w14:textId="7A0EDA28" w:rsidR="00920F04" w:rsidRPr="00920F04" w:rsidRDefault="00920F04" w:rsidP="00920F04">
      <w:pPr>
        <w:jc w:val="both"/>
        <w:rPr>
          <w:b/>
          <w:sz w:val="22"/>
          <w:szCs w:val="22"/>
        </w:rPr>
      </w:pPr>
      <w:r w:rsidRPr="00920F04">
        <w:rPr>
          <w:sz w:val="22"/>
          <w:szCs w:val="22"/>
        </w:rPr>
        <w:br/>
      </w:r>
      <w:r w:rsidRPr="00920F04">
        <w:rPr>
          <w:b/>
          <w:sz w:val="22"/>
          <w:szCs w:val="22"/>
        </w:rPr>
        <w:t xml:space="preserve">In the step 5.3, how much of the Tz-PEG-DOTA is needed for each mCi of </w:t>
      </w:r>
      <w:r w:rsidRPr="00920F04">
        <w:rPr>
          <w:b/>
          <w:sz w:val="22"/>
          <w:szCs w:val="22"/>
          <w:vertAlign w:val="superscript"/>
        </w:rPr>
        <w:t>177</w:t>
      </w:r>
      <w:r w:rsidRPr="00920F04">
        <w:rPr>
          <w:b/>
          <w:sz w:val="22"/>
          <w:szCs w:val="22"/>
        </w:rPr>
        <w:t>Lu?</w:t>
      </w:r>
    </w:p>
    <w:p w14:paraId="62FD3EEE" w14:textId="77777777" w:rsidR="00920F04" w:rsidRPr="00920F04" w:rsidRDefault="00920F04" w:rsidP="00920F04">
      <w:pPr>
        <w:jc w:val="both"/>
        <w:rPr>
          <w:sz w:val="22"/>
          <w:szCs w:val="22"/>
        </w:rPr>
      </w:pPr>
    </w:p>
    <w:p w14:paraId="45467DB0" w14:textId="2510ADED" w:rsidR="00920F04" w:rsidRPr="00920F04" w:rsidRDefault="00920F04" w:rsidP="00920F04">
      <w:pPr>
        <w:ind w:firstLine="360"/>
        <w:jc w:val="both"/>
        <w:rPr>
          <w:sz w:val="22"/>
          <w:szCs w:val="22"/>
        </w:rPr>
      </w:pPr>
      <w:r>
        <w:rPr>
          <w:sz w:val="22"/>
          <w:szCs w:val="22"/>
        </w:rPr>
        <w:t>Our mistake!</w:t>
      </w:r>
      <w:r w:rsidRPr="00920F04">
        <w:rPr>
          <w:sz w:val="22"/>
          <w:szCs w:val="22"/>
        </w:rPr>
        <w:t xml:space="preserve"> A reference has been added directing readers to Step 6.2.2.2, where more detail is given on the formulation of doses.</w:t>
      </w:r>
    </w:p>
    <w:p w14:paraId="4E4A622B" w14:textId="77777777" w:rsidR="006E6C68" w:rsidRPr="00920F04" w:rsidRDefault="006E6C68" w:rsidP="002A2058">
      <w:pPr>
        <w:jc w:val="both"/>
        <w:outlineLvl w:val="0"/>
        <w:rPr>
          <w:color w:val="000000" w:themeColor="text1"/>
          <w:sz w:val="22"/>
          <w:szCs w:val="22"/>
        </w:rPr>
      </w:pPr>
    </w:p>
    <w:p w14:paraId="22467AC5" w14:textId="04790605" w:rsidR="00920F04" w:rsidRPr="00920F04" w:rsidRDefault="00920F04" w:rsidP="00920F04">
      <w:pPr>
        <w:rPr>
          <w:b/>
          <w:i/>
          <w:sz w:val="22"/>
          <w:szCs w:val="22"/>
        </w:rPr>
      </w:pPr>
      <w:r w:rsidRPr="00920F04">
        <w:rPr>
          <w:b/>
          <w:sz w:val="22"/>
          <w:szCs w:val="22"/>
        </w:rPr>
        <w:t>The breakthrough of functionalized TCO was made by Joseph Fox</w:t>
      </w:r>
      <w:r>
        <w:rPr>
          <w:b/>
          <w:sz w:val="22"/>
          <w:szCs w:val="22"/>
        </w:rPr>
        <w:t>’s</w:t>
      </w:r>
      <w:r w:rsidRPr="00920F04">
        <w:rPr>
          <w:b/>
          <w:sz w:val="22"/>
          <w:szCs w:val="22"/>
        </w:rPr>
        <w:t xml:space="preserve"> group in 2008. The references should be cited.</w:t>
      </w:r>
      <w:r w:rsidRPr="00920F04">
        <w:rPr>
          <w:b/>
          <w:sz w:val="22"/>
          <w:szCs w:val="22"/>
        </w:rPr>
        <w:br/>
      </w:r>
    </w:p>
    <w:p w14:paraId="5B7AC237" w14:textId="31E8930F" w:rsidR="00920F04" w:rsidRPr="00920F04" w:rsidRDefault="00920F04" w:rsidP="00920F04">
      <w:pPr>
        <w:ind w:firstLine="360"/>
        <w:rPr>
          <w:sz w:val="22"/>
          <w:szCs w:val="22"/>
        </w:rPr>
      </w:pPr>
      <w:r w:rsidRPr="00920F04">
        <w:rPr>
          <w:sz w:val="22"/>
          <w:szCs w:val="22"/>
        </w:rPr>
        <w:t>Great catch! This reference slipped through the cracks. A proper citation has now been included: reference 26.</w:t>
      </w:r>
      <w:r w:rsidRPr="00920F04">
        <w:rPr>
          <w:sz w:val="22"/>
          <w:szCs w:val="22"/>
        </w:rPr>
        <w:br/>
      </w:r>
    </w:p>
    <w:p w14:paraId="12A45D98" w14:textId="77777777" w:rsidR="00EC6DBF" w:rsidRPr="00134105" w:rsidRDefault="00EC6DBF" w:rsidP="002A2058">
      <w:pPr>
        <w:jc w:val="both"/>
        <w:outlineLvl w:val="0"/>
        <w:rPr>
          <w:color w:val="000000" w:themeColor="text1"/>
          <w:sz w:val="22"/>
          <w:szCs w:val="22"/>
        </w:rPr>
      </w:pPr>
      <w:r w:rsidRPr="00134105">
        <w:rPr>
          <w:color w:val="000000" w:themeColor="text1"/>
          <w:sz w:val="22"/>
          <w:szCs w:val="22"/>
        </w:rPr>
        <w:t xml:space="preserve">Thank you for your time, work, and consideration. Please let us know if you require any more information. </w:t>
      </w:r>
    </w:p>
    <w:p w14:paraId="46A7596C" w14:textId="77777777" w:rsidR="00EC6DBF" w:rsidRPr="00134105" w:rsidRDefault="00EC6DBF" w:rsidP="002A2058">
      <w:pPr>
        <w:jc w:val="both"/>
        <w:rPr>
          <w:color w:val="000000" w:themeColor="text1"/>
          <w:sz w:val="22"/>
          <w:szCs w:val="22"/>
        </w:rPr>
      </w:pPr>
    </w:p>
    <w:p w14:paraId="1D1E6FD5" w14:textId="77777777" w:rsidR="00EC6DBF" w:rsidRPr="00134105" w:rsidRDefault="00EC6DBF" w:rsidP="002A2058">
      <w:pPr>
        <w:jc w:val="both"/>
        <w:outlineLvl w:val="0"/>
        <w:rPr>
          <w:color w:val="000000" w:themeColor="text1"/>
          <w:sz w:val="22"/>
          <w:szCs w:val="22"/>
        </w:rPr>
      </w:pPr>
      <w:r w:rsidRPr="00134105">
        <w:rPr>
          <w:color w:val="000000" w:themeColor="text1"/>
          <w:sz w:val="22"/>
          <w:szCs w:val="22"/>
        </w:rPr>
        <w:t>Respectfully,</w:t>
      </w:r>
    </w:p>
    <w:p w14:paraId="33B511ED" w14:textId="77777777" w:rsidR="00EC0425" w:rsidRPr="00134105" w:rsidRDefault="00EC0425" w:rsidP="002A2058">
      <w:pPr>
        <w:jc w:val="both"/>
        <w:outlineLvl w:val="0"/>
        <w:rPr>
          <w:color w:val="000000" w:themeColor="text1"/>
          <w:sz w:val="22"/>
          <w:szCs w:val="22"/>
        </w:rPr>
      </w:pPr>
    </w:p>
    <w:p w14:paraId="447D78E1" w14:textId="77777777" w:rsidR="00EC6DBF" w:rsidRPr="00134105" w:rsidRDefault="00EC6DBF" w:rsidP="002A2058">
      <w:pPr>
        <w:jc w:val="both"/>
        <w:rPr>
          <w:sz w:val="22"/>
          <w:szCs w:val="22"/>
        </w:rPr>
      </w:pPr>
      <w:r w:rsidRPr="00134105">
        <w:rPr>
          <w:noProof/>
          <w:sz w:val="22"/>
          <w:szCs w:val="22"/>
        </w:rPr>
        <w:drawing>
          <wp:inline distT="0" distB="0" distL="0" distR="0" wp14:anchorId="04510D3D" wp14:editId="2C8FEF02">
            <wp:extent cx="1340833" cy="741829"/>
            <wp:effectExtent l="0" t="0" r="0" b="0"/>
            <wp:docPr id="3" name="Picture 1" descr="::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titled-1.png"/>
                    <pic:cNvPicPr>
                      <a:picLocks noChangeAspect="1" noChangeArrowheads="1"/>
                    </pic:cNvPicPr>
                  </pic:nvPicPr>
                  <pic:blipFill>
                    <a:blip r:embed="rId10"/>
                    <a:srcRect/>
                    <a:stretch>
                      <a:fillRect/>
                    </a:stretch>
                  </pic:blipFill>
                  <pic:spPr bwMode="auto">
                    <a:xfrm>
                      <a:off x="0" y="0"/>
                      <a:ext cx="1343141" cy="743106"/>
                    </a:xfrm>
                    <a:prstGeom prst="rect">
                      <a:avLst/>
                    </a:prstGeom>
                    <a:noFill/>
                    <a:ln w="9525">
                      <a:noFill/>
                      <a:miter lim="800000"/>
                      <a:headEnd/>
                      <a:tailEnd/>
                    </a:ln>
                  </pic:spPr>
                </pic:pic>
              </a:graphicData>
            </a:graphic>
          </wp:inline>
        </w:drawing>
      </w:r>
    </w:p>
    <w:p w14:paraId="1C932A08" w14:textId="77777777" w:rsidR="00EC0425" w:rsidRPr="00134105" w:rsidRDefault="00EC0425" w:rsidP="002A2058">
      <w:pPr>
        <w:jc w:val="both"/>
        <w:rPr>
          <w:sz w:val="22"/>
          <w:szCs w:val="22"/>
        </w:rPr>
      </w:pPr>
    </w:p>
    <w:p w14:paraId="264E8CB6" w14:textId="038C7636" w:rsidR="00E44F35" w:rsidRPr="00134105" w:rsidRDefault="00E952E3" w:rsidP="00582B11">
      <w:pPr>
        <w:jc w:val="both"/>
        <w:rPr>
          <w:sz w:val="22"/>
          <w:szCs w:val="22"/>
          <w:lang w:val="fr-FR"/>
        </w:rPr>
      </w:pPr>
      <w:r>
        <w:rPr>
          <w:sz w:val="22"/>
          <w:szCs w:val="22"/>
          <w:lang w:val="fr-FR"/>
        </w:rPr>
        <w:t xml:space="preserve">Brian M. Zeglis, </w:t>
      </w:r>
      <w:proofErr w:type="spellStart"/>
      <w:r>
        <w:rPr>
          <w:sz w:val="22"/>
          <w:szCs w:val="22"/>
          <w:lang w:val="fr-FR"/>
        </w:rPr>
        <w:t>Ph.D</w:t>
      </w:r>
      <w:proofErr w:type="spellEnd"/>
      <w:r>
        <w:rPr>
          <w:sz w:val="22"/>
          <w:szCs w:val="22"/>
          <w:lang w:val="fr-FR"/>
        </w:rPr>
        <w:t>.</w:t>
      </w:r>
      <w:bookmarkStart w:id="0" w:name="_GoBack"/>
      <w:bookmarkEnd w:id="0"/>
    </w:p>
    <w:sectPr w:rsidR="00E44F35" w:rsidRPr="00134105" w:rsidSect="001A01C6">
      <w:footerReference w:type="default" r:id="rId11"/>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DF581B" w14:textId="77777777" w:rsidR="006E6C68" w:rsidRDefault="006E6C68">
      <w:r>
        <w:separator/>
      </w:r>
    </w:p>
  </w:endnote>
  <w:endnote w:type="continuationSeparator" w:id="0">
    <w:p w14:paraId="476BCCA0" w14:textId="77777777" w:rsidR="006E6C68" w:rsidRDefault="006E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Baskerville Old Face">
    <w:panose1 w:val="020206020805050203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A15E" w14:textId="77777777" w:rsidR="006E6C68" w:rsidRPr="00E236F7" w:rsidRDefault="006E6C68" w:rsidP="00684D5D">
    <w:pPr>
      <w:pStyle w:val="Footer"/>
      <w:pBdr>
        <w:bottom w:val="double" w:sz="6" w:space="1" w:color="auto"/>
      </w:pBdr>
      <w:spacing w:line="180" w:lineRule="exact"/>
      <w:rPr>
        <w:rFonts w:ascii="Baskerville Old Face" w:hAnsi="Baskerville Old Face"/>
        <w:i/>
        <w:iCs/>
        <w:color w:val="5F497A" w:themeColor="accent4" w:themeShade="BF"/>
        <w:sz w:val="22"/>
        <w:szCs w:val="22"/>
      </w:rPr>
    </w:pPr>
  </w:p>
  <w:p w14:paraId="3E2F449A" w14:textId="77777777" w:rsidR="006E6C68" w:rsidRPr="00E236F7" w:rsidRDefault="006E6C68" w:rsidP="00684D5D">
    <w:pPr>
      <w:pStyle w:val="Footer"/>
      <w:spacing w:line="180" w:lineRule="exact"/>
      <w:rPr>
        <w:rFonts w:ascii="Baskerville Old Face" w:hAnsi="Baskerville Old Face"/>
        <w:i/>
        <w:iCs/>
        <w:color w:val="5F497A" w:themeColor="accent4" w:themeShade="BF"/>
        <w:sz w:val="22"/>
        <w:szCs w:val="22"/>
      </w:rPr>
    </w:pPr>
  </w:p>
  <w:p w14:paraId="36679D4A" w14:textId="77777777" w:rsidR="006E6C68" w:rsidRPr="00EF1771" w:rsidRDefault="006E6C68" w:rsidP="00881753">
    <w:pPr>
      <w:pStyle w:val="Footer"/>
      <w:tabs>
        <w:tab w:val="left" w:pos="7470"/>
      </w:tabs>
      <w:spacing w:line="180" w:lineRule="exact"/>
      <w:rPr>
        <w:rFonts w:ascii="Baskerville Old Face" w:hAnsi="Baskerville Old Face"/>
        <w:color w:val="5F497A" w:themeColor="accent4" w:themeShade="BF"/>
        <w:sz w:val="20"/>
        <w:szCs w:val="20"/>
        <w:lang w:val="fr-FR"/>
      </w:rPr>
    </w:pPr>
    <w:r w:rsidRPr="00EF1771">
      <w:rPr>
        <w:rFonts w:ascii="Baskerville Old Face" w:hAnsi="Baskerville Old Face"/>
        <w:i/>
        <w:iCs/>
        <w:color w:val="5F497A" w:themeColor="accent4" w:themeShade="BF"/>
        <w:sz w:val="20"/>
        <w:szCs w:val="20"/>
        <w:lang w:val="fr-FR"/>
      </w:rPr>
      <w:t>Phone: 212.896.0443</w:t>
    </w:r>
    <w:r w:rsidRPr="00EF1771">
      <w:rPr>
        <w:rFonts w:ascii="Baskerville Old Face" w:hAnsi="Baskerville Old Face"/>
        <w:i/>
        <w:iCs/>
        <w:color w:val="5F497A" w:themeColor="accent4" w:themeShade="BF"/>
        <w:sz w:val="20"/>
        <w:szCs w:val="20"/>
        <w:lang w:val="fr-FR"/>
      </w:rPr>
      <w:tab/>
      <w:t xml:space="preserve">                                                                                                                           e-mail: brian.zeglis@hunter.cuny.edu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FD680" w14:textId="77777777" w:rsidR="006E6C68" w:rsidRDefault="006E6C68">
      <w:r>
        <w:separator/>
      </w:r>
    </w:p>
  </w:footnote>
  <w:footnote w:type="continuationSeparator" w:id="0">
    <w:p w14:paraId="07C584D4" w14:textId="77777777" w:rsidR="006E6C68" w:rsidRDefault="006E6C6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A066C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ACC94EC"/>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166ED95E"/>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8F88C1C8"/>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C22D55C"/>
    <w:lvl w:ilvl="0">
      <w:start w:val="1"/>
      <w:numFmt w:val="decimal"/>
      <w:pStyle w:val="ListNumber2"/>
      <w:lvlText w:val="%1."/>
      <w:lvlJc w:val="left"/>
      <w:pPr>
        <w:tabs>
          <w:tab w:val="num" w:pos="720"/>
        </w:tabs>
        <w:ind w:left="720" w:hanging="360"/>
      </w:pPr>
    </w:lvl>
  </w:abstractNum>
  <w:abstractNum w:abstractNumId="5">
    <w:nsid w:val="FFFFFF80"/>
    <w:multiLevelType w:val="singleLevel"/>
    <w:tmpl w:val="72BAE972"/>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934C3410"/>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256ABD4"/>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C1684120"/>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468610B8"/>
    <w:lvl w:ilvl="0">
      <w:start w:val="1"/>
      <w:numFmt w:val="decimal"/>
      <w:pStyle w:val="ListNumber"/>
      <w:lvlText w:val="%1."/>
      <w:lvlJc w:val="left"/>
      <w:pPr>
        <w:tabs>
          <w:tab w:val="num" w:pos="360"/>
        </w:tabs>
        <w:ind w:left="360" w:hanging="360"/>
      </w:pPr>
    </w:lvl>
  </w:abstractNum>
  <w:abstractNum w:abstractNumId="10">
    <w:nsid w:val="FFFFFF89"/>
    <w:multiLevelType w:val="singleLevel"/>
    <w:tmpl w:val="68529E9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40BE02B5"/>
    <w:multiLevelType w:val="hybridMultilevel"/>
    <w:tmpl w:val="2BB65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A450CD"/>
    <w:multiLevelType w:val="hybridMultilevel"/>
    <w:tmpl w:val="3DA2E198"/>
    <w:lvl w:ilvl="0" w:tplc="22DEFF6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embedSystemFonts/>
  <w:activeWritingStyle w:appName="MSWord" w:lang="en-US" w:vendorID="64" w:dllVersion="6" w:nlCheck="1" w:checkStyle="1"/>
  <w:activeWritingStyle w:appName="MSWord" w:lang="fr-CA" w:vendorID="64" w:dllVersion="6" w:nlCheck="1" w:checkStyle="1"/>
  <w:activeWritingStyle w:appName="MSWord" w:lang="de-DE" w:vendorID="64" w:dllVersion="6" w:nlCheck="1" w:checkStyle="1"/>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fr-FR" w:vendorID="64" w:dllVersion="6"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6B0FC4"/>
    <w:rsid w:val="00000F2B"/>
    <w:rsid w:val="00001C93"/>
    <w:rsid w:val="00005FC8"/>
    <w:rsid w:val="00010A88"/>
    <w:rsid w:val="00012C75"/>
    <w:rsid w:val="000339F7"/>
    <w:rsid w:val="00052C72"/>
    <w:rsid w:val="000548DF"/>
    <w:rsid w:val="0006480B"/>
    <w:rsid w:val="000766B0"/>
    <w:rsid w:val="0008071F"/>
    <w:rsid w:val="0009533C"/>
    <w:rsid w:val="000A27A1"/>
    <w:rsid w:val="000A40DA"/>
    <w:rsid w:val="000B6BD5"/>
    <w:rsid w:val="000C528F"/>
    <w:rsid w:val="000C60B6"/>
    <w:rsid w:val="000C6A1C"/>
    <w:rsid w:val="000C7F1F"/>
    <w:rsid w:val="000D3793"/>
    <w:rsid w:val="000D7829"/>
    <w:rsid w:val="000E66AA"/>
    <w:rsid w:val="000E763D"/>
    <w:rsid w:val="000F01C2"/>
    <w:rsid w:val="000F38FB"/>
    <w:rsid w:val="00102EF0"/>
    <w:rsid w:val="001054E7"/>
    <w:rsid w:val="001065A7"/>
    <w:rsid w:val="00107BAC"/>
    <w:rsid w:val="001176D8"/>
    <w:rsid w:val="0012042A"/>
    <w:rsid w:val="0012147F"/>
    <w:rsid w:val="00134105"/>
    <w:rsid w:val="00134C71"/>
    <w:rsid w:val="001351CB"/>
    <w:rsid w:val="00137688"/>
    <w:rsid w:val="00146632"/>
    <w:rsid w:val="00161537"/>
    <w:rsid w:val="001637D7"/>
    <w:rsid w:val="001646D1"/>
    <w:rsid w:val="00165330"/>
    <w:rsid w:val="00170AFD"/>
    <w:rsid w:val="00176F43"/>
    <w:rsid w:val="001859B0"/>
    <w:rsid w:val="0018659F"/>
    <w:rsid w:val="001904F1"/>
    <w:rsid w:val="001909CB"/>
    <w:rsid w:val="001930E3"/>
    <w:rsid w:val="001974F9"/>
    <w:rsid w:val="00197605"/>
    <w:rsid w:val="001A01C6"/>
    <w:rsid w:val="001A4803"/>
    <w:rsid w:val="001B5105"/>
    <w:rsid w:val="001C71AD"/>
    <w:rsid w:val="001D48ED"/>
    <w:rsid w:val="001D49C6"/>
    <w:rsid w:val="001E098B"/>
    <w:rsid w:val="001F666A"/>
    <w:rsid w:val="00204919"/>
    <w:rsid w:val="00204BCF"/>
    <w:rsid w:val="00205E00"/>
    <w:rsid w:val="0022035A"/>
    <w:rsid w:val="00220363"/>
    <w:rsid w:val="00221ED8"/>
    <w:rsid w:val="00232DE8"/>
    <w:rsid w:val="0023564E"/>
    <w:rsid w:val="00236F35"/>
    <w:rsid w:val="0023737A"/>
    <w:rsid w:val="0024181C"/>
    <w:rsid w:val="00243257"/>
    <w:rsid w:val="0025108D"/>
    <w:rsid w:val="002529EC"/>
    <w:rsid w:val="00257E53"/>
    <w:rsid w:val="002707C4"/>
    <w:rsid w:val="00274FE6"/>
    <w:rsid w:val="00280E9C"/>
    <w:rsid w:val="002A2058"/>
    <w:rsid w:val="002A36DA"/>
    <w:rsid w:val="002A5BB1"/>
    <w:rsid w:val="002B0E5D"/>
    <w:rsid w:val="002B4316"/>
    <w:rsid w:val="002C66BA"/>
    <w:rsid w:val="002D1893"/>
    <w:rsid w:val="002D27DB"/>
    <w:rsid w:val="002D2919"/>
    <w:rsid w:val="002E00C4"/>
    <w:rsid w:val="002E24ED"/>
    <w:rsid w:val="002F1686"/>
    <w:rsid w:val="002F644B"/>
    <w:rsid w:val="00301EFD"/>
    <w:rsid w:val="003039BB"/>
    <w:rsid w:val="003047D9"/>
    <w:rsid w:val="00307200"/>
    <w:rsid w:val="003230BE"/>
    <w:rsid w:val="0033055E"/>
    <w:rsid w:val="003352CC"/>
    <w:rsid w:val="00336591"/>
    <w:rsid w:val="00342FF9"/>
    <w:rsid w:val="00351DD2"/>
    <w:rsid w:val="003532D6"/>
    <w:rsid w:val="00360A18"/>
    <w:rsid w:val="003756B9"/>
    <w:rsid w:val="0038231D"/>
    <w:rsid w:val="00385618"/>
    <w:rsid w:val="003A0D94"/>
    <w:rsid w:val="003A0E90"/>
    <w:rsid w:val="003A6165"/>
    <w:rsid w:val="003B69C6"/>
    <w:rsid w:val="003C0873"/>
    <w:rsid w:val="003C11FF"/>
    <w:rsid w:val="003C2323"/>
    <w:rsid w:val="003E49EE"/>
    <w:rsid w:val="003E6E62"/>
    <w:rsid w:val="003E7534"/>
    <w:rsid w:val="003F5210"/>
    <w:rsid w:val="003F58F4"/>
    <w:rsid w:val="003F77BC"/>
    <w:rsid w:val="00404527"/>
    <w:rsid w:val="00404B81"/>
    <w:rsid w:val="00415FE6"/>
    <w:rsid w:val="0041622E"/>
    <w:rsid w:val="004307AC"/>
    <w:rsid w:val="004310EB"/>
    <w:rsid w:val="00434E06"/>
    <w:rsid w:val="0044053A"/>
    <w:rsid w:val="00453EFF"/>
    <w:rsid w:val="00455DF0"/>
    <w:rsid w:val="00457CCE"/>
    <w:rsid w:val="00472D33"/>
    <w:rsid w:val="004741A4"/>
    <w:rsid w:val="00477FC2"/>
    <w:rsid w:val="00483497"/>
    <w:rsid w:val="00483C10"/>
    <w:rsid w:val="004859B3"/>
    <w:rsid w:val="004865A3"/>
    <w:rsid w:val="00490F9A"/>
    <w:rsid w:val="004924BA"/>
    <w:rsid w:val="004A0376"/>
    <w:rsid w:val="004B06A3"/>
    <w:rsid w:val="004B4990"/>
    <w:rsid w:val="004B520A"/>
    <w:rsid w:val="004C75A6"/>
    <w:rsid w:val="004C7E21"/>
    <w:rsid w:val="004D614F"/>
    <w:rsid w:val="004E2951"/>
    <w:rsid w:val="004E7E1D"/>
    <w:rsid w:val="004F0489"/>
    <w:rsid w:val="004F524D"/>
    <w:rsid w:val="004F73C3"/>
    <w:rsid w:val="004F7473"/>
    <w:rsid w:val="0050766F"/>
    <w:rsid w:val="00507703"/>
    <w:rsid w:val="00507F41"/>
    <w:rsid w:val="005107E0"/>
    <w:rsid w:val="0051190C"/>
    <w:rsid w:val="0051447C"/>
    <w:rsid w:val="00520A7B"/>
    <w:rsid w:val="005213E1"/>
    <w:rsid w:val="00533E65"/>
    <w:rsid w:val="00537345"/>
    <w:rsid w:val="005421C9"/>
    <w:rsid w:val="005424DF"/>
    <w:rsid w:val="00547A64"/>
    <w:rsid w:val="00565707"/>
    <w:rsid w:val="00571439"/>
    <w:rsid w:val="00572BB3"/>
    <w:rsid w:val="00577906"/>
    <w:rsid w:val="00581916"/>
    <w:rsid w:val="00582B11"/>
    <w:rsid w:val="00583E64"/>
    <w:rsid w:val="00587F3A"/>
    <w:rsid w:val="00594252"/>
    <w:rsid w:val="005A2306"/>
    <w:rsid w:val="005A6881"/>
    <w:rsid w:val="005D1FBB"/>
    <w:rsid w:val="005D4683"/>
    <w:rsid w:val="005E1E20"/>
    <w:rsid w:val="005E5E99"/>
    <w:rsid w:val="005F17D7"/>
    <w:rsid w:val="005F2202"/>
    <w:rsid w:val="00600B0B"/>
    <w:rsid w:val="00601692"/>
    <w:rsid w:val="0060422E"/>
    <w:rsid w:val="00607053"/>
    <w:rsid w:val="00623252"/>
    <w:rsid w:val="00623C23"/>
    <w:rsid w:val="00625077"/>
    <w:rsid w:val="00631DE5"/>
    <w:rsid w:val="00644C63"/>
    <w:rsid w:val="00646030"/>
    <w:rsid w:val="006504D6"/>
    <w:rsid w:val="00666808"/>
    <w:rsid w:val="00672813"/>
    <w:rsid w:val="006848CF"/>
    <w:rsid w:val="00684D5D"/>
    <w:rsid w:val="006914D3"/>
    <w:rsid w:val="0069254F"/>
    <w:rsid w:val="006940F2"/>
    <w:rsid w:val="006A2FE8"/>
    <w:rsid w:val="006A40B0"/>
    <w:rsid w:val="006A6F56"/>
    <w:rsid w:val="006B0FC4"/>
    <w:rsid w:val="006B416B"/>
    <w:rsid w:val="006B641F"/>
    <w:rsid w:val="006C5B07"/>
    <w:rsid w:val="006D0CE0"/>
    <w:rsid w:val="006D3B6C"/>
    <w:rsid w:val="006D71C3"/>
    <w:rsid w:val="006D77FC"/>
    <w:rsid w:val="006D7A74"/>
    <w:rsid w:val="006E315C"/>
    <w:rsid w:val="006E5216"/>
    <w:rsid w:val="006E6C68"/>
    <w:rsid w:val="006F3D6A"/>
    <w:rsid w:val="006F7B6D"/>
    <w:rsid w:val="00700981"/>
    <w:rsid w:val="00701127"/>
    <w:rsid w:val="0070173F"/>
    <w:rsid w:val="00701AD8"/>
    <w:rsid w:val="00704B45"/>
    <w:rsid w:val="007060D6"/>
    <w:rsid w:val="00710649"/>
    <w:rsid w:val="00710B78"/>
    <w:rsid w:val="00713DA8"/>
    <w:rsid w:val="007430C3"/>
    <w:rsid w:val="00747253"/>
    <w:rsid w:val="00756BDE"/>
    <w:rsid w:val="007737C9"/>
    <w:rsid w:val="00777D0C"/>
    <w:rsid w:val="00787922"/>
    <w:rsid w:val="007B79A5"/>
    <w:rsid w:val="007C161A"/>
    <w:rsid w:val="007C6830"/>
    <w:rsid w:val="007D17B4"/>
    <w:rsid w:val="007E0C62"/>
    <w:rsid w:val="007E6189"/>
    <w:rsid w:val="007E66FD"/>
    <w:rsid w:val="007F2272"/>
    <w:rsid w:val="007F5314"/>
    <w:rsid w:val="007F7118"/>
    <w:rsid w:val="00807F84"/>
    <w:rsid w:val="00810CDA"/>
    <w:rsid w:val="008300AD"/>
    <w:rsid w:val="00832102"/>
    <w:rsid w:val="008330EF"/>
    <w:rsid w:val="008354A2"/>
    <w:rsid w:val="008374D6"/>
    <w:rsid w:val="008375EC"/>
    <w:rsid w:val="00850B46"/>
    <w:rsid w:val="00866AAC"/>
    <w:rsid w:val="008750FD"/>
    <w:rsid w:val="00881753"/>
    <w:rsid w:val="008867CF"/>
    <w:rsid w:val="00890C58"/>
    <w:rsid w:val="00891E1A"/>
    <w:rsid w:val="00893DB3"/>
    <w:rsid w:val="008A0A8E"/>
    <w:rsid w:val="008A3B46"/>
    <w:rsid w:val="008A5244"/>
    <w:rsid w:val="008B19CD"/>
    <w:rsid w:val="008B56EC"/>
    <w:rsid w:val="008C2C2A"/>
    <w:rsid w:val="008D2A45"/>
    <w:rsid w:val="008D4662"/>
    <w:rsid w:val="008E1066"/>
    <w:rsid w:val="008E1684"/>
    <w:rsid w:val="008F7BED"/>
    <w:rsid w:val="00904281"/>
    <w:rsid w:val="0091507C"/>
    <w:rsid w:val="009167C9"/>
    <w:rsid w:val="00920F04"/>
    <w:rsid w:val="00935601"/>
    <w:rsid w:val="00955F41"/>
    <w:rsid w:val="00957C15"/>
    <w:rsid w:val="0096194C"/>
    <w:rsid w:val="00963514"/>
    <w:rsid w:val="00964113"/>
    <w:rsid w:val="009712EE"/>
    <w:rsid w:val="0098121F"/>
    <w:rsid w:val="009870C2"/>
    <w:rsid w:val="009873E9"/>
    <w:rsid w:val="00990641"/>
    <w:rsid w:val="009942BA"/>
    <w:rsid w:val="009B0A64"/>
    <w:rsid w:val="009B16B1"/>
    <w:rsid w:val="009B2155"/>
    <w:rsid w:val="009B3246"/>
    <w:rsid w:val="009B462A"/>
    <w:rsid w:val="009B50E3"/>
    <w:rsid w:val="009C1AD7"/>
    <w:rsid w:val="009C354B"/>
    <w:rsid w:val="009D419C"/>
    <w:rsid w:val="009D4786"/>
    <w:rsid w:val="009D4FF6"/>
    <w:rsid w:val="009E2C13"/>
    <w:rsid w:val="009F1A26"/>
    <w:rsid w:val="009F20A1"/>
    <w:rsid w:val="00A07C3C"/>
    <w:rsid w:val="00A103C0"/>
    <w:rsid w:val="00A10E82"/>
    <w:rsid w:val="00A1247F"/>
    <w:rsid w:val="00A1256E"/>
    <w:rsid w:val="00A14002"/>
    <w:rsid w:val="00A22A2E"/>
    <w:rsid w:val="00A22BCA"/>
    <w:rsid w:val="00A23F1D"/>
    <w:rsid w:val="00A519A1"/>
    <w:rsid w:val="00A5601E"/>
    <w:rsid w:val="00A56424"/>
    <w:rsid w:val="00A67DC0"/>
    <w:rsid w:val="00A7064D"/>
    <w:rsid w:val="00A7177F"/>
    <w:rsid w:val="00A74C00"/>
    <w:rsid w:val="00A80813"/>
    <w:rsid w:val="00A81269"/>
    <w:rsid w:val="00A900B7"/>
    <w:rsid w:val="00A9635C"/>
    <w:rsid w:val="00AA7D8C"/>
    <w:rsid w:val="00AB5B18"/>
    <w:rsid w:val="00AC2287"/>
    <w:rsid w:val="00AC785E"/>
    <w:rsid w:val="00AD37FF"/>
    <w:rsid w:val="00AD718E"/>
    <w:rsid w:val="00AE622E"/>
    <w:rsid w:val="00AE6EA3"/>
    <w:rsid w:val="00AF3B3B"/>
    <w:rsid w:val="00B02740"/>
    <w:rsid w:val="00B05DA9"/>
    <w:rsid w:val="00B071C2"/>
    <w:rsid w:val="00B11678"/>
    <w:rsid w:val="00B16890"/>
    <w:rsid w:val="00B3455E"/>
    <w:rsid w:val="00B34A46"/>
    <w:rsid w:val="00B45D0D"/>
    <w:rsid w:val="00B475EC"/>
    <w:rsid w:val="00B5138B"/>
    <w:rsid w:val="00B51746"/>
    <w:rsid w:val="00B579D1"/>
    <w:rsid w:val="00B61436"/>
    <w:rsid w:val="00B62CB3"/>
    <w:rsid w:val="00B64681"/>
    <w:rsid w:val="00B646DB"/>
    <w:rsid w:val="00B65602"/>
    <w:rsid w:val="00B748DA"/>
    <w:rsid w:val="00B75647"/>
    <w:rsid w:val="00B80C97"/>
    <w:rsid w:val="00B875F5"/>
    <w:rsid w:val="00B87D17"/>
    <w:rsid w:val="00B90C77"/>
    <w:rsid w:val="00B96F89"/>
    <w:rsid w:val="00BA1F81"/>
    <w:rsid w:val="00BA200A"/>
    <w:rsid w:val="00BA3B4B"/>
    <w:rsid w:val="00BA4424"/>
    <w:rsid w:val="00BB2CA0"/>
    <w:rsid w:val="00BC4629"/>
    <w:rsid w:val="00BD3176"/>
    <w:rsid w:val="00BD50DD"/>
    <w:rsid w:val="00BE015B"/>
    <w:rsid w:val="00BE4B56"/>
    <w:rsid w:val="00BE4CFB"/>
    <w:rsid w:val="00BF0D7B"/>
    <w:rsid w:val="00BF76D0"/>
    <w:rsid w:val="00C01844"/>
    <w:rsid w:val="00C01CB2"/>
    <w:rsid w:val="00C042E6"/>
    <w:rsid w:val="00C22667"/>
    <w:rsid w:val="00C2598C"/>
    <w:rsid w:val="00C317B8"/>
    <w:rsid w:val="00C4182F"/>
    <w:rsid w:val="00C55F28"/>
    <w:rsid w:val="00C608D1"/>
    <w:rsid w:val="00C60A38"/>
    <w:rsid w:val="00C62A82"/>
    <w:rsid w:val="00C653EE"/>
    <w:rsid w:val="00C659CD"/>
    <w:rsid w:val="00C67A67"/>
    <w:rsid w:val="00C70B45"/>
    <w:rsid w:val="00C715EB"/>
    <w:rsid w:val="00C950D4"/>
    <w:rsid w:val="00CA18EC"/>
    <w:rsid w:val="00CA3D7E"/>
    <w:rsid w:val="00CA6AB2"/>
    <w:rsid w:val="00CA7C88"/>
    <w:rsid w:val="00CA7EDB"/>
    <w:rsid w:val="00CB01C1"/>
    <w:rsid w:val="00CB18EF"/>
    <w:rsid w:val="00CB1E40"/>
    <w:rsid w:val="00CB5FB2"/>
    <w:rsid w:val="00CC33CE"/>
    <w:rsid w:val="00CE1536"/>
    <w:rsid w:val="00D00BC9"/>
    <w:rsid w:val="00D1067E"/>
    <w:rsid w:val="00D14F47"/>
    <w:rsid w:val="00D15B66"/>
    <w:rsid w:val="00D1759C"/>
    <w:rsid w:val="00D210A8"/>
    <w:rsid w:val="00D3755B"/>
    <w:rsid w:val="00D5166A"/>
    <w:rsid w:val="00D53EA9"/>
    <w:rsid w:val="00D60FD4"/>
    <w:rsid w:val="00D722D0"/>
    <w:rsid w:val="00D762BB"/>
    <w:rsid w:val="00D77905"/>
    <w:rsid w:val="00D83316"/>
    <w:rsid w:val="00D874E4"/>
    <w:rsid w:val="00D9446B"/>
    <w:rsid w:val="00D96B97"/>
    <w:rsid w:val="00DA29FB"/>
    <w:rsid w:val="00DB0D6C"/>
    <w:rsid w:val="00DB323D"/>
    <w:rsid w:val="00DB4EC6"/>
    <w:rsid w:val="00DB5260"/>
    <w:rsid w:val="00DB632C"/>
    <w:rsid w:val="00DC2C13"/>
    <w:rsid w:val="00DC4F16"/>
    <w:rsid w:val="00DD3313"/>
    <w:rsid w:val="00DE24BC"/>
    <w:rsid w:val="00DF42E2"/>
    <w:rsid w:val="00DF444C"/>
    <w:rsid w:val="00DF6785"/>
    <w:rsid w:val="00E023A7"/>
    <w:rsid w:val="00E032C2"/>
    <w:rsid w:val="00E0343F"/>
    <w:rsid w:val="00E160BD"/>
    <w:rsid w:val="00E16E21"/>
    <w:rsid w:val="00E179E3"/>
    <w:rsid w:val="00E20810"/>
    <w:rsid w:val="00E236F7"/>
    <w:rsid w:val="00E32416"/>
    <w:rsid w:val="00E349CB"/>
    <w:rsid w:val="00E431D1"/>
    <w:rsid w:val="00E4409C"/>
    <w:rsid w:val="00E44DE0"/>
    <w:rsid w:val="00E44F35"/>
    <w:rsid w:val="00E50A9C"/>
    <w:rsid w:val="00E51BB4"/>
    <w:rsid w:val="00E557AD"/>
    <w:rsid w:val="00E77617"/>
    <w:rsid w:val="00E778FA"/>
    <w:rsid w:val="00E77C2B"/>
    <w:rsid w:val="00E81890"/>
    <w:rsid w:val="00E8328F"/>
    <w:rsid w:val="00E863A4"/>
    <w:rsid w:val="00E93B6F"/>
    <w:rsid w:val="00E952E3"/>
    <w:rsid w:val="00E96495"/>
    <w:rsid w:val="00EA6783"/>
    <w:rsid w:val="00EB1856"/>
    <w:rsid w:val="00EB204E"/>
    <w:rsid w:val="00EB31C3"/>
    <w:rsid w:val="00EB5E48"/>
    <w:rsid w:val="00EB6AC1"/>
    <w:rsid w:val="00EC0425"/>
    <w:rsid w:val="00EC46A2"/>
    <w:rsid w:val="00EC6DBF"/>
    <w:rsid w:val="00ED3FE7"/>
    <w:rsid w:val="00ED58F6"/>
    <w:rsid w:val="00EF1771"/>
    <w:rsid w:val="00EF1853"/>
    <w:rsid w:val="00EF4253"/>
    <w:rsid w:val="00EF5D1E"/>
    <w:rsid w:val="00EF6ACB"/>
    <w:rsid w:val="00F02B65"/>
    <w:rsid w:val="00F04CFB"/>
    <w:rsid w:val="00F31E25"/>
    <w:rsid w:val="00F32AFA"/>
    <w:rsid w:val="00F32C66"/>
    <w:rsid w:val="00F3328B"/>
    <w:rsid w:val="00F340B4"/>
    <w:rsid w:val="00F3550A"/>
    <w:rsid w:val="00F36108"/>
    <w:rsid w:val="00F376CF"/>
    <w:rsid w:val="00F44583"/>
    <w:rsid w:val="00F44F4C"/>
    <w:rsid w:val="00F502C3"/>
    <w:rsid w:val="00F51BFC"/>
    <w:rsid w:val="00F5251A"/>
    <w:rsid w:val="00F54164"/>
    <w:rsid w:val="00F56BFA"/>
    <w:rsid w:val="00F6195F"/>
    <w:rsid w:val="00F63E4E"/>
    <w:rsid w:val="00F76066"/>
    <w:rsid w:val="00F772CE"/>
    <w:rsid w:val="00F81C95"/>
    <w:rsid w:val="00F823D3"/>
    <w:rsid w:val="00F83097"/>
    <w:rsid w:val="00F835A3"/>
    <w:rsid w:val="00F836F4"/>
    <w:rsid w:val="00F8517B"/>
    <w:rsid w:val="00F86B2A"/>
    <w:rsid w:val="00F86EAD"/>
    <w:rsid w:val="00FA7869"/>
    <w:rsid w:val="00FB20A2"/>
    <w:rsid w:val="00FB71A1"/>
    <w:rsid w:val="00FC00A4"/>
    <w:rsid w:val="00FC73F5"/>
    <w:rsid w:val="00FD09A8"/>
    <w:rsid w:val="00FD32F6"/>
    <w:rsid w:val="00FE45DB"/>
    <w:rsid w:val="00FE7703"/>
    <w:rsid w:val="00FF3E8F"/>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F4C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1" w:defQFormat="0" w:count="276">
    <w:lsdException w:name="Normal" w:unhideWhenUsed="0" w:qFormat="1"/>
    <w:lsdException w:name="heading 1" w:unhideWhenUsed="0" w:qFormat="1"/>
    <w:lsdException w:name="heading 2" w:unhideWhenUsed="0" w:qFormat="1"/>
    <w:lsdException w:name="heading 3" w:unhideWhenUsed="0" w:qFormat="1"/>
    <w:lsdException w:name="heading 4" w:unhideWhenUsed="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4" w:unhideWhenUsed="0"/>
    <w:lsdException w:name="List 5" w:unhideWhenUsed="0"/>
    <w:lsdException w:name="List Number 5" w:semiHidden="1"/>
    <w:lsdException w:name="Title" w:unhideWhenUsed="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Hyperlink" w:semiHidden="1" w:uiPriority="99"/>
    <w:lsdException w:name="FollowedHyperlink" w:semiHidden="1"/>
    <w:lsdException w:name="Strong" w:unhideWhenUsed="0" w:qFormat="1"/>
    <w:lsdException w:name="Emphasis"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unhideWhenUsed="0"/>
    <w:lsdException w:name="Table Theme" w:semiHidden="1"/>
    <w:lsdException w:name="Note Level 1" w:unhideWhenUsed="0"/>
    <w:lsdException w:name="Note Level 2" w:unhideWhenUsed="0"/>
    <w:lsdException w:name="Note Level 3" w:unhideWhenUsed="0"/>
    <w:lsdException w:name="Note Level 4" w:unhideWhenUsed="0"/>
    <w:lsdException w:name="Note Level 5" w:unhideWhenUsed="0"/>
    <w:lsdException w:name="Note Level 6" w:unhideWhenUsed="0"/>
    <w:lsdException w:name="Note Level 7" w:unhideWhenUsed="0"/>
    <w:lsdException w:name="Note Level 8" w:unhideWhenUsed="0"/>
    <w:lsdException w:name="Note Level 9" w:unhideWhenUsed="0"/>
    <w:lsdException w:name="Placeholder Text" w:semiHidden="1" w:uiPriority="99"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rsid w:val="00C60A38"/>
    <w:rPr>
      <w:sz w:val="24"/>
      <w:szCs w:val="24"/>
    </w:rPr>
  </w:style>
  <w:style w:type="paragraph" w:styleId="Heading1">
    <w:name w:val="heading 1"/>
    <w:basedOn w:val="Normal"/>
    <w:next w:val="Normal"/>
    <w:qFormat/>
    <w:rsid w:val="00C60A3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60A38"/>
    <w:pPr>
      <w:keepNext/>
      <w:spacing w:after="120"/>
      <w:outlineLvl w:val="1"/>
    </w:pPr>
    <w:rPr>
      <w:u w:val="single"/>
    </w:rPr>
  </w:style>
  <w:style w:type="paragraph" w:styleId="Heading3">
    <w:name w:val="heading 3"/>
    <w:basedOn w:val="Normal"/>
    <w:next w:val="Normal"/>
    <w:qFormat/>
    <w:rsid w:val="00C60A38"/>
    <w:pPr>
      <w:keepNext/>
      <w:outlineLvl w:val="2"/>
    </w:pPr>
    <w:rPr>
      <w:rFonts w:ascii="Arial" w:hAnsi="Arial" w:cs="Arial"/>
      <w:i/>
      <w:iCs/>
      <w:sz w:val="20"/>
    </w:rPr>
  </w:style>
  <w:style w:type="paragraph" w:styleId="Heading4">
    <w:name w:val="heading 4"/>
    <w:basedOn w:val="Normal"/>
    <w:next w:val="Normal"/>
    <w:qFormat/>
    <w:rsid w:val="00C60A38"/>
    <w:pPr>
      <w:keepNext/>
      <w:spacing w:before="240" w:after="60"/>
      <w:outlineLvl w:val="3"/>
    </w:pPr>
    <w:rPr>
      <w:b/>
      <w:bCs/>
      <w:sz w:val="28"/>
      <w:szCs w:val="28"/>
    </w:rPr>
  </w:style>
  <w:style w:type="paragraph" w:styleId="Heading5">
    <w:name w:val="heading 5"/>
    <w:basedOn w:val="Normal"/>
    <w:next w:val="Normal"/>
    <w:qFormat/>
    <w:rsid w:val="00C60A38"/>
    <w:pPr>
      <w:spacing w:before="240" w:after="60"/>
      <w:outlineLvl w:val="4"/>
    </w:pPr>
    <w:rPr>
      <w:b/>
      <w:bCs/>
      <w:i/>
      <w:iCs/>
      <w:sz w:val="26"/>
      <w:szCs w:val="26"/>
    </w:rPr>
  </w:style>
  <w:style w:type="paragraph" w:styleId="Heading6">
    <w:name w:val="heading 6"/>
    <w:basedOn w:val="Normal"/>
    <w:next w:val="Normal"/>
    <w:qFormat/>
    <w:rsid w:val="00C60A38"/>
    <w:pPr>
      <w:spacing w:before="240" w:after="60"/>
      <w:outlineLvl w:val="5"/>
    </w:pPr>
    <w:rPr>
      <w:b/>
      <w:bCs/>
      <w:sz w:val="22"/>
      <w:szCs w:val="22"/>
    </w:rPr>
  </w:style>
  <w:style w:type="paragraph" w:styleId="Heading7">
    <w:name w:val="heading 7"/>
    <w:basedOn w:val="Normal"/>
    <w:next w:val="Normal"/>
    <w:qFormat/>
    <w:rsid w:val="00C60A38"/>
    <w:pPr>
      <w:spacing w:before="240" w:after="60"/>
      <w:outlineLvl w:val="6"/>
    </w:pPr>
  </w:style>
  <w:style w:type="paragraph" w:styleId="Heading8">
    <w:name w:val="heading 8"/>
    <w:basedOn w:val="Normal"/>
    <w:next w:val="Normal"/>
    <w:qFormat/>
    <w:rsid w:val="00C60A38"/>
    <w:pPr>
      <w:spacing w:before="240" w:after="60"/>
      <w:outlineLvl w:val="7"/>
    </w:pPr>
    <w:rPr>
      <w:i/>
      <w:iCs/>
    </w:rPr>
  </w:style>
  <w:style w:type="paragraph" w:styleId="Heading9">
    <w:name w:val="heading 9"/>
    <w:basedOn w:val="Normal"/>
    <w:next w:val="Normal"/>
    <w:qFormat/>
    <w:rsid w:val="00C60A3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60A38"/>
    <w:pPr>
      <w:tabs>
        <w:tab w:val="center" w:pos="4320"/>
        <w:tab w:val="right" w:pos="8640"/>
      </w:tabs>
    </w:pPr>
  </w:style>
  <w:style w:type="paragraph" w:styleId="Footer">
    <w:name w:val="footer"/>
    <w:basedOn w:val="Normal"/>
    <w:rsid w:val="00C60A38"/>
    <w:pPr>
      <w:tabs>
        <w:tab w:val="center" w:pos="4320"/>
        <w:tab w:val="right" w:pos="8640"/>
      </w:tabs>
    </w:pPr>
  </w:style>
  <w:style w:type="paragraph" w:customStyle="1" w:styleId="arttitle">
    <w:name w:val="arttitle"/>
    <w:basedOn w:val="Heading1"/>
    <w:rsid w:val="00C60A38"/>
    <w:pPr>
      <w:keepNext w:val="0"/>
      <w:overflowPunct w:val="0"/>
      <w:autoSpaceDE w:val="0"/>
      <w:autoSpaceDN w:val="0"/>
      <w:adjustRightInd w:val="0"/>
      <w:spacing w:line="480" w:lineRule="atLeast"/>
      <w:textAlignment w:val="baseline"/>
      <w:outlineLvl w:val="9"/>
    </w:pPr>
    <w:rPr>
      <w:rFonts w:cs="Times New Roman"/>
      <w:bCs w:val="0"/>
      <w:color w:val="000000"/>
      <w:kern w:val="0"/>
      <w:szCs w:val="20"/>
    </w:rPr>
  </w:style>
  <w:style w:type="paragraph" w:styleId="BodyText">
    <w:name w:val="Body Text"/>
    <w:basedOn w:val="Normal"/>
    <w:rsid w:val="00C60A38"/>
    <w:pPr>
      <w:spacing w:line="360" w:lineRule="auto"/>
      <w:jc w:val="both"/>
    </w:pPr>
    <w:rPr>
      <w:szCs w:val="20"/>
    </w:rPr>
  </w:style>
  <w:style w:type="character" w:styleId="Hyperlink">
    <w:name w:val="Hyperlink"/>
    <w:basedOn w:val="DefaultParagraphFont"/>
    <w:uiPriority w:val="99"/>
    <w:rsid w:val="00C60A38"/>
    <w:rPr>
      <w:color w:val="0000FF"/>
      <w:u w:val="single"/>
    </w:rPr>
  </w:style>
  <w:style w:type="paragraph" w:customStyle="1" w:styleId="HTMLBody">
    <w:name w:val="HTML Body"/>
    <w:rsid w:val="00C60A38"/>
    <w:pPr>
      <w:autoSpaceDE w:val="0"/>
      <w:autoSpaceDN w:val="0"/>
      <w:adjustRightInd w:val="0"/>
    </w:pPr>
    <w:rPr>
      <w:rFonts w:ascii="Arial" w:hAnsi="Arial"/>
    </w:rPr>
  </w:style>
  <w:style w:type="paragraph" w:styleId="BodyTextIndent">
    <w:name w:val="Body Text Indent"/>
    <w:basedOn w:val="Normal"/>
    <w:rsid w:val="00C60A38"/>
    <w:pPr>
      <w:ind w:firstLine="720"/>
      <w:jc w:val="both"/>
    </w:pPr>
  </w:style>
  <w:style w:type="paragraph" w:styleId="BlockText">
    <w:name w:val="Block Text"/>
    <w:basedOn w:val="Normal"/>
    <w:rsid w:val="00C60A38"/>
    <w:pPr>
      <w:spacing w:after="120"/>
      <w:ind w:left="1440" w:right="1440"/>
    </w:pPr>
  </w:style>
  <w:style w:type="paragraph" w:styleId="BodyText2">
    <w:name w:val="Body Text 2"/>
    <w:basedOn w:val="Normal"/>
    <w:rsid w:val="00C60A38"/>
    <w:pPr>
      <w:spacing w:after="120" w:line="480" w:lineRule="auto"/>
    </w:pPr>
  </w:style>
  <w:style w:type="paragraph" w:styleId="BodyText3">
    <w:name w:val="Body Text 3"/>
    <w:basedOn w:val="Normal"/>
    <w:rsid w:val="00C60A38"/>
    <w:pPr>
      <w:spacing w:after="120"/>
    </w:pPr>
    <w:rPr>
      <w:sz w:val="16"/>
      <w:szCs w:val="16"/>
    </w:rPr>
  </w:style>
  <w:style w:type="paragraph" w:styleId="BodyTextFirstIndent">
    <w:name w:val="Body Text First Indent"/>
    <w:basedOn w:val="BodyText"/>
    <w:rsid w:val="00C60A38"/>
    <w:pPr>
      <w:spacing w:after="120" w:line="240" w:lineRule="auto"/>
      <w:ind w:firstLine="210"/>
      <w:jc w:val="left"/>
    </w:pPr>
    <w:rPr>
      <w:szCs w:val="24"/>
    </w:rPr>
  </w:style>
  <w:style w:type="paragraph" w:styleId="BodyTextFirstIndent2">
    <w:name w:val="Body Text First Indent 2"/>
    <w:basedOn w:val="BodyTextIndent"/>
    <w:rsid w:val="00C60A38"/>
    <w:pPr>
      <w:spacing w:after="120"/>
      <w:ind w:left="360" w:firstLine="210"/>
      <w:jc w:val="left"/>
    </w:pPr>
  </w:style>
  <w:style w:type="paragraph" w:styleId="BodyTextIndent2">
    <w:name w:val="Body Text Indent 2"/>
    <w:basedOn w:val="Normal"/>
    <w:rsid w:val="00C60A38"/>
    <w:pPr>
      <w:spacing w:after="120" w:line="480" w:lineRule="auto"/>
      <w:ind w:left="360"/>
    </w:pPr>
  </w:style>
  <w:style w:type="paragraph" w:styleId="BodyTextIndent3">
    <w:name w:val="Body Text Indent 3"/>
    <w:basedOn w:val="Normal"/>
    <w:rsid w:val="00C60A38"/>
    <w:pPr>
      <w:spacing w:after="120"/>
      <w:ind w:left="360"/>
    </w:pPr>
    <w:rPr>
      <w:sz w:val="16"/>
      <w:szCs w:val="16"/>
    </w:rPr>
  </w:style>
  <w:style w:type="paragraph" w:styleId="Caption">
    <w:name w:val="caption"/>
    <w:basedOn w:val="Normal"/>
    <w:next w:val="Normal"/>
    <w:uiPriority w:val="35"/>
    <w:qFormat/>
    <w:rsid w:val="00C60A38"/>
    <w:pPr>
      <w:spacing w:before="120" w:after="120"/>
    </w:pPr>
    <w:rPr>
      <w:b/>
      <w:bCs/>
      <w:sz w:val="20"/>
      <w:szCs w:val="20"/>
    </w:rPr>
  </w:style>
  <w:style w:type="paragraph" w:styleId="Closing">
    <w:name w:val="Closing"/>
    <w:basedOn w:val="Normal"/>
    <w:rsid w:val="00C60A38"/>
    <w:pPr>
      <w:ind w:left="4320"/>
    </w:pPr>
  </w:style>
  <w:style w:type="paragraph" w:styleId="CommentText">
    <w:name w:val="annotation text"/>
    <w:basedOn w:val="Normal"/>
    <w:link w:val="CommentTextChar"/>
    <w:semiHidden/>
    <w:rsid w:val="00C60A38"/>
    <w:rPr>
      <w:sz w:val="20"/>
      <w:szCs w:val="20"/>
    </w:rPr>
  </w:style>
  <w:style w:type="paragraph" w:styleId="Date">
    <w:name w:val="Date"/>
    <w:basedOn w:val="Normal"/>
    <w:next w:val="Normal"/>
    <w:rsid w:val="00C60A38"/>
  </w:style>
  <w:style w:type="paragraph" w:styleId="DocumentMap">
    <w:name w:val="Document Map"/>
    <w:basedOn w:val="Normal"/>
    <w:semiHidden/>
    <w:rsid w:val="00C60A38"/>
    <w:pPr>
      <w:shd w:val="clear" w:color="auto" w:fill="000080"/>
    </w:pPr>
    <w:rPr>
      <w:rFonts w:ascii="Tahoma" w:hAnsi="Tahoma" w:cs="Tahoma"/>
    </w:rPr>
  </w:style>
  <w:style w:type="paragraph" w:styleId="E-mailSignature">
    <w:name w:val="E-mail Signature"/>
    <w:basedOn w:val="Normal"/>
    <w:rsid w:val="00C60A38"/>
  </w:style>
  <w:style w:type="paragraph" w:styleId="EndnoteText">
    <w:name w:val="endnote text"/>
    <w:basedOn w:val="Normal"/>
    <w:semiHidden/>
    <w:rsid w:val="00C60A38"/>
    <w:rPr>
      <w:sz w:val="20"/>
      <w:szCs w:val="20"/>
    </w:rPr>
  </w:style>
  <w:style w:type="paragraph" w:styleId="EnvelopeAddress">
    <w:name w:val="envelope address"/>
    <w:basedOn w:val="Normal"/>
    <w:rsid w:val="00C60A38"/>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60A38"/>
    <w:rPr>
      <w:rFonts w:ascii="Arial" w:hAnsi="Arial" w:cs="Arial"/>
      <w:sz w:val="20"/>
      <w:szCs w:val="20"/>
    </w:rPr>
  </w:style>
  <w:style w:type="paragraph" w:styleId="FootnoteText">
    <w:name w:val="footnote text"/>
    <w:basedOn w:val="Normal"/>
    <w:semiHidden/>
    <w:rsid w:val="00C60A38"/>
    <w:rPr>
      <w:sz w:val="20"/>
      <w:szCs w:val="20"/>
    </w:rPr>
  </w:style>
  <w:style w:type="paragraph" w:styleId="HTMLAddress">
    <w:name w:val="HTML Address"/>
    <w:basedOn w:val="Normal"/>
    <w:rsid w:val="00C60A38"/>
    <w:rPr>
      <w:i/>
      <w:iCs/>
    </w:rPr>
  </w:style>
  <w:style w:type="paragraph" w:styleId="HTMLPreformatted">
    <w:name w:val="HTML Preformatted"/>
    <w:basedOn w:val="Normal"/>
    <w:rsid w:val="00C60A38"/>
    <w:rPr>
      <w:rFonts w:ascii="Courier New" w:hAnsi="Courier New" w:cs="Courier New"/>
      <w:sz w:val="20"/>
      <w:szCs w:val="20"/>
    </w:rPr>
  </w:style>
  <w:style w:type="paragraph" w:styleId="Index1">
    <w:name w:val="index 1"/>
    <w:basedOn w:val="Normal"/>
    <w:next w:val="Normal"/>
    <w:autoRedefine/>
    <w:semiHidden/>
    <w:rsid w:val="00C60A38"/>
    <w:pPr>
      <w:ind w:left="240" w:hanging="240"/>
    </w:pPr>
  </w:style>
  <w:style w:type="paragraph" w:styleId="Index2">
    <w:name w:val="index 2"/>
    <w:basedOn w:val="Normal"/>
    <w:next w:val="Normal"/>
    <w:autoRedefine/>
    <w:semiHidden/>
    <w:rsid w:val="00C60A38"/>
    <w:pPr>
      <w:ind w:left="480" w:hanging="240"/>
    </w:pPr>
  </w:style>
  <w:style w:type="paragraph" w:styleId="Index3">
    <w:name w:val="index 3"/>
    <w:basedOn w:val="Normal"/>
    <w:next w:val="Normal"/>
    <w:autoRedefine/>
    <w:semiHidden/>
    <w:rsid w:val="00C60A38"/>
    <w:pPr>
      <w:ind w:left="720" w:hanging="240"/>
    </w:pPr>
  </w:style>
  <w:style w:type="paragraph" w:styleId="Index4">
    <w:name w:val="index 4"/>
    <w:basedOn w:val="Normal"/>
    <w:next w:val="Normal"/>
    <w:autoRedefine/>
    <w:semiHidden/>
    <w:rsid w:val="00C60A38"/>
    <w:pPr>
      <w:ind w:left="960" w:hanging="240"/>
    </w:pPr>
  </w:style>
  <w:style w:type="paragraph" w:styleId="Index5">
    <w:name w:val="index 5"/>
    <w:basedOn w:val="Normal"/>
    <w:next w:val="Normal"/>
    <w:autoRedefine/>
    <w:semiHidden/>
    <w:rsid w:val="00C60A38"/>
    <w:pPr>
      <w:ind w:left="1200" w:hanging="240"/>
    </w:pPr>
  </w:style>
  <w:style w:type="paragraph" w:styleId="Index6">
    <w:name w:val="index 6"/>
    <w:basedOn w:val="Normal"/>
    <w:next w:val="Normal"/>
    <w:autoRedefine/>
    <w:semiHidden/>
    <w:rsid w:val="00C60A38"/>
    <w:pPr>
      <w:ind w:left="1440" w:hanging="240"/>
    </w:pPr>
  </w:style>
  <w:style w:type="paragraph" w:styleId="Index7">
    <w:name w:val="index 7"/>
    <w:basedOn w:val="Normal"/>
    <w:next w:val="Normal"/>
    <w:autoRedefine/>
    <w:semiHidden/>
    <w:rsid w:val="00C60A38"/>
    <w:pPr>
      <w:ind w:left="1680" w:hanging="240"/>
    </w:pPr>
  </w:style>
  <w:style w:type="paragraph" w:styleId="Index8">
    <w:name w:val="index 8"/>
    <w:basedOn w:val="Normal"/>
    <w:next w:val="Normal"/>
    <w:autoRedefine/>
    <w:semiHidden/>
    <w:rsid w:val="00C60A38"/>
    <w:pPr>
      <w:ind w:left="1920" w:hanging="240"/>
    </w:pPr>
  </w:style>
  <w:style w:type="paragraph" w:styleId="Index9">
    <w:name w:val="index 9"/>
    <w:basedOn w:val="Normal"/>
    <w:next w:val="Normal"/>
    <w:autoRedefine/>
    <w:semiHidden/>
    <w:rsid w:val="00C60A38"/>
    <w:pPr>
      <w:ind w:left="2160" w:hanging="240"/>
    </w:pPr>
  </w:style>
  <w:style w:type="paragraph" w:styleId="IndexHeading">
    <w:name w:val="index heading"/>
    <w:basedOn w:val="Normal"/>
    <w:next w:val="Index1"/>
    <w:semiHidden/>
    <w:rsid w:val="00C60A38"/>
    <w:rPr>
      <w:rFonts w:ascii="Arial" w:hAnsi="Arial" w:cs="Arial"/>
      <w:b/>
      <w:bCs/>
    </w:rPr>
  </w:style>
  <w:style w:type="paragraph" w:styleId="List">
    <w:name w:val="List"/>
    <w:basedOn w:val="Normal"/>
    <w:rsid w:val="00C60A38"/>
    <w:pPr>
      <w:ind w:left="360" w:hanging="360"/>
    </w:pPr>
  </w:style>
  <w:style w:type="paragraph" w:styleId="List2">
    <w:name w:val="List 2"/>
    <w:basedOn w:val="Normal"/>
    <w:rsid w:val="00C60A38"/>
    <w:pPr>
      <w:ind w:left="720" w:hanging="360"/>
    </w:pPr>
  </w:style>
  <w:style w:type="paragraph" w:styleId="List3">
    <w:name w:val="List 3"/>
    <w:basedOn w:val="Normal"/>
    <w:rsid w:val="00C60A38"/>
    <w:pPr>
      <w:ind w:left="1080" w:hanging="360"/>
    </w:pPr>
  </w:style>
  <w:style w:type="paragraph" w:styleId="List4">
    <w:name w:val="List 4"/>
    <w:basedOn w:val="Normal"/>
    <w:rsid w:val="00C60A38"/>
    <w:pPr>
      <w:ind w:left="1440" w:hanging="360"/>
    </w:pPr>
  </w:style>
  <w:style w:type="paragraph" w:styleId="List5">
    <w:name w:val="List 5"/>
    <w:basedOn w:val="Normal"/>
    <w:rsid w:val="00C60A38"/>
    <w:pPr>
      <w:ind w:left="1800" w:hanging="360"/>
    </w:pPr>
  </w:style>
  <w:style w:type="paragraph" w:styleId="ListBullet">
    <w:name w:val="List Bullet"/>
    <w:basedOn w:val="Normal"/>
    <w:autoRedefine/>
    <w:rsid w:val="00C60A38"/>
    <w:pPr>
      <w:numPr>
        <w:numId w:val="1"/>
      </w:numPr>
    </w:pPr>
  </w:style>
  <w:style w:type="paragraph" w:styleId="ListBullet2">
    <w:name w:val="List Bullet 2"/>
    <w:basedOn w:val="Normal"/>
    <w:autoRedefine/>
    <w:rsid w:val="00C60A38"/>
    <w:pPr>
      <w:numPr>
        <w:numId w:val="2"/>
      </w:numPr>
    </w:pPr>
  </w:style>
  <w:style w:type="paragraph" w:styleId="ListBullet3">
    <w:name w:val="List Bullet 3"/>
    <w:basedOn w:val="Normal"/>
    <w:autoRedefine/>
    <w:rsid w:val="00C60A38"/>
    <w:pPr>
      <w:numPr>
        <w:numId w:val="3"/>
      </w:numPr>
    </w:pPr>
  </w:style>
  <w:style w:type="paragraph" w:styleId="ListBullet4">
    <w:name w:val="List Bullet 4"/>
    <w:basedOn w:val="Normal"/>
    <w:autoRedefine/>
    <w:rsid w:val="00C60A38"/>
    <w:pPr>
      <w:numPr>
        <w:numId w:val="4"/>
      </w:numPr>
    </w:pPr>
  </w:style>
  <w:style w:type="paragraph" w:styleId="ListBullet5">
    <w:name w:val="List Bullet 5"/>
    <w:basedOn w:val="Normal"/>
    <w:autoRedefine/>
    <w:rsid w:val="00C60A38"/>
    <w:pPr>
      <w:numPr>
        <w:numId w:val="5"/>
      </w:numPr>
    </w:pPr>
  </w:style>
  <w:style w:type="paragraph" w:styleId="ListContinue">
    <w:name w:val="List Continue"/>
    <w:basedOn w:val="Normal"/>
    <w:rsid w:val="00C60A38"/>
    <w:pPr>
      <w:spacing w:after="120"/>
      <w:ind w:left="360"/>
    </w:pPr>
  </w:style>
  <w:style w:type="paragraph" w:styleId="ListContinue2">
    <w:name w:val="List Continue 2"/>
    <w:basedOn w:val="Normal"/>
    <w:rsid w:val="00C60A38"/>
    <w:pPr>
      <w:spacing w:after="120"/>
      <w:ind w:left="720"/>
    </w:pPr>
  </w:style>
  <w:style w:type="paragraph" w:styleId="ListContinue3">
    <w:name w:val="List Continue 3"/>
    <w:basedOn w:val="Normal"/>
    <w:rsid w:val="00C60A38"/>
    <w:pPr>
      <w:spacing w:after="120"/>
      <w:ind w:left="1080"/>
    </w:pPr>
  </w:style>
  <w:style w:type="paragraph" w:styleId="ListContinue4">
    <w:name w:val="List Continue 4"/>
    <w:basedOn w:val="Normal"/>
    <w:rsid w:val="00C60A38"/>
    <w:pPr>
      <w:spacing w:after="120"/>
      <w:ind w:left="1440"/>
    </w:pPr>
  </w:style>
  <w:style w:type="paragraph" w:styleId="ListContinue5">
    <w:name w:val="List Continue 5"/>
    <w:basedOn w:val="Normal"/>
    <w:rsid w:val="00C60A38"/>
    <w:pPr>
      <w:spacing w:after="120"/>
      <w:ind w:left="1800"/>
    </w:pPr>
  </w:style>
  <w:style w:type="paragraph" w:styleId="ListNumber">
    <w:name w:val="List Number"/>
    <w:basedOn w:val="Normal"/>
    <w:rsid w:val="00C60A38"/>
    <w:pPr>
      <w:numPr>
        <w:numId w:val="6"/>
      </w:numPr>
    </w:pPr>
  </w:style>
  <w:style w:type="paragraph" w:styleId="ListNumber2">
    <w:name w:val="List Number 2"/>
    <w:basedOn w:val="Normal"/>
    <w:rsid w:val="00C60A38"/>
    <w:pPr>
      <w:numPr>
        <w:numId w:val="7"/>
      </w:numPr>
    </w:pPr>
  </w:style>
  <w:style w:type="paragraph" w:styleId="ListNumber3">
    <w:name w:val="List Number 3"/>
    <w:basedOn w:val="Normal"/>
    <w:rsid w:val="00C60A38"/>
    <w:pPr>
      <w:numPr>
        <w:numId w:val="8"/>
      </w:numPr>
    </w:pPr>
  </w:style>
  <w:style w:type="paragraph" w:styleId="ListNumber4">
    <w:name w:val="List Number 4"/>
    <w:basedOn w:val="Normal"/>
    <w:rsid w:val="00C60A38"/>
    <w:pPr>
      <w:numPr>
        <w:numId w:val="9"/>
      </w:numPr>
    </w:pPr>
  </w:style>
  <w:style w:type="paragraph" w:styleId="ListNumber5">
    <w:name w:val="List Number 5"/>
    <w:basedOn w:val="Normal"/>
    <w:rsid w:val="00C60A38"/>
    <w:pPr>
      <w:numPr>
        <w:numId w:val="10"/>
      </w:numPr>
    </w:pPr>
  </w:style>
  <w:style w:type="paragraph" w:styleId="MacroText">
    <w:name w:val="macro"/>
    <w:semiHidden/>
    <w:rsid w:val="00C60A3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C60A3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C60A38"/>
  </w:style>
  <w:style w:type="paragraph" w:styleId="NormalIndent">
    <w:name w:val="Normal Indent"/>
    <w:basedOn w:val="Normal"/>
    <w:rsid w:val="00C60A38"/>
    <w:pPr>
      <w:ind w:left="720"/>
    </w:pPr>
  </w:style>
  <w:style w:type="paragraph" w:styleId="NoteHeading">
    <w:name w:val="Note Heading"/>
    <w:basedOn w:val="Normal"/>
    <w:next w:val="Normal"/>
    <w:rsid w:val="00C60A38"/>
  </w:style>
  <w:style w:type="paragraph" w:styleId="PlainText">
    <w:name w:val="Plain Text"/>
    <w:basedOn w:val="Normal"/>
    <w:rsid w:val="00C60A38"/>
    <w:rPr>
      <w:rFonts w:ascii="Courier New" w:hAnsi="Courier New" w:cs="Courier New"/>
      <w:sz w:val="20"/>
      <w:szCs w:val="20"/>
    </w:rPr>
  </w:style>
  <w:style w:type="paragraph" w:styleId="Salutation">
    <w:name w:val="Salutation"/>
    <w:basedOn w:val="Normal"/>
    <w:next w:val="Normal"/>
    <w:rsid w:val="00C60A38"/>
  </w:style>
  <w:style w:type="paragraph" w:styleId="Signature">
    <w:name w:val="Signature"/>
    <w:basedOn w:val="Normal"/>
    <w:rsid w:val="00C60A38"/>
    <w:pPr>
      <w:ind w:left="4320"/>
    </w:pPr>
  </w:style>
  <w:style w:type="paragraph" w:styleId="Subtitle">
    <w:name w:val="Subtitle"/>
    <w:basedOn w:val="Normal"/>
    <w:link w:val="SubtitleChar"/>
    <w:uiPriority w:val="11"/>
    <w:qFormat/>
    <w:rsid w:val="00C60A38"/>
    <w:pPr>
      <w:spacing w:after="60"/>
      <w:jc w:val="center"/>
      <w:outlineLvl w:val="1"/>
    </w:pPr>
    <w:rPr>
      <w:rFonts w:ascii="Arial" w:hAnsi="Arial" w:cs="Arial"/>
    </w:rPr>
  </w:style>
  <w:style w:type="paragraph" w:styleId="TableofAuthorities">
    <w:name w:val="table of authorities"/>
    <w:basedOn w:val="Normal"/>
    <w:next w:val="Normal"/>
    <w:semiHidden/>
    <w:rsid w:val="00C60A38"/>
    <w:pPr>
      <w:ind w:left="240" w:hanging="240"/>
    </w:pPr>
  </w:style>
  <w:style w:type="paragraph" w:styleId="TableofFigures">
    <w:name w:val="table of figures"/>
    <w:basedOn w:val="Normal"/>
    <w:next w:val="Normal"/>
    <w:semiHidden/>
    <w:rsid w:val="00C60A38"/>
    <w:pPr>
      <w:ind w:left="480" w:hanging="480"/>
    </w:pPr>
  </w:style>
  <w:style w:type="paragraph" w:styleId="Title">
    <w:name w:val="Title"/>
    <w:basedOn w:val="Normal"/>
    <w:qFormat/>
    <w:rsid w:val="00C60A38"/>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C60A38"/>
    <w:pPr>
      <w:spacing w:before="120"/>
    </w:pPr>
    <w:rPr>
      <w:rFonts w:ascii="Arial" w:hAnsi="Arial" w:cs="Arial"/>
      <w:b/>
      <w:bCs/>
    </w:rPr>
  </w:style>
  <w:style w:type="paragraph" w:styleId="TOC1">
    <w:name w:val="toc 1"/>
    <w:basedOn w:val="Normal"/>
    <w:next w:val="Normal"/>
    <w:autoRedefine/>
    <w:semiHidden/>
    <w:rsid w:val="00C60A38"/>
  </w:style>
  <w:style w:type="paragraph" w:styleId="TOC2">
    <w:name w:val="toc 2"/>
    <w:basedOn w:val="Normal"/>
    <w:next w:val="Normal"/>
    <w:autoRedefine/>
    <w:semiHidden/>
    <w:rsid w:val="00C60A38"/>
    <w:pPr>
      <w:ind w:left="240"/>
    </w:pPr>
  </w:style>
  <w:style w:type="paragraph" w:styleId="TOC3">
    <w:name w:val="toc 3"/>
    <w:basedOn w:val="Normal"/>
    <w:next w:val="Normal"/>
    <w:autoRedefine/>
    <w:semiHidden/>
    <w:rsid w:val="00C60A38"/>
    <w:pPr>
      <w:ind w:left="480"/>
    </w:pPr>
  </w:style>
  <w:style w:type="paragraph" w:styleId="TOC4">
    <w:name w:val="toc 4"/>
    <w:basedOn w:val="Normal"/>
    <w:next w:val="Normal"/>
    <w:autoRedefine/>
    <w:semiHidden/>
    <w:rsid w:val="00C60A38"/>
    <w:pPr>
      <w:ind w:left="720"/>
    </w:pPr>
  </w:style>
  <w:style w:type="paragraph" w:styleId="TOC5">
    <w:name w:val="toc 5"/>
    <w:basedOn w:val="Normal"/>
    <w:next w:val="Normal"/>
    <w:autoRedefine/>
    <w:semiHidden/>
    <w:rsid w:val="00C60A38"/>
    <w:pPr>
      <w:ind w:left="960"/>
    </w:pPr>
  </w:style>
  <w:style w:type="paragraph" w:styleId="TOC6">
    <w:name w:val="toc 6"/>
    <w:basedOn w:val="Normal"/>
    <w:next w:val="Normal"/>
    <w:autoRedefine/>
    <w:semiHidden/>
    <w:rsid w:val="00C60A38"/>
    <w:pPr>
      <w:ind w:left="1200"/>
    </w:pPr>
  </w:style>
  <w:style w:type="paragraph" w:styleId="TOC7">
    <w:name w:val="toc 7"/>
    <w:basedOn w:val="Normal"/>
    <w:next w:val="Normal"/>
    <w:autoRedefine/>
    <w:semiHidden/>
    <w:rsid w:val="00C60A38"/>
    <w:pPr>
      <w:ind w:left="1440"/>
    </w:pPr>
  </w:style>
  <w:style w:type="paragraph" w:styleId="TOC8">
    <w:name w:val="toc 8"/>
    <w:basedOn w:val="Normal"/>
    <w:next w:val="Normal"/>
    <w:autoRedefine/>
    <w:semiHidden/>
    <w:rsid w:val="00C60A38"/>
    <w:pPr>
      <w:ind w:left="1680"/>
    </w:pPr>
  </w:style>
  <w:style w:type="paragraph" w:styleId="TOC9">
    <w:name w:val="toc 9"/>
    <w:basedOn w:val="Normal"/>
    <w:next w:val="Normal"/>
    <w:autoRedefine/>
    <w:semiHidden/>
    <w:rsid w:val="00C60A38"/>
    <w:pPr>
      <w:ind w:left="1920"/>
    </w:pPr>
  </w:style>
  <w:style w:type="paragraph" w:styleId="BalloonText">
    <w:name w:val="Balloon Text"/>
    <w:basedOn w:val="Normal"/>
    <w:semiHidden/>
    <w:rsid w:val="00704B45"/>
    <w:rPr>
      <w:rFonts w:ascii="Tahoma" w:hAnsi="Tahoma" w:cs="Tahoma"/>
      <w:sz w:val="16"/>
      <w:szCs w:val="16"/>
    </w:rPr>
  </w:style>
  <w:style w:type="character" w:styleId="Strong">
    <w:name w:val="Strong"/>
    <w:basedOn w:val="DefaultParagraphFont"/>
    <w:qFormat/>
    <w:rsid w:val="009D4786"/>
    <w:rPr>
      <w:b/>
      <w:bCs/>
    </w:rPr>
  </w:style>
  <w:style w:type="paragraph" w:customStyle="1" w:styleId="western">
    <w:name w:val="western"/>
    <w:basedOn w:val="Normal"/>
    <w:rsid w:val="002A36DA"/>
    <w:pPr>
      <w:spacing w:before="100" w:beforeAutospacing="1" w:line="360" w:lineRule="auto"/>
      <w:jc w:val="both"/>
    </w:pPr>
  </w:style>
  <w:style w:type="paragraph" w:customStyle="1" w:styleId="Default">
    <w:name w:val="Default"/>
    <w:rsid w:val="00C62A82"/>
    <w:pPr>
      <w:autoSpaceDE w:val="0"/>
      <w:autoSpaceDN w:val="0"/>
      <w:adjustRightInd w:val="0"/>
    </w:pPr>
    <w:rPr>
      <w:color w:val="000000"/>
      <w:sz w:val="24"/>
      <w:szCs w:val="24"/>
    </w:rPr>
  </w:style>
  <w:style w:type="paragraph" w:customStyle="1" w:styleId="ElsAbstractHead">
    <w:name w:val="Els_AbstractHead"/>
    <w:rsid w:val="00B16890"/>
    <w:rPr>
      <w:smallCaps/>
      <w:spacing w:val="24"/>
    </w:rPr>
  </w:style>
  <w:style w:type="character" w:styleId="FootnoteReference">
    <w:name w:val="footnote reference"/>
    <w:basedOn w:val="DefaultParagraphFont"/>
    <w:rsid w:val="00B90C77"/>
    <w:rPr>
      <w:vertAlign w:val="superscript"/>
    </w:rPr>
  </w:style>
  <w:style w:type="character" w:customStyle="1" w:styleId="HeaderChar">
    <w:name w:val="Header Char"/>
    <w:basedOn w:val="DefaultParagraphFont"/>
    <w:link w:val="Header"/>
    <w:rsid w:val="002C66BA"/>
    <w:rPr>
      <w:sz w:val="24"/>
      <w:szCs w:val="24"/>
    </w:rPr>
  </w:style>
  <w:style w:type="table" w:styleId="TableGrid">
    <w:name w:val="Table Grid"/>
    <w:basedOn w:val="TableNormal"/>
    <w:rsid w:val="00483C1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mmentTextChar">
    <w:name w:val="Comment Text Char"/>
    <w:basedOn w:val="DefaultParagraphFont"/>
    <w:link w:val="CommentText"/>
    <w:semiHidden/>
    <w:rsid w:val="00F772CE"/>
  </w:style>
  <w:style w:type="paragraph" w:customStyle="1" w:styleId="EndNoteBibliography">
    <w:name w:val="EndNote Bibliography"/>
    <w:basedOn w:val="Normal"/>
    <w:link w:val="EndNoteBibliographyChar"/>
    <w:rsid w:val="00623252"/>
    <w:pPr>
      <w:spacing w:after="200"/>
    </w:pPr>
    <w:rPr>
      <w:rFonts w:ascii="Calibri" w:eastAsiaTheme="minorHAnsi" w:hAnsi="Calibri" w:cstheme="minorBidi"/>
      <w:noProof/>
      <w:sz w:val="22"/>
      <w:szCs w:val="22"/>
    </w:rPr>
  </w:style>
  <w:style w:type="character" w:customStyle="1" w:styleId="EndNoteBibliographyChar">
    <w:name w:val="EndNote Bibliography Char"/>
    <w:basedOn w:val="DefaultParagraphFont"/>
    <w:link w:val="EndNoteBibliography"/>
    <w:rsid w:val="00623252"/>
    <w:rPr>
      <w:rFonts w:ascii="Calibri" w:eastAsiaTheme="minorHAnsi" w:hAnsi="Calibri" w:cstheme="minorBidi"/>
      <w:noProof/>
      <w:sz w:val="22"/>
      <w:szCs w:val="22"/>
    </w:rPr>
  </w:style>
  <w:style w:type="paragraph" w:styleId="ListParagraph">
    <w:name w:val="List Paragraph"/>
    <w:basedOn w:val="Normal"/>
    <w:uiPriority w:val="34"/>
    <w:qFormat/>
    <w:rsid w:val="00CA7C88"/>
    <w:pPr>
      <w:spacing w:after="200" w:line="276" w:lineRule="auto"/>
      <w:ind w:left="720"/>
      <w:contextualSpacing/>
    </w:pPr>
    <w:rPr>
      <w:rFonts w:ascii="Calibri" w:hAnsi="Calibri"/>
      <w:sz w:val="22"/>
      <w:szCs w:val="22"/>
    </w:rPr>
  </w:style>
  <w:style w:type="character" w:styleId="FollowedHyperlink">
    <w:name w:val="FollowedHyperlink"/>
    <w:basedOn w:val="DefaultParagraphFont"/>
    <w:rsid w:val="007E66FD"/>
    <w:rPr>
      <w:color w:val="800080" w:themeColor="followedHyperlink"/>
      <w:u w:val="single"/>
    </w:rPr>
  </w:style>
  <w:style w:type="character" w:customStyle="1" w:styleId="SubtitleChar">
    <w:name w:val="Subtitle Char"/>
    <w:basedOn w:val="DefaultParagraphFont"/>
    <w:link w:val="Subtitle"/>
    <w:uiPriority w:val="11"/>
    <w:rsid w:val="00582B11"/>
    <w:rPr>
      <w:rFonts w:ascii="Arial" w:hAnsi="Arial" w:cs="Arial"/>
      <w:sz w:val="24"/>
      <w:szCs w:val="24"/>
    </w:rPr>
  </w:style>
  <w:style w:type="character" w:styleId="SubtleEmphasis">
    <w:name w:val="Subtle Emphasis"/>
    <w:aliases w:val="Manuscript"/>
    <w:basedOn w:val="PersoChar"/>
    <w:uiPriority w:val="19"/>
    <w:qFormat/>
    <w:rsid w:val="00582B11"/>
    <w:rPr>
      <w:rFonts w:eastAsiaTheme="minorHAnsi" w:cs="Times New Roman"/>
      <w:i/>
      <w:color w:val="7030A0"/>
      <w:sz w:val="22"/>
      <w:szCs w:val="22"/>
    </w:rPr>
  </w:style>
  <w:style w:type="paragraph" w:customStyle="1" w:styleId="Perso">
    <w:name w:val="Perso"/>
    <w:link w:val="PersoChar"/>
    <w:qFormat/>
    <w:rsid w:val="00582B11"/>
    <w:pPr>
      <w:spacing w:line="276" w:lineRule="auto"/>
      <w:ind w:firstLine="567"/>
      <w:jc w:val="both"/>
    </w:pPr>
    <w:rPr>
      <w:rFonts w:eastAsiaTheme="minorHAnsi" w:cstheme="minorBidi"/>
      <w:sz w:val="24"/>
      <w:szCs w:val="22"/>
    </w:rPr>
  </w:style>
  <w:style w:type="character" w:customStyle="1" w:styleId="PersoChar">
    <w:name w:val="Perso Char"/>
    <w:basedOn w:val="DefaultParagraphFont"/>
    <w:link w:val="Perso"/>
    <w:rsid w:val="00582B11"/>
    <w:rPr>
      <w:rFonts w:eastAsiaTheme="minorHAnsi" w:cstheme="minorBidi"/>
      <w:sz w:val="24"/>
      <w:szCs w:val="22"/>
    </w:rPr>
  </w:style>
  <w:style w:type="paragraph" w:customStyle="1" w:styleId="Maintext">
    <w:name w:val="Main text"/>
    <w:basedOn w:val="Normal"/>
    <w:link w:val="MaintextChar"/>
    <w:qFormat/>
    <w:rsid w:val="008C2C2A"/>
    <w:pPr>
      <w:spacing w:line="276" w:lineRule="auto"/>
      <w:ind w:firstLine="360"/>
      <w:jc w:val="both"/>
    </w:pPr>
    <w:rPr>
      <w:rFonts w:eastAsiaTheme="minorEastAsia"/>
      <w:sz w:val="22"/>
      <w:szCs w:val="22"/>
    </w:rPr>
  </w:style>
  <w:style w:type="character" w:customStyle="1" w:styleId="MaintextChar">
    <w:name w:val="Main text Char"/>
    <w:basedOn w:val="DefaultParagraphFont"/>
    <w:link w:val="Maintext"/>
    <w:rsid w:val="008C2C2A"/>
    <w:rPr>
      <w:rFonts w:eastAsiaTheme="minorEastAsia"/>
      <w:sz w:val="22"/>
      <w:szCs w:val="22"/>
    </w:rPr>
  </w:style>
  <w:style w:type="paragraph" w:customStyle="1" w:styleId="Answer">
    <w:name w:val="Answer"/>
    <w:basedOn w:val="Subtitle"/>
    <w:link w:val="AnswerChar"/>
    <w:qFormat/>
    <w:rsid w:val="00BA1F81"/>
    <w:pPr>
      <w:spacing w:after="0"/>
      <w:ind w:firstLine="360"/>
      <w:jc w:val="both"/>
      <w:outlineLvl w:val="9"/>
    </w:pPr>
    <w:rPr>
      <w:rFonts w:ascii="Times New Roman" w:eastAsiaTheme="minorEastAsia" w:hAnsi="Times New Roman" w:cs="Times New Roman"/>
      <w:sz w:val="22"/>
      <w:szCs w:val="22"/>
    </w:rPr>
  </w:style>
  <w:style w:type="character" w:customStyle="1" w:styleId="AnswerChar">
    <w:name w:val="Answer Char"/>
    <w:basedOn w:val="DefaultParagraphFont"/>
    <w:link w:val="Answer"/>
    <w:rsid w:val="00BA1F81"/>
    <w:rPr>
      <w:rFonts w:eastAsiaTheme="minorEastAsia"/>
      <w:sz w:val="22"/>
      <w:szCs w:val="22"/>
    </w:rPr>
  </w:style>
  <w:style w:type="paragraph" w:customStyle="1" w:styleId="Manuscripttext">
    <w:name w:val="Manuscript text"/>
    <w:basedOn w:val="Answer"/>
    <w:link w:val="ManuscripttextChar"/>
    <w:qFormat/>
    <w:rsid w:val="00BA1F81"/>
    <w:pPr>
      <w:ind w:left="720" w:right="720"/>
    </w:pPr>
    <w:rPr>
      <w:i/>
      <w:color w:val="7030A0"/>
    </w:rPr>
  </w:style>
  <w:style w:type="character" w:customStyle="1" w:styleId="ManuscripttextChar">
    <w:name w:val="Manuscript text Char"/>
    <w:basedOn w:val="AnswerChar"/>
    <w:link w:val="Manuscripttext"/>
    <w:rsid w:val="00BA1F81"/>
    <w:rPr>
      <w:rFonts w:eastAsiaTheme="minorEastAsia"/>
      <w:i/>
      <w:color w:val="7030A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5052">
      <w:bodyDiv w:val="1"/>
      <w:marLeft w:val="0"/>
      <w:marRight w:val="0"/>
      <w:marTop w:val="0"/>
      <w:marBottom w:val="0"/>
      <w:divBdr>
        <w:top w:val="none" w:sz="0" w:space="0" w:color="auto"/>
        <w:left w:val="none" w:sz="0" w:space="0" w:color="auto"/>
        <w:bottom w:val="none" w:sz="0" w:space="0" w:color="auto"/>
        <w:right w:val="none" w:sz="0" w:space="0" w:color="auto"/>
      </w:divBdr>
      <w:divsChild>
        <w:div w:id="800462733">
          <w:marLeft w:val="0"/>
          <w:marRight w:val="0"/>
          <w:marTop w:val="0"/>
          <w:marBottom w:val="0"/>
          <w:divBdr>
            <w:top w:val="none" w:sz="0" w:space="0" w:color="auto"/>
            <w:left w:val="none" w:sz="0" w:space="0" w:color="auto"/>
            <w:bottom w:val="none" w:sz="0" w:space="0" w:color="auto"/>
            <w:right w:val="none" w:sz="0" w:space="0" w:color="auto"/>
          </w:divBdr>
        </w:div>
      </w:divsChild>
    </w:div>
    <w:div w:id="143478009">
      <w:bodyDiv w:val="1"/>
      <w:marLeft w:val="0"/>
      <w:marRight w:val="0"/>
      <w:marTop w:val="0"/>
      <w:marBottom w:val="0"/>
      <w:divBdr>
        <w:top w:val="none" w:sz="0" w:space="0" w:color="auto"/>
        <w:left w:val="none" w:sz="0" w:space="0" w:color="auto"/>
        <w:bottom w:val="none" w:sz="0" w:space="0" w:color="auto"/>
        <w:right w:val="none" w:sz="0" w:space="0" w:color="auto"/>
      </w:divBdr>
      <w:divsChild>
        <w:div w:id="2032297488">
          <w:marLeft w:val="0"/>
          <w:marRight w:val="0"/>
          <w:marTop w:val="0"/>
          <w:marBottom w:val="0"/>
          <w:divBdr>
            <w:top w:val="none" w:sz="0" w:space="0" w:color="auto"/>
            <w:left w:val="none" w:sz="0" w:space="0" w:color="auto"/>
            <w:bottom w:val="none" w:sz="0" w:space="0" w:color="auto"/>
            <w:right w:val="none" w:sz="0" w:space="0" w:color="auto"/>
          </w:divBdr>
          <w:divsChild>
            <w:div w:id="161051759">
              <w:marLeft w:val="0"/>
              <w:marRight w:val="0"/>
              <w:marTop w:val="0"/>
              <w:marBottom w:val="0"/>
              <w:divBdr>
                <w:top w:val="none" w:sz="0" w:space="0" w:color="auto"/>
                <w:left w:val="none" w:sz="0" w:space="0" w:color="auto"/>
                <w:bottom w:val="none" w:sz="0" w:space="0" w:color="auto"/>
                <w:right w:val="none" w:sz="0" w:space="0" w:color="auto"/>
              </w:divBdr>
            </w:div>
            <w:div w:id="277952042">
              <w:marLeft w:val="0"/>
              <w:marRight w:val="0"/>
              <w:marTop w:val="0"/>
              <w:marBottom w:val="0"/>
              <w:divBdr>
                <w:top w:val="none" w:sz="0" w:space="0" w:color="auto"/>
                <w:left w:val="none" w:sz="0" w:space="0" w:color="auto"/>
                <w:bottom w:val="none" w:sz="0" w:space="0" w:color="auto"/>
                <w:right w:val="none" w:sz="0" w:space="0" w:color="auto"/>
              </w:divBdr>
            </w:div>
            <w:div w:id="36853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2221">
      <w:bodyDiv w:val="1"/>
      <w:marLeft w:val="0"/>
      <w:marRight w:val="0"/>
      <w:marTop w:val="0"/>
      <w:marBottom w:val="0"/>
      <w:divBdr>
        <w:top w:val="none" w:sz="0" w:space="0" w:color="auto"/>
        <w:left w:val="none" w:sz="0" w:space="0" w:color="auto"/>
        <w:bottom w:val="none" w:sz="0" w:space="0" w:color="auto"/>
        <w:right w:val="none" w:sz="0" w:space="0" w:color="auto"/>
      </w:divBdr>
      <w:divsChild>
        <w:div w:id="1577278614">
          <w:marLeft w:val="0"/>
          <w:marRight w:val="0"/>
          <w:marTop w:val="0"/>
          <w:marBottom w:val="0"/>
          <w:divBdr>
            <w:top w:val="none" w:sz="0" w:space="0" w:color="auto"/>
            <w:left w:val="none" w:sz="0" w:space="0" w:color="auto"/>
            <w:bottom w:val="none" w:sz="0" w:space="0" w:color="auto"/>
            <w:right w:val="none" w:sz="0" w:space="0" w:color="auto"/>
          </w:divBdr>
        </w:div>
      </w:divsChild>
    </w:div>
    <w:div w:id="524097541">
      <w:bodyDiv w:val="1"/>
      <w:marLeft w:val="0"/>
      <w:marRight w:val="0"/>
      <w:marTop w:val="0"/>
      <w:marBottom w:val="0"/>
      <w:divBdr>
        <w:top w:val="none" w:sz="0" w:space="0" w:color="auto"/>
        <w:left w:val="none" w:sz="0" w:space="0" w:color="auto"/>
        <w:bottom w:val="none" w:sz="0" w:space="0" w:color="auto"/>
        <w:right w:val="none" w:sz="0" w:space="0" w:color="auto"/>
      </w:divBdr>
    </w:div>
    <w:div w:id="626814839">
      <w:bodyDiv w:val="1"/>
      <w:marLeft w:val="0"/>
      <w:marRight w:val="0"/>
      <w:marTop w:val="0"/>
      <w:marBottom w:val="0"/>
      <w:divBdr>
        <w:top w:val="none" w:sz="0" w:space="0" w:color="auto"/>
        <w:left w:val="none" w:sz="0" w:space="0" w:color="auto"/>
        <w:bottom w:val="none" w:sz="0" w:space="0" w:color="auto"/>
        <w:right w:val="none" w:sz="0" w:space="0" w:color="auto"/>
      </w:divBdr>
    </w:div>
    <w:div w:id="658464292">
      <w:bodyDiv w:val="1"/>
      <w:marLeft w:val="0"/>
      <w:marRight w:val="0"/>
      <w:marTop w:val="0"/>
      <w:marBottom w:val="0"/>
      <w:divBdr>
        <w:top w:val="none" w:sz="0" w:space="0" w:color="auto"/>
        <w:left w:val="none" w:sz="0" w:space="0" w:color="auto"/>
        <w:bottom w:val="none" w:sz="0" w:space="0" w:color="auto"/>
        <w:right w:val="none" w:sz="0" w:space="0" w:color="auto"/>
      </w:divBdr>
    </w:div>
    <w:div w:id="690686759">
      <w:bodyDiv w:val="1"/>
      <w:marLeft w:val="0"/>
      <w:marRight w:val="0"/>
      <w:marTop w:val="0"/>
      <w:marBottom w:val="0"/>
      <w:divBdr>
        <w:top w:val="none" w:sz="0" w:space="0" w:color="auto"/>
        <w:left w:val="none" w:sz="0" w:space="0" w:color="auto"/>
        <w:bottom w:val="none" w:sz="0" w:space="0" w:color="auto"/>
        <w:right w:val="none" w:sz="0" w:space="0" w:color="auto"/>
      </w:divBdr>
      <w:divsChild>
        <w:div w:id="216549502">
          <w:marLeft w:val="0"/>
          <w:marRight w:val="0"/>
          <w:marTop w:val="0"/>
          <w:marBottom w:val="0"/>
          <w:divBdr>
            <w:top w:val="none" w:sz="0" w:space="0" w:color="auto"/>
            <w:left w:val="none" w:sz="0" w:space="0" w:color="auto"/>
            <w:bottom w:val="none" w:sz="0" w:space="0" w:color="auto"/>
            <w:right w:val="none" w:sz="0" w:space="0" w:color="auto"/>
          </w:divBdr>
        </w:div>
      </w:divsChild>
    </w:div>
    <w:div w:id="745955463">
      <w:bodyDiv w:val="1"/>
      <w:marLeft w:val="0"/>
      <w:marRight w:val="0"/>
      <w:marTop w:val="0"/>
      <w:marBottom w:val="0"/>
      <w:divBdr>
        <w:top w:val="none" w:sz="0" w:space="0" w:color="auto"/>
        <w:left w:val="none" w:sz="0" w:space="0" w:color="auto"/>
        <w:bottom w:val="none" w:sz="0" w:space="0" w:color="auto"/>
        <w:right w:val="none" w:sz="0" w:space="0" w:color="auto"/>
      </w:divBdr>
      <w:divsChild>
        <w:div w:id="1949580967">
          <w:marLeft w:val="0"/>
          <w:marRight w:val="0"/>
          <w:marTop w:val="0"/>
          <w:marBottom w:val="0"/>
          <w:divBdr>
            <w:top w:val="none" w:sz="0" w:space="0" w:color="auto"/>
            <w:left w:val="none" w:sz="0" w:space="0" w:color="auto"/>
            <w:bottom w:val="none" w:sz="0" w:space="0" w:color="auto"/>
            <w:right w:val="none" w:sz="0" w:space="0" w:color="auto"/>
          </w:divBdr>
          <w:divsChild>
            <w:div w:id="906308003">
              <w:marLeft w:val="0"/>
              <w:marRight w:val="0"/>
              <w:marTop w:val="0"/>
              <w:marBottom w:val="0"/>
              <w:divBdr>
                <w:top w:val="none" w:sz="0" w:space="0" w:color="auto"/>
                <w:left w:val="none" w:sz="0" w:space="0" w:color="auto"/>
                <w:bottom w:val="none" w:sz="0" w:space="0" w:color="auto"/>
                <w:right w:val="none" w:sz="0" w:space="0" w:color="auto"/>
              </w:divBdr>
            </w:div>
            <w:div w:id="1266617888">
              <w:marLeft w:val="0"/>
              <w:marRight w:val="0"/>
              <w:marTop w:val="0"/>
              <w:marBottom w:val="0"/>
              <w:divBdr>
                <w:top w:val="none" w:sz="0" w:space="0" w:color="auto"/>
                <w:left w:val="none" w:sz="0" w:space="0" w:color="auto"/>
                <w:bottom w:val="none" w:sz="0" w:space="0" w:color="auto"/>
                <w:right w:val="none" w:sz="0" w:space="0" w:color="auto"/>
              </w:divBdr>
            </w:div>
            <w:div w:id="17097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9791">
      <w:bodyDiv w:val="1"/>
      <w:marLeft w:val="0"/>
      <w:marRight w:val="0"/>
      <w:marTop w:val="0"/>
      <w:marBottom w:val="0"/>
      <w:divBdr>
        <w:top w:val="none" w:sz="0" w:space="0" w:color="auto"/>
        <w:left w:val="none" w:sz="0" w:space="0" w:color="auto"/>
        <w:bottom w:val="none" w:sz="0" w:space="0" w:color="auto"/>
        <w:right w:val="none" w:sz="0" w:space="0" w:color="auto"/>
      </w:divBdr>
      <w:divsChild>
        <w:div w:id="618075623">
          <w:marLeft w:val="0"/>
          <w:marRight w:val="0"/>
          <w:marTop w:val="0"/>
          <w:marBottom w:val="0"/>
          <w:divBdr>
            <w:top w:val="none" w:sz="0" w:space="0" w:color="auto"/>
            <w:left w:val="none" w:sz="0" w:space="0" w:color="auto"/>
            <w:bottom w:val="none" w:sz="0" w:space="0" w:color="auto"/>
            <w:right w:val="none" w:sz="0" w:space="0" w:color="auto"/>
          </w:divBdr>
          <w:divsChild>
            <w:div w:id="43716934">
              <w:marLeft w:val="0"/>
              <w:marRight w:val="0"/>
              <w:marTop w:val="0"/>
              <w:marBottom w:val="0"/>
              <w:divBdr>
                <w:top w:val="none" w:sz="0" w:space="0" w:color="auto"/>
                <w:left w:val="none" w:sz="0" w:space="0" w:color="auto"/>
                <w:bottom w:val="none" w:sz="0" w:space="0" w:color="auto"/>
                <w:right w:val="none" w:sz="0" w:space="0" w:color="auto"/>
              </w:divBdr>
              <w:divsChild>
                <w:div w:id="10402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79533">
      <w:bodyDiv w:val="1"/>
      <w:marLeft w:val="0"/>
      <w:marRight w:val="0"/>
      <w:marTop w:val="0"/>
      <w:marBottom w:val="0"/>
      <w:divBdr>
        <w:top w:val="none" w:sz="0" w:space="0" w:color="auto"/>
        <w:left w:val="none" w:sz="0" w:space="0" w:color="auto"/>
        <w:bottom w:val="none" w:sz="0" w:space="0" w:color="auto"/>
        <w:right w:val="none" w:sz="0" w:space="0" w:color="auto"/>
      </w:divBdr>
      <w:divsChild>
        <w:div w:id="1413546347">
          <w:marLeft w:val="0"/>
          <w:marRight w:val="0"/>
          <w:marTop w:val="0"/>
          <w:marBottom w:val="0"/>
          <w:divBdr>
            <w:top w:val="none" w:sz="0" w:space="0" w:color="auto"/>
            <w:left w:val="none" w:sz="0" w:space="0" w:color="auto"/>
            <w:bottom w:val="none" w:sz="0" w:space="0" w:color="auto"/>
            <w:right w:val="none" w:sz="0" w:space="0" w:color="auto"/>
          </w:divBdr>
          <w:divsChild>
            <w:div w:id="2052682218">
              <w:marLeft w:val="0"/>
              <w:marRight w:val="0"/>
              <w:marTop w:val="0"/>
              <w:marBottom w:val="0"/>
              <w:divBdr>
                <w:top w:val="none" w:sz="0" w:space="0" w:color="auto"/>
                <w:left w:val="none" w:sz="0" w:space="0" w:color="auto"/>
                <w:bottom w:val="none" w:sz="0" w:space="0" w:color="auto"/>
                <w:right w:val="none" w:sz="0" w:space="0" w:color="auto"/>
              </w:divBdr>
              <w:divsChild>
                <w:div w:id="1702323290">
                  <w:marLeft w:val="0"/>
                  <w:marRight w:val="0"/>
                  <w:marTop w:val="0"/>
                  <w:marBottom w:val="0"/>
                  <w:divBdr>
                    <w:top w:val="none" w:sz="0" w:space="0" w:color="auto"/>
                    <w:left w:val="none" w:sz="0" w:space="0" w:color="auto"/>
                    <w:bottom w:val="none" w:sz="0" w:space="0" w:color="auto"/>
                    <w:right w:val="none" w:sz="0" w:space="0" w:color="auto"/>
                  </w:divBdr>
                </w:div>
                <w:div w:id="21182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3592">
      <w:bodyDiv w:val="1"/>
      <w:marLeft w:val="0"/>
      <w:marRight w:val="0"/>
      <w:marTop w:val="0"/>
      <w:marBottom w:val="0"/>
      <w:divBdr>
        <w:top w:val="none" w:sz="0" w:space="0" w:color="auto"/>
        <w:left w:val="none" w:sz="0" w:space="0" w:color="auto"/>
        <w:bottom w:val="none" w:sz="0" w:space="0" w:color="auto"/>
        <w:right w:val="none" w:sz="0" w:space="0" w:color="auto"/>
      </w:divBdr>
    </w:div>
    <w:div w:id="204015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BBF65-9B9C-E640-BA61-BAC60E58B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8</Pages>
  <Words>3251</Words>
  <Characters>18536</Characters>
  <Application>Microsoft Macintosh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Charles Michael Drain</vt:lpstr>
    </vt:vector>
  </TitlesOfParts>
  <Company>Dell - Personal Systems Group</Company>
  <LinksUpToDate>false</LinksUpToDate>
  <CharactersWithSpaces>21744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Charles Michael Drain</dc:title>
  <dc:creator>Preferred Customer</dc:creator>
  <cp:lastModifiedBy>Brian Zeglis</cp:lastModifiedBy>
  <cp:revision>42</cp:revision>
  <cp:lastPrinted>2018-02-26T19:29:00Z</cp:lastPrinted>
  <dcterms:created xsi:type="dcterms:W3CDTF">2017-12-26T03:38:00Z</dcterms:created>
  <dcterms:modified xsi:type="dcterms:W3CDTF">2018-10-17T18:09:00Z</dcterms:modified>
</cp:coreProperties>
</file>