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Identification of Novel CK2 Kinase Substrates Using a Versatile Biochemical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John E. Chojnowski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Emily A. McMillan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Todd I. Strochlic</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Drexel University College of Medicine,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jec364@drexel.edu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emilyashcraft@gmail.com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Todd I. Strochlic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tis35@drexel.edu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Casein kinase 2; CK2, protein kinase; substrate identification; phosphorylation; kinase assay; chemical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protocol is to label, enrich, and identify substrates of protein kinase CK2 from a complex biological sample such as a cell lysate or tissue homogenate. This method leverages unique aspects of CK2 biology for this purpose.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study of kinase-substrate relationships is essential to gain a complete understanding of the functions of these enzymes and their downstream targets in both physiological and pathological states. CK2 is an evolutionarily conserved serine/threonine kinase with a growing list of hundreds of substrates involved in multiple cellular processes. Due to its pleiotropic properties, identifying and characterizing a comprehensive set of CK2 substrates has been particularly challenging and remains a hurdle in the study of this important enzyme. To address this challenge, we have devised a versatile experimental strategy that enables the targeted enrichment and identification of putative CK2 substrates. This protocol takes advantage of the unique dual co-substrate specificity of CK2 allowing for specific thiophosphorylation of its substrates in a cell or tissue lysate. These substrate proteins are subsequently alkylated, immunoprecipitated, and identified by liquid chromatography/tandem mass spectrometry (LC-MS/MS). We have previously used this approach to successfully identify CK2 substrates from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ovaries and here we extend the application of this protocol to human glioblastoma cells, illustrating the adaptability of this method to investigate the biological roles of this kinase in various model organisms and experimental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kinases are key components of signal transduction cascades. Phosphorylation of substrate proteins by these enzymes elicits biological responses that regulate critical events controlling cell division, metabolism, and differentiation, among others. CK2 is a ubiquitously expressed, acidophilic serine/threonine kinase that is conserved from yeast to humans and that plays important roles in many cellular processes ranging from transcriptional regulation to cell cycle progression to apoptosis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enzyme is a heterotetramer composed of two catalytic &amp;#945; (or &amp;#945;’) subunits and two regulatory &amp;#946; subunits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to being highly pleiotropic, CK2 exhibits two other unusual characteristics that complicate its analysis, namely constitutive activity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dual co-substrate specificity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latter property endows CK2 with the ability to use GTP as well as ATP for phosphorylation of substrate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deletion of the catalytic or regulatory subunits of CK2 in mice results in embryonic lethality indicating that it plays crucial roles during development and organogenesis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CK2 is also overexpressed in several types of cancer and thus represents a promising therapeutic target</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Indeed, specific inhibitors that target CK2 kinase activity are currently under investigation for this purpose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While inhibition of CK2 is a viable option, given its pleiotropic nature, an alternative and perhaps more rational approach would be to target critical CK2 substrates that underlie the progression of certain cancers. Therefore, the comprehensive identification and characterization of CK2 substrate proteins would be of significant benefit for elucidating the specific function(s) of this kinase within a particular tissue or tumor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versatile biochemical method for identifying CK2 substrates from a complex biological sample such as a cell or tissue lysate. This protocol takes advantage of the dual co-substrate specificity of CK2 by use of the GTP analogue GTP&amp;#947;S (guanosine 5’-[&amp;#947;-thio]triphosphate) that other endogenous kinases cannot use. This effectively allows the kinase to “label” its substrates within this sample for subsequent isolation and identification.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required materials are available and properly prepared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diagram of the experimental procedure is provided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underlying basis of the technique is the unusual ability of CK2 to use GTP for phosphoryl group transfer. Addition of exogenous CK2 holoenzyme along with the GTP analogue, GTP&amp;#947;S, to a cell lysate results in thiophosphorylation of endogenous CK2 substrates. Subsequent treatment of the lysate with the alkylating reagent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-nitrobenzyl mesylate (PNBM) generates a thiophosphate ester moiety on these specific substrate proteins that can then be immunoprecipitated using an anti-thiophosphate ester antibody and ultimately identified by mass spectrometry.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depicts a positive result following the addition of CK2 and GTP&amp;#947;S and then PNBM to T98G (glioblastoma) cell lysate. These results demonstrate that CK2-dependent thiophosphorylation and subsequent alkylation were successful. As expected, an enhanced anti-thiophosphate ester signal by Western blotting is observed only in the lane containing the complete kinase reaction and not in the GTP&amp;#947;S only- and PNBM only-treated samples.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is a Coomassie blue-stained gel of the immunoprecipitated and eluted proteins using isotype control IgG or anti-thiophosphate ester antibodies in the presence or absence of excess CK2 and/or GTP&amp;#947;S. These data also demonstrate a positive result as multiple unique bands are evident only in the anti-thiophosphate ester IP lane in which the lysate was incubated with exogenous CK2 and GTP&amp;#947;S. The band indicated with an asterisk was excised from the gel and submitted for protein identification by mass spectrometry.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illustrates representative data obtained by mass spectrometric analysis including protein identification, percent coverage, and number of unique peptides identified per protein within the band. Shown are the top ten hits from the submitted band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information regarding whether or not the protein has been previously identified as a substrate of CK2</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 identity of one of the known immunoprecipitated CK2 substrates, nucleolin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was confirmed by SDS-PAGE and immunoblotting of the indicated fractions using an anti-nucleolin antibody.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diagram of the experimental strategy.</w:t>
      </w:r>
      <w:r>
        <w:rPr>
          <w:rFonts w:ascii="Calibri" w:hAnsi="Calibri" w:cs="Calibri" w:eastAsia="Calibri"/>
          <w:color w:val="000000"/>
          <w:spacing w:val="0"/>
          <w:position w:val="0"/>
          <w:sz w:val="24"/>
          <w:shd w:fill="auto" w:val="clear"/>
        </w:rPr>
        <w:t xml:space="preserve"> The GTP analogue, GTP</w:t>
      </w:r>
      <w:r>
        <w:rPr>
          <w:rFonts w:ascii="Calibri" w:hAnsi="Calibri" w:cs="Calibri" w:eastAsia="Calibri"/>
          <w:i/>
          <w:color w:val="404040"/>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S, along with excess recombinant CK2 holoenzyme is added to a cell or tissue lysate and allows for thiophosphorylation of substrates by CK2 but not by other endogenous kinases. Thiophosphorylated substrates are next alkylated with PNBM, generating a thiophosphate ester moiety on these proteins, which are then captured via immunoprecipitation (IP) for subsequent identification by liquid chromatography-tandem mass spectrometry (LC-MS/MS).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Validation of CK2-dependent thiophosphorylation in whole cell lysate.</w:t>
      </w:r>
      <w:r>
        <w:rPr>
          <w:rFonts w:ascii="Calibri" w:hAnsi="Calibri" w:cs="Calibri" w:eastAsia="Calibri"/>
          <w:color w:val="000000"/>
          <w:spacing w:val="0"/>
          <w:position w:val="0"/>
          <w:sz w:val="24"/>
          <w:shd w:fill="auto" w:val="clear"/>
        </w:rPr>
        <w:t xml:space="preserve"> Whole cell lysates prepared from T98G cells were incubated with GTP</w:t>
      </w:r>
      <w:r>
        <w:rPr>
          <w:rFonts w:ascii="Calibri" w:hAnsi="Calibri" w:cs="Calibri" w:eastAsia="Calibri"/>
          <w:i/>
          <w:color w:val="404040"/>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S in the presence (kinase reaction) or absence (GTP</w:t>
      </w:r>
      <w:r>
        <w:rPr>
          <w:rFonts w:ascii="Calibri" w:hAnsi="Calibri" w:cs="Calibri" w:eastAsia="Calibri"/>
          <w:i/>
          <w:color w:val="404040"/>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S only) of exogenous recombinant CK2 holoenzyme. PNBM was subsequently added to the indicated reactions, and samples were resolved by SDS-PAGE followed by immunoblotting with the indicated antibodies. Protein molecular weight markers are indicated in kDa.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Immunoprecipitation of putative CK2 substrate proteins. </w:t>
      </w:r>
      <w:r>
        <w:rPr>
          <w:rFonts w:ascii="Calibri" w:hAnsi="Calibri" w:cs="Calibri" w:eastAsia="Calibri"/>
          <w:color w:val="000000"/>
          <w:spacing w:val="0"/>
          <w:position w:val="0"/>
          <w:sz w:val="24"/>
          <w:shd w:fill="auto" w:val="clear"/>
        </w:rPr>
        <w:t xml:space="preserve">Enrichment and visualization of putative CK2 substrates (third lane) is evident as multiple unique bands following immunoprecipitation with anti-thiophosphate ester antibodies. Immunoprecipitates were resolved by SDS-PAGE and the gel was stained with Coomassie blue. The band marked with an asterisk was excised from the gel and submitted for protein identification by mass spectrometry. Protein molecular weight markers are indicated in kDa. IP=immunoprecipitation.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Identification and confirmation of proteins as substrates of CK2 in vitro.</w:t>
      </w:r>
      <w:r>
        <w:rPr>
          <w:rFonts w:ascii="Calibri" w:hAnsi="Calibri" w:cs="Calibri" w:eastAsia="Calibri"/>
          <w:color w:val="000000"/>
          <w:spacing w:val="0"/>
          <w:position w:val="0"/>
          <w:sz w:val="24"/>
          <w:shd w:fill="auto" w:val="clear"/>
        </w:rPr>
        <w:t xml:space="preserve"> Data obtained by mass spectrometry demonstrates that both previously known</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as well as putative novel CK2 substrates were identified using this experimental approach. Shown are the top ten proteins identified from the excised band (top). The identity of nucleolin, a known CK2 substrate, was confirmed by immunoblotting of the indicated fractions using an anti-nucleolin antibody (bottom). Protein molecular weight markers are indicated in kDa. IP=immunoprecipitation.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Lysis buffer recipe.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relatively simple biochemical method for identifying substrates of protein kinase CK2 from a complex biological sample. The critical steps of this protocol are based on the unusual enzymatic properties of CK2 and include CK2-dependent thiophosphorylation of specific substrate proteins using </w:t>
      </w:r>
      <w:r>
        <w:rPr>
          <w:rFonts w:ascii="Calibri" w:hAnsi="Calibri" w:cs="Calibri" w:eastAsia="Calibri"/>
          <w:color w:val="000000"/>
          <w:spacing w:val="0"/>
          <w:position w:val="0"/>
          <w:sz w:val="24"/>
          <w:shd w:fill="auto" w:val="clear"/>
        </w:rPr>
        <w:t xml:space="preserve">GTP</w:t>
      </w:r>
      <w:r>
        <w:rPr>
          <w:rFonts w:ascii="Calibri" w:hAnsi="Calibri" w:cs="Calibri" w:eastAsia="Calibri"/>
          <w:i/>
          <w:color w:val="404040"/>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and their subsequent immunoprecipitation and identification. With these results, we have demonstrated the utility and versatility of this approach as we have now applied this strategy in both human glioblastoma cells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ovaries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previously published studies using quantitative phosphoproteomics approaches have indeed proven successful in identifying novel CK2 substrates</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 However, some of these strategies make use of immobilized substrate arrays, and it is possible that the conformation of an immobilized protein may render a potential phosphorylation site inaccessible to the kinase. The technique described here permits phosphorylation within a more physiological or native environment (i.e., a cell lysate), thereby reducing the probability of site inaccessibility. Another benefit of this strategy is that once protein identification is determined by mass spectrometry, validation of putative CK2 substrates can easily be performed on samples collected during the procedure if antibodies directed against the substrate protein(s) of interest are available. For example, using standard western blotting, one should observe a reduction in the level of the relevant protein in the depleted (post-IP) samples and its presence in the anti-thiophosphate ester immunoprecipitates as we have demonstrated for the known CK2 substrate nucleolin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notable limitation of this method is that the final step of the procedure prior to analysis by mass spectrometry relies on the ability to discern discrete differences in banding pattern on a gel. Thus, it is certainly possible that specific CK2 substrates may be missed if they are of low abundance and therefore below the limit of visual detection. If one is concerned about this possibility, a more sensitive method such as silver staining can be used to visualize these proteins instead of using Coomassie blue. An additional consideration that should be acknowledged is that a number of CK2 substrates may not be identified using this strategy since the physiologically relevant sites will already be phosphorylated in vivo. This is almost certainly to be the case given the constitutive activity of CK2. Finally, it should also be noted that this methodology only identifies proteins as putative substrates of CK2 in vitro. Subsequent assays to validate that these are physiologically relevant substrates of CK2 in vivo are required and should entail identification of CK2-dependent phosphorylation sites and assessing if phosphorylation of these particular residues is altered in response to manipulation of CK2 kinase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strategy coupled with downstream experimental approaches (phosphorylation site mapping by truncation/deletion analysis, site-directed mutagenesis, functional in-vitro and in-vivo assays, etc.) will facilitate the study of this unusual kinase and will increase our understanding of the various roles that CK2 plays in multiple biological systems.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a Commonwealth Universal Research Enhancement grant from the Pennsylvania Department of Health to T.I.S.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Litchfield, D. W. Protein kinase CK2: structure, regulation and role in cellular decisions of life and death.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(Pt 1), 1-15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Ahmed, K., Gerber, D. A., Cochet, C. Joining the cell survival squad: an emerging role for protein kinase CK2. </w:t>
      </w:r>
      <w:r>
        <w:rPr>
          <w:rFonts w:ascii="Calibri" w:hAnsi="Calibri" w:cs="Calibri" w:eastAsia="Calibri"/>
          <w:i/>
          <w:color w:val="000000"/>
          <w:spacing w:val="0"/>
          <w:position w:val="0"/>
          <w:sz w:val="24"/>
          <w:shd w:fill="auto" w:val="clear"/>
        </w:rPr>
        <w:t xml:space="preserve">Trends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226-230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Meggio, F., Pinna, L. A. One-thousand-and-one substrates of protein kinase CK2?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349-368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Niefind, K., Guerra, B., Ermakowa, I., Issinger, O. G. Crystal structure of human protein kinase CK2: insights into basic properties of the CK2 holoenzyme.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(19), 5320-5331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Sarno, S., Ghisellini, P., Pinna, L. A. Unique activation mechanism of protein kinase CK2. The N-terminal segment is essential for constitutive activity of the catalytic subunit but not of the holoenzyme.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(25), 22509-22514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Niefind, K., Putter, M., Guerra, B., Issinger, O. G., Schomburg, D. GTP plus water mimic ATP in the active site of protein kinase CK2.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1100-1103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Lou, D.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alpha catalytic subunit of protein kinase CK2 is required for mouse embryonic development.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131-139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Buchou,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Disruption of the regulatory beta subunit of protein kinase CK2 in mice leads to a cell-autonomous defect and early embryonic lethality.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908-915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Chua,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CK2 in Cancer: Cellular and Biochemical Mechanisms and Potential Therapeutic Target. </w:t>
      </w:r>
      <w:r>
        <w:rPr>
          <w:rFonts w:ascii="Calibri" w:hAnsi="Calibri" w:cs="Calibri" w:eastAsia="Calibri"/>
          <w:i/>
          <w:color w:val="000000"/>
          <w:spacing w:val="0"/>
          <w:position w:val="0"/>
          <w:sz w:val="24"/>
          <w:shd w:fill="auto" w:val="clear"/>
        </w:rPr>
        <w:t xml:space="preserve">Pharmaceuticals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Tawfic,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 kinase CK2 signal in neoplasia. </w:t>
      </w:r>
      <w:r>
        <w:rPr>
          <w:rFonts w:ascii="Calibri" w:hAnsi="Calibri" w:cs="Calibri" w:eastAsia="Calibri"/>
          <w:i/>
          <w:color w:val="000000"/>
          <w:spacing w:val="0"/>
          <w:position w:val="0"/>
          <w:sz w:val="24"/>
          <w:shd w:fill="auto" w:val="clear"/>
        </w:rPr>
        <w:t xml:space="preserve">Histology and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573-582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Hanif, I. M., Hanif, I. M., Shazib, M. A., Ahmad, K. A., Pervaiz, S. Casein Kinase II: an attractive target for anti-cancer drug design. </w:t>
      </w:r>
      <w:r>
        <w:rPr>
          <w:rFonts w:ascii="Calibri" w:hAnsi="Calibri" w:cs="Calibri" w:eastAsia="Calibri"/>
          <w:i/>
          <w:color w:val="000000"/>
          <w:spacing w:val="0"/>
          <w:position w:val="0"/>
          <w:sz w:val="24"/>
          <w:shd w:fill="auto" w:val="clear"/>
        </w:rPr>
        <w:t xml:space="preserve">The International Journal of Biochemistry &amp;amp;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(10), 1602-1605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Siddiqui-Jain,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CX-4945, an orally bioavailable selective inhibitor of protein kinase CK2, inhibits prosurvival and angiogenic signaling and exhibits antitumor efficacy.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(24), 10288-10298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Chon, H. J., Bae, K. J., Lee, Y., Kim, J. The casein kinase 2 inhibitor, CX-4945, as an anti-cancer drug in treatment of human hematological malignancies.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Perea, S.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CIGB-300, a novel proapoptotic peptide that impairs the CK2 phosphorylation and exhibits anticancer properties both in vitro and in vivo. </w:t>
      </w:r>
      <w:r>
        <w:rPr>
          <w:rFonts w:ascii="Calibri" w:hAnsi="Calibri" w:cs="Calibri" w:eastAsia="Calibri"/>
          <w:i/>
          <w:color w:val="000000"/>
          <w:spacing w:val="0"/>
          <w:position w:val="0"/>
          <w:sz w:val="24"/>
          <w:shd w:fill="auto" w:val="clear"/>
        </w:rPr>
        <w:t xml:space="preserve">Molecular and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316</w:t>
      </w:r>
      <w:r>
        <w:rPr>
          <w:rFonts w:ascii="Calibri" w:hAnsi="Calibri" w:cs="Calibri" w:eastAsia="Calibri"/>
          <w:color w:val="000000"/>
          <w:spacing w:val="0"/>
          <w:position w:val="0"/>
          <w:sz w:val="24"/>
          <w:shd w:fill="auto" w:val="clear"/>
        </w:rPr>
        <w:t xml:space="preserve"> (1-2), 163-167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Xiao,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Induced expression of nucleolin phosphorylation-deficient mutant confers dominant-negative effect on cell proliferation.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e109858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Shi, Y., Brown, E. D., Walsh, C. T. Expression of recombinant human casein kinase II and recombinant heat shock protein 90 in Escherichia coli and characterization of their interactions.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(7), 2767-2771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Mollapour, M., Tsutsumi, S., Kim, Y. S., Trepel, J., Neckers, L. Casein kinase 2 phosphorylation of Hsp90 threonine 22 modulates chaperone function and drug sensitivity.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407-417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McMillan, 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protein kinase CK2 substrate Jabba modulates lipid metabolism during Drosophila oogenesis.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(8), 2990-3002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Turowec, J.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 kinase CK2 is a constitutively active enzyme that promotes cell survival: strategies to identify CK2 substrates and manipulate its activity in mammalian cells.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484</w:t>
      </w:r>
      <w:r>
        <w:rPr>
          <w:rFonts w:ascii="Calibri" w:hAnsi="Calibri" w:cs="Calibri" w:eastAsia="Calibri"/>
          <w:color w:val="000000"/>
          <w:spacing w:val="0"/>
          <w:position w:val="0"/>
          <w:sz w:val="24"/>
          <w:shd w:fill="auto" w:val="clear"/>
        </w:rPr>
        <w:t xml:space="preserve"> 471-493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Rusin, S. F., Adamo, M. E., Kettenbach, A. N. Identification of Candidate Casein Kinase 2 Substrates in Mitosis by Quantitative Phosphoproteomics. </w:t>
      </w:r>
      <w:r>
        <w:rPr>
          <w:rFonts w:ascii="Calibri" w:hAnsi="Calibri" w:cs="Calibri" w:eastAsia="Calibri"/>
          <w:i/>
          <w:color w:val="000000"/>
          <w:spacing w:val="0"/>
          <w:position w:val="0"/>
          <w:sz w:val="24"/>
          <w:shd w:fill="auto" w:val="clear"/>
        </w:rPr>
        <w:t xml:space="preserve">Frontiers in Cell and Developmental Biologyl.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Bian,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Global screening of CK2 kinase substrates by an integrated phosphoproteomics workflow.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3460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Franchin,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Quantitative analysis of a phosphoproteome readily altered by the protein kinase CK2 inhibitor quinalizarin in HEK-293T cells.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1854</w:t>
      </w:r>
      <w:r>
        <w:rPr>
          <w:rFonts w:ascii="Calibri" w:hAnsi="Calibri" w:cs="Calibri" w:eastAsia="Calibri"/>
          <w:color w:val="000000"/>
          <w:spacing w:val="0"/>
          <w:position w:val="0"/>
          <w:sz w:val="24"/>
          <w:shd w:fill="auto" w:val="clear"/>
        </w:rPr>
        <w:t xml:space="preserve"> (6), 609-623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Franchin,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Re-evaluation of protein kinase CK2 pleiotropy: new insights provided by a phosphoproteomics analysis of CK2 knockout cells.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(11), 2011-2026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