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Measuring Bone Remodeling and Recreating the Tumor Bone Microenvironment Using Calvaria Co-culture and Histomorphometry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Cinthia N. Cuero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Brenda Iduarte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Ju&amp;#225;rez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Innovation, Center for Scientific Research and Higher Education at Ensenada, Ensenada, Mexico</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Ju&amp;#225;rez </w:t>
        <w:tab/>
        <w:t xml:space="preserve">(pjuarez@cicese.edu.mx)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Cinthia N. Cuero </w:t>
        <w:tab/>
        <w:t xml:space="preserve">(</w:t>
      </w:r>
      <w:r>
        <w:rPr>
          <w:rFonts w:ascii="Calibri" w:hAnsi="Calibri" w:cs="Calibri" w:eastAsia="Calibri"/>
          <w:color w:val="000000"/>
          <w:spacing w:val="0"/>
          <w:position w:val="0"/>
          <w:sz w:val="24"/>
          <w:shd w:fill="auto" w:val="clear"/>
        </w:rPr>
        <w:t xml:space="preserve">cinthiacuero1@gmail.com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Brenda Iduarte </w:t>
        <w:tab/>
        <w:t xml:space="preserve">(iduarte@cicese.edu.mx)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bone, bone formation, bone resorption, breast cancer, bone metastasis, calvaria, coculture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 vivo culture of bone explants can be a valuable tool for the study of bone physiology and the potential evaluation of drugs in bone remodeling and bone diseases. The presented protocol describes the preparation and culture of calvarias isolated from newborn mice skulls, as well as its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is a connective tissue constituted of osteoblasts, osteocytes, and osteoclasts and a mineralized extracellular matrix, which gives it its strength and flexibility and allows it to fulfill its functions. Bone is continuously exposed to a variety of stimuli, which in pathological conditions can deregulate bone remodeling. To study bone biology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diseases and evaluate potential therapeutic agents, it has been necessary to develop in vitro and in vivo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the dissection process and culture conditions of calvarias isolated from neonatal mice to study bone formation and the bone tumor microenvironment. In contrast to in vitro and in vivo models, this ex vivo model allows preservation of the three-dimensional environment of the tissue as well as the cellular diversity of the bone while culturing under defined conditions to simulate the desired microenvironment. Therefore, it is possible to investigate bone remodeling and its mechanisms, as well as the interactions with other cell types, such as the interactions between cancer cells and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assays reported here use calvarias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 old BALB/C mice. The hemi-calvarias obtained are cultured in the presence of insulin, breast cancer cells (MDA-MB-231), or conditioned medium from breast cancer cell cultures. After analysis, it was established that insulin induced new bone formation, while cancer cells and their conditioned medium induced bone resorption. The calvarial model has been successfully used in basic and applied research to study bone development and cancer-induced bone diseases. Overall, it is an excellent option for an easy, informative, and low-cost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is a dynamic connective tissue that has several functions, including supporting the muscles, protecting the internal organs and bone marrow, and storing and releasing calcium and growth factors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maintain its integrity and proper function, bone tissue is continuously under the process of remodeling. In general terms, a cycle of bone remodeling can be divided into bone resorption and bone formation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imbalance between these two phases of bone remodeling can lead to the development of bone pathologies. Also, diseases such as breast cancer often affect bone integrity; approximately more than 70% of patients in advanced stages have or will have bone metastases. When breast cancer cells enter the bones, they affect bone metabolism, resulting in excessive resorption (osteoclastic lesions) and/or formation (osteoblastic lesions)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the biology of bone diseases and develop new treatments, it is necessary to understand the mechanisms involved in bone remodeling. In cancer research, it is essential to investigate the bone metastasis process and its relation to the metastatic microenvironment. In 1889, Stephen Paget hypothesized that metastases occur when there is compatibility between the tumor cells and the target tissue, and suggested that the metastatic site depends on the affinity of the tumor for the microenvironment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1997, Mundy and Guise introduced the concept of the "vicious cycle of bone metastases" to explain how tumor cells modify the bone microenvironment to achieve their survival and growth, and how the bone microenvironment promotes their growth by providing calcium and growth factors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mechanisms involved in bone remodeling and bone metastasis and to evaluate molecules with possible therapeutic potential, it has been necessary to develop in vitro and in vivo models. However, these models currently present many limitations, such as the simplified representation of the bone microenvironment, and their cost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culture of bone explants ex vivo has the advantage of maintaining the three-dimensional organization as well as the diversity of bone cells. In addition, experimental conditions can be controlled. The explant models include the culture of metatarsal bones, femoral heads, calvarias, and mandibular or trabecular cores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advantages of the ex vivo models have been demonstrated in diverse studies. In 2009, Nordstrand and collaborators reported the establishment of a coculture model based on the interactions between bone and prostate cancer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Also, in 2012, Curtin and collaborators reported the development of a three-dimensional model using ex vivo cocultures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purpose of such ex vivo models is to recreate the conditions of the bone microenvironment as accurately as possible to be able to characterize the mechanisms involved in normal or pathological bone remodeling and evaluate the efficacy of new therapeutic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is based on the procedures published by Garrett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Mohammad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Neonatal mouse calvaria cultures have been used as an experimental model, as they retain the three-dimensional architecture of the bone under development and bone cells, including cells at all stages of differentiation (i.e., osteoblasts, osteoclasts, osteocytes, stromal cells) that lead to mature osteoclasts and osteoblasts, as well as the mineralized matrix</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ex vivo model does not represent the pathological process of bone diseases totally. However, effects on bone remodeling or cancer-induced bone osteolysis can be accurately measured.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this protocol consists of the following steps: the dissection of calvarias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 old mice, calvaria preculture, calvaria culture applications (e.g., culture in the presence of insulin, cancer cells or conditioned medium, and even agents with therapeutic potential, according to the aim of the investigation), bone fixation and calvaria decalcification, tissue processing, histological analysis, and result interpretation.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mice used in these assays were obtained from BALB/c mice strains, using male and female mice indiscriminately. Previous culture experiments have also been performed using other strains, such as FVB, Swiss mice, CD-1, and CsA mice</w:t>
      </w:r>
      <w:r>
        <w:rPr>
          <w:rFonts w:ascii="Calibri" w:hAnsi="Calibri" w:cs="Calibri" w:eastAsia="Calibri"/>
          <w:color w:val="auto"/>
          <w:spacing w:val="0"/>
          <w:position w:val="0"/>
          <w:sz w:val="24"/>
          <w:shd w:fill="auto" w:val="clear"/>
          <w:vertAlign w:val="superscript"/>
        </w:rPr>
        <w:t xml:space="preserve">11,12,14</w:t>
      </w:r>
      <w:r>
        <w:rPr>
          <w:rFonts w:ascii="Calibri" w:hAnsi="Calibri" w:cs="Calibri" w:eastAsia="Calibri"/>
          <w:color w:val="auto"/>
          <w:spacing w:val="0"/>
          <w:position w:val="0"/>
          <w:sz w:val="24"/>
          <w:shd w:fill="auto" w:val="clear"/>
        </w:rPr>
        <w:t xml:space="preserve">. All mice were housed according to National Institutes of Health (NIH) guidelines, Appendix Q. Procedures involving animal subjects have been approved by the Institutional Animals Care and Use Committee (IACUC) at the Center for Scientific Research and Higher Education at Ensenada (CICESE).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Calvarial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Sterilize dissection instruments (e.g., 1 x 2 teeth tissue forceps, straight surgical scissors, dissecting scissors, fine-tipped tweezers, fine curved tip dissecting forceps, dissecting forceps, scalpel). Sterile distilled water can be used to clean the surgical tools between each dissection, and sterile 1x PBS can be used for cleaning each hemi-calvaria.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the sterile dissection instruments, water, 1x PBS, and required materials to carry out the procedure (e.g., micropipettes, precipitate glasses, sterile Petri dishes)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Carry out the entire procedure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12 mL of sterile 1x PBS into two 10 cm Petri dishes.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Select the pups and place them near the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 the calvarias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 old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Pick and hold the mouse carefully using dissecting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Decapitate the mouse using dissecting scissors and place the head in a Petri dish with PBS.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Decapitation is not suitable for older mice. If the experiment must be done with older mice, the method of euthanasia should be modified according to the animal experimentation rules.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Hold the head firmly by the nose area with 1 x 2 teeth tissue forceps and remove the skin over the skull until the calvaria is visible.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Identify the sutures (i.e., sagittal, coronal, and lambdoid) of the skull on the exposed calvaria.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Penetrate with the tip of the microscissors approximately 2 mm behind the lambdoid suture and make a straight cut alongside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Insert the tip of the microscissors on the rear side of the skull. Make a straight cut along the distal side of the lambdoid suture towards the coronal suture. Proceed similarly with the other lambdoid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Make another cut (at a 45&amp;#176; angle) to connect the end of the cut made with the cut of the anterior fontanel.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Repeat steps 1.10 and 1.11 with the other lambdoid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identify the sutures to make appropriate cuts and to be able to perform adequate embedding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Use fine-tip forceps to remove the calvaria and place it in a Petri dish. With a scalpel, make a straight cut from the posterior fontanel along the sagittal suture through the coronal suture and ending in the anterior fontanel to obtain two hemi-calvarias.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Pick up each of the hemi-calvarias with the fine-tipped tweezers and place them in a new Petri dish containing PBS.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Calvaria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Add 1 mL of high-glucose DMEM medium supplemented with 0.1% bovine serum albumin (BSA) and 1% antibiotic/antimycotic (i.e., penicillin and streptomycin) in the wells of a 24 well plate. With fine-tip forceps, pick up each hemi-calvaria and place it in a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Put the hemi-calvarias concave side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Incubate the hemi-calvarias for 24 h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Remove the culture medium from each well and add 1 mL of fresh media containing the compound to test or conditioned media from other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at least three hemi-calvarias for each treatment group and use negative and positive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Incubate the hemi-calvarias for 7 days, changing the media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Culture with cancer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Select a Petri dish with cancer cells at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and trypsinize them. To trypsinize, wash the cancer cells 1x using PBS (5 mL per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followed by incubation in an HBSS solution containing 0.05% trypsin and 0.53 mM EDTA (2 mL per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Transfer the cell suspension into a 15 mL conical tube and centrifuge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Resuspend the pellet in 2 mL of DMEM containing 2% fetal bovine serum (FBS) and 1% antibiotic/antimycotic. Count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Assign hemi-calvarias to each study group (i.e., the negative control and coculture group for RNA or histology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Remove the culture media from the hemi-calvarias and add 1 mL of DMEM containing 2% FBS and 1% antibiotic/antimycotic supplemented or not supplemented with cancer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cells to add can change depending on the cell line tested. With cancer cells like MDA-MB-231 or PC-3, 500,000 cells per well work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Incubate for 24 h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Pass each hemi-calvaria to a new well to retain only cancer cells that adhered to the bone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Incubate for 7 days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change the media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72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Cut squares of tissue paper to wrap the hemi-calvarias.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Biopsy foam pads or steel capsules for small biopsies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straight fine-tip forceps to pick up each hemi-calvaria from the sagittal suture, place on a tissue paper, and wrap.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the wrapped hemi-calvaria inside a labeled embedding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Place the cassette into a container with 10% phosphate-buffered formalin.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Fix for 24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Decalcification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Remove the formalin, add 1x PBS, and agitate the tissues for 30 min to rinse the hemi-calvarias.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the PBS and add 10% EDTA (pH = 8, 0.34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that the solution covers the tissues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Decalcify the tissues for 48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Discard the EDTA solution and add 1x PBS to rinse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Store the hemi-calvarias in 70% ethanol until the histology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Tissue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Dehydrate the tissues with rounds of 96% ethanol, 60 min (3x), followed by 100% ethanol, 60 min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Replace the ethanol by 100% xylene, 60 min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Incubate the cassettes in paraffin wax, 60 min (2x).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Open the cassettes, carefully remove the tissue paper, and unwrap the calvaria.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Pick up each calvaria carefully and stack all the hemi-calvarias from the same group in the same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Put some paraffin in a mold.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Pick up all hemi-calvarias with the forceps and place them inside the mold with the sagittal suture down towards the base of the mold.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Orientation of the hemi-calvarias in the mold during inclusion is crucial to obtain consistent histological sections and reproducible results because this orientation will allow posterior identification of the front and parietal bones from the calvarias and the coronal suture facilitating the quantitative assessment.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Release the forceps and verify that the hemi-calvarias stay in place.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Place the labeled cassette on top of the mold and fill it with more paraffin to cover the hemi-calvarias.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7.7. Move the molds to the cold surface.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Trim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&amp;#181;m of the sagittal suture with the microtome.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Cut 4 &amp;#181;m thick sections, and collect the sections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Trim another 300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Cut and collect another six 4 &amp;#181;m thick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Trim the block 300 &amp;#181;m further and collect more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Mount the sections onto glass microscope slides.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Dry the slides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Immerse the sections in 100% xylene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Submerge in 100% ethanol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Merge in 96%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Immerse in 80%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Submerge in 70%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Rinse in water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Submerge in hematoxylin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Rinse in water until the section is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Submerge in a saturated lithium carbonate solution for 10 sec.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 Rinse in water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Submerge in 96%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Submerge in eosin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Immerse in 96%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Submerge in 100% ethanol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 Submerge in 100% xylene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 Add some per mount-mounting medium to the slide and protect it with a coverslip.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You can complement the hematoxyline and eosin (H&amp;amp;E) staining with tartrate-resistant acid phosphatase (TRAP) staining to evaluate osteoclast and osteolysis.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Quantitative assessment: defining area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Examine the sections under low power (i.e., 4x) to identify the orientation and the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Define the coronal suture and identify the long bone surface on one side and the short surface on the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Identify the coronal suture under 40x magnification, and move two or three optical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fields away from the suture along the long surface. Capture images of this area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Define the old bone area and the new bone area. The eosin Y with orange G stains the old bone darker and the new bone lighter.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Measure the total bone area of the old and new bone with Image J software using the color threshold tool. Express the results as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Analyze the results using statistical software. Significant differences between groups can be determined using appropriate tests (e.g., nonparametric Mann-Whitney U test as is done herel).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bone formation in the calvarial model, we cultivated the hemi-calvarias in media with or without 50 &amp;#181;g/mL of insulin. Tissue sections were prepared and stained with H&amp;amp;E. In these conditions, the histology showed that the structural integrity of the calvarial bone was maintained, allowing the identification of its different components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calvarias treated with insulin presented an increase in the amount of bone tissue compared to the control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Quantitative histomorphometric analysis for the thickness and bone area of hemi-calvaria confirmed a significant increase for both parameters in the insulin-treated tissues compared to the control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These data indicate the feasibility of the ex vivo model protocol to reproduce bone formation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calvarial ex vivo model can be used to reproduce cancer and bone microenvironment conditions. The protocol was used to evaluate the effect of the breast cancer cells MDA-MB-231 on murine calvarias. To perform this, the calvarial bones were directly cocultured with the cancer cells or cultured only with the conditioned media of the cancer cells. After 7 days of culture, the calvarias were embedded in paraffin, and H&amp;amp;E staining was performed. The coculture with MDA-MB-231 breast cancer cells appeared to increase osteolysis, as shown by the decrease in bone and the damages to the calvarial structure when compared to the control calvarias cultivated only with media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Bone area quantification of calvarias showed a significant decrease in the total bone area of the calvarias cultured with MDA-MB-231 cancer cells compared to the control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These results demonstrated that the cocultures of cancer cells with calvarial tissue can recreate the cancer and bone microenvironment and could be used to investigate the mechanisms of osteolytic bone metastasis or to evaluate possible inhibitors of this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Histological structure of the calvarial bone.</w:t>
      </w:r>
      <w:r>
        <w:rPr>
          <w:rFonts w:ascii="Calibri" w:hAnsi="Calibri" w:cs="Calibri" w:eastAsia="Calibri"/>
          <w:color w:val="auto"/>
          <w:spacing w:val="0"/>
          <w:position w:val="0"/>
          <w:sz w:val="24"/>
          <w:shd w:fill="auto" w:val="clear"/>
        </w:rPr>
        <w:t xml:space="preserve"> Representative tissue section of hemi-calvaria after H&amp;amp;E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Insulin increased the bone area and thickness of hemi-calvarias ex vivo while coculture of hemi-calvarias with MDA-MB-231 breast cancer cells induced osteolysis.</w:t>
      </w:r>
      <w:r>
        <w:rPr>
          <w:rFonts w:ascii="Calibri" w:hAnsi="Calibri" w:cs="Calibri" w:eastAsia="Calibri"/>
          <w:color w:val="auto"/>
          <w:spacing w:val="0"/>
          <w:position w:val="0"/>
          <w:sz w:val="24"/>
          <w:shd w:fill="auto" w:val="clear"/>
        </w:rPr>
        <w:t xml:space="preserve"> For the bone formation model, the hemi-calvarias were cultured in the presence or absence of insulin (50 &amp;#181;g/mL), while for the coculture with cancer cells, hemi-calvarias were cultured in the presence or absence of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MDA-MB-231 cells for 7 days and histomorphometrical analysis was performed on H&amp;amp;E stained sections.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tissue sections.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Histomorphometrical analysis of the bone area. Results are represented as the average &amp;plusmn; SEM (n = 3). *P &amp;lt; 0.05, nonparametric Mann-Whitney U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protocol for a calvarial ex vivo model to evaluate bone formation or resorption and to study the interactions of cancer cells with calvarial mouse bone. The critical steps of this technique are the dissection, culture, embedding, and histomorphometrical analysis of the calvarias. During the dissection of the calvarias, it is crucial to cut the hemi-calvarias into a trapezoid, as it will strongly facilitate the orientation during the paraffin inclusion. When studying cancer cell interactions with the calvarias, it is important to use multiwell plates that are not treated for cell culture to prevent cancer cells from adhering and growing on the plastic instead of the bone. During the tissue inclusion, it is important to carefully orient each hemi-calvaria. They need to be placed in a vertical manner with the sagittal border on the outer side of the paraffin block. The orientation of the bone is essential to obtain consistent histological sections and reproducible results. Similarly, it is critical for consistency during the histomorphometric analysis to define a specific region in the calvaria to measure bone remodeling. Here, we identified first the coronal suture and then the long bone surface where the pictures were taken and the measurements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the standardization and develop the protocols described, we modified some established methodologies slightly. During the dissection of the hemi-calvarias, PBS was used to rinse the mouse heads instead of culture media. To determine the number of cells necessary to produce an effect on the calvarias, the tissue was incubated with different numbers of breast cancer cells. In general,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cancer cells work well for a 7 day assay. Also, during fixation, tissue paper was used instead of sponges to protect the calvarias. The tissue was well-preserved within the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described has some limitations. The calvarias from neonatal mice lack some of the components of the bones that are the recipient of metastases, whether structural (i.e., trabecular bone) or cellular components such as immune cells or other cells of the bone marrow, including hematopoietic stem cells that cancer cells interact with. The culture of the calvarias in vitro cannot simulate the complete physiopathology. Also, when it comes to bone metastases, breast cancer cells seldom metastasize to the calvaria, and tend to favor bones with more active bone remodeling, such as the vertebrae, the hip, or the long bones of the arms and legs. Besides, the coculture of hemi-calvarias with cancer cells only represents the latest steps of the metastatic cascade: the colonization of the bone and the growth of the metastasis. Furthermore, the number of samples is limited by the number of pups per litter. It is recommended to use one litter per experiment and not mix litters to avoid variations within the results. We obtained similar results in bone remodeling when using calvarias from BALB/c or FVB mice, but whether the strain affects the time response of bone remodeling in this assay remains to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advantages of the calvarial ex vivo model compared to in vivo models include lower cost, simplicity of the assay, and shorter experimental time to obtain a bone remodeling response. The coculture of cancer cells and calvarias allows studying the cell-contact dependent interactions as well as the effect of secreted factors on bone remodeling, while the use of conditioned media allows focusing on the effect of soluble factors. In addition, the direct contact model can facilitate the characterization of intercellular interactions and molecular mechanisms of the bone metastasis microenvironment, as well as the study and evaluation of new drugs for the treatment of skeletal complications of malignancies.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Mario Nomura, M.D. and Rodolfo D&amp;#237;az for their help with the histology, and Pierrick Fournier, Ph.D. for his valuable comments to improve the quality of the paper.&lt;/p&gt;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Boyce, B. Bone biology and pathology. In: Coleman, RE., Abrahamsson, P.-A., Hadji, P., eds. </w:t>
      </w:r>
      <w:r>
        <w:rPr>
          <w:rFonts w:ascii="Calibri" w:hAnsi="Calibri" w:cs="Calibri" w:eastAsia="Calibri"/>
          <w:i/>
          <w:color w:val="auto"/>
          <w:spacing w:val="0"/>
          <w:position w:val="0"/>
          <w:sz w:val="24"/>
          <w:shd w:fill="auto" w:val="clear"/>
        </w:rPr>
        <w:t xml:space="preserve">Handbook of Cancer-Related Bone Disease</w:t>
      </w:r>
      <w:r>
        <w:rPr>
          <w:rFonts w:ascii="Calibri" w:hAnsi="Calibri" w:cs="Calibri" w:eastAsia="Calibri"/>
          <w:color w:val="auto"/>
          <w:spacing w:val="0"/>
          <w:position w:val="0"/>
          <w:sz w:val="24"/>
          <w:shd w:fill="auto" w:val="clear"/>
        </w:rPr>
        <w:t xml:space="preserve">. pp.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(2012).</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w:t>
        <w:tab/>
        <w:t xml:space="preserve">Clark, R. K. </w:t>
      </w:r>
      <w:r>
        <w:rPr>
          <w:rFonts w:ascii="Calibri" w:hAnsi="Calibri" w:cs="Calibri" w:eastAsia="Calibri"/>
          <w:i/>
          <w:color w:val="auto"/>
          <w:spacing w:val="0"/>
          <w:position w:val="0"/>
          <w:sz w:val="24"/>
          <w:shd w:fill="auto" w:val="clear"/>
        </w:rPr>
        <w:t xml:space="preserve">Anatomy and Physiology: Understanding the Human Body</w:t>
      </w:r>
      <w:r>
        <w:rPr>
          <w:rFonts w:ascii="Calibri" w:hAnsi="Calibri" w:cs="Calibri" w:eastAsia="Calibri"/>
          <w:color w:val="auto"/>
          <w:spacing w:val="0"/>
          <w:position w:val="0"/>
          <w:sz w:val="24"/>
          <w:shd w:fill="auto" w:val="clear"/>
        </w:rPr>
        <w:t xml:space="preserve">. Jones </w:t>
      </w:r>
      <w:r>
        <w:rPr>
          <w:rFonts w:ascii="Calibri" w:hAnsi="Calibri" w:cs="Calibri" w:eastAsia="Calibri"/>
          <w:color w:val="auto"/>
          <w:spacing w:val="0"/>
          <w:position w:val="0"/>
          <w:sz w:val="24"/>
          <w:shd w:fill="FFFFFF" w:val="clear"/>
        </w:rPr>
        <w:t xml:space="preserve">&amp;amp; Bartlett Learning. pp. 474 </w:t>
      </w:r>
      <w:r>
        <w:rPr>
          <w:rFonts w:ascii="Calibri" w:hAnsi="Calibri" w:cs="Calibri" w:eastAsia="Calibri"/>
          <w:color w:val="auto"/>
          <w:spacing w:val="0"/>
          <w:position w:val="0"/>
          <w:sz w:val="24"/>
          <w:shd w:fill="auto" w:val="clear"/>
        </w:rPr>
        <w:t xml:space="preserve">(2005).</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Fournier, P. G. J., Ju&amp;#225;rez, P., Guise, T. A. Tumor-bone interactions: there is no place like bone. In: Heymann, D. (Eds). </w:t>
      </w:r>
      <w:r>
        <w:rPr>
          <w:rFonts w:ascii="Calibri" w:hAnsi="Calibri" w:cs="Calibri" w:eastAsia="Calibri"/>
          <w:i/>
          <w:color w:val="auto"/>
          <w:spacing w:val="0"/>
          <w:position w:val="0"/>
          <w:sz w:val="24"/>
          <w:shd w:fill="auto" w:val="clear"/>
        </w:rPr>
        <w:t xml:space="preserve">Bone Cancer: Primary Bone Cancers and Bone Metastases</w:t>
      </w:r>
      <w:r>
        <w:rPr>
          <w:rFonts w:ascii="Calibri" w:hAnsi="Calibri" w:cs="Calibri" w:eastAsia="Calibri"/>
          <w:color w:val="auto"/>
          <w:spacing w:val="0"/>
          <w:position w:val="0"/>
          <w:sz w:val="24"/>
          <w:shd w:fill="auto" w:val="clear"/>
        </w:rPr>
        <w:t xml:space="preserve">. pp.13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(2014).</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t xml:space="preserve">Ribatti, D.</w:t>
      </w:r>
      <w:r>
        <w:rPr>
          <w:rFonts w:ascii="Calibri" w:hAnsi="Calibri" w:cs="Calibri" w:eastAsia="Calibri"/>
          <w:color w:val="auto"/>
          <w:spacing w:val="0"/>
          <w:position w:val="0"/>
          <w:sz w:val="24"/>
          <w:shd w:fill="FFFFFF" w:val="clear"/>
        </w:rPr>
        <w:t xml:space="preserve">, Mangialardi, G., Vacca, A. Stephen Paget and the “seed and soil” theory of metastatic dissemination. </w:t>
      </w:r>
      <w:r>
        <w:rPr>
          <w:rFonts w:ascii="Calibri" w:hAnsi="Calibri" w:cs="Calibri" w:eastAsia="Calibri"/>
          <w:i/>
          <w:color w:val="auto"/>
          <w:spacing w:val="0"/>
          <w:position w:val="0"/>
          <w:sz w:val="24"/>
          <w:shd w:fill="FFFFFF" w:val="clear"/>
        </w:rPr>
        <w:t xml:space="preserve">Clinical and Experimental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(4), 145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149 (2006).</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Guise, T. A. The vicious cycle of bone metastases. </w:t>
      </w:r>
      <w:r>
        <w:rPr>
          <w:rFonts w:ascii="Calibri" w:hAnsi="Calibri" w:cs="Calibri" w:eastAsia="Calibri"/>
          <w:i/>
          <w:color w:val="auto"/>
          <w:spacing w:val="0"/>
          <w:position w:val="0"/>
          <w:sz w:val="24"/>
          <w:shd w:fill="auto" w:val="clear"/>
        </w:rPr>
        <w:t xml:space="preserve">Journal of Musculoskeletal &amp;amp; Neuronal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(6),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(2002).</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Mundy, G. R. Mechanisms of bone metastasis.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(8), 1546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1556 (1997).</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Mundy, G. R. Metastasis to bone: causes, consequences and therapeutic opportunities.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(8),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(2002).</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Chong, S. K. M. Experimental models of bone metastasis: Opportunities for the study of cancer dormancy.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Deguchi, T.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bone to facilitate measurement of adhesion forces and super-resolution imaging of osteoclasts.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(22585),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(2016).</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Marino, S., Staines, K. A., Brown, G., Howard-Jones, R. A., Adamczyk, M. Models of ex vivo explant cultures: applications in bone research. </w:t>
      </w:r>
      <w:r>
        <w:rPr>
          <w:rFonts w:ascii="Calibri" w:hAnsi="Calibri" w:cs="Calibri" w:eastAsia="Calibri"/>
          <w:i/>
          <w:color w:val="auto"/>
          <w:spacing w:val="0"/>
          <w:position w:val="0"/>
          <w:sz w:val="24"/>
          <w:shd w:fill="auto" w:val="clear"/>
        </w:rPr>
        <w:t xml:space="preserve">BoneKEY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818 (2016).</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Nordstrand, A. et al.</w:t>
      </w:r>
      <w:r>
        <w:rPr>
          <w:rFonts w:ascii="Calibri" w:hAnsi="Calibri" w:cs="Calibri" w:eastAsia="Calibri"/>
          <w:color w:val="auto"/>
          <w:spacing w:val="0"/>
          <w:position w:val="0"/>
          <w:sz w:val="24"/>
          <w:shd w:fill="auto" w:val="clear"/>
        </w:rPr>
        <w:t xml:space="preserve"> Establishment and validation of an in vitro coculture model to study the interactions between bone and prostate cancer cells.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(8),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(2009).</w:t>
      </w: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Curtin, P., Youm, H., Salih, E. Three-dimensional cancer-bone metastasis model using ex vivo cocultures of live calvaria bones and cancer cells. </w:t>
      </w:r>
      <w:r>
        <w:rPr>
          <w:rFonts w:ascii="Calibri" w:hAnsi="Calibri" w:cs="Calibri" w:eastAsia="Calibri"/>
          <w:i/>
          <w:color w:val="auto"/>
          <w:spacing w:val="0"/>
          <w:position w:val="0"/>
          <w:sz w:val="24"/>
          <w:shd w:fill="FFFFFF" w:val="clear"/>
        </w:rPr>
        <w:t xml:space="preserve">Biomaterials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 </w:t>
      </w:r>
      <w:r>
        <w:rPr>
          <w:rFonts w:ascii="Calibri" w:hAnsi="Calibri" w:cs="Calibri" w:eastAsia="Calibri"/>
          <w:color w:val="auto"/>
          <w:spacing w:val="0"/>
          <w:position w:val="0"/>
          <w:sz w:val="24"/>
          <w:shd w:fill="FFFFFF" w:val="clear"/>
        </w:rPr>
        <w:t xml:space="preserve">(4), 1065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1078 (2012).</w:t>
      </w:r>
    </w:p>
    <w:p>
      <w:pPr>
        <w:widowControl w:val="false"/>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Garret, R. Assessing bone formation using mouse calvarial organ cultures. In: Helfrich, M. H., Ralston, S. H., eds. </w:t>
      </w:r>
      <w:r>
        <w:rPr>
          <w:rFonts w:ascii="Calibri" w:hAnsi="Calibri" w:cs="Calibri" w:eastAsia="Calibri"/>
          <w:i/>
          <w:color w:val="auto"/>
          <w:spacing w:val="0"/>
          <w:position w:val="0"/>
          <w:sz w:val="24"/>
          <w:shd w:fill="auto" w:val="clear"/>
        </w:rPr>
        <w:t xml:space="preserve">Bone Research Protocols</w:t>
      </w:r>
      <w:r>
        <w:rPr>
          <w:rFonts w:ascii="Calibri" w:hAnsi="Calibri" w:cs="Calibri" w:eastAsia="Calibri"/>
          <w:color w:val="auto"/>
          <w:spacing w:val="0"/>
          <w:position w:val="0"/>
          <w:sz w:val="24"/>
          <w:shd w:fill="auto" w:val="clear"/>
        </w:rPr>
        <w:t xml:space="preserve">. Humana press. Totowa, New Jersey. pp.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(2003).</w:t>
      </w:r>
    </w:p>
    <w:p>
      <w:pPr>
        <w:widowControl w:val="false"/>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Mohammad, K. S., Chirgwin, J. M., Guise, T. A. Assessing new bone formation in neonatal calvarial organ cultures. </w:t>
      </w:r>
      <w:r>
        <w:rPr>
          <w:rFonts w:ascii="Calibri" w:hAnsi="Calibri" w:cs="Calibri" w:eastAsia="Calibri"/>
          <w:i/>
          <w:color w:val="auto"/>
          <w:spacing w:val="0"/>
          <w:position w:val="0"/>
          <w:sz w:val="24"/>
          <w:shd w:fill="FFFFFF" w:val="clear"/>
        </w:rPr>
        <w:t xml:space="preserve">Methods in</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455 </w:t>
      </w:r>
      <w:r>
        <w:rPr>
          <w:rFonts w:ascii="Calibri" w:hAnsi="Calibri" w:cs="Calibri" w:eastAsia="Calibri"/>
          <w:color w:val="auto"/>
          <w:spacing w:val="0"/>
          <w:position w:val="0"/>
          <w:sz w:val="24"/>
          <w:shd w:fill="FFFFFF" w:val="clear"/>
        </w:rPr>
        <w:t xml:space="preserve">(1), 37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(2008).</w:t>
      </w:r>
      <w:r>
        <w:rPr>
          <w:rFonts w:ascii="Calibri" w:hAnsi="Calibri" w:cs="Calibri" w:eastAsia="Calibri"/>
          <w:color w:val="000000"/>
          <w:spacing w:val="0"/>
          <w:position w:val="0"/>
          <w:sz w:val="24"/>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