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Mouse Model to Assess Innate Immune Response to </w:t>
      </w:r>
      <w:r>
        <w:rPr>
          <w:rFonts w:ascii="Calibri" w:hAnsi="Calibri" w:cs="Calibri" w:eastAsia="Calibri"/>
          <w:b/>
          <w:i/>
          <w:color w:val="auto"/>
          <w:spacing w:val="0"/>
          <w:position w:val="0"/>
          <w:sz w:val="24"/>
          <w:shd w:fill="auto" w:val="clear"/>
        </w:rPr>
        <w:t xml:space="preserve">Staphylococcus aureus </w:t>
      </w:r>
      <w:r>
        <w:rPr>
          <w:rFonts w:ascii="Calibri" w:hAnsi="Calibri" w:cs="Calibri" w:eastAsia="Calibri"/>
          <w:b/>
          <w:color w:val="auto"/>
          <w:spacing w:val="0"/>
          <w:position w:val="0"/>
          <w:sz w:val="24"/>
          <w:shd w:fill="auto" w:val="clear"/>
        </w:rPr>
        <w:t xml:space="preserve">Infection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Leif S. Anderson</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leiand@ucdavis.edu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Mack R. Reynolds</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mbreynolds@ucdavis.edu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Kathryn R. Rivara</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krivara@ucdavis.edu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Lloyd Miller</w:t>
      </w:r>
      <w:r>
        <w:rPr>
          <w:rFonts w:ascii="Calibri" w:hAnsi="Calibri" w:cs="Calibri" w:eastAsia="Calibri"/>
          <w:color w:val="auto"/>
          <w:spacing w:val="0"/>
          <w:position w:val="0"/>
          <w:sz w:val="24"/>
          <w:shd w:fill="auto" w:val="clear"/>
          <w:vertAlign w:val="superscript"/>
        </w:rPr>
        <w:t xml:space="preserve">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lmille46@jhm</w:t>
      </w:r>
      <w:r>
        <w:rPr>
          <w:rFonts w:ascii="Calibri" w:hAnsi="Calibri" w:cs="Calibri" w:eastAsia="Calibri"/>
          <w:i/>
          <w:color w:val="auto"/>
          <w:spacing w:val="0"/>
          <w:position w:val="0"/>
          <w:sz w:val="24"/>
          <w:u w:val="single"/>
          <w:shd w:fill="auto" w:val="clear"/>
        </w:rPr>
        <w:t xml:space="preserve">i.e.,</w:t>
      </w:r>
      <w:r>
        <w:rPr>
          <w:rFonts w:ascii="Calibri" w:hAnsi="Calibri" w:cs="Calibri" w:eastAsia="Calibri"/>
          <w:color w:val="auto"/>
          <w:spacing w:val="0"/>
          <w:position w:val="0"/>
          <w:sz w:val="24"/>
          <w:u w:val="single"/>
          <w:shd w:fill="auto" w:val="clear"/>
        </w:rPr>
        <w:t xml:space="preserve">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Scott I. Simon</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sisimon@ucdavis.edu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Department of Biomedical Engineering, University of California Davis, Davis, CA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Dermatology, Johns Hopkins University School of Medicine, Baltimore, MD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Scott I. Simon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Staphylococcus aureus; innate immunity; neutrophils; wound healing; inflammation; whole-animal imaging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approach is described for real-time detection of the innate immune response to cutaneous wounding and </w:t>
      </w:r>
      <w:r>
        <w:rPr>
          <w:rFonts w:ascii="Calibri" w:hAnsi="Calibri" w:cs="Calibri" w:eastAsia="Calibri"/>
          <w:i/>
          <w:color w:val="auto"/>
          <w:spacing w:val="0"/>
          <w:position w:val="0"/>
          <w:sz w:val="24"/>
          <w:shd w:fill="auto" w:val="clear"/>
        </w:rPr>
        <w:t xml:space="preserve">Staphylococcus aureus </w:t>
      </w:r>
      <w:r>
        <w:rPr>
          <w:rFonts w:ascii="Calibri" w:hAnsi="Calibri" w:cs="Calibri" w:eastAsia="Calibri"/>
          <w:color w:val="auto"/>
          <w:spacing w:val="0"/>
          <w:position w:val="0"/>
          <w:sz w:val="24"/>
          <w:shd w:fill="auto" w:val="clear"/>
        </w:rPr>
        <w:t xml:space="preserve">infection of mice. By comparing LysM-EGFP mice (which possess fluorescent neutrophils) with a LysM-EGFP crossbred immunodeficient mouse strain, we advance our understanding of infection and the development of approaches to combat infection.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Staphylococcus aureus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infections, including methicillin resistant stains, are an enormous burden on the healthcare system. With incidence rates of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 climbing annually, there is a demand for additional research in its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pathogenicity. Animal models of infectious disease advance our understanding of the host-pathogen response and lead to the development of effective therapeutics. Neutrophils play a primary role in the innate immune response that controls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infections by forming an abscess to wall of the infection and facilitate bacterial clearance; the number of neutrophils that infiltrate an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skin infection often correlates with disease outcome. LysM-EGFP mice, which possess the enhanced green fluorescent protein (EGFP) inserted in the Lysozyme M (LysM) promoter region (expressed primarily by neutrophils), when used in conjunction with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whole animal fluorescence imaging (FLI) provides a means of quantifying neutrophil emigration noninvasively and longitudinally into wounded skin. When combined with a bioluminescent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strain and sequential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whole animal bioluminescent imaging (BLI), it is possible to longitudinally monitor both the neutrophil recruitment dynamics and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bacterial burden at the site of infection in anesthetized mice from onset of infection to resolution or death. Mice are more resistant to a number of virulence factors produced by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that facilitate effective colonization and infection in humans. Immunodeficient mice provide a more sensitive animal model to examine persistent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infections and the ability of therapeutics to boost innate immune responses. Herein, we characterize responses in LysM-EGFP mice that have been bred to MyD88-deficient mice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along with wild-type LysM-EGFP mice to investigate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skin wound infection. Multispectral simultaneous detection enabled study of neutrophil recruitment dynamics by using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FLI, bacterial burden by using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BLI, and wound healing longitudinally and noninvasively over time.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Staphylococcus aureus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aureus) accounts for the majority of skin and soft tissue infections (SSTIs) in the United States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incidence of methicillin-resistant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(MRSA) infections has increased steadily over the past two decades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motivating the study of the mechanisms of persistence and the discovery of new treatment strategies. The standard of care for MRSA infections is systemic antibiotic therapy, but MRSA has become increasingly resistant to antibiotics over time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these drugs can diminish the host’s beneficial microbiome, causing negative health effects, especially in children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Preclinical studies have examined alternative strategies to treat MRSA infections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but translating these approaches to the clinic has proved challenging due to emergence of virulence factors that thwart host immune responses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dissect the host-pathogen dynamics that drive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SSTIs, we combine noninvasive and longitudinal readouts of the number of neutrophils recruited to the wound bed with kinetic measures of bacterial abundance and wound area.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Neutrophils are the most abundant circulating leukocyte in humans and the first responders to a bacterial infection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Neutrophils are a necessary component for an effective host response against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infections due to their bactericidal mechanisms, including production of reactive oxygen species, proteases, antimicrobial peptides and functional responses including phagocytosis and neutrophil extracellular trap production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Human patients with genetic defects in neutrophil function, such as chronic granulomatous disease and Chediak-Higashi syndrome, show an increased susceptibility to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 In addition, patients with genetic (such as congenital neutropenia) and acquired (such as neutropenia seen in chemotherapy patients) defects in neutrophil numbers are also highly susceptible to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Given the importance of neutrophils in clearing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infections, enhancing their immune capacity or tuning their numbers within a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lesion may prove an effective strategy in resolving infection.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past decade, transgenic mice with fluorescence neutrophil reporters have been developed to study their trafficking</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Combining neutrophil reporter mice with whole animal imaging techniques permits spatiotemporal analysis of neutrophils in tissues and organs. When combined with bioluminescent strains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it is possible to track the accumulation of neutrophils in response to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abundance and persistence in the context of bacterial virulence factors that directly and indirectly perturb neutrophil numbers in affected tissue</w:t>
      </w:r>
      <w:r>
        <w:rPr>
          <w:rFonts w:ascii="Calibri" w:hAnsi="Calibri" w:cs="Calibri" w:eastAsia="Calibri"/>
          <w:color w:val="auto"/>
          <w:spacing w:val="0"/>
          <w:position w:val="0"/>
          <w:sz w:val="24"/>
          <w:shd w:fill="auto" w:val="clear"/>
          <w:vertAlign w:val="superscript"/>
        </w:rPr>
        <w:t xml:space="preserve">13,14,15,16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Mice are less susceptible to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virulence and immune evasion mechanisms than humans. As such, wild-type mice may not be an ideal animal model to investigate the efficacy of a given therapeutic to treat chronic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 MyD88-deficient mice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an immunocompromised mouse strain that lacks functional interleukin-1 receptor (IL-1R) and Toll-like receptor (TLR) signaling, show greater susceptibility to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infection compared to wild-type mice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an impairment in neutrophil trafficking to a site of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 in the skin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Development of a mouse strain that possesses a fluorescent neutrophil reporter in 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has provided an alternative model for investigating the efficacy of therapies to treat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 compared to current neutrophil reporter mice.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characterize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infection in the immunocompromised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and compare the time course and resolution of infection with the LysM-EGFP mice.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develop a chronic infection that does not resolve, and 75% succumb to infection after 8 days. A significant defect in initial neutrophil recruitment occurs over 72 hours of the inflammatory phase of infection, and 50% fewer neutrophils recruit during the latter stage of infection. The increased susceptibility of the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makes this particular strain a rigorous preclinical model to evaluate the efficacy of new therapeutic techniques targeting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 compared to current models that utilize wild-type mice, especially techniques aiming to boost the innate immune response against infection.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mouse studies were reviewed and approved by the Institutional Animal Care and Use Committee at UC Davis and were performed according to the guidelines of the Animal Welfare Act and the Health Research Extension 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Mouse Source and Housing</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w:t>
        <w:tab/>
        <w:t xml:space="preserve">Derive LysM-eGFP mice on a C57BL/6J genetic background as described previously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Derive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by crossing LysM-EGFP mice with 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on a C57BL/6J background.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House mice in a vivarium. For these studies, animals were housed at the University of California, Davis in groups prior to surgery and single housed following surgery. Use mice between the ages of 10-16 weeks for this model.</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Bacterial Preparation and Quantification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Remove the bioluminescent </w:t>
      </w:r>
      <w:r>
        <w:rPr>
          <w:rFonts w:ascii="Calibri" w:hAnsi="Calibri" w:cs="Calibri" w:eastAsia="Calibri"/>
          <w:i/>
          <w:color w:val="auto"/>
          <w:spacing w:val="0"/>
          <w:position w:val="0"/>
          <w:sz w:val="24"/>
          <w:shd w:fill="FFFF00" w:val="clear"/>
        </w:rPr>
        <w:t xml:space="preserve">S. aureus </w:t>
      </w:r>
      <w:r>
        <w:rPr>
          <w:rFonts w:ascii="Calibri" w:hAnsi="Calibri" w:cs="Calibri" w:eastAsia="Calibri"/>
          <w:color w:val="auto"/>
          <w:spacing w:val="0"/>
          <w:position w:val="0"/>
          <w:sz w:val="24"/>
          <w:shd w:fill="FFFF00" w:val="clear"/>
        </w:rPr>
        <w:t xml:space="preserve">strain of interest from -80 &amp;#176;C storage to thaw on ice. Streak on a 5% bovine blood agar plate. Incubate the streaked plate in a humidified incubator at 37 &amp;#176;C overnight (16 h).</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the ALC2906 SH1000 strain was used. This strain contains the shuttle plasmid pSK236 with the penicillin-binding protein 2 promoter fused to the </w:t>
      </w:r>
      <w:r>
        <w:rPr>
          <w:rFonts w:ascii="Calibri" w:hAnsi="Calibri" w:cs="Calibri" w:eastAsia="Calibri"/>
          <w:i/>
          <w:color w:val="auto"/>
          <w:spacing w:val="0"/>
          <w:position w:val="0"/>
          <w:sz w:val="24"/>
          <w:shd w:fill="auto" w:val="clear"/>
        </w:rPr>
        <w:t xml:space="preserve">luxABCDE </w:t>
      </w:r>
      <w:r>
        <w:rPr>
          <w:rFonts w:ascii="Calibri" w:hAnsi="Calibri" w:cs="Calibri" w:eastAsia="Calibri"/>
          <w:color w:val="auto"/>
          <w:spacing w:val="0"/>
          <w:position w:val="0"/>
          <w:sz w:val="24"/>
          <w:shd w:fill="auto" w:val="clear"/>
        </w:rPr>
        <w:t xml:space="preserve">reporter cassette from </w:t>
      </w:r>
      <w:r>
        <w:rPr>
          <w:rFonts w:ascii="Calibri" w:hAnsi="Calibri" w:cs="Calibri" w:eastAsia="Calibri"/>
          <w:i/>
          <w:color w:val="auto"/>
          <w:spacing w:val="0"/>
          <w:position w:val="0"/>
          <w:sz w:val="24"/>
          <w:shd w:fill="auto" w:val="clear"/>
        </w:rPr>
        <w:t xml:space="preserve">Photohabdus luminescens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Prepare tryptic soy broth (TSB) by mixing 0.03 g of TSB powder per mL of pure water, and autoclave TSB to sterilize. When cooled, add any necessary antibiotics using sterile technique. In this protocol, add 10 &amp;#181;g/mL of chloramphenicol</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to the TSB to select for expression of the pSK236 shuttle plasmid, which contains the bioluminescence luxABCDE cassette.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Pick 3-4 separate colonies from the </w:t>
      </w:r>
      <w:r>
        <w:rPr>
          <w:rFonts w:ascii="Calibri" w:hAnsi="Calibri" w:cs="Calibri" w:eastAsia="Calibri"/>
          <w:i/>
          <w:color w:val="auto"/>
          <w:spacing w:val="0"/>
          <w:position w:val="0"/>
          <w:sz w:val="24"/>
          <w:shd w:fill="FFFF00" w:val="clear"/>
        </w:rPr>
        <w:t xml:space="preserve">S. aureus </w:t>
      </w:r>
      <w:r>
        <w:rPr>
          <w:rFonts w:ascii="Calibri" w:hAnsi="Calibri" w:cs="Calibri" w:eastAsia="Calibri"/>
          <w:color w:val="auto"/>
          <w:spacing w:val="0"/>
          <w:position w:val="0"/>
          <w:sz w:val="24"/>
          <w:shd w:fill="FFFF00" w:val="clear"/>
        </w:rPr>
        <w:t xml:space="preserve">plate into TSB with 10 &amp;#181;g/mL chloramphenicol to start an overnight culture. Incubate bacteria on an incubating shaker at 37 &amp;#176;C overnight (16 h).</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Start a new bacterial culture from the overnight culture by diluting a sample 1:50 into TSB with 10 &amp;#181;g/mL chloramphenicol. Culture in an incubating shaker at 200 rpm and 37 &amp;#176;C.</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Two hours after splitting the </w:t>
      </w:r>
      <w:r>
        <w:rPr>
          <w:rFonts w:ascii="Calibri" w:hAnsi="Calibri" w:cs="Calibri" w:eastAsia="Calibri"/>
          <w:i/>
          <w:color w:val="auto"/>
          <w:spacing w:val="0"/>
          <w:position w:val="0"/>
          <w:sz w:val="24"/>
          <w:shd w:fill="FFFF00" w:val="clear"/>
        </w:rPr>
        <w:t xml:space="preserve">S. aureus</w:t>
      </w:r>
      <w:r>
        <w:rPr>
          <w:rFonts w:ascii="Calibri" w:hAnsi="Calibri" w:cs="Calibri" w:eastAsia="Calibri"/>
          <w:color w:val="auto"/>
          <w:spacing w:val="0"/>
          <w:position w:val="0"/>
          <w:sz w:val="24"/>
          <w:shd w:fill="FFFF00" w:val="clear"/>
        </w:rPr>
        <w:t xml:space="preserve">, monitor the optical density at 600 nm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on a spectrophotometer. Observe the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time to find mid-logarithmic phase growth. For the ALC2906 SH1000 strain, an OD</w:t>
      </w:r>
      <w:r>
        <w:rPr>
          <w:rFonts w:ascii="Calibri" w:hAnsi="Calibri" w:cs="Calibri" w:eastAsia="Calibri"/>
          <w:color w:val="auto"/>
          <w:spacing w:val="0"/>
          <w:position w:val="0"/>
          <w:sz w:val="24"/>
          <w:shd w:fill="FFFF00" w:val="clear"/>
          <w:vertAlign w:val="subscript"/>
        </w:rPr>
        <w:t xml:space="preserve">600 </w:t>
      </w:r>
      <w:r>
        <w:rPr>
          <w:rFonts w:ascii="Calibri" w:hAnsi="Calibri" w:cs="Calibri" w:eastAsia="Calibri"/>
          <w:color w:val="auto"/>
          <w:spacing w:val="0"/>
          <w:position w:val="0"/>
          <w:sz w:val="24"/>
          <w:shd w:fill="FFFF00" w:val="clear"/>
        </w:rPr>
        <w:t xml:space="preserve">of 0.5 is mid-logarithmic and corresponds to a concentration of 1x10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CFU/mL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When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is 0.5, wash bacteria 1:1 with ice-cold DPBS. Centrifuge the bacteria for 10 min at 3000 x g and 4 &amp;#176;C. Carefully decant the supernatant and add additional chilled DPBS and vortex thoroughly. Centrifuge once more for 10 min at 3000 x g and 4 &amp;#176;C.</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Carefully decant the supernatant. Resuspend the bacterial pellet at a desired </w:t>
      </w:r>
      <w:r>
        <w:rPr>
          <w:rFonts w:ascii="Calibri" w:hAnsi="Calibri" w:cs="Calibri" w:eastAsia="Calibri"/>
          <w:color w:val="auto"/>
          <w:spacing w:val="0"/>
          <w:position w:val="0"/>
          <w:sz w:val="24"/>
          <w:shd w:fill="auto" w:val="clear"/>
        </w:rPr>
        <w:t xml:space="preserve">concentration</w:t>
      </w:r>
      <w:r>
        <w:rPr>
          <w:rFonts w:ascii="Calibri" w:hAnsi="Calibri" w:cs="Calibri" w:eastAsia="Calibri"/>
          <w:color w:val="auto"/>
          <w:spacing w:val="0"/>
          <w:position w:val="0"/>
          <w:sz w:val="24"/>
          <w:shd w:fill="FFFF00" w:val="clear"/>
        </w:rPr>
        <w:t xml:space="preserve">. For these studies, collect 3 mL of ALC2906 SH1000 and resuspend in 1.5 mL of PBS, correlating to a bacteria concentration of about 2&amp;#215;10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CFU/mL. Keep bacteria on ice until use.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To verify bacteria concentration, dilute 100 &amp;#181;L of the bacterial sample 1:10,000 and 1:100,000 in PBS. Plate 20 &amp;#181;L aliquots on an agar plate. Incubate at 37 &amp;#176;C in a humidified incubator for 16 h. Count CFUs by gross examination and calculate a bacterial concentration the following day.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i/>
          <w:color w:val="auto"/>
          <w:spacing w:val="0"/>
          <w:position w:val="0"/>
          <w:sz w:val="24"/>
          <w:shd w:fill="FFFF00" w:val="clear"/>
        </w:rPr>
      </w:pPr>
      <w:r>
        <w:rPr>
          <w:rFonts w:ascii="Calibri" w:hAnsi="Calibri" w:cs="Calibri" w:eastAsia="Calibri"/>
          <w:b/>
          <w:i/>
          <w:color w:val="auto"/>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Excisional Skin Wounding and Inoculation with </w:t>
      </w:r>
      <w:r>
        <w:rPr>
          <w:rFonts w:ascii="Calibri" w:hAnsi="Calibri" w:cs="Calibri" w:eastAsia="Calibri"/>
          <w:b/>
          <w:i/>
          <w:color w:val="auto"/>
          <w:spacing w:val="0"/>
          <w:position w:val="0"/>
          <w:sz w:val="24"/>
          <w:shd w:fill="FFFF00" w:val="clear"/>
        </w:rPr>
        <w:t xml:space="preserve">S. aureus</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Administer 100 &amp;#181;L of 0.03 mg/mL buprenorphine hydrochloride (~0.2 mg/kg) to each mouse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intraperitoneal injection.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Twenty minutes post-injection, place 2-4 mice in a chamber with 2-3 LPM oxygen with 2-4% isoflurane. Once mice are fully anesthetized, transfer the mice one at a time to a nose cone connected to 2-3 LPM oxygen with 2-4% isoflurane. Verify mice are fully anesthetized by firmly pinching each rear paw between a thumb and forefinger. Proceed to the next step if the animal does not respond to the pinch.</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Shave a 1-inch by 2-inch section on the back of the mouse with electric clippers and clear the area of fur clippings using a clean wipe or gauze. Avoid using depilatory lotion because it may cause excess inflammation.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Clean the back of the mouse first with 10% povidone-iodine soaked gauze and then with a 70% ethanol soaked gauze. Clean the area in a spiral pattern, moving outward from the center of the surgical area. Wait approximately 1 min for the surgical area to dry prior to surgery.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Hold the shaved back of the mouse loosely between two fingers and firmly press a sterile 6 mm punch biopsy at the center of the prepared surgical area. Do not pull the skin taut.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t xml:space="preserve">Twist the punch biopsy to create a circular outline on the skin that fully cuts through the skin in at least one section of the outline. Be careful not to cut into the underlying fascia or tissue.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w:t>
        <w:tab/>
        <w:t xml:space="preserve">Use sterile scissors and forceps to cut through the epidermis and dermis following the circular pattern imprinted by the punch biopsy.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r>
      <w:r>
        <w:rPr>
          <w:rFonts w:ascii="Calibri" w:hAnsi="Calibri" w:cs="Calibri" w:eastAsia="Calibri"/>
          <w:b/>
          <w:i/>
          <w:color w:val="auto"/>
          <w:spacing w:val="0"/>
          <w:position w:val="0"/>
          <w:sz w:val="24"/>
          <w:shd w:fill="FFFF00" w:val="clear"/>
        </w:rPr>
        <w:t xml:space="preserve">S. </w:t>
      </w:r>
      <w:r>
        <w:rPr>
          <w:rFonts w:ascii="Calibri" w:hAnsi="Calibri" w:cs="Calibri" w:eastAsia="Calibri"/>
          <w:b/>
          <w:color w:val="auto"/>
          <w:spacing w:val="0"/>
          <w:position w:val="0"/>
          <w:sz w:val="24"/>
          <w:shd w:fill="FFFF00" w:val="clear"/>
        </w:rPr>
        <w:t xml:space="preserve">aureus Inoculation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Fill a 28 G insulin syringe with the desired bioluminescent bacterial inoculant. In this study, administer a concentration of 1&amp;#215;10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CFU/mL (50 &amp;#181;L). Do not administer more than 100 &amp;#181;L of volume.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Inject 50 &amp;#181;L of inoculant between the fascia and tissue in the center of the wound on the back of the mouse. Ensure that the inoculant forms a bubble at the center of the wound with minimal leakage or dispersion.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Pull the dermis to the side, hold the syringe nearly parallel to the tissue, and slowly push the syringe into the tissue until a sudden decrease in resistance is felt, which indicates piercing of the fascia. Carefully lead the syringe into the center of the wound and dispense the inoculant slowly. Remove the syringe slowly from the animal.</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Inject the same volume of sterile PBS into the wounds of uninfected animals as described above.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Return the animal to its cage. Place the cage under a heat lamp or on top of a heating pad, and monitor the animal until recovery from anesthesia.</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r>
      <w:r>
        <w:rPr>
          <w:rFonts w:ascii="Calibri" w:hAnsi="Calibri" w:cs="Calibri" w:eastAsia="Calibri"/>
          <w:b/>
          <w:i/>
          <w:color w:val="auto"/>
          <w:spacing w:val="0"/>
          <w:position w:val="0"/>
          <w:sz w:val="24"/>
          <w:shd w:fill="FFFF00" w:val="clear"/>
        </w:rPr>
        <w:t xml:space="preserve">In vivo </w:t>
      </w:r>
      <w:r>
        <w:rPr>
          <w:rFonts w:ascii="Calibri" w:hAnsi="Calibri" w:cs="Calibri" w:eastAsia="Calibri"/>
          <w:b/>
          <w:color w:val="auto"/>
          <w:spacing w:val="0"/>
          <w:position w:val="0"/>
          <w:sz w:val="24"/>
          <w:shd w:fill="FFFF00" w:val="clear"/>
        </w:rPr>
        <w:t xml:space="preserve">BLI and FLI</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Initialize the whole animal imager through the instrument software. Anesthetize mice in a chamber receiving 2-3 LPM oxygen with 2-4% isoflurane. Deliver anesthesia to the nosecones inside the imager.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Place the wounded and infected mouse into the imager. Position the mouse such that the wound is as flat as possible. Use the following sequence set-up to image the mice.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Select </w:t>
      </w:r>
      <w:r>
        <w:rPr>
          <w:rFonts w:ascii="Calibri" w:hAnsi="Calibri" w:cs="Calibri" w:eastAsia="Calibri"/>
          <w:b/>
          <w:color w:val="auto"/>
          <w:spacing w:val="0"/>
          <w:position w:val="0"/>
          <w:sz w:val="24"/>
          <w:shd w:fill="FFFF00" w:val="clear"/>
        </w:rPr>
        <w:t xml:space="preserve">Luminescence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Photograph</w:t>
      </w:r>
      <w:r>
        <w:rPr>
          <w:rFonts w:ascii="Calibri" w:hAnsi="Calibri" w:cs="Calibri" w:eastAsia="Calibri"/>
          <w:color w:val="auto"/>
          <w:spacing w:val="0"/>
          <w:position w:val="0"/>
          <w:sz w:val="24"/>
          <w:shd w:fill="FFFF00" w:val="clear"/>
        </w:rPr>
        <w:t xml:space="preserve"> as the imaging mode. The exposure time is 1 min at small binning and F/stop 1 (luminescence) and F/stop 8 (photograph). The emission filter is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Click the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button to record the image.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Select </w:t>
      </w:r>
      <w:r>
        <w:rPr>
          <w:rFonts w:ascii="Calibri" w:hAnsi="Calibri" w:cs="Calibri" w:eastAsia="Calibri"/>
          <w:b/>
          <w:color w:val="auto"/>
          <w:spacing w:val="0"/>
          <w:position w:val="0"/>
          <w:sz w:val="24"/>
          <w:shd w:fill="FFFF00" w:val="clear"/>
        </w:rPr>
        <w:t xml:space="preserve">Fluorescence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Photograph</w:t>
      </w:r>
      <w:r>
        <w:rPr>
          <w:rFonts w:ascii="Calibri" w:hAnsi="Calibri" w:cs="Calibri" w:eastAsia="Calibri"/>
          <w:color w:val="auto"/>
          <w:spacing w:val="0"/>
          <w:position w:val="0"/>
          <w:sz w:val="24"/>
          <w:shd w:fill="FFFF00" w:val="clear"/>
        </w:rPr>
        <w:t xml:space="preserve"> as the imaging mode. The exposure time is 1 s at small binning and F/stop 1 (Fluorescence) and F/stop 8 (photograph) with an excitation wavelength of 465/30 nm and an emission wavelength 520/20 nm with a high lamp intensity. Click the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button to record the image.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Return the animal to its cage and monitor until recovery from anesthesia.</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Image mice daily as described above.</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Image Analysis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Open images to be quantified.</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Place a large circular region of interest (ROI) over the entire wound area including surrounding skin for each mouse in the image. The neutrophil </w:t>
      </w:r>
      <w:r>
        <w:rPr>
          <w:rFonts w:ascii="Calibri" w:hAnsi="Calibri" w:cs="Calibri" w:eastAsia="Calibri"/>
          <w:i/>
          <w:color w:val="auto"/>
          <w:spacing w:val="0"/>
          <w:position w:val="0"/>
          <w:sz w:val="24"/>
          <w:shd w:fill="FFFF00" w:val="clear"/>
        </w:rPr>
        <w:t xml:space="preserve">in vivo </w:t>
      </w:r>
      <w:r>
        <w:rPr>
          <w:rFonts w:ascii="Calibri" w:hAnsi="Calibri" w:cs="Calibri" w:eastAsia="Calibri"/>
          <w:color w:val="auto"/>
          <w:spacing w:val="0"/>
          <w:position w:val="0"/>
          <w:sz w:val="24"/>
          <w:shd w:fill="FFFF00" w:val="clear"/>
        </w:rPr>
        <w:t xml:space="preserve">FLI EGFP signals and </w:t>
      </w:r>
      <w:r>
        <w:rPr>
          <w:rFonts w:ascii="Calibri" w:hAnsi="Calibri" w:cs="Calibri" w:eastAsia="Calibri"/>
          <w:i/>
          <w:color w:val="auto"/>
          <w:spacing w:val="0"/>
          <w:position w:val="0"/>
          <w:sz w:val="24"/>
          <w:shd w:fill="FFFF00" w:val="clear"/>
        </w:rPr>
        <w:t xml:space="preserve">in vivo </w:t>
      </w:r>
      <w:r>
        <w:rPr>
          <w:rFonts w:ascii="Calibri" w:hAnsi="Calibri" w:cs="Calibri" w:eastAsia="Calibri"/>
          <w:color w:val="auto"/>
          <w:spacing w:val="0"/>
          <w:position w:val="0"/>
          <w:sz w:val="24"/>
          <w:shd w:fill="FFFF00" w:val="clear"/>
        </w:rPr>
        <w:t xml:space="preserve">BLI </w:t>
      </w:r>
      <w:r>
        <w:rPr>
          <w:rFonts w:ascii="Calibri" w:hAnsi="Calibri" w:cs="Calibri" w:eastAsia="Calibri"/>
          <w:i/>
          <w:color w:val="auto"/>
          <w:spacing w:val="0"/>
          <w:position w:val="0"/>
          <w:sz w:val="24"/>
          <w:shd w:fill="FFFF00" w:val="clear"/>
        </w:rPr>
        <w:t xml:space="preserve">S. aureus</w:t>
      </w:r>
      <w:r>
        <w:rPr>
          <w:rFonts w:ascii="Calibri" w:hAnsi="Calibri" w:cs="Calibri" w:eastAsia="Calibri"/>
          <w:color w:val="auto"/>
          <w:spacing w:val="0"/>
          <w:position w:val="0"/>
          <w:sz w:val="24"/>
          <w:shd w:fill="FFFF00" w:val="clear"/>
        </w:rPr>
        <w:t xml:space="preserve"> signals extend beyond the wound edge after several days and was included in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0"/>
          <w:position w:val="0"/>
          <w:sz w:val="24"/>
          <w:shd w:fill="FFFF00" w:val="clear"/>
        </w:rPr>
        <w:t xml:space="preserve"> studies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2B</w:t>
      </w:r>
      <w:r>
        <w:rPr>
          <w:rFonts w:ascii="Calibri" w:hAnsi="Calibri" w:cs="Calibri" w:eastAsia="Calibri"/>
          <w:color w:val="auto"/>
          <w:spacing w:val="0"/>
          <w:position w:val="0"/>
          <w:sz w:val="24"/>
          <w:shd w:fill="FFFF00" w:val="clear"/>
        </w:rPr>
        <w:t xml:space="preserve">). Click </w:t>
      </w:r>
      <w:r>
        <w:rPr>
          <w:rFonts w:ascii="Calibri" w:hAnsi="Calibri" w:cs="Calibri" w:eastAsia="Calibri"/>
          <w:b/>
          <w:color w:val="auto"/>
          <w:spacing w:val="0"/>
          <w:position w:val="0"/>
          <w:sz w:val="24"/>
          <w:shd w:fill="FFFF00" w:val="clear"/>
        </w:rPr>
        <w:t xml:space="preserve">Measure ROI</w:t>
      </w:r>
      <w:r>
        <w:rPr>
          <w:rFonts w:ascii="Calibri" w:hAnsi="Calibri" w:cs="Calibri" w:eastAsia="Calibri"/>
          <w:color w:val="auto"/>
          <w:spacing w:val="0"/>
          <w:position w:val="0"/>
          <w:sz w:val="24"/>
          <w:shd w:fill="FFFF00" w:val="clear"/>
        </w:rPr>
        <w:t xml:space="preserve"> and record values for mean flux for each mouse. Plot the mean flux of each signal (p/s) </w:t>
      </w:r>
      <w:r>
        <w:rPr>
          <w:rFonts w:ascii="Calibri" w:hAnsi="Calibri" w:cs="Calibri" w:eastAsia="Calibri"/>
          <w:i/>
          <w:color w:val="auto"/>
          <w:spacing w:val="0"/>
          <w:position w:val="0"/>
          <w:sz w:val="24"/>
          <w:shd w:fill="FFFF00" w:val="clear"/>
        </w:rPr>
        <w:t xml:space="preserve">versus</w:t>
      </w:r>
      <w:r>
        <w:rPr>
          <w:rFonts w:ascii="Calibri" w:hAnsi="Calibri" w:cs="Calibri" w:eastAsia="Calibri"/>
          <w:color w:val="auto"/>
          <w:spacing w:val="0"/>
          <w:position w:val="0"/>
          <w:sz w:val="24"/>
          <w:shd w:fill="FFFF00" w:val="clear"/>
        </w:rPr>
        <w:t xml:space="preserve"> time.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If absolute numbers of neutrophils or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 the wound are desired, perform the following experiments.</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To correlate neutrophil numbers to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FLI EGFP signals, wound C57BL/6J mice as described above, and transfer a range of bone marrow-derived neutrophils (5x10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1x10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from LysM-EGFP or LysM-EGFPxMyD88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donors directly on top of different wounds. Image as described above and correlate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FLI EGFP signals to the known quantity of neutrophils.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To correlate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CFU to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BLI signals, wound and infect mice as described above. On day 1 post-infection record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BLI signals from the mice and immediately euthanize and chill carcasses. Excise the wound, homogenize the tissue, and plate bacterial dilutions on agar for overnight incubation. The next day, count colonies to determine CFU per wound.</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color w:val="auto"/>
          <w:spacing w:val="0"/>
          <w:position w:val="0"/>
          <w:sz w:val="24"/>
          <w:shd w:fill="FFFF00" w:val="clear"/>
        </w:rPr>
        <w:t xml:space="preserve">To measure wound healing fit a circular ROI over the wound edge and measure the area of the wound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plot the fractional change from baseline </w:t>
      </w:r>
      <w:r>
        <w:rPr>
          <w:rFonts w:ascii="Calibri" w:hAnsi="Calibri" w:cs="Calibri" w:eastAsia="Calibri"/>
          <w:i/>
          <w:color w:val="auto"/>
          <w:spacing w:val="0"/>
          <w:position w:val="0"/>
          <w:sz w:val="24"/>
          <w:shd w:fill="FFFF00" w:val="clear"/>
        </w:rPr>
        <w:t xml:space="preserve">versus</w:t>
      </w:r>
      <w:r>
        <w:rPr>
          <w:rFonts w:ascii="Calibri" w:hAnsi="Calibri" w:cs="Calibri" w:eastAsia="Calibri"/>
          <w:color w:val="auto"/>
          <w:spacing w:val="0"/>
          <w:position w:val="0"/>
          <w:sz w:val="24"/>
          <w:shd w:fill="FFFF00" w:val="clear"/>
        </w:rPr>
        <w:t xml:space="preserve"> time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Statistics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data are presented as mean &amp;plusmn;SEM.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&amp;lt;0.05 were considered statistically significant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Determine differences between two groups on a single day using the Holm-Sidak method, with alpha = 0.05, and analyze each time point individually, without assuming a consistent SD.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Compare differences between multiple groups on the same day by one-way ANOVA with the Tukey multiple-comparisons posttest. Survival between experimental groups was analyzed by the Mantel-Cox method.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LysM-EGFP&amp;#215;MyD88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mice are more susceptible to </w:t>
      </w:r>
      <w:r>
        <w:rPr>
          <w:rFonts w:ascii="Calibri" w:hAnsi="Calibri" w:cs="Calibri" w:eastAsia="Calibri"/>
          <w:b/>
          <w:i/>
          <w:color w:val="auto"/>
          <w:spacing w:val="0"/>
          <w:position w:val="0"/>
          <w:sz w:val="24"/>
          <w:shd w:fill="auto" w:val="clear"/>
        </w:rPr>
        <w:t xml:space="preserve">S. aureus </w:t>
      </w:r>
      <w:r>
        <w:rPr>
          <w:rFonts w:ascii="Calibri" w:hAnsi="Calibri" w:cs="Calibri" w:eastAsia="Calibri"/>
          <w:b/>
          <w:color w:val="auto"/>
          <w:spacing w:val="0"/>
          <w:position w:val="0"/>
          <w:sz w:val="24"/>
          <w:shd w:fill="auto" w:val="clear"/>
        </w:rPr>
        <w:t xml:space="preserve">infection than LysM-EGFP mice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strain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used in this study, ALC2906</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was constructed with a plasmid that contains the </w:t>
      </w:r>
      <w:r>
        <w:rPr>
          <w:rFonts w:ascii="Calibri" w:hAnsi="Calibri" w:cs="Calibri" w:eastAsia="Calibri"/>
          <w:i/>
          <w:color w:val="auto"/>
          <w:spacing w:val="0"/>
          <w:position w:val="0"/>
          <w:sz w:val="24"/>
          <w:shd w:fill="auto" w:val="clear"/>
        </w:rPr>
        <w:t xml:space="preserve">lux</w:t>
      </w:r>
      <w:r>
        <w:rPr>
          <w:rFonts w:ascii="Calibri" w:hAnsi="Calibri" w:cs="Calibri" w:eastAsia="Calibri"/>
          <w:color w:val="auto"/>
          <w:spacing w:val="0"/>
          <w:position w:val="0"/>
          <w:sz w:val="24"/>
          <w:shd w:fill="auto" w:val="clear"/>
        </w:rPr>
        <w:t xml:space="preserve"> construct that produces bioluminescent signals from live and actively metabolizing bacteria. When inoculated into mice,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bioluminescence imaging (BLI) techniques can be used to permit the longitudinal measurement of bacteria burden within an infected wound. Both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and LysM-EGFP mice were wounded and infected with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CFU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 the wound to compare their susceptibility to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infection.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showed greater susceptibility to infection than LysM-EGFP mice demonstrated by 80% lethality of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during the first 8 days of infection compared to 0% lethality of LysM-EGFP mice during the entire 15-day duration of the experiment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Both strains of mice lost ~5% body weight following infection, but LysM-EGFP mice recovered original weight by day 2, while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did not recover lost weight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Wound closure in the presence of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 was not different between the two strains; however, sterilely wounded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had a significant defect in wound healing compared to LysM-EGFP mice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as previously reported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Whole animal imaging was used to measure bacterial burden daily, and as early as day 1,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wounds had a higher bacterial burden than LysM-EGFP wounds. LysM-EGFP mice controlled infection and decreased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BLI signals in the wound, while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exhibited an increase in bacterial burden that plateaued on day 4 until animal death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Together, these data demonstrate the increased susceptibility of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to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 compared to LysM-EGFP mice.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Neutrophil trafficking is impaired in </w:t>
      </w:r>
      <w:r>
        <w:rPr>
          <w:rFonts w:ascii="Calibri" w:hAnsi="Calibri" w:cs="Calibri" w:eastAsia="Calibri"/>
          <w:b/>
          <w:i/>
          <w:color w:val="auto"/>
          <w:spacing w:val="0"/>
          <w:position w:val="0"/>
          <w:sz w:val="24"/>
          <w:shd w:fill="auto" w:val="clear"/>
        </w:rPr>
        <w:t xml:space="preserve">S. aureus </w:t>
      </w:r>
      <w:r>
        <w:rPr>
          <w:rFonts w:ascii="Calibri" w:hAnsi="Calibri" w:cs="Calibri" w:eastAsia="Calibri"/>
          <w:b/>
          <w:color w:val="auto"/>
          <w:spacing w:val="0"/>
          <w:position w:val="0"/>
          <w:sz w:val="24"/>
          <w:shd w:fill="auto" w:val="clear"/>
        </w:rPr>
        <w:t xml:space="preserve">infected LysM-EGFP&amp;#215;MyD88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mice compared to LysM-EGFP mice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LysM-EGFP mouse produces green fluorescent neutrophils due to a EGFP protein inserted downstream of the Lysozyme M promoter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mouse has been utilized to study longitudinal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neutrophil trafficking in response to dermal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infection</w:t>
      </w:r>
      <w:r>
        <w:rPr>
          <w:rFonts w:ascii="Calibri" w:hAnsi="Calibri" w:cs="Calibri" w:eastAsia="Calibri"/>
          <w:color w:val="auto"/>
          <w:spacing w:val="0"/>
          <w:position w:val="0"/>
          <w:sz w:val="24"/>
          <w:shd w:fill="auto" w:val="clear"/>
          <w:vertAlign w:val="superscript"/>
        </w:rPr>
        <w:t xml:space="preserve">13,14,20-22</w:t>
      </w:r>
      <w:r>
        <w:rPr>
          <w:rFonts w:ascii="Calibri" w:hAnsi="Calibri" w:cs="Calibri" w:eastAsia="Calibri"/>
          <w:color w:val="auto"/>
          <w:spacing w:val="0"/>
          <w:position w:val="0"/>
          <w:sz w:val="24"/>
          <w:shd w:fill="auto" w:val="clear"/>
        </w:rPr>
        <w:t xml:space="preserve">. To compare neutrophil kinetics to wounds produced on LysM-EGFP and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a 6 mm full thickness skin wound was administered on the dorsum, and mice were imaged daily. A 40% decrease in neutrophil trafficking to wounds was observed in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compared to LysM-EGFP mice (</w:t>
      </w:r>
      <w:r>
        <w:rPr>
          <w:rFonts w:ascii="Calibri" w:hAnsi="Calibri" w:cs="Calibri" w:eastAsia="Calibri"/>
          <w:b/>
          <w:color w:val="auto"/>
          <w:spacing w:val="0"/>
          <w:position w:val="0"/>
          <w:sz w:val="24"/>
          <w:shd w:fill="auto" w:val="clear"/>
        </w:rPr>
        <w:t xml:space="preserve">Figure 4A,C</w:t>
      </w:r>
      <w:r>
        <w:rPr>
          <w:rFonts w:ascii="Calibri" w:hAnsi="Calibri" w:cs="Calibri" w:eastAsia="Calibri"/>
          <w:color w:val="auto"/>
          <w:spacing w:val="0"/>
          <w:position w:val="0"/>
          <w:sz w:val="24"/>
          <w:shd w:fill="auto" w:val="clear"/>
        </w:rPr>
        <w:t xml:space="preserve">). When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CFU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was introduced immediately after wounding, neutrophil trafficking was attenuated in both strains of mice, but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were more sensitive to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 with respect to neutrophil recruitment. Infection caused a 50% decrease in initial neutrophil trafficking to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wounds compared to a 15% decrease observed in LysM-EGFP wounds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LysM-EGFP mice also recruited significantly more neutrophils to the wound during the later stages of infection (</w:t>
      </w:r>
      <w:r>
        <w:rPr>
          <w:rFonts w:ascii="Calibri" w:hAnsi="Calibri" w:cs="Calibri" w:eastAsia="Calibri"/>
          <w:b/>
          <w:color w:val="auto"/>
          <w:spacing w:val="0"/>
          <w:position w:val="0"/>
          <w:sz w:val="24"/>
          <w:shd w:fill="auto" w:val="clear"/>
        </w:rPr>
        <w:t xml:space="preserve">Figure 4A,C</w:t>
      </w:r>
      <w:r>
        <w:rPr>
          <w:rFonts w:ascii="Calibri" w:hAnsi="Calibri" w:cs="Calibri" w:eastAsia="Calibri"/>
          <w:color w:val="auto"/>
          <w:spacing w:val="0"/>
          <w:position w:val="0"/>
          <w:sz w:val="24"/>
          <w:shd w:fill="auto" w:val="clear"/>
        </w:rPr>
        <w:t xml:space="preserve">) compared to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which were unable to increase neutrophil numbers even in the presence of sustained bacterial burden. Together, these data demonstrate that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have a defect in neutrophil recruitment, which is consistent with their increased susceptibility to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Correlation between OD</w:t>
      </w:r>
      <w:r>
        <w:rPr>
          <w:rFonts w:ascii="Calibri" w:hAnsi="Calibri" w:cs="Calibri" w:eastAsia="Calibri"/>
          <w:b/>
          <w:color w:val="auto"/>
          <w:spacing w:val="0"/>
          <w:position w:val="0"/>
          <w:sz w:val="24"/>
          <w:shd w:fill="auto" w:val="clear"/>
          <w:vertAlign w:val="subscript"/>
        </w:rPr>
        <w:t xml:space="preserve">600</w:t>
      </w:r>
      <w:r>
        <w:rPr>
          <w:rFonts w:ascii="Calibri" w:hAnsi="Calibri" w:cs="Calibri" w:eastAsia="Calibri"/>
          <w:b/>
          <w:color w:val="auto"/>
          <w:spacing w:val="0"/>
          <w:position w:val="0"/>
          <w:sz w:val="24"/>
          <w:shd w:fill="auto" w:val="clear"/>
        </w:rPr>
        <w:t xml:space="preserve"> and CFU counts for ALC2906.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ALC2906 SH1000 colonies were picked from an agar plate and transferred into TSB with 10 &amp;#181;g/mL chloramphenicol for overnight culture. The next day, the suspension was split 1:50 into TSB with 10 &amp;#181;g/mL chloramphenicol and cultured. Optical density at 600 nm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was measured in regular intervals after 2 hours using a spectrophotometer. At each measurement the bacteria was diluted 1:100,000 in ice cold PBS and aliquoted onto an agar plate for overnight incubation. CFUs were counted the following day to calculate the initial concentration and correlated to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N=3 with 4 different OD</w:t>
      </w:r>
      <w:r>
        <w:rPr>
          <w:rFonts w:ascii="Calibri" w:hAnsi="Calibri" w:cs="Calibri" w:eastAsia="Calibri"/>
          <w:color w:val="auto"/>
          <w:spacing w:val="0"/>
          <w:position w:val="0"/>
          <w:sz w:val="24"/>
          <w:shd w:fill="auto" w:val="clear"/>
          <w:vertAlign w:val="subscript"/>
        </w:rPr>
        <w:t xml:space="preserve">600 </w:t>
      </w:r>
      <w:r>
        <w:rPr>
          <w:rFonts w:ascii="Calibri" w:hAnsi="Calibri" w:cs="Calibri" w:eastAsia="Calibri"/>
          <w:color w:val="auto"/>
          <w:spacing w:val="0"/>
          <w:position w:val="0"/>
          <w:sz w:val="24"/>
          <w:shd w:fill="auto" w:val="clear"/>
        </w:rPr>
        <w:t xml:space="preserve">measurements per experiment</w:t>
      </w:r>
      <w:r>
        <w:rPr>
          <w:rFonts w:ascii="Calibri" w:hAnsi="Calibri" w:cs="Calibri" w:eastAsia="Calibri"/>
          <w:color w:val="auto"/>
          <w:spacing w:val="0"/>
          <w:position w:val="0"/>
          <w:sz w:val="24"/>
          <w:shd w:fill="auto" w:val="clear"/>
          <w:vertAlign w:val="subscript"/>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region of interests (ROIs) for data analysis.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analyze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BLI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FLI signals, large, equivalent sized ROIs were centered over the wound and total flux (photons per second) was measured. To measure wound closure, an ROI was fit to the wound edge and area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was measured.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LysM-EGFP&amp;#215;MyD88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mice are more susceptible to </w:t>
      </w:r>
      <w:r>
        <w:rPr>
          <w:rFonts w:ascii="Calibri" w:hAnsi="Calibri" w:cs="Calibri" w:eastAsia="Calibri"/>
          <w:b/>
          <w:i/>
          <w:color w:val="auto"/>
          <w:spacing w:val="0"/>
          <w:position w:val="0"/>
          <w:sz w:val="24"/>
          <w:shd w:fill="auto" w:val="clear"/>
        </w:rPr>
        <w:t xml:space="preserve">S. aureus </w:t>
      </w:r>
      <w:r>
        <w:rPr>
          <w:rFonts w:ascii="Calibri" w:hAnsi="Calibri" w:cs="Calibri" w:eastAsia="Calibri"/>
          <w:b/>
          <w:color w:val="auto"/>
          <w:spacing w:val="0"/>
          <w:position w:val="0"/>
          <w:sz w:val="24"/>
          <w:shd w:fill="auto" w:val="clear"/>
        </w:rPr>
        <w:t xml:space="preserve">infection compared to LysM-EGFP mice.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LysM-EGFP and LysM-EGFP&amp;#215;MyD88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were administered a 6mm wound on the dorsum and infected with 1&amp;#215;10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CFU of bioluminescent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or sterile saline. Animals were monitored daily and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survival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weight were recorded. Animals were imaged daily to measure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wound size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bacterial luminescence.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bioluminescent images are depicted from infected LysM-EGFP and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Scale bar = 3 mm. Data represent 7-16 mice per group for A, C, &amp;amp; D and 3 mice per group for B and are expressed as mean &amp;plusmn;SEM. *</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=0.05, **</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=0.001,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&amp;lt;0.0001 between infected (</w:t>
      </w:r>
      <w:r>
        <w:rPr>
          <w:rFonts w:ascii="Calibri" w:hAnsi="Calibri" w:cs="Calibri" w:eastAsia="Calibri"/>
          <w:b/>
          <w:color w:val="auto"/>
          <w:spacing w:val="0"/>
          <w:position w:val="0"/>
          <w:sz w:val="24"/>
          <w:shd w:fill="auto" w:val="clear"/>
        </w:rPr>
        <w:t xml:space="preserve">A, B, &amp;amp; D</w:t>
      </w:r>
      <w:r>
        <w:rPr>
          <w:rFonts w:ascii="Calibri" w:hAnsi="Calibri" w:cs="Calibri" w:eastAsia="Calibri"/>
          <w:color w:val="auto"/>
          <w:spacing w:val="0"/>
          <w:position w:val="0"/>
          <w:sz w:val="24"/>
          <w:shd w:fill="auto" w:val="clear"/>
        </w:rPr>
        <w:t xml:space="preserve">) or uninfected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groups. Statistical significance was determined using Mantel-Cox test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Holm-Sidak method (</w:t>
      </w:r>
      <w:r>
        <w:rPr>
          <w:rFonts w:ascii="Calibri" w:hAnsi="Calibri" w:cs="Calibri" w:eastAsia="Calibri"/>
          <w:b/>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 with alpha = 0.05, and each time point was analyzed individually, without assuming a consistent SD.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LysM-EGFP&amp;#215;MyD88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mice have defective neutrophil recruitment to infected wounds.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LysM-EGFP and LysM-EGFP&amp;#215;MyD88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were administered a 6mm wound on the dorsum and infected with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CFU of bioluminescent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or sterile saline. Animals were imaged daily to measure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neutrophil content.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fluorescent images are depicted from infected and non-infected LysM-EGFP and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Scale bar = 5 mm. Data represent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mice per group and are expressed as mean &amp;plusmn;SEM. *p&amp;lt;0.05, **</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&amp;lt;0.01, and ***</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&amp;lt;0.001 between infected groups and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&amp;lt;0.01 between uninfected groups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 as depicted on the graph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Statistical significance was determined using the Holm-Sidak method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with alpha = 0.05, and each time point was analyzed individually, without assuming a consistent SD, and one-way ANOVA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 the Tukey multiple-comparisons post-test.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oknertoknertoknert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infection models that utilize bioluminescent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 in a fluorescent neutrophil reporter mouse in conjunction with advanced techniques of whole animal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optical imaging have advanced our knowledge of the innate immune response to infection. Previous studies using the LysM-EGFP mouse have shown that up to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neutrophils recruit to an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infected wound over the first 24 hours of infection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wound-recruited neutrophils extend their half-life from 1.5 days to 5 days in response to a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-infected wound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 survival tactic adapted by mice to combat infection is trafficking of hematopoietic stem and progenitor cells (HSPC) to an infected wound from the bone marrow where they expand into bactericidal EGFP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neutrophils in a TLR2/MyD88/PGE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dependent manner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addition, extramedullary granulopoiesis provides an essential source of neutrophils to rescue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infected 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from lethal sepsis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Adoptive transfer of HSPC from LysM-EGFP mice into wild type mice makes it possible to examine the process of local neutrophil production and its importance in combatting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within a wound</w:t>
      </w:r>
      <w:r>
        <w:rPr>
          <w:rFonts w:ascii="Calibri" w:hAnsi="Calibri" w:cs="Calibri" w:eastAsia="Calibri"/>
          <w:color w:val="auto"/>
          <w:spacing w:val="0"/>
          <w:position w:val="0"/>
          <w:sz w:val="24"/>
          <w:shd w:fill="auto" w:val="clear"/>
          <w:vertAlign w:val="superscript"/>
        </w:rPr>
        <w:t xml:space="preserve">13,21</w:t>
      </w:r>
      <w:r>
        <w:rPr>
          <w:rFonts w:ascii="Calibri" w:hAnsi="Calibri" w:cs="Calibri" w:eastAsia="Calibri"/>
          <w:color w:val="auto"/>
          <w:spacing w:val="0"/>
          <w:position w:val="0"/>
          <w:sz w:val="24"/>
          <w:shd w:fill="auto" w:val="clear"/>
        </w:rPr>
        <w:t xml:space="preserve">. It is also possible to calibrate precisely the number of neutrophils in the wound; neutrophil number in wounds correlates linearly with EGFP signal from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greater than 1 x 10</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neutrophils, and the limit of detection is about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neutrophils in a 6 mm wound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representative results we compare longitudinal neutrophil and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kinetics in the wounds of LysM-EGFP and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To our knowledge, this is this first study that compares the bacterial burden and neutrophil trafficking between wild type and immunocompromised mice longitudinally through resolution of infection. Of particular interest is the degree of neutrophil recruitment attenuation caused by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 in the 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strain, which elicited a 15% decrease in neutrophil trafficking in wild type mice compared to a 50% decrease in 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is able to evade the host’s immune response by producing a number of virulence factors known to indirectly inhibit neutrophil trafficking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&amp;#945;-toxin, Panton-Valentine leukocidin, and Chemotaxis inhibitory protein</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and our results indicate that MyD88 signaling, likely through TLR2, TLR4, and IL-1R, is critical to combat the immune defects caused by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virulence factors. Virulence factor-knockout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strains can be used in this model to characterize their effect on myeloid cell trafficking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Further, when studied in conjunction with the LysM-EGFP&amp;#215;MyD88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mouse, this model highlights the role of MyD88 signaling in combatting the pathogenic effects of virulence factors.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in this protocol that if performed improperly can introduce variability into studies. The wounding and infection procedures are straightforward compared to other mouse disease models, but it is not without its intricacies. Skin punch biopsies are very sharp and can easily cut into the spinotrapezius muscle below the skin. Damaging this muscle and its fascia alters neutrophil recruitment and increases the likelihood of an improper and more invasive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 that is not centered within the wound. Mice with significant damage to the spinotrapezius muscle should be excluded from studies.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source of error in this model comes from changes in the bioluminescent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strain over time, which can alter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BLI signals and growth kinetics. The ALC2906 strain contains a shuttle plasmid that contains the modified </w:t>
      </w:r>
      <w:r>
        <w:rPr>
          <w:rFonts w:ascii="Calibri" w:hAnsi="Calibri" w:cs="Calibri" w:eastAsia="Calibri"/>
          <w:i/>
          <w:color w:val="auto"/>
          <w:spacing w:val="0"/>
          <w:position w:val="0"/>
          <w:sz w:val="24"/>
          <w:shd w:fill="auto" w:val="clear"/>
        </w:rPr>
        <w:t xml:space="preserve">lux</w:t>
      </w:r>
      <w:r>
        <w:rPr>
          <w:rFonts w:ascii="Calibri" w:hAnsi="Calibri" w:cs="Calibri" w:eastAsia="Calibri"/>
          <w:color w:val="auto"/>
          <w:spacing w:val="0"/>
          <w:position w:val="0"/>
          <w:sz w:val="24"/>
          <w:shd w:fill="auto" w:val="clear"/>
        </w:rPr>
        <w:t xml:space="preserve"> operon from </w:t>
      </w:r>
      <w:r>
        <w:rPr>
          <w:rFonts w:ascii="Calibri" w:hAnsi="Calibri" w:cs="Calibri" w:eastAsia="Calibri"/>
          <w:i/>
          <w:color w:val="auto"/>
          <w:spacing w:val="0"/>
          <w:position w:val="0"/>
          <w:sz w:val="24"/>
          <w:shd w:fill="auto" w:val="clear"/>
        </w:rPr>
        <w:t xml:space="preserve">Photorhabdus luminescens</w:t>
      </w:r>
      <w:r>
        <w:rPr>
          <w:rFonts w:ascii="Calibri" w:hAnsi="Calibri" w:cs="Calibri" w:eastAsia="Calibri"/>
          <w:color w:val="auto"/>
          <w:spacing w:val="0"/>
          <w:position w:val="0"/>
          <w:sz w:val="24"/>
          <w:shd w:fill="auto" w:val="clear"/>
        </w:rPr>
        <w:t xml:space="preserve"> construct that is required to produce the bioluminescent signals, which can be discarded by the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bacteria over time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a broth culture without selection, 97% of SH1000 colonies produced bioluminescent signals on day 3. This frequency dropped to 53% on day 5 and 21% on day 10</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Thus, at later time points during the infectious course,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BLI signals will likely begin to slightly (&amp;lt;1 log difference) underestimate the actual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bacterial burden. It is important to freeze down fresh glycerol stocks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with antibiotic selection to maintain the plasmid upon arrival and replacing working stocks of bacteria frequently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every three months) can help prevent loss of the bioluminescent construct during culture maintenance. Newer strains of bioluminescent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contain a stably integrated bioluminescent construct</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and are likely an improvement over the ALC2906 strain used in this model.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model is useful to study localized dermal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infections, it has limitations.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BLI signals of bacterial burden is limited to the wound and adjacent skin. The model does not provide a reliable readout for deep invasive infections such as sepsis, and animals must be euthanized to measure dissemination of bacteria in to the bloodstream or kidneys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Newer and brighter engineered bioluminescent strains have been generated that can permit the detection of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BLI signals from internal organs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In addition, longitudinal detection and monitoring of neutrophil trafficking cannot be measured in other commonly acquired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infections, including respiratory and blood infections. Reduced sensitivity due to tissue autofluorescence is also a limitation of this model. The recently developed Catchup mouse utilizes a TdTomato RFP under the Ly6G promoter and may have a higher signal to noise ratio than the LysM-EGFP mouse due to reduced tissue auto fluorescence in the RFP channel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potential crosstalk between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BLI and FLI emission signals in this model is worthy of discussion but is negligible. If we perform experiments without light excitation and only collect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FLI EGFP signals using the 520/20 filter, we do not observe any appreciable signals from infected mice, demonstrating that collected signals are from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FLI EGFP signals and not from overlap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BLI signals of the bacteria (data not shown). This is primarily due to the signal collection time, which is only 1 second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FLI and 1 minute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BLI, and a specific excitation wavelength filter of 465/30 nm and emission filter of 520/20 nm. These settings allow for optimal detection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FLI EGFP signals without contribution from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BLI signals. This is best demonstrated when comparing the order of magnitude of the y-axis between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signals from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BLI is about 100-fold less than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FLI of EGFP signals, indicating that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BLI signals are negligible and contribute to less than 1% of the signals observed from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FLI.</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expect future applications of this model will help researchers discover and characterize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virulence factors, and serve as a pre-clinical animal model to test novel therapeutics that aim to clear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infection by boosting the innate immune response.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Lloyd S. Miller has received grant support from MedImmune, Pfizer, Regeneron, and the Chan Soon-Shiong Nanthealth Foundation and consulting fees from Noveome Biotherapeutics and the Chan Soon-Shiong Nanthealth Foundation that are unrelated to the work reported in this paper. The other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Moran, G.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Methicillin-Resistant S. aureus Infections among Patients in the Emergency Department. </w:t>
      </w:r>
      <w:r>
        <w:rPr>
          <w:rFonts w:ascii="Calibri" w:hAnsi="Calibri" w:cs="Calibri" w:eastAsia="Calibri"/>
          <w:i/>
          <w:color w:val="auto"/>
          <w:spacing w:val="0"/>
          <w:position w:val="0"/>
          <w:sz w:val="24"/>
          <w:shd w:fill="auto" w:val="clear"/>
        </w:rPr>
        <w:t xml:space="preserve">New England Journal of Medicine </w:t>
      </w:r>
      <w:r>
        <w:rPr>
          <w:rFonts w:ascii="Calibri" w:hAnsi="Calibri" w:cs="Calibri" w:eastAsia="Calibri"/>
          <w:b/>
          <w:color w:val="auto"/>
          <w:spacing w:val="0"/>
          <w:position w:val="0"/>
          <w:sz w:val="24"/>
          <w:shd w:fill="auto" w:val="clear"/>
        </w:rPr>
        <w:t xml:space="preserve">355</w:t>
      </w:r>
      <w:r>
        <w:rPr>
          <w:rFonts w:ascii="Calibri" w:hAnsi="Calibri" w:cs="Calibri" w:eastAsia="Calibri"/>
          <w:color w:val="auto"/>
          <w:spacing w:val="0"/>
          <w:position w:val="0"/>
          <w:sz w:val="24"/>
          <w:shd w:fill="auto" w:val="clear"/>
        </w:rPr>
        <w:t xml:space="preserve"> (7), 666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674, doi:10.1056/NEJMoa055356 (2009).</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Suaya, 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Incidence and cost of hospitalizations associated with Staphylococcus aureus skin and soft tissue infections in the United States from 2001 through 2009. </w:t>
      </w:r>
      <w:r>
        <w:rPr>
          <w:rFonts w:ascii="Calibri" w:hAnsi="Calibri" w:cs="Calibri" w:eastAsia="Calibri"/>
          <w:i/>
          <w:color w:val="auto"/>
          <w:spacing w:val="0"/>
          <w:position w:val="0"/>
          <w:sz w:val="24"/>
          <w:shd w:fill="auto" w:val="clear"/>
        </w:rPr>
        <w:t xml:space="preserve">BMC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296, doi:10.1186/1471-2334-14-296 (2014).</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Ventola, C. L. The antibiotic resistance crisis: part 1: causes and threats. </w:t>
      </w:r>
      <w:r>
        <w:rPr>
          <w:rFonts w:ascii="Calibri" w:hAnsi="Calibri" w:cs="Calibri" w:eastAsia="Calibri"/>
          <w:i/>
          <w:color w:val="auto"/>
          <w:spacing w:val="0"/>
          <w:position w:val="0"/>
          <w:sz w:val="24"/>
          <w:shd w:fill="auto" w:val="clear"/>
        </w:rPr>
        <w:t xml:space="preserve">P &amp;amp; T : a Peer-Reviewed Journal for Formulary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283 (2015).</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Blaser, M. J. Antibiotic use and its consequences for the normal microbiome. S</w:t>
      </w:r>
      <w:r>
        <w:rPr>
          <w:rFonts w:ascii="Calibri" w:hAnsi="Calibri" w:cs="Calibri" w:eastAsia="Calibri"/>
          <w:i/>
          <w:color w:val="auto"/>
          <w:spacing w:val="0"/>
          <w:position w:val="0"/>
          <w:sz w:val="24"/>
          <w:shd w:fill="auto" w:val="clear"/>
        </w:rPr>
        <w:t xml:space="preserve">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(6285), 544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 doi:10.1126/science.aad9358 (2016).</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Hilliard, J.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Anti-Alpha-Toxin Monoclonal Antibody and Antibiotic Combination Therapy Improves Disease Outcome and Accelerates Healing in a Staphylococcus aureus Dermonecrosis Model.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 doi:10.1128/AAC.03918-14 (2015).</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Proctor, R. A. Recent developments for Staphylococcus aureus vaccines: clinical and basic science challenges. </w:t>
      </w:r>
      <w:r>
        <w:rPr>
          <w:rFonts w:ascii="Calibri" w:hAnsi="Calibri" w:cs="Calibri" w:eastAsia="Calibri"/>
          <w:i/>
          <w:color w:val="auto"/>
          <w:spacing w:val="0"/>
          <w:position w:val="0"/>
          <w:sz w:val="24"/>
          <w:shd w:fill="auto" w:val="clear"/>
        </w:rPr>
        <w:t xml:space="preserve">European Cells &amp;amp;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 (2015).</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M&amp;#246;lne, L., Verdrengh, M. &amp;amp; Tarkowski, A. Role of Neutrophil Leukocytes in Cutaneous Infection Caused by Staphylococcus aureus.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(11), 6162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6167, doi:10.1128/IAI.68.11.6162-6167.2000 (2000).</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Kolaczkowska, E. &amp;amp; Kubes, P. Neutrophil recruitment and function in health and inflammation.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doi:10.1038/nri3399 (2013).</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Borregaard, N. Neutrophils, from Marrow to Microbes.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657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670, doi:10.1016/j.immuni.2010.11.011 (2010).</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Miller, L. S. &amp;amp; Cho, J. S. Immunity against Staphylococcus aureus cutaneous infections.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518, doi:10.1038/nri3010 (2011).</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Hasenberg,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Catchup: a mouse model for imaging-based tracking and modulation of neutrophil granulocytes.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445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452, doi:10.1038/nmeth.3322 (2015).</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Faust, N., Varas, F., Kelly, L. M., Heck, S. &amp;amp; Graf, T. Insertion of enhanced green fluorescent protein into the lysozyme gene creates mice with green fluorescent granulocytes and macrophages.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(2), 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726, doi:10.1016/0012-1606(83)90201-4 (2000).</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Falahee, P.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&amp;#945;-Toxin Regulates Local Granulocyte Expansion from Hematopoietic Stem and Progenitor Cells in Staphylococcus aureus-Infected Wounds. </w:t>
      </w:r>
      <w:r>
        <w:rPr>
          <w:rFonts w:ascii="Calibri" w:hAnsi="Calibri" w:cs="Calibri" w:eastAsia="Calibri"/>
          <w:i/>
          <w:color w:val="auto"/>
          <w:spacing w:val="0"/>
          <w:position w:val="0"/>
          <w:sz w:val="24"/>
          <w:shd w:fill="auto" w:val="clear"/>
        </w:rPr>
        <w:t xml:space="preserve">Journal of immunology (Baltimore, Md.: 1950)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(5), 1772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1782, doi:10.4049/jimmunol.1700649 (2017).</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Kim, M.-H.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Dynamics of Neutrophil Infiltration during Cutaneous Wound Healing and Infection Using Fluorescence Imaging.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(7), 1812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1820, doi:10.1038/sj.jid.5701223 (2008).</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Liese, J., Rooijakkers, S. H. M., Strijp, J. A. G., Novick, R. P. &amp;amp; Dustin, M. L. Intravital two-photon microscopy of host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pathogen interactions in a mouse model of Staphylococcus aureus skin abscess formation. </w:t>
      </w:r>
      <w:r>
        <w:rPr>
          <w:rFonts w:ascii="Calibri" w:hAnsi="Calibri" w:cs="Calibri" w:eastAsia="Calibri"/>
          <w:i/>
          <w:color w:val="auto"/>
          <w:spacing w:val="0"/>
          <w:position w:val="0"/>
          <w:sz w:val="24"/>
          <w:shd w:fill="auto" w:val="clear"/>
        </w:rPr>
        <w:t xml:space="preserve">Cellular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891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909, doi:10.1111/cmi.12085 (2013).</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Bogoslowski, A., Butcher, E. C. &amp;amp; Kubes, P. Neutrophils recruited through high endothelial venules of the lymph nodes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PNAd intercept disseminating Staphylococcus aureus.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(10), 2449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2454, doi:10.1073/pnas.1715756115 (2018).</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Takeuchi, O., Hoshino, K. &amp;amp; Akira, S. Cutting Edge: TLR2-Deficient and MyD88-Deficient Mice Are Highly Susceptible to Staphylococcus aureus Infection.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(10), 5392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5396, doi:10.4049/jimmunol.165.10.5392 (2000).</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Miller, L.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MyD88 Mediates Neutrophil Recruitment Initiated by IL-1R but Not TLR2 Activation in Immunity against Staphylococcus aureus.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doi:10.1016/j.immuni.2005.11.011 (2006).</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Macedo,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Wound healing is impaired in MyD88-deficient mice: a role for MyD88 in the regulation of wound healing by adenosine A2A receptors.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(6), 1774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1788, doi:10.2353/ajpath.2007.061048 (2007).</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Cho, J.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Neutrophil-derived IL-1&amp;#946; Is Sufficient for Abscess Formation in Immunity against Staphylococcus aureus in Mice.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e1003047, doi:10.1371/journal.ppat.1003047 (2012).</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Granick, J.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Staphylococcus aureus recognition by hematopoietic stem and progenitor cells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TLR2/MyD88/PGE2 stimulates granulopoiesis in wounds.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(10), 1770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1778, doi:10.1182/blood-2012-11-466268 (2013).</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Kim, M.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Neutrophil survival and c-kit+-progenitor proliferation in Staphylococcus aureus-infected skin wounds promote resolution.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(12), 3343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3352, doi:10.1182/blood-2010-07-296970 (2011).</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Foster, T. J. Immune evasion by staphylococci.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 948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958, doi:10.1038/nrmicro1289 (2005).</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Gordon, R. J. &amp;amp; Lowy, F. D. Pathogenesis of Methicillin-Resistant Staphylococcus aureus Infection. </w:t>
      </w:r>
      <w:r>
        <w:rPr>
          <w:rFonts w:ascii="Calibri" w:hAnsi="Calibri" w:cs="Calibri" w:eastAsia="Calibri"/>
          <w:i/>
          <w:color w:val="auto"/>
          <w:spacing w:val="0"/>
          <w:position w:val="0"/>
          <w:sz w:val="24"/>
          <w:shd w:fill="auto" w:val="clear"/>
        </w:rPr>
        <w:t xml:space="preserve">Clinical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(Supplement_5), S350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S359, doi:10.1086/533591 (2008).</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Cho, J.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Neutrophil-derived IL-1&amp;#946; Is Sufficient for Abscess Formation in Immunity against Staphylococcus aureus in Mice.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e1003047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doi:10.1371/journal.ppat.1003047 (2012).</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Bernthal, 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mouse model of post-arthroplasty Staphylococcus aureus joint infection to evaluate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efficacy of antimicrobial implant coatings.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e12580, doi:10.1371/journal.pone.0012580 (2010).</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Plaut, R. D., Mocca, C. P., Prabhakara, R., Merkel, T. J. &amp;amp; Stibitz, S. Stably Luminescent Staphylococcus aureus Clinical Strains for Use in Bioluminescent Imaging.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e59232, doi:10.1371/journal.pone.0059232 (2013).</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Dillen, C.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Clonally expanded &amp;#947;</w:t>
      </w:r>
      <w:r>
        <w:rPr>
          <w:rFonts w:ascii="Calibri" w:hAnsi="Calibri" w:cs="Calibri" w:eastAsia="Calibri"/>
          <w:color w:val="auto"/>
          <w:spacing w:val="0"/>
          <w:position w:val="0"/>
          <w:sz w:val="24"/>
          <w:shd w:fill="auto" w:val="clear"/>
        </w:rPr>
        <w:t xml:space="preserve">δ T cells protect against Staphylococcus aureus skin reinfection.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(3), 1026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1042, doi:10.1172/JCI96481 (2018).</w:t>
      </w:r>
    </w:p>
    <w:p>
      <w:pPr>
        <w:widowControl w:val="false"/>
        <w:tabs>
          <w:tab w:val="left" w:pos="640" w:leader="none"/>
        </w:tabs>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