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DAE5685" w:rsidR="006305D7" w:rsidRPr="00AD2F49" w:rsidRDefault="006305D7" w:rsidP="007A17EB">
      <w:pPr>
        <w:pStyle w:val="NormalWeb"/>
        <w:widowControl/>
        <w:spacing w:before="0" w:beforeAutospacing="0" w:after="0" w:afterAutospacing="0"/>
        <w:rPr>
          <w:color w:val="000000" w:themeColor="text1"/>
        </w:rPr>
      </w:pPr>
      <w:bookmarkStart w:id="0" w:name="_GoBack"/>
      <w:bookmarkEnd w:id="0"/>
      <w:r w:rsidRPr="00111CDD">
        <w:rPr>
          <w:rFonts w:asciiTheme="minorHAnsi" w:hAnsiTheme="minorHAnsi" w:cstheme="minorHAnsi"/>
          <w:b/>
          <w:bCs/>
          <w:color w:val="000000" w:themeColor="text1"/>
        </w:rPr>
        <w:t>TITLE:</w:t>
      </w:r>
      <w:r w:rsidRPr="00111CDD">
        <w:rPr>
          <w:rFonts w:asciiTheme="minorHAnsi" w:hAnsiTheme="minorHAnsi" w:cstheme="minorHAnsi"/>
          <w:color w:val="000000" w:themeColor="text1"/>
        </w:rPr>
        <w:t xml:space="preserve"> </w:t>
      </w:r>
    </w:p>
    <w:p w14:paraId="0C76090E" w14:textId="7C19D0E7" w:rsidR="007A4DD6" w:rsidRPr="00BE5C58" w:rsidRDefault="00E64943" w:rsidP="007A17EB">
      <w:pPr>
        <w:jc w:val="both"/>
        <w:rPr>
          <w:rFonts w:asciiTheme="minorHAnsi" w:hAnsiTheme="minorHAnsi" w:cstheme="minorHAnsi"/>
          <w:b/>
          <w:color w:val="000000" w:themeColor="text1"/>
          <w:lang w:val="en-US"/>
        </w:rPr>
      </w:pPr>
      <w:r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Human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S</w:t>
      </w:r>
      <w:r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erum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nti-aquaporin-4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I</w:t>
      </w:r>
      <w:r w:rsidR="006226D5" w:rsidRPr="00BE5C58">
        <w:rPr>
          <w:rFonts w:asciiTheme="minorHAnsi" w:hAnsiTheme="minorHAnsi" w:cstheme="minorHAnsi"/>
          <w:b/>
          <w:color w:val="000000" w:themeColor="text1"/>
          <w:lang w:val="en-US"/>
        </w:rPr>
        <w:t>mmunoglobulin G</w:t>
      </w:r>
      <w:r w:rsidR="004D22C3"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D</w:t>
      </w:r>
      <w:r w:rsidR="004D22C3"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etection </w:t>
      </w:r>
      <w:r w:rsidR="00EE2C12" w:rsidRPr="00BE5C58">
        <w:rPr>
          <w:rFonts w:asciiTheme="minorHAnsi" w:hAnsiTheme="minorHAnsi" w:cstheme="minorHAnsi"/>
          <w:b/>
          <w:color w:val="000000" w:themeColor="text1"/>
          <w:lang w:val="en-US"/>
        </w:rPr>
        <w:t>by</w:t>
      </w:r>
      <w:r w:rsidR="004D22C3"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C</w:t>
      </w:r>
      <w:r w:rsidR="004D22C3" w:rsidRPr="00BE5C58">
        <w:rPr>
          <w:rFonts w:asciiTheme="minorHAnsi" w:hAnsiTheme="minorHAnsi" w:cstheme="minorHAnsi"/>
          <w:b/>
          <w:color w:val="000000" w:themeColor="text1"/>
          <w:lang w:val="en-US"/>
        </w:rPr>
        <w:t>ell-</w:t>
      </w:r>
      <w:r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based </w:t>
      </w:r>
      <w:r w:rsidR="00A76AE8" w:rsidRPr="00BE5C58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Pr="00BE5C58">
        <w:rPr>
          <w:rFonts w:asciiTheme="minorHAnsi" w:hAnsiTheme="minorHAnsi" w:cstheme="minorHAnsi"/>
          <w:b/>
          <w:color w:val="000000" w:themeColor="text1"/>
          <w:lang w:val="en-US"/>
        </w:rPr>
        <w:t>ssay</w:t>
      </w:r>
    </w:p>
    <w:p w14:paraId="2E300B21" w14:textId="77777777" w:rsidR="007A4DD6" w:rsidRPr="00111CDD" w:rsidRDefault="007A4DD6" w:rsidP="007A17EB">
      <w:pPr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</w:p>
    <w:p w14:paraId="3D080DA3" w14:textId="343A1046" w:rsidR="006305D7" w:rsidRPr="00111CDD" w:rsidRDefault="006305D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AUTHORS</w:t>
      </w:r>
      <w:r w:rsidR="000B662E"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&amp; AFFILIATIONS</w:t>
      </w: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: </w:t>
      </w:r>
    </w:p>
    <w:p w14:paraId="15819572" w14:textId="057027AE" w:rsidR="00E64943" w:rsidRPr="00111CDD" w:rsidRDefault="00E64943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  <w:proofErr w:type="spellStart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>Caiyun</w:t>
      </w:r>
      <w:proofErr w:type="spellEnd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 Liu</w:t>
      </w:r>
      <w:r w:rsidRPr="00111CDD">
        <w:rPr>
          <w:rFonts w:asciiTheme="minorHAnsi" w:hAnsiTheme="minorHAnsi" w:cstheme="minorHAnsi"/>
          <w:bCs/>
          <w:color w:val="000000" w:themeColor="text1"/>
          <w:vertAlign w:val="superscript"/>
          <w:lang w:val="en-US"/>
        </w:rPr>
        <w:t>1</w:t>
      </w:r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, </w:t>
      </w:r>
      <w:proofErr w:type="spellStart"/>
      <w:r w:rsidR="00C46B37" w:rsidRPr="00111CDD">
        <w:rPr>
          <w:rFonts w:asciiTheme="minorHAnsi" w:hAnsiTheme="minorHAnsi" w:cstheme="minorHAnsi"/>
          <w:bCs/>
          <w:color w:val="000000" w:themeColor="text1"/>
          <w:lang w:val="en-US"/>
        </w:rPr>
        <w:t>Mingqin</w:t>
      </w:r>
      <w:proofErr w:type="spellEnd"/>
      <w:r w:rsidR="00C46B37"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 Zhu</w:t>
      </w:r>
      <w:r w:rsidR="00C46B37" w:rsidRPr="00111CDD">
        <w:rPr>
          <w:rFonts w:asciiTheme="minorHAnsi" w:hAnsiTheme="minorHAnsi" w:cstheme="minorHAnsi"/>
          <w:bCs/>
          <w:color w:val="000000" w:themeColor="text1"/>
          <w:vertAlign w:val="superscript"/>
          <w:lang w:val="en-US"/>
        </w:rPr>
        <w:t>1</w:t>
      </w:r>
      <w:r w:rsidR="00C46B37"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, </w:t>
      </w:r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>Ying Wang</w:t>
      </w:r>
      <w:r w:rsidRPr="00111CDD">
        <w:rPr>
          <w:rFonts w:asciiTheme="minorHAnsi" w:hAnsiTheme="minorHAnsi" w:cstheme="minorHAnsi"/>
          <w:bCs/>
          <w:color w:val="000000" w:themeColor="text1"/>
          <w:vertAlign w:val="superscript"/>
          <w:lang w:val="en-US"/>
        </w:rPr>
        <w:t>1</w:t>
      </w:r>
    </w:p>
    <w:p w14:paraId="0F73C02E" w14:textId="274F0324" w:rsidR="00E64943" w:rsidRPr="00A76AE8" w:rsidRDefault="00E64943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A76AE8">
        <w:rPr>
          <w:rFonts w:asciiTheme="minorHAnsi" w:hAnsiTheme="minorHAnsi" w:cstheme="minorHAnsi"/>
          <w:bCs/>
          <w:color w:val="000000" w:themeColor="text1"/>
          <w:vertAlign w:val="superscript"/>
          <w:lang w:val="en-US"/>
        </w:rPr>
        <w:t>1</w:t>
      </w:r>
      <w:r w:rsidRPr="007A17EB">
        <w:rPr>
          <w:rFonts w:asciiTheme="minorHAnsi" w:hAnsiTheme="minorHAnsi" w:cstheme="minorHAnsi"/>
          <w:bCs/>
          <w:color w:val="000000" w:themeColor="text1"/>
          <w:lang w:val="en-US"/>
        </w:rPr>
        <w:t xml:space="preserve">Department of Neurology and Neuroscience Center, The First Hospital of Jilin University, Changchun, China </w:t>
      </w:r>
    </w:p>
    <w:p w14:paraId="3E2424A0" w14:textId="77777777" w:rsidR="00A76AE8" w:rsidRPr="007A17EB" w:rsidRDefault="00A76AE8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</w:p>
    <w:p w14:paraId="7E0E30CE" w14:textId="77777777" w:rsidR="00A76AE8" w:rsidRPr="007A17EB" w:rsidRDefault="00E64943" w:rsidP="007A17EB">
      <w:pPr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r w:rsidRPr="007A17EB">
        <w:rPr>
          <w:rFonts w:asciiTheme="minorHAnsi" w:hAnsiTheme="minorHAnsi" w:cstheme="minorHAnsi"/>
          <w:b/>
          <w:bCs/>
          <w:color w:val="000000" w:themeColor="text1"/>
          <w:lang w:val="en-US"/>
        </w:rPr>
        <w:t>Corresponding Author:</w:t>
      </w:r>
      <w:r w:rsidR="00AD2F49" w:rsidRPr="007A17EB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</w:p>
    <w:p w14:paraId="7A322053" w14:textId="0517D245" w:rsidR="00E64943" w:rsidRPr="00A76AE8" w:rsidRDefault="00E64943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A76AE8">
        <w:rPr>
          <w:rFonts w:asciiTheme="minorHAnsi" w:hAnsiTheme="minorHAnsi" w:cstheme="minorHAnsi"/>
          <w:bCs/>
          <w:color w:val="000000" w:themeColor="text1"/>
          <w:lang w:val="en-US"/>
        </w:rPr>
        <w:t xml:space="preserve">Ying Wang </w:t>
      </w:r>
      <w:r w:rsidR="00BE5C58">
        <w:rPr>
          <w:rFonts w:asciiTheme="minorHAnsi" w:hAnsiTheme="minorHAnsi" w:cstheme="minorHAnsi"/>
          <w:bCs/>
          <w:color w:val="000000" w:themeColor="text1"/>
          <w:lang w:val="en-US"/>
        </w:rPr>
        <w:t>(</w:t>
      </w:r>
      <w:r w:rsidRPr="007A17EB">
        <w:rPr>
          <w:rFonts w:asciiTheme="minorHAnsi" w:hAnsiTheme="minorHAnsi" w:cstheme="minorHAnsi"/>
          <w:bCs/>
          <w:color w:val="000000" w:themeColor="text1"/>
          <w:lang w:val="en-US"/>
        </w:rPr>
        <w:t>yingwangki@outlook.com</w:t>
      </w:r>
      <w:r w:rsidR="00BE5C58">
        <w:rPr>
          <w:rFonts w:asciiTheme="minorHAnsi" w:hAnsiTheme="minorHAnsi" w:cstheme="minorHAnsi"/>
          <w:bCs/>
          <w:color w:val="000000" w:themeColor="text1"/>
          <w:lang w:val="en-US"/>
        </w:rPr>
        <w:t>)</w:t>
      </w:r>
    </w:p>
    <w:p w14:paraId="700F1359" w14:textId="10D8E02C" w:rsidR="00E64943" w:rsidRPr="00A76AE8" w:rsidRDefault="00E64943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A76AE8">
        <w:rPr>
          <w:rFonts w:asciiTheme="minorHAnsi" w:hAnsiTheme="minorHAnsi" w:cstheme="minorHAnsi"/>
          <w:bCs/>
          <w:color w:val="000000" w:themeColor="text1"/>
          <w:lang w:val="en-US"/>
        </w:rPr>
        <w:t>Tel: (46)-0790297839</w:t>
      </w:r>
    </w:p>
    <w:p w14:paraId="60FCB589" w14:textId="53F5E98A" w:rsidR="00D04A95" w:rsidRDefault="00D04A95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</w:p>
    <w:p w14:paraId="1C0D25A2" w14:textId="487F4D3A" w:rsidR="00BE5C58" w:rsidRDefault="00BE5C58" w:rsidP="007A17EB">
      <w:pPr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lang w:val="en-US"/>
        </w:rPr>
        <w:t>Email Addresses of Co-authors:</w:t>
      </w:r>
    </w:p>
    <w:p w14:paraId="6E44FF04" w14:textId="683C956B" w:rsidR="00BE5C58" w:rsidRDefault="00BE5C58" w:rsidP="007A17EB">
      <w:pPr>
        <w:jc w:val="both"/>
        <w:rPr>
          <w:rFonts w:asciiTheme="minorHAnsi" w:hAnsiTheme="minorHAnsi" w:cstheme="minorHAnsi"/>
          <w:bCs/>
          <w:color w:val="000000" w:themeColor="text1"/>
          <w:lang w:val="en-US"/>
        </w:rPr>
      </w:pPr>
      <w:proofErr w:type="spellStart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>Caiyun</w:t>
      </w:r>
      <w:proofErr w:type="spellEnd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 Liu</w:t>
      </w:r>
      <w:r>
        <w:rPr>
          <w:rFonts w:asciiTheme="minorHAnsi" w:hAnsiTheme="minorHAnsi" w:cstheme="minorHAnsi"/>
          <w:bCs/>
          <w:color w:val="000000" w:themeColor="text1"/>
          <w:lang w:val="en-US"/>
        </w:rPr>
        <w:t xml:space="preserve"> (</w:t>
      </w:r>
      <w:r w:rsidRPr="00BE5C58">
        <w:rPr>
          <w:rFonts w:asciiTheme="minorHAnsi" w:hAnsiTheme="minorHAnsi" w:cstheme="minorHAnsi"/>
          <w:bCs/>
          <w:color w:val="000000" w:themeColor="text1"/>
          <w:lang w:val="en-US"/>
        </w:rPr>
        <w:t>caiyun_0770@163.com</w:t>
      </w:r>
      <w:r>
        <w:rPr>
          <w:rFonts w:asciiTheme="minorHAnsi" w:hAnsiTheme="minorHAnsi" w:cstheme="minorHAnsi"/>
          <w:bCs/>
          <w:color w:val="000000" w:themeColor="text1"/>
          <w:lang w:val="en-US"/>
        </w:rPr>
        <w:t>)</w:t>
      </w:r>
    </w:p>
    <w:p w14:paraId="56C28F4C" w14:textId="51CFF26D" w:rsidR="00BE5C58" w:rsidRPr="00BE5C58" w:rsidRDefault="00BE5C58" w:rsidP="007A17EB">
      <w:pPr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proofErr w:type="spellStart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>Mingqin</w:t>
      </w:r>
      <w:proofErr w:type="spellEnd"/>
      <w:r w:rsidRPr="00111CDD">
        <w:rPr>
          <w:rFonts w:asciiTheme="minorHAnsi" w:hAnsiTheme="minorHAnsi" w:cstheme="minorHAnsi"/>
          <w:bCs/>
          <w:color w:val="000000" w:themeColor="text1"/>
          <w:lang w:val="en-US"/>
        </w:rPr>
        <w:t xml:space="preserve"> Zhu</w:t>
      </w:r>
      <w:r>
        <w:rPr>
          <w:rFonts w:asciiTheme="minorHAnsi" w:hAnsiTheme="minorHAnsi" w:cstheme="minorHAnsi"/>
          <w:bCs/>
          <w:color w:val="000000" w:themeColor="text1"/>
          <w:lang w:val="en-US"/>
        </w:rPr>
        <w:t xml:space="preserve"> (</w:t>
      </w:r>
      <w:r w:rsidRPr="00BE5C58">
        <w:rPr>
          <w:rFonts w:asciiTheme="minorHAnsi" w:hAnsiTheme="minorHAnsi" w:cstheme="minorHAnsi"/>
          <w:bCs/>
          <w:color w:val="000000" w:themeColor="text1"/>
          <w:lang w:val="en-US"/>
        </w:rPr>
        <w:t>mingqin.zhu@hotmail.com</w:t>
      </w:r>
      <w:r>
        <w:rPr>
          <w:rFonts w:asciiTheme="minorHAnsi" w:hAnsiTheme="minorHAnsi" w:cstheme="minorHAnsi"/>
          <w:bCs/>
          <w:color w:val="000000" w:themeColor="text1"/>
          <w:lang w:val="en-US"/>
        </w:rPr>
        <w:t>)</w:t>
      </w:r>
    </w:p>
    <w:p w14:paraId="5E4F3D10" w14:textId="77777777" w:rsidR="00BE5C58" w:rsidRDefault="00BE5C58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</w:p>
    <w:p w14:paraId="663FB583" w14:textId="2F8D6457" w:rsidR="00E64943" w:rsidRPr="00111CDD" w:rsidRDefault="006305D7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b/>
          <w:bCs/>
          <w:color w:val="000000" w:themeColor="text1"/>
        </w:rPr>
        <w:t>KEYWORDS:</w:t>
      </w:r>
      <w:r w:rsidRPr="00111CDD">
        <w:rPr>
          <w:rFonts w:asciiTheme="minorHAnsi" w:hAnsiTheme="minorHAnsi" w:cstheme="minorHAnsi"/>
          <w:color w:val="000000" w:themeColor="text1"/>
        </w:rPr>
        <w:t xml:space="preserve"> </w:t>
      </w:r>
    </w:p>
    <w:p w14:paraId="295B39E0" w14:textId="5D0E87B7" w:rsidR="00E64943" w:rsidRPr="00111CDD" w:rsidRDefault="00E64943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</w:rPr>
        <w:t xml:space="preserve">Aquaporin-4, immunoglobulin G, cell-based assay,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</w:rPr>
        <w:t xml:space="preserve"> spectrum disorders, human, serum </w:t>
      </w:r>
    </w:p>
    <w:p w14:paraId="7732FF71" w14:textId="2BC82157" w:rsidR="00E64943" w:rsidRPr="00111CDD" w:rsidRDefault="00E64943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</w:rPr>
        <w:t xml:space="preserve"> </w:t>
      </w:r>
    </w:p>
    <w:p w14:paraId="628AC4B5" w14:textId="31162BF9" w:rsidR="006305D7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lang w:val="en-US"/>
        </w:rPr>
        <w:t>SUMMARY</w:t>
      </w:r>
      <w:r w:rsidR="006305D7"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:</w:t>
      </w:r>
      <w:r w:rsidR="006305D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32798D51" w14:textId="346DC91F" w:rsidR="007A4DD6" w:rsidRPr="00111CDD" w:rsidRDefault="00A76AE8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t>A c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ell-based assay is a widely used method to detect </w:t>
      </w:r>
      <w:r w:rsidR="004743B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serum anti-aquaporin-4 </w:t>
      </w:r>
      <w:r w:rsidR="00096F26" w:rsidRPr="00111CDD">
        <w:rPr>
          <w:rFonts w:asciiTheme="minorHAnsi" w:hAnsiTheme="minorHAnsi" w:cstheme="minorHAnsi"/>
          <w:color w:val="000000" w:themeColor="text1"/>
          <w:lang w:val="en-US"/>
        </w:rPr>
        <w:t>immunoglobulin G</w:t>
      </w:r>
      <w:r w:rsidR="004743B1" w:rsidRPr="00111CDD">
        <w:rPr>
          <w:rFonts w:asciiTheme="minorHAnsi" w:hAnsiTheme="minorHAnsi" w:cstheme="minorHAnsi"/>
          <w:color w:val="000000" w:themeColor="text1"/>
          <w:lang w:val="en-US"/>
        </w:rPr>
        <w:t>. This method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en-US"/>
        </w:rPr>
        <w:t>can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applied 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>to</w:t>
      </w:r>
      <w:r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clinical diagnosis and research </w:t>
      </w:r>
      <w:r>
        <w:rPr>
          <w:rFonts w:asciiTheme="minorHAnsi" w:hAnsiTheme="minorHAnsi" w:cstheme="minorHAnsi"/>
          <w:color w:val="000000" w:themeColor="text1"/>
          <w:lang w:val="en-US"/>
        </w:rPr>
        <w:t xml:space="preserve">studies 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>of neuromyelitis optica</w:t>
      </w:r>
      <w:r w:rsidR="00052A88" w:rsidRPr="00111CDD">
        <w:rPr>
          <w:rFonts w:asciiTheme="minorHAnsi" w:hAnsiTheme="minorHAnsi" w:cstheme="minorHAnsi"/>
          <w:color w:val="000000" w:themeColor="text1"/>
          <w:lang w:val="en-US"/>
        </w:rPr>
        <w:t>l</w:t>
      </w:r>
      <w:r w:rsidR="003116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spectrum disorders.</w:t>
      </w:r>
      <w:r w:rsidR="00AD2F4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761028D6" w14:textId="77777777" w:rsidR="006305D7" w:rsidRPr="00111CDD" w:rsidRDefault="006305D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64FB8590" w14:textId="5FC0F356" w:rsidR="006305D7" w:rsidRPr="00111CDD" w:rsidRDefault="006305D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ABSTRACT: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4C7D5FD5" w14:textId="48F5D06C" w:rsidR="006305D7" w:rsidRPr="00111CDD" w:rsidRDefault="00096F26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Anti-aquaporin-4 (AQP4) immunoglobulin G (IgG) is the core diagnostic biomarker for neuromyelitis optica spectrum disorders (NMOSD).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The c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ell-based assay (CBA) is a widely used method to detect anti-AQP4 IgG in human serum with high sensitivity and specificity. Briefly, serum anti-AQP4 IgG is ca</w:t>
      </w:r>
      <w:r w:rsidR="00E965AA" w:rsidRPr="00111CDD">
        <w:rPr>
          <w:rFonts w:asciiTheme="minorHAnsi" w:hAnsiTheme="minorHAnsi" w:cstheme="minorHAnsi"/>
          <w:color w:val="000000" w:themeColor="text1"/>
          <w:lang w:val="en-US"/>
        </w:rPr>
        <w:t>ptured by AQP4-transfected cell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 xml:space="preserve">that is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fixed on the 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 xml:space="preserve"> then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detected by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>fluorescein-labelled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secondary antibody.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>F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luorescence microscopy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is 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>utilized to visualize the fluorescence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>, and the intensity of fluorescence is evaluated by at least two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experienced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clinicians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 final diagnosis of NMOSD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can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made based on the combination of anti-AQP4 IgG detection results, clinical manifestations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neuro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r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adiological findings. 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According to previous studies, 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CBA is more sensitive and specific than other anti-AQP4 IgG detection methods, and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it can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applied to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both 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clinical diagnosis and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studies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NMOSD. Th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>e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method has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>limitations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; for example,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>n i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nternational 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scale to </w:t>
      </w:r>
      <w:r w:rsidR="00597B6A" w:rsidRPr="00111CDD">
        <w:rPr>
          <w:rFonts w:asciiTheme="minorHAnsi" w:hAnsiTheme="minorHAnsi" w:cstheme="minorHAnsi"/>
          <w:color w:val="000000" w:themeColor="text1"/>
          <w:lang w:val="en-US"/>
        </w:rPr>
        <w:t>evaluate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serum anti-AQP4 IgG </w:t>
      </w:r>
      <w:r w:rsidR="00876945" w:rsidRPr="00111CDD">
        <w:rPr>
          <w:rFonts w:asciiTheme="minorHAnsi" w:hAnsiTheme="minorHAnsi" w:cstheme="minorHAnsi"/>
          <w:color w:val="000000" w:themeColor="text1"/>
          <w:lang w:val="en-US"/>
        </w:rPr>
        <w:t>titer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D66249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is</w:t>
      </w:r>
      <w:r w:rsidR="00584C8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still lacking. Here, a detailed protocol for human serum anti-AQP4 IgG detection using CBA is described. </w:t>
      </w:r>
    </w:p>
    <w:p w14:paraId="2AC67858" w14:textId="77777777" w:rsidR="00CA1E6F" w:rsidRPr="00111CDD" w:rsidRDefault="00CA1E6F" w:rsidP="007A17EB">
      <w:pPr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</w:p>
    <w:p w14:paraId="00D25F73" w14:textId="33FF002B" w:rsidR="006305D7" w:rsidRPr="00111CDD" w:rsidRDefault="006305D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INTRODUCTION</w:t>
      </w: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: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0942F04C" w14:textId="67D67482" w:rsidR="00EE2C12" w:rsidRPr="00111CDD" w:rsidRDefault="00E64943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Serum 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is a core diagnostic biomarker for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spectrum disorders (NMOSD)</w:t>
      </w:r>
      <w:r w:rsidR="00D838AC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The c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ell-based assay (CBA) is a widely used 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detection method with high sensitivity and specificity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Here, a detailed pro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tocol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for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CBA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is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introduced.</w:t>
      </w:r>
    </w:p>
    <w:p w14:paraId="5D93E968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C85117E" w14:textId="299233E4" w:rsidR="00E64943" w:rsidRPr="00111CDD" w:rsidRDefault="00E64943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AQP4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,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 water channel protein, has six membrane-spanning units and two helical domains surrounding one aqueous pore</w:t>
      </w:r>
      <w:r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A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is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involved in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pathogenesis of NMOSD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through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binding to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its target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AQP4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which is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mainly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located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on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proofErr w:type="spellStart"/>
      <w:r w:rsidR="001F70C5">
        <w:rPr>
          <w:rFonts w:asciiTheme="minorHAnsi" w:hAnsiTheme="minorHAnsi" w:cstheme="minorHAnsi"/>
          <w:color w:val="000000" w:themeColor="text1"/>
          <w:lang w:val="en-US"/>
        </w:rPr>
        <w:t>endfeet</w:t>
      </w:r>
      <w:proofErr w:type="spellEnd"/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astrocytes</w:t>
      </w:r>
      <w:r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3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It has been shown that 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positive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approximately 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>two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>thirds of NMOSD patients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In the most recent international diagnostic criteria for NMOSD, 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gramStart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is considered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to be</w:t>
      </w:r>
      <w:proofErr w:type="gramEnd"/>
      <w:r w:rsidR="001F70C5">
        <w:rPr>
          <w:rFonts w:asciiTheme="minorHAnsi" w:hAnsiTheme="minorHAnsi" w:cstheme="minorHAnsi"/>
          <w:color w:val="000000" w:themeColor="text1"/>
          <w:lang w:val="en-US"/>
        </w:rPr>
        <w:t xml:space="preserve"> a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core diagnostic biomarker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. In this regard, it is crucial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establish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reliable protocol to detect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human serum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F70C5">
        <w:rPr>
          <w:rFonts w:asciiTheme="minorHAnsi" w:hAnsiTheme="minorHAnsi" w:cstheme="minorHAnsi"/>
          <w:color w:val="000000" w:themeColor="text1"/>
          <w:lang w:val="en-US"/>
        </w:rPr>
        <w:t>and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facilitate clinical diagnosis of NMOSD. </w:t>
      </w:r>
    </w:p>
    <w:p w14:paraId="771A6D84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7452A28F" w14:textId="68BD30AC" w:rsidR="004D22C3" w:rsidRPr="00111CDD" w:rsidRDefault="00EE2C12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Currently, v</w:t>
      </w:r>
      <w:r w:rsidR="004D22C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arious 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4D22C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detection methods are available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, such as</w:t>
      </w:r>
      <w:r w:rsidR="004D22C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CBA</w:t>
      </w:r>
      <w:r w:rsidR="004D22C3" w:rsidRPr="00111CDD">
        <w:rPr>
          <w:rFonts w:asciiTheme="minorHAnsi" w:hAnsiTheme="minorHAnsi" w:cstheme="minorHAnsi"/>
          <w:color w:val="000000" w:themeColor="text1"/>
          <w:lang w:val="en-US"/>
        </w:rPr>
        <w:t>, tissue-based assay, enz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yme-linked immunosorbent assay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flow cytometry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6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CBA employs 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>EU90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, which are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transfected with human AQP4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capture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The captured anti-AQP4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is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detected by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fluorescent secondary antibod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ies and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24B6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subsequently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visualized by microscopy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Accumulating evidence has shown that CBA is more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sensitive and specific than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other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IgG </w:t>
      </w:r>
      <w:r w:rsidR="00CA1E6F" w:rsidRPr="00111CDD">
        <w:rPr>
          <w:rFonts w:asciiTheme="minorHAnsi" w:hAnsiTheme="minorHAnsi" w:cstheme="minorHAnsi"/>
          <w:color w:val="000000" w:themeColor="text1"/>
          <w:lang w:val="en-US"/>
        </w:rPr>
        <w:t>detection methods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6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,7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. According t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o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 meta-analysis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, the sensitivity and specificity of CBA wer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e shown to be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76% and 99%, which were higher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than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tissue-ba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sed and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enzyme-linked immunosorbent assay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6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. Furthermore, a multicenter comparison o</w:t>
      </w:r>
      <w:r w:rsidR="002A0DEF">
        <w:rPr>
          <w:rFonts w:asciiTheme="minorHAnsi" w:hAnsiTheme="minorHAnsi" w:cstheme="minorHAnsi"/>
          <w:color w:val="000000" w:themeColor="text1"/>
          <w:lang w:val="en-US"/>
        </w:rPr>
        <w:t>f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diagnostic assays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of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was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conducted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. A total of 193 study subjects from 15 European 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iagnostic centers were enrolled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Four different methods were utilized to detect serum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. It was demonstrated that CB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 was more 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>sensitive and specific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than the other methods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="0018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As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AQP4 is expressed as two major isoforms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(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AQP4-M1 and AQP4-M23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)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anti-AQP4 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capture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 is transfect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ed</w:t>
      </w:r>
      <w:r w:rsidR="00D3285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with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 xml:space="preserve">either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AQP4-M1 or AQP4-M23.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However, w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hich type of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capture cell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is better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remains controversial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One investigation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 xml:space="preserve">has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supported 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>AQP4-M1 based CBA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8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while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others have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indicated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that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AQP4-M23 based CBA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is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better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7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9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10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However, AQP4-M23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>based CBA may yield false positive results due to un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specific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binding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8</w:t>
      </w:r>
      <w:r w:rsidR="00C46B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proofErr w:type="spellStart"/>
      <w:r w:rsidR="00D3285C" w:rsidRPr="00EE71F0">
        <w:rPr>
          <w:rFonts w:asciiTheme="minorHAnsi" w:hAnsiTheme="minorHAnsi" w:cstheme="minorHAnsi"/>
          <w:color w:val="000000" w:themeColor="text1"/>
          <w:lang w:val="en-US"/>
        </w:rPr>
        <w:t>Jarius</w:t>
      </w:r>
      <w:proofErr w:type="spellEnd"/>
      <w:r w:rsidRPr="00EE71F0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D2F49" w:rsidRPr="007A17EB">
        <w:rPr>
          <w:rFonts w:asciiTheme="minorHAnsi" w:hAnsiTheme="minorHAnsi" w:cstheme="minorHAnsi"/>
          <w:color w:val="000000" w:themeColor="text1"/>
          <w:lang w:val="en-US"/>
        </w:rPr>
        <w:t>et al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.</w:t>
      </w:r>
      <w:r w:rsidR="00523E9B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11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reported that there </w:t>
      </w:r>
      <w:r w:rsidR="00D3285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was no significant difference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in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detection rate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between AQP4-M1 and AQP4-M23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based CBA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="00AD2F4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330DCF2B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2ED356B5" w14:textId="0216330A" w:rsidR="00E64943" w:rsidRPr="00111CDD" w:rsidRDefault="00C46B3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summary, serum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is a co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re biomarker for NMOSD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CBA has higher specificity and sensitivity than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other anti-AQP4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detection methods.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It remains controversial whether AQP4-M1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or AQP4-M23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based CBA is better. In this article,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detailed protocol for AQP4-M1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based CBA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22D4B" w:rsidRPr="00111CDD">
        <w:rPr>
          <w:rFonts w:asciiTheme="minorHAnsi" w:hAnsiTheme="minorHAnsi" w:cstheme="minorHAnsi"/>
          <w:color w:val="000000" w:themeColor="text1"/>
          <w:lang w:val="en-US"/>
        </w:rPr>
        <w:t>described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which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can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apply to clinical diagnosis and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studies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NMOSD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</w:p>
    <w:p w14:paraId="70298BC3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D4CD2F3" w14:textId="58B65067" w:rsidR="006305D7" w:rsidRPr="00111CDD" w:rsidRDefault="006305D7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PROTOCOL: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7CF505E1" w14:textId="77777777" w:rsidR="00AD2F49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757F67E8" w14:textId="1F5C304A" w:rsidR="007A4DD6" w:rsidRPr="00111CDD" w:rsidRDefault="00D3285C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Th</w:t>
      </w:r>
      <w:r w:rsidR="00AD2F49">
        <w:rPr>
          <w:rFonts w:asciiTheme="minorHAnsi" w:hAnsiTheme="minorHAnsi" w:cstheme="minorHAnsi"/>
          <w:color w:val="000000" w:themeColor="text1"/>
          <w:lang w:val="en-US"/>
        </w:rPr>
        <w:t>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procedure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was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approved by the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Ethics Committee of the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Firs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t Hospital of Jilin University and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 xml:space="preserve">was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performed on approximately 1,500 </w:t>
      </w:r>
      <w:r w:rsidR="007A25D3" w:rsidRPr="00111CDD">
        <w:rPr>
          <w:rFonts w:asciiTheme="minorHAnsi" w:hAnsiTheme="minorHAnsi" w:cstheme="minorHAnsi"/>
          <w:color w:val="000000" w:themeColor="text1"/>
          <w:lang w:val="en-US"/>
        </w:rPr>
        <w:t>subjects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</w:p>
    <w:p w14:paraId="70B9B078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2FB703D" w14:textId="5912C387" w:rsidR="00231EC2" w:rsidRPr="00111CDD" w:rsidRDefault="000040E6" w:rsidP="007A17EB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color w:val="000000" w:themeColor="text1"/>
        </w:rPr>
      </w:pPr>
      <w:r w:rsidRPr="00111CDD">
        <w:rPr>
          <w:rFonts w:asciiTheme="minorHAnsi" w:hAnsiTheme="minorHAnsi" w:cstheme="minorHAnsi"/>
          <w:b/>
          <w:color w:val="000000" w:themeColor="text1"/>
        </w:rPr>
        <w:t>Patient</w:t>
      </w:r>
      <w:r w:rsidR="00245B1B" w:rsidRPr="00111CDD">
        <w:rPr>
          <w:rFonts w:asciiTheme="minorHAnsi" w:hAnsiTheme="minorHAnsi" w:cstheme="minorHAnsi"/>
          <w:b/>
          <w:color w:val="000000" w:themeColor="text1"/>
        </w:rPr>
        <w:t xml:space="preserve"> Enrollment and Blood Sample Collection</w:t>
      </w:r>
    </w:p>
    <w:p w14:paraId="5ACDA7AD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0919F5AA" w14:textId="77777777" w:rsidR="003B22DB" w:rsidRPr="00111CDD" w:rsidRDefault="003B22DB" w:rsidP="003B22DB">
      <w:pPr>
        <w:pStyle w:val="ListParagraph"/>
        <w:numPr>
          <w:ilvl w:val="1"/>
          <w:numId w:val="25"/>
        </w:numPr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Apply the laboratory detection of serum </w:t>
      </w:r>
      <w:r w:rsidRPr="00111CDD">
        <w:rPr>
          <w:rFonts w:asciiTheme="minorHAnsi" w:hAnsiTheme="minorHAnsi" w:cstheme="minorHAnsi"/>
          <w:color w:val="000000" w:themeColor="text1"/>
        </w:rPr>
        <w:t xml:space="preserve">anti-AQP4 IgG to clinic patients with the chief complaints and symptoms listed below. Perform physical examination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as well</w:t>
      </w:r>
      <w:r w:rsidRPr="00111CDD">
        <w:rPr>
          <w:rFonts w:asciiTheme="minorHAnsi" w:hAnsiTheme="minorHAnsi" w:cstheme="minorHAnsi"/>
          <w:color w:val="000000" w:themeColor="text1"/>
        </w:rPr>
        <w:t>.</w:t>
      </w:r>
    </w:p>
    <w:p w14:paraId="43F24071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3F9F060B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</w:rPr>
        <w:t xml:space="preserve">Optic neuritis: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Patients suffer with visual deficits, such as loss of visual fields and reduction of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lastRenderedPageBreak/>
        <w:t xml:space="preserve">visual acuity. </w:t>
      </w:r>
    </w:p>
    <w:p w14:paraId="52B7A96A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Acute myelitis: Patients may present with paralysis, sensory deficits and autonomic dysfunction.</w:t>
      </w:r>
    </w:p>
    <w:p w14:paraId="6AEB240B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Area postrema syndrome: Patients may have symptoms of unexplained hiccups, nausea or v</w:t>
      </w:r>
      <w:r>
        <w:rPr>
          <w:rFonts w:asciiTheme="minorHAnsi" w:hAnsiTheme="minorHAnsi" w:cstheme="minorHAnsi"/>
          <w:color w:val="000000" w:themeColor="text1"/>
          <w:lang w:eastAsia="zh-CN"/>
        </w:rPr>
        <w:t>o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miting.</w:t>
      </w:r>
    </w:p>
    <w:p w14:paraId="59D2A059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Acute brainstem syndrome: Brainstem lesions could result in different symptoms and physical signs depending on the location of the lesions.</w:t>
      </w:r>
    </w:p>
    <w:p w14:paraId="005E54F8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Symptomatic narcolepsy or acute diencephalic clinical syndrome with NMOSD-typical diencephalic MRI lesions.</w:t>
      </w:r>
    </w:p>
    <w:p w14:paraId="3DEE7161" w14:textId="77777777" w:rsidR="003B22DB" w:rsidRPr="00111CDD" w:rsidRDefault="003B22DB" w:rsidP="003B22D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Symptomatic cerebral syndrome with NMOSD-typical brain lesions.</w:t>
      </w:r>
    </w:p>
    <w:p w14:paraId="063603ED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25058A49" w14:textId="41379D7D" w:rsidR="00231EC2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t>NOTE: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According to the international consensus diagnostic criteria</w:t>
      </w:r>
      <w:r w:rsidR="00084FB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for NMOSD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diagnosis of NMOSD c</w:t>
      </w:r>
      <w:r>
        <w:rPr>
          <w:rFonts w:asciiTheme="minorHAnsi" w:hAnsiTheme="minorHAnsi" w:cstheme="minorHAnsi"/>
          <w:color w:val="000000" w:themeColor="text1"/>
          <w:lang w:val="en-US"/>
        </w:rPr>
        <w:t>an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made if the patient is serum anti-AQP4 </w:t>
      </w:r>
      <w:r w:rsidR="0017207C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and has at least one 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 xml:space="preserve">of the 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>core clinical characteristic</w:t>
      </w:r>
      <w:r w:rsidR="00523E9B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mentioned above. </w:t>
      </w:r>
      <w:r>
        <w:rPr>
          <w:rFonts w:asciiTheme="minorHAnsi" w:hAnsiTheme="minorHAnsi" w:cstheme="minorHAnsi"/>
          <w:color w:val="000000" w:themeColor="text1"/>
          <w:lang w:val="en-US"/>
        </w:rPr>
        <w:t xml:space="preserve">However, </w:t>
      </w:r>
      <w:r>
        <w:rPr>
          <w:rFonts w:asciiTheme="minorHAnsi" w:hAnsiTheme="minorHAnsi" w:cstheme="minorHAnsi"/>
          <w:color w:val="000000" w:themeColor="text1"/>
        </w:rPr>
        <w:t>w</w:t>
      </w:r>
      <w:r w:rsidRPr="00111CDD">
        <w:rPr>
          <w:rFonts w:asciiTheme="minorHAnsi" w:hAnsiTheme="minorHAnsi" w:cstheme="minorHAnsi"/>
          <w:color w:val="000000" w:themeColor="text1"/>
        </w:rPr>
        <w:t xml:space="preserve">e do not recommend </w:t>
      </w:r>
      <w:r w:rsidR="00523E9B">
        <w:rPr>
          <w:rFonts w:asciiTheme="minorHAnsi" w:hAnsiTheme="minorHAnsi" w:cstheme="minorHAnsi"/>
          <w:color w:val="000000" w:themeColor="text1"/>
        </w:rPr>
        <w:t>testing of</w:t>
      </w:r>
      <w:r w:rsidRPr="00111CDD">
        <w:rPr>
          <w:rFonts w:asciiTheme="minorHAnsi" w:hAnsiTheme="minorHAnsi" w:cstheme="minorHAnsi"/>
          <w:color w:val="000000" w:themeColor="text1"/>
        </w:rPr>
        <w:t xml:space="preserve"> anti-AQP4 IgG </w:t>
      </w:r>
      <w:r w:rsidR="00523E9B">
        <w:rPr>
          <w:rFonts w:asciiTheme="minorHAnsi" w:hAnsiTheme="minorHAnsi" w:cstheme="minorHAnsi"/>
          <w:color w:val="000000" w:themeColor="text1"/>
        </w:rPr>
        <w:t>in</w:t>
      </w:r>
      <w:r w:rsidRPr="00111CDD">
        <w:rPr>
          <w:rFonts w:asciiTheme="minorHAnsi" w:hAnsiTheme="minorHAnsi" w:cstheme="minorHAnsi"/>
          <w:color w:val="000000" w:themeColor="text1"/>
        </w:rPr>
        <w:t xml:space="preserve"> patients with optic neuritis onl</w:t>
      </w:r>
      <w:r>
        <w:rPr>
          <w:rFonts w:asciiTheme="minorHAnsi" w:hAnsiTheme="minorHAnsi" w:cstheme="minorHAnsi"/>
          <w:color w:val="000000" w:themeColor="text1"/>
        </w:rPr>
        <w:t>y.</w:t>
      </w:r>
    </w:p>
    <w:p w14:paraId="1FC37183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EA88AA1" w14:textId="66D06DCE" w:rsidR="00231EC2" w:rsidRPr="00111CDD" w:rsidRDefault="00231EC2" w:rsidP="007A17EB">
      <w:pPr>
        <w:pStyle w:val="ListParagraph"/>
        <w:numPr>
          <w:ilvl w:val="1"/>
          <w:numId w:val="25"/>
        </w:numPr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</w:rPr>
        <w:t>Blood sample collection</w:t>
      </w:r>
    </w:p>
    <w:p w14:paraId="6511623B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6B5B649B" w14:textId="1B1E8F30" w:rsidR="001F6644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t>NOTE:</w:t>
      </w:r>
      <w:r w:rsidR="00231EC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Patients do not need to be fasting.</w:t>
      </w:r>
    </w:p>
    <w:p w14:paraId="3210BC66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020982D" w14:textId="07AC9512" w:rsidR="00231EC2" w:rsidRPr="00111CDD" w:rsidRDefault="00231EC2" w:rsidP="007A17EB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Draw 2-3 </w:t>
      </w:r>
      <w:r w:rsidR="00444B69">
        <w:rPr>
          <w:rFonts w:asciiTheme="minorHAnsi" w:hAnsiTheme="minorHAnsi" w:cstheme="minorHAnsi"/>
          <w:color w:val="000000" w:themeColor="text1"/>
          <w:lang w:eastAsia="zh-CN"/>
        </w:rPr>
        <w:t>mL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of </w:t>
      </w:r>
      <w:r w:rsidR="00084FB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venous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blood</w:t>
      </w:r>
      <w:r w:rsidR="008E46D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in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4</w:t>
      </w:r>
      <w:r w:rsidR="00EE2C1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444B69">
        <w:rPr>
          <w:rFonts w:asciiTheme="minorHAnsi" w:hAnsiTheme="minorHAnsi" w:cstheme="minorHAnsi"/>
          <w:color w:val="000000" w:themeColor="text1"/>
          <w:lang w:eastAsia="zh-CN"/>
        </w:rPr>
        <w:t>mL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vacuum blood collection tube.</w:t>
      </w:r>
    </w:p>
    <w:p w14:paraId="401238C4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723C6810" w14:textId="0DA196AF" w:rsidR="00B60D48" w:rsidRPr="00111CDD" w:rsidRDefault="00823D89" w:rsidP="007A17EB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Allow the serum to clot 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>for 30</w:t>
      </w:r>
      <w:r w:rsidR="00EE2C1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min </w:t>
      </w:r>
      <w:r w:rsidR="00EE2C12" w:rsidRPr="00111CDD">
        <w:rPr>
          <w:rFonts w:asciiTheme="minorHAnsi" w:hAnsiTheme="minorHAnsi" w:cstheme="minorHAnsi"/>
          <w:color w:val="000000" w:themeColor="text1"/>
          <w:lang w:eastAsia="zh-CN"/>
        </w:rPr>
        <w:t>at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room temperature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 (RT)</w:t>
      </w:r>
      <w:r w:rsidR="00EE2C12" w:rsidRPr="00111CDD">
        <w:rPr>
          <w:rFonts w:asciiTheme="minorHAnsi" w:hAnsiTheme="minorHAnsi" w:cstheme="minorHAnsi"/>
          <w:color w:val="000000" w:themeColor="text1"/>
          <w:lang w:eastAsia="zh-CN"/>
        </w:rPr>
        <w:t>.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</w:p>
    <w:p w14:paraId="1A52DC43" w14:textId="77777777" w:rsidR="00B60D48" w:rsidRPr="00111CDD" w:rsidRDefault="00B60D48" w:rsidP="007A17EB">
      <w:pPr>
        <w:pStyle w:val="ListParagraph"/>
        <w:rPr>
          <w:rFonts w:asciiTheme="minorHAnsi" w:hAnsiTheme="minorHAnsi" w:cstheme="minorHAnsi"/>
          <w:color w:val="000000" w:themeColor="text1"/>
          <w:lang w:eastAsia="zh-CN"/>
        </w:rPr>
      </w:pPr>
    </w:p>
    <w:p w14:paraId="66208AA9" w14:textId="2B87462B" w:rsidR="00653D1E" w:rsidRPr="00111CDD" w:rsidRDefault="00AD2F49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NOTE:</w:t>
      </w:r>
      <w:r w:rsidR="00653D1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Prolonged clotting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>can</w:t>
      </w:r>
      <w:r w:rsidR="00653D1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increase serum level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653D1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17207C" w:rsidRPr="00111CDD">
        <w:rPr>
          <w:rFonts w:asciiTheme="minorHAnsi" w:hAnsiTheme="minorHAnsi" w:cstheme="minorHAnsi"/>
          <w:color w:val="000000" w:themeColor="text1"/>
          <w:lang w:eastAsia="zh-CN"/>
        </w:rPr>
        <w:t>due to</w:t>
      </w:r>
      <w:r w:rsidR="00653D1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leakage from platelets.</w:t>
      </w:r>
    </w:p>
    <w:p w14:paraId="71B9DB79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2BB99A8D" w14:textId="7F9BAE5E" w:rsidR="00653D1E" w:rsidRPr="00111CDD" w:rsidRDefault="00EE2C12" w:rsidP="007A17EB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C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entrifuge at </w:t>
      </w:r>
      <w:r w:rsidR="00F047F4" w:rsidRPr="00111CDD">
        <w:rPr>
          <w:rFonts w:asciiTheme="minorHAnsi" w:hAnsiTheme="minorHAnsi" w:cstheme="minorHAnsi"/>
          <w:color w:val="000000" w:themeColor="text1"/>
          <w:lang w:eastAsia="zh-CN"/>
        </w:rPr>
        <w:t>2100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047F4" w:rsidRPr="00111CDD">
        <w:rPr>
          <w:rFonts w:asciiTheme="minorHAnsi" w:hAnsiTheme="minorHAnsi" w:cstheme="minorHAnsi"/>
          <w:color w:val="000000" w:themeColor="text1"/>
          <w:lang w:eastAsia="zh-CN"/>
        </w:rPr>
        <w:t>x</w:t>
      </w:r>
      <w:r w:rsidR="00F047F4" w:rsidRPr="00111CDD">
        <w:rPr>
          <w:rFonts w:asciiTheme="minorHAnsi" w:hAnsiTheme="minorHAnsi" w:cstheme="minorHAnsi"/>
          <w:color w:val="000000" w:themeColor="text1"/>
        </w:rPr>
        <w:t xml:space="preserve"> </w:t>
      </w:r>
      <w:r w:rsidR="00F047F4" w:rsidRPr="007A17EB">
        <w:rPr>
          <w:rFonts w:asciiTheme="minorHAnsi" w:hAnsiTheme="minorHAnsi" w:cstheme="minorHAnsi"/>
          <w:i/>
          <w:color w:val="000000" w:themeColor="text1"/>
        </w:rPr>
        <w:t>g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for 5</w:t>
      </w:r>
      <w:r w:rsidR="000054BC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>min.</w:t>
      </w:r>
      <w:r w:rsidR="00653D1E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Carefully </w:t>
      </w:r>
      <w:r w:rsidR="008E46D6" w:rsidRPr="00111CDD">
        <w:rPr>
          <w:rFonts w:asciiTheme="minorHAnsi" w:hAnsiTheme="minorHAnsi" w:cstheme="minorHAnsi"/>
          <w:color w:val="000000" w:themeColor="text1"/>
          <w:lang w:eastAsia="zh-CN"/>
        </w:rPr>
        <w:t>transfer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the serum </w:t>
      </w:r>
      <w:r w:rsidR="008E46D6" w:rsidRPr="00111CDD">
        <w:rPr>
          <w:rFonts w:asciiTheme="minorHAnsi" w:hAnsiTheme="minorHAnsi" w:cstheme="minorHAnsi"/>
          <w:color w:val="000000" w:themeColor="text1"/>
          <w:lang w:eastAsia="zh-CN"/>
        </w:rPr>
        <w:t>to a new tube</w:t>
      </w:r>
      <w:r w:rsidR="00231EC2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. </w:t>
      </w:r>
    </w:p>
    <w:p w14:paraId="68748889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203A1C15" w14:textId="6B5A10DA" w:rsidR="00B60D48" w:rsidRPr="00111CDD" w:rsidRDefault="00CB7885" w:rsidP="007A17EB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Analyze the serum immediately or aliquot and store at -20</w:t>
      </w:r>
      <w:r w:rsidR="008E46D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or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-80 </w:t>
      </w:r>
      <w:r w:rsidR="00111CDD">
        <w:rPr>
          <w:rFonts w:asciiTheme="minorHAnsi" w:hAnsiTheme="minorHAnsi" w:cstheme="minorHAnsi"/>
          <w:color w:val="000000" w:themeColor="text1"/>
          <w:lang w:eastAsia="zh-CN"/>
        </w:rPr>
        <w:t>°C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.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</w:p>
    <w:p w14:paraId="2529992E" w14:textId="77777777" w:rsidR="00B60D48" w:rsidRPr="00111CDD" w:rsidRDefault="00B60D48" w:rsidP="007A17EB">
      <w:pPr>
        <w:pStyle w:val="ListParagraph"/>
        <w:rPr>
          <w:rFonts w:asciiTheme="minorHAnsi" w:hAnsiTheme="minorHAnsi" w:cstheme="minorHAnsi"/>
          <w:color w:val="000000" w:themeColor="text1"/>
          <w:lang w:eastAsia="zh-CN"/>
        </w:rPr>
      </w:pPr>
    </w:p>
    <w:p w14:paraId="54D8D3C6" w14:textId="31BC7CBD" w:rsidR="00CB7885" w:rsidRPr="00111CDD" w:rsidRDefault="00AD2F49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NOTE: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Storage at -20 </w:t>
      </w:r>
      <w:r w:rsidR="00111CDD">
        <w:rPr>
          <w:rFonts w:asciiTheme="minorHAnsi" w:hAnsiTheme="minorHAnsi" w:cstheme="minorHAnsi"/>
          <w:color w:val="000000" w:themeColor="text1"/>
          <w:lang w:eastAsia="zh-CN"/>
        </w:rPr>
        <w:t>°C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is for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storage of 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>months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while -80 </w:t>
      </w:r>
      <w:r w:rsidR="00111CDD">
        <w:rPr>
          <w:rFonts w:asciiTheme="minorHAnsi" w:hAnsiTheme="minorHAnsi" w:cstheme="minorHAnsi"/>
          <w:color w:val="000000" w:themeColor="text1"/>
          <w:lang w:eastAsia="zh-CN"/>
        </w:rPr>
        <w:t>°C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is 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for </w:t>
      </w:r>
      <w:r w:rsidR="00523E9B">
        <w:rPr>
          <w:rFonts w:asciiTheme="minorHAnsi" w:hAnsiTheme="minorHAnsi" w:cstheme="minorHAnsi"/>
          <w:color w:val="000000" w:themeColor="text1"/>
          <w:lang w:eastAsia="zh-CN"/>
        </w:rPr>
        <w:t xml:space="preserve">storage of </w:t>
      </w:r>
      <w:r w:rsidR="004B4674" w:rsidRPr="00111CDD">
        <w:rPr>
          <w:rFonts w:asciiTheme="minorHAnsi" w:hAnsiTheme="minorHAnsi" w:cstheme="minorHAnsi"/>
          <w:color w:val="000000" w:themeColor="text1"/>
          <w:lang w:eastAsia="zh-CN"/>
        </w:rPr>
        <w:t>years.</w:t>
      </w:r>
    </w:p>
    <w:p w14:paraId="31093360" w14:textId="77777777" w:rsidR="001F6644" w:rsidRPr="00111CDD" w:rsidRDefault="001F6644" w:rsidP="007A17EB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2629A666" w14:textId="28DF2FB2" w:rsidR="00231EC2" w:rsidRPr="00111CDD" w:rsidRDefault="00231EC2" w:rsidP="007A17EB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  <w:t xml:space="preserve">Anti-AQP4 </w:t>
      </w:r>
      <w:r w:rsidR="00245B1B" w:rsidRPr="00111CDD"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  <w:t xml:space="preserve">Antibody Detection </w:t>
      </w:r>
    </w:p>
    <w:p w14:paraId="66780CA2" w14:textId="77777777" w:rsidR="00B60D48" w:rsidRPr="00111CDD" w:rsidRDefault="00B60D48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2A1AC152" w14:textId="7765835A" w:rsidR="00EE2C12" w:rsidRPr="00111CDD" w:rsidRDefault="00231EC2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CAUTION: Patient samples and 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used kit reagents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should be considered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infectious 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materials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7804DA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Sodium azide</w:t>
      </w:r>
      <w:r w:rsidR="0067049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-</w:t>
      </w:r>
      <w:r w:rsidR="007804DA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containing r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eagent</w:t>
      </w:r>
      <w:r w:rsidR="00084FBE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7804DA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in the kit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are toxic.</w:t>
      </w:r>
      <w:r w:rsidR="00AD2F4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A flow</w:t>
      </w:r>
      <w:r w:rsidR="007804DA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chart of the protocol is </w:t>
      </w:r>
      <w:r w:rsidR="008E46D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provi</w:t>
      </w:r>
      <w:r w:rsidR="00D159EF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d</w:t>
      </w:r>
      <w:r w:rsidR="008E46D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ed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in </w:t>
      </w:r>
      <w:r w:rsidR="00AD2F49" w:rsidRPr="00AD2F49"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  <w:t>Figure 1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</w:p>
    <w:p w14:paraId="05C3D2BE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1080B79C" w14:textId="5A944910" w:rsidR="00231EC2" w:rsidRPr="00111CDD" w:rsidRDefault="00231EC2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Preparation</w:t>
      </w:r>
    </w:p>
    <w:p w14:paraId="0F6D6FFC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7ED957F" w14:textId="0C6D0152" w:rsidR="00B60D48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Bring the kit to </w:t>
      </w:r>
      <w:r w:rsidR="0067049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RT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before use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7DDA9380" w14:textId="77777777" w:rsidR="00B60D48" w:rsidRPr="00111CDD" w:rsidRDefault="00B60D48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99FEA01" w14:textId="36C506B3" w:rsidR="00231EC2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NOTE: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Store the kit at 2</w:t>
      </w:r>
      <w:bookmarkStart w:id="1" w:name="_Hlk527545899"/>
      <w:r w:rsidR="0067049D">
        <w:rPr>
          <w:rFonts w:asciiTheme="minorHAnsi" w:hAnsiTheme="minorHAnsi" w:cstheme="minorHAnsi"/>
          <w:color w:val="000000" w:themeColor="text1"/>
          <w:highlight w:val="yellow"/>
        </w:rPr>
        <w:t>–</w:t>
      </w:r>
      <w:bookmarkEnd w:id="1"/>
      <w:r w:rsidR="00EE2C12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8 </w:t>
      </w:r>
      <w:r w:rsidR="00111CDD">
        <w:rPr>
          <w:rFonts w:asciiTheme="minorHAnsi" w:hAnsiTheme="minorHAnsi" w:cstheme="minorHAnsi"/>
          <w:color w:val="000000" w:themeColor="text1"/>
          <w:highlight w:val="yellow"/>
        </w:rPr>
        <w:t>°C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797D28FE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0FB4385E" w14:textId="04E899EC" w:rsidR="002B2836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Prepare </w:t>
      </w:r>
      <w:r w:rsidR="00047F01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at least 200 </w:t>
      </w:r>
      <w:r w:rsidR="00444B69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047F01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of 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>PBS wash buffer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containing 0.2</w:t>
      </w:r>
      <w:r w:rsidR="00AD2F49">
        <w:rPr>
          <w:rFonts w:asciiTheme="minorHAnsi" w:hAnsiTheme="minorHAnsi" w:cstheme="minorHAnsi"/>
          <w:color w:val="000000" w:themeColor="text1"/>
          <w:highlight w:val="yellow"/>
        </w:rPr>
        <w:t>%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Tween 20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. Pour 100 </w:t>
      </w:r>
      <w:r w:rsidR="00444B69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of 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lastRenderedPageBreak/>
        <w:t xml:space="preserve">wash buffer into a 500 </w:t>
      </w:r>
      <w:r w:rsidR="00444B69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beaker. </w:t>
      </w:r>
    </w:p>
    <w:p w14:paraId="3EF95425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115FC123" w14:textId="48D84F81" w:rsidR="002B2836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Dilute </w:t>
      </w:r>
      <w:r w:rsidR="00B04236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>serum samples 10</w:t>
      </w:r>
      <w:r w:rsidR="0067049D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with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>wash</w:t>
      </w: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buffer.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Prepare the positive and negative control</w:t>
      </w:r>
      <w:r w:rsidR="0067049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according to the instruction</w:t>
      </w:r>
      <w:r w:rsidR="0067049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 the distributor.</w:t>
      </w:r>
      <w:r w:rsidR="00AD2F4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</w:p>
    <w:p w14:paraId="6C9355B5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55F2D527" w14:textId="7A5D6908" w:rsidR="00231EC2" w:rsidRPr="00111CDD" w:rsidRDefault="002B2836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Sample </w:t>
      </w:r>
      <w:r w:rsidR="00084FBE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incubation</w:t>
      </w:r>
    </w:p>
    <w:p w14:paraId="27C0D6C1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56E2952C" w14:textId="2D6EF64F" w:rsidR="00B60D48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Add 30 </w:t>
      </w:r>
      <w:r w:rsidR="00B60D48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μ</w:t>
      </w:r>
      <w:r w:rsidR="0067049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L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pre-diluted samples, positive control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,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or negative control</w:t>
      </w:r>
      <w:r w:rsidR="003A5924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to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the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reaction field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reagent tray (</w:t>
      </w:r>
      <w:r w:rsidR="00AD2F49" w:rsidRPr="00AD2F49"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  <w:t>Figure 2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). </w:t>
      </w:r>
    </w:p>
    <w:p w14:paraId="2130BE06" w14:textId="77777777" w:rsidR="00B60D48" w:rsidRPr="00111CDD" w:rsidRDefault="00B60D48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7FF94948" w14:textId="302A285C" w:rsidR="002B2836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NOTE: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Avoid air bubbles.</w:t>
      </w:r>
      <w:r w:rsidR="00EE2C12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</w:p>
    <w:p w14:paraId="5D371061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6377E56A" w14:textId="77777777" w:rsidR="00B60D48" w:rsidRPr="00111CDD" w:rsidRDefault="000054BC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Remove the </w:t>
      </w:r>
      <w:r w:rsidR="00010963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protective cover on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>biochip</w:t>
      </w:r>
      <w:r w:rsidR="00010963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slides. </w:t>
      </w:r>
    </w:p>
    <w:p w14:paraId="2A911981" w14:textId="77777777" w:rsidR="00B60D48" w:rsidRPr="00111CDD" w:rsidRDefault="00B60D48" w:rsidP="007A17EB">
      <w:pPr>
        <w:pStyle w:val="ListParagraph"/>
        <w:rPr>
          <w:rFonts w:asciiTheme="minorHAnsi" w:hAnsiTheme="minorHAnsi" w:cstheme="minorHAnsi"/>
          <w:color w:val="000000" w:themeColor="text1"/>
          <w:highlight w:val="yellow"/>
        </w:rPr>
      </w:pPr>
    </w:p>
    <w:p w14:paraId="3CEB5DBA" w14:textId="3D756723" w:rsidR="000054BC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NOTE: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Do not touch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>biochips to avoid the detachment and contamination of fixed cells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4B4674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 Hold the slide side</w:t>
      </w:r>
      <w:r w:rsidR="00BB12B1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4B4674" w:rsidRPr="00111CDD">
        <w:rPr>
          <w:rFonts w:asciiTheme="minorHAnsi" w:hAnsiTheme="minorHAnsi" w:cstheme="minorHAnsi"/>
          <w:color w:val="000000" w:themeColor="text1"/>
          <w:highlight w:val="yellow"/>
        </w:rPr>
        <w:t>by</w:t>
      </w:r>
      <w:r w:rsidR="00BB12B1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4B4674" w:rsidRPr="00111CDD">
        <w:rPr>
          <w:rFonts w:asciiTheme="minorHAnsi" w:hAnsiTheme="minorHAnsi" w:cstheme="minorHAnsi"/>
          <w:color w:val="000000" w:themeColor="text1"/>
          <w:highlight w:val="yellow"/>
        </w:rPr>
        <w:t>side before removing the cover.</w:t>
      </w:r>
    </w:p>
    <w:p w14:paraId="29C6FE85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45FEE490" w14:textId="63F1591F" w:rsidR="00B60D48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Apply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 to the reagent tray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highlight w:val="yellow"/>
          <w:lang w:eastAsia="zh-CN"/>
        </w:rPr>
        <w:t>Figure 2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). S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tart a 30 min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incubation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at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RT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</w:p>
    <w:p w14:paraId="21F96569" w14:textId="77777777" w:rsidR="00B60D48" w:rsidRPr="00111CDD" w:rsidRDefault="00B60D48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5FE82E0E" w14:textId="008601C2" w:rsidR="00231EC2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NOTE: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Every sample should be an individual droplet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connected to the </w:t>
      </w:r>
      <w:r w:rsidR="0001096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corresponding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without mixing with other droplets.</w:t>
      </w:r>
    </w:p>
    <w:p w14:paraId="0AFDCCB7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7316CCE0" w14:textId="3CF4F7EB" w:rsidR="002B2836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Gently rinse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once with wash buffer. Immerse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into the 500 </w:t>
      </w:r>
      <w:r w:rsidR="00444B6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mL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beaker filled with 100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444B6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mL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of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wash buffer for at least 5 min.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Place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the beaker on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a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shaker if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possible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. </w:t>
      </w:r>
    </w:p>
    <w:p w14:paraId="7B37C421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57403115" w14:textId="1B85FF07" w:rsidR="00B60D48" w:rsidRPr="00111CDD" w:rsidRDefault="00685D1D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Take out the biochip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 from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wash buffer. Carefully wipe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away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residual wash buffer outside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of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reaction fields with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a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paper towel. </w:t>
      </w:r>
      <w:r w:rsidR="0001096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Expose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the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 in open air for 1</w:t>
      </w:r>
      <w:r w:rsidR="00BB12B1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2 min to evaporate the residual wash buffer on the reaction field. </w:t>
      </w:r>
    </w:p>
    <w:p w14:paraId="4B54239C" w14:textId="77777777" w:rsidR="00B60D48" w:rsidRPr="00111CDD" w:rsidRDefault="00B60D48" w:rsidP="007A17EB">
      <w:pPr>
        <w:pStyle w:val="ListParagraph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7A7252CB" w14:textId="7E957107" w:rsidR="000054BC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NOTE: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Do not dry out the reaction fields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</w:rPr>
        <w:t xml:space="preserve">Do not touch the </w:t>
      </w:r>
      <w:r w:rsidR="00685D1D" w:rsidRPr="00111CDD">
        <w:rPr>
          <w:rFonts w:asciiTheme="minorHAnsi" w:hAnsiTheme="minorHAnsi" w:cstheme="minorHAnsi"/>
          <w:color w:val="000000" w:themeColor="text1"/>
          <w:highlight w:val="yellow"/>
        </w:rPr>
        <w:t>biochip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</w:rPr>
        <w:t>s with paper towel.</w:t>
      </w:r>
    </w:p>
    <w:p w14:paraId="26CD8281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10436E09" w14:textId="5BC4C52F" w:rsidR="002B2836" w:rsidRPr="00111CDD" w:rsidRDefault="002B2836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Secondary antibody </w:t>
      </w:r>
      <w:r w:rsidR="000054BC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incubation</w:t>
      </w:r>
    </w:p>
    <w:p w14:paraId="192B7962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087F3CA6" w14:textId="3E1AE2B5" w:rsidR="00F063B3" w:rsidRPr="00111CDD" w:rsidRDefault="00F063B3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Prepare the secondary antibody solution according to the instruction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 the distributor.</w:t>
      </w:r>
      <w:r w:rsidR="00AD2F4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</w:p>
    <w:p w14:paraId="1B8969BE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7732F53E" w14:textId="461E104E" w:rsidR="002B2836" w:rsidRPr="00111CDD" w:rsidRDefault="007921A1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A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dd 25 </w:t>
      </w:r>
      <w:r w:rsidR="00B60D48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μ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L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 fluorescent secondary antibody to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reaction field</w:t>
      </w:r>
      <w:r w:rsidR="00E7178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s of a clean reagent tray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. </w:t>
      </w:r>
    </w:p>
    <w:p w14:paraId="084803E9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10A75560" w14:textId="4654887C" w:rsidR="002B2836" w:rsidRPr="00111CDD" w:rsidRDefault="00F063B3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Apply the biochip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 to the reagent tray loaded with secondary antibody. Incubate for 30 min at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RT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. </w:t>
      </w:r>
    </w:p>
    <w:p w14:paraId="297DDA24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1F3C65DF" w14:textId="771987DB" w:rsidR="002B2836" w:rsidRPr="00111CDD" w:rsidRDefault="002B2836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Mounting</w:t>
      </w:r>
    </w:p>
    <w:p w14:paraId="469E7A2F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7B5CD025" w14:textId="3AC57C57" w:rsidR="002B2836" w:rsidRPr="00111CDD" w:rsidRDefault="00F063B3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Pour out the used wash buffer and add </w:t>
      </w:r>
      <w:r w:rsidR="00047F0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100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="00444B69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mL</w:t>
      </w:r>
      <w:r w:rsidR="00047F0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of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fresh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wash buffer 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in</w:t>
      </w:r>
      <w:r w:rsidR="00047F0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to the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beaker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  <w:r w:rsidR="002D4DC7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epeat 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lastRenderedPageBreak/>
        <w:t>the wash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ing</w:t>
      </w:r>
      <w:r w:rsidR="00E7178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as described in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steps </w:t>
      </w:r>
      <w:r w:rsidR="00E7178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2.2.4 and 2.2.5</w:t>
      </w:r>
      <w:r w:rsidR="002B2836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.</w:t>
      </w:r>
    </w:p>
    <w:p w14:paraId="66B3060C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5BA59478" w14:textId="42196B58" w:rsidR="002B2836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Carefully add embedding medium to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the </w:t>
      </w:r>
      <w:r w:rsidR="007921A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reaction fields on </w:t>
      </w:r>
      <w:r w:rsidR="00BB12B1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a </w:t>
      </w:r>
      <w:r w:rsidR="00F063B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 slide (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one drop </w:t>
      </w:r>
      <w:r w:rsidR="007921A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per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reaction field</w:t>
      </w:r>
      <w:r w:rsidR="00F063B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)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. </w:t>
      </w:r>
      <w:r w:rsidR="007921A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Seal the </w:t>
      </w:r>
      <w:r w:rsidR="00F063B3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biochip</w:t>
      </w:r>
      <w:r w:rsidR="007921A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 slide with one piece of cover 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g</w:t>
      </w:r>
      <w:r w:rsidR="007921A1"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>lass</w:t>
      </w:r>
      <w:r w:rsidRPr="00111CDD">
        <w:rPr>
          <w:rFonts w:asciiTheme="minorHAnsi" w:hAnsiTheme="minorHAnsi" w:cstheme="minorHAnsi"/>
          <w:color w:val="000000" w:themeColor="text1"/>
          <w:highlight w:val="yellow"/>
          <w:lang w:eastAsia="zh-CN"/>
        </w:rPr>
        <w:t xml:space="preserve">. Avoid air bubbles. </w:t>
      </w:r>
    </w:p>
    <w:p w14:paraId="5F369DF8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748329AE" w14:textId="1D4AF21A" w:rsidR="002B2836" w:rsidRPr="00111CDD" w:rsidRDefault="002B2836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Fluorescence 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>detection</w:t>
      </w:r>
    </w:p>
    <w:p w14:paraId="4A6165CB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21907F60" w14:textId="6437DEEA" w:rsidR="002B2836" w:rsidRPr="00111CDD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Turn on the fluorescent lamp of microscope</w:t>
      </w:r>
      <w:r w:rsidR="00E71783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and pre-heat for 15 min. Choose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488 nm filter. </w:t>
      </w:r>
    </w:p>
    <w:p w14:paraId="6B078C73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498AAE20" w14:textId="0F014C45" w:rsidR="00AD2F49" w:rsidRDefault="002B2836" w:rsidP="007A17E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>Open photograph software. Take pictures from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both transfected</w:t>
      </w:r>
      <w:r w:rsidR="00336EA7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and </w:t>
      </w:r>
      <w:proofErr w:type="spellStart"/>
      <w:r w:rsidR="00336EA7" w:rsidRPr="00111CDD">
        <w:rPr>
          <w:rFonts w:asciiTheme="minorHAnsi" w:hAnsiTheme="minorHAnsi" w:cstheme="minorHAnsi"/>
          <w:color w:val="000000" w:themeColor="text1"/>
          <w:lang w:eastAsia="zh-CN"/>
        </w:rPr>
        <w:t>un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>transfected</w:t>
      </w:r>
      <w:proofErr w:type="spellEnd"/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area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of all reaction fields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with different magnifications. F</w:t>
      </w:r>
      <w:r w:rsidR="00F063B3" w:rsidRPr="00111CDD">
        <w:rPr>
          <w:rFonts w:asciiTheme="minorHAnsi" w:hAnsiTheme="minorHAnsi" w:cstheme="minorHAnsi"/>
          <w:color w:val="000000" w:themeColor="text1"/>
          <w:lang w:eastAsia="zh-CN"/>
        </w:rPr>
        <w:t>irst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F063B3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take one picture with </w:t>
      </w:r>
      <w:r w:rsidR="0035703C" w:rsidRPr="00111CDD">
        <w:rPr>
          <w:rFonts w:asciiTheme="minorHAnsi" w:hAnsiTheme="minorHAnsi" w:cstheme="minorHAnsi"/>
          <w:color w:val="000000" w:themeColor="text1"/>
          <w:lang w:eastAsia="zh-CN"/>
        </w:rPr>
        <w:t>4</w:t>
      </w:r>
      <w:r w:rsidR="0035703C">
        <w:rPr>
          <w:rFonts w:asciiTheme="minorHAnsi" w:hAnsiTheme="minorHAnsi" w:cstheme="minorHAnsi"/>
          <w:color w:val="000000" w:themeColor="text1"/>
        </w:rPr>
        <w:t>X</w:t>
      </w:r>
      <w:r w:rsidR="0035703C" w:rsidRPr="00111CDD">
        <w:rPr>
          <w:rFonts w:asciiTheme="minorHAnsi" w:hAnsiTheme="minorHAnsi" w:cstheme="minorHAnsi"/>
          <w:color w:val="000000" w:themeColor="text1"/>
        </w:rPr>
        <w:t xml:space="preserve"> 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>magnification</w:t>
      </w:r>
      <w:r w:rsidRPr="00111CDD">
        <w:rPr>
          <w:rFonts w:asciiTheme="minorHAnsi" w:hAnsiTheme="minorHAnsi" w:cstheme="minorHAnsi"/>
          <w:color w:val="000000" w:themeColor="text1"/>
        </w:rPr>
        <w:t xml:space="preserve"> </w:t>
      </w:r>
      <w:r w:rsidR="00F75526">
        <w:rPr>
          <w:rFonts w:asciiTheme="minorHAnsi" w:hAnsiTheme="minorHAnsi" w:cstheme="minorHAnsi"/>
          <w:color w:val="000000" w:themeColor="text1"/>
        </w:rPr>
        <w:t>for</w:t>
      </w:r>
      <w:r w:rsidRPr="00111CDD">
        <w:rPr>
          <w:rFonts w:asciiTheme="minorHAnsi" w:hAnsiTheme="minorHAnsi" w:cstheme="minorHAnsi"/>
          <w:color w:val="000000" w:themeColor="text1"/>
        </w:rPr>
        <w:t xml:space="preserve"> an overview, then take more pictures with </w:t>
      </w:r>
      <w:r w:rsidR="0035703C" w:rsidRPr="00111CDD">
        <w:rPr>
          <w:rFonts w:asciiTheme="minorHAnsi" w:hAnsiTheme="minorHAnsi" w:cstheme="minorHAnsi"/>
          <w:color w:val="000000" w:themeColor="text1"/>
        </w:rPr>
        <w:t>10</w:t>
      </w:r>
      <w:r w:rsidR="0035703C">
        <w:rPr>
          <w:rFonts w:asciiTheme="minorHAnsi" w:hAnsiTheme="minorHAnsi" w:cstheme="minorHAnsi"/>
          <w:color w:val="000000" w:themeColor="text1"/>
        </w:rPr>
        <w:t>X</w:t>
      </w:r>
      <w:r w:rsidR="0035703C" w:rsidRPr="00111CDD">
        <w:rPr>
          <w:rFonts w:asciiTheme="minorHAnsi" w:hAnsiTheme="minorHAnsi" w:cstheme="minorHAnsi"/>
          <w:color w:val="000000" w:themeColor="text1"/>
        </w:rPr>
        <w:t xml:space="preserve"> </w:t>
      </w:r>
      <w:r w:rsidR="002D4DC7" w:rsidRPr="00111CDD">
        <w:rPr>
          <w:rFonts w:asciiTheme="minorHAnsi" w:hAnsiTheme="minorHAnsi" w:cstheme="minorHAnsi"/>
          <w:color w:val="000000" w:themeColor="text1"/>
        </w:rPr>
        <w:t xml:space="preserve">and </w:t>
      </w:r>
      <w:r w:rsidR="0035703C" w:rsidRPr="00111CDD">
        <w:rPr>
          <w:rFonts w:asciiTheme="minorHAnsi" w:hAnsiTheme="minorHAnsi" w:cstheme="minorHAnsi"/>
          <w:color w:val="000000" w:themeColor="text1"/>
          <w:lang w:eastAsia="zh-CN"/>
        </w:rPr>
        <w:t>20</w:t>
      </w:r>
      <w:r w:rsidR="0035703C">
        <w:rPr>
          <w:rFonts w:asciiTheme="minorHAnsi" w:hAnsiTheme="minorHAnsi" w:cstheme="minorHAnsi"/>
          <w:color w:val="000000" w:themeColor="text1"/>
        </w:rPr>
        <w:t>X</w:t>
      </w:r>
      <w:r w:rsidR="0035703C" w:rsidRPr="00111CDD">
        <w:rPr>
          <w:rFonts w:asciiTheme="minorHAnsi" w:hAnsiTheme="minorHAnsi" w:cstheme="minorHAnsi"/>
          <w:color w:val="000000" w:themeColor="text1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>magnifications.</w:t>
      </w:r>
      <w:r w:rsidRPr="00111CDD">
        <w:rPr>
          <w:rFonts w:asciiTheme="minorHAnsi" w:hAnsiTheme="minorHAnsi" w:cstheme="minorHAnsi"/>
          <w:color w:val="000000" w:themeColor="text1"/>
        </w:rPr>
        <w:t xml:space="preserve"> </w:t>
      </w:r>
    </w:p>
    <w:p w14:paraId="5783FCF2" w14:textId="77777777" w:rsidR="00AD2F49" w:rsidRDefault="00AD2F49" w:rsidP="007A17EB">
      <w:pPr>
        <w:pStyle w:val="ListParagraph"/>
        <w:rPr>
          <w:rFonts w:asciiTheme="minorHAnsi" w:hAnsiTheme="minorHAnsi" w:cstheme="minorHAnsi"/>
          <w:color w:val="000000" w:themeColor="text1"/>
          <w:lang w:eastAsia="zh-CN"/>
        </w:rPr>
      </w:pPr>
    </w:p>
    <w:p w14:paraId="70F26D6C" w14:textId="0C0E1B68" w:rsidR="002B2836" w:rsidRPr="00111CDD" w:rsidRDefault="00AD2F49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 xml:space="preserve">NOTE: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The d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>etailed protocol is show</w:t>
      </w:r>
      <w:r w:rsidR="00257BBA" w:rsidRPr="00111CDD">
        <w:rPr>
          <w:rFonts w:asciiTheme="minorHAnsi" w:hAnsiTheme="minorHAnsi" w:cstheme="minorHAnsi"/>
          <w:color w:val="000000" w:themeColor="text1"/>
          <w:lang w:eastAsia="zh-CN"/>
        </w:rPr>
        <w:t>n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in </w:t>
      </w:r>
      <w:r w:rsidRPr="00AD2F49">
        <w:rPr>
          <w:rFonts w:asciiTheme="minorHAnsi" w:hAnsiTheme="minorHAnsi" w:cstheme="minorHAnsi"/>
          <w:b/>
          <w:color w:val="000000" w:themeColor="text1"/>
          <w:lang w:eastAsia="zh-CN"/>
        </w:rPr>
        <w:t>Table 1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. Interpretation of the </w:t>
      </w:r>
      <w:r w:rsidR="002D4DC7" w:rsidRPr="00111CDD">
        <w:rPr>
          <w:rFonts w:asciiTheme="minorHAnsi" w:hAnsiTheme="minorHAnsi" w:cstheme="minorHAnsi"/>
          <w:color w:val="000000" w:themeColor="text1"/>
          <w:lang w:eastAsia="zh-CN"/>
        </w:rPr>
        <w:t>results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is discussed in the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r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epresentative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r</w:t>
      </w:r>
      <w:r w:rsidR="002B2836" w:rsidRPr="00111CDD">
        <w:rPr>
          <w:rFonts w:asciiTheme="minorHAnsi" w:hAnsiTheme="minorHAnsi" w:cstheme="minorHAnsi"/>
          <w:color w:val="000000" w:themeColor="text1"/>
          <w:lang w:eastAsia="zh-CN"/>
        </w:rPr>
        <w:t>esults section.</w:t>
      </w:r>
    </w:p>
    <w:p w14:paraId="16CE705A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0E111D2B" w14:textId="4963425B" w:rsidR="002B2836" w:rsidRPr="00111CDD" w:rsidRDefault="002B2836" w:rsidP="007A17EB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Diagnosis of </w:t>
      </w:r>
      <w:r w:rsidR="00111CDD" w:rsidRPr="00111CDD">
        <w:rPr>
          <w:rFonts w:asciiTheme="minorHAnsi" w:hAnsiTheme="minorHAnsi" w:cstheme="minorHAnsi"/>
          <w:b/>
          <w:color w:val="000000" w:themeColor="text1"/>
          <w:lang w:eastAsia="zh-CN"/>
        </w:rPr>
        <w:t>Patients</w:t>
      </w:r>
    </w:p>
    <w:p w14:paraId="5AAD6023" w14:textId="77777777" w:rsidR="001F6644" w:rsidRPr="00111CDD" w:rsidRDefault="001F6644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lang w:eastAsia="zh-CN"/>
        </w:rPr>
      </w:pPr>
    </w:p>
    <w:p w14:paraId="1FD912A0" w14:textId="2E952AF0" w:rsidR="002B2836" w:rsidRPr="00111CDD" w:rsidRDefault="002B2836" w:rsidP="007A17EB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CN"/>
        </w:rPr>
      </w:pP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If the patient is serum anti-AQP4 </w:t>
      </w:r>
      <w:r w:rsidR="007921A1" w:rsidRPr="00111CDD">
        <w:rPr>
          <w:rFonts w:asciiTheme="minorHAnsi" w:hAnsiTheme="minorHAnsi" w:cstheme="minorHAnsi"/>
          <w:color w:val="000000" w:themeColor="text1"/>
          <w:lang w:eastAsia="zh-CN"/>
        </w:rPr>
        <w:t>IgG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-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positive and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shows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at least one core clinical characteristic</w:t>
      </w:r>
      <w:r w:rsidR="003453C7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of NMOSD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 xml:space="preserve"> (see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d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>iscussion section)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, </w:t>
      </w:r>
      <w:r w:rsidR="00E71783" w:rsidRPr="00111CDD">
        <w:rPr>
          <w:rFonts w:asciiTheme="minorHAnsi" w:hAnsiTheme="minorHAnsi" w:cstheme="minorHAnsi"/>
          <w:color w:val="000000" w:themeColor="text1"/>
          <w:lang w:eastAsia="zh-CN"/>
        </w:rPr>
        <w:t>diagnos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 xml:space="preserve">e 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>patient</w:t>
      </w:r>
      <w:r w:rsidR="00E71783"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>with NMSOD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5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. However, if the patient is anti-AQP4 </w:t>
      </w:r>
      <w:r w:rsidR="007921A1" w:rsidRPr="00111CDD">
        <w:rPr>
          <w:rFonts w:asciiTheme="minorHAnsi" w:hAnsiTheme="minorHAnsi" w:cstheme="minorHAnsi"/>
          <w:color w:val="000000" w:themeColor="text1"/>
          <w:lang w:eastAsia="zh-CN"/>
        </w:rPr>
        <w:t>IgG</w:t>
      </w:r>
      <w:r w:rsidR="00F75526">
        <w:rPr>
          <w:rFonts w:asciiTheme="minorHAnsi" w:hAnsiTheme="minorHAnsi" w:cstheme="minorHAnsi"/>
          <w:color w:val="000000" w:themeColor="text1"/>
          <w:lang w:eastAsia="zh-CN"/>
        </w:rPr>
        <w:t>-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negative, </w:t>
      </w:r>
      <w:r w:rsidR="00DD003E"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diagnosis of NMOSD </w:t>
      </w:r>
      <w:r w:rsidR="00AD2F49">
        <w:rPr>
          <w:rFonts w:asciiTheme="minorHAnsi" w:hAnsiTheme="minorHAnsi" w:cstheme="minorHAnsi"/>
          <w:color w:val="000000" w:themeColor="text1"/>
          <w:lang w:eastAsia="zh-CN"/>
        </w:rPr>
        <w:t>may</w:t>
      </w:r>
      <w:r w:rsidRPr="00111CDD">
        <w:rPr>
          <w:rFonts w:asciiTheme="minorHAnsi" w:hAnsiTheme="minorHAnsi" w:cstheme="minorHAnsi"/>
          <w:color w:val="000000" w:themeColor="text1"/>
          <w:lang w:eastAsia="zh-CN"/>
        </w:rPr>
        <w:t xml:space="preserve"> not be excluded. </w:t>
      </w:r>
    </w:p>
    <w:p w14:paraId="453C1C97" w14:textId="77777777" w:rsidR="0099689B" w:rsidRPr="00111CDD" w:rsidRDefault="0099689B" w:rsidP="007A17EB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color w:val="000000" w:themeColor="text1"/>
          <w:lang w:eastAsia="zh-CN"/>
        </w:rPr>
      </w:pPr>
    </w:p>
    <w:p w14:paraId="3E79FCA8" w14:textId="65377700" w:rsidR="006305D7" w:rsidRPr="00111CDD" w:rsidRDefault="006305D7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b/>
          <w:color w:val="000000" w:themeColor="text1"/>
        </w:rPr>
        <w:t>REPRESENTATIVE RESULTS</w:t>
      </w:r>
      <w:r w:rsidR="00EF1462" w:rsidRPr="00111CDD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12DEA63D" w14:textId="0B763291" w:rsidR="00AD2F49" w:rsidRDefault="003A592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Using the procedure </w:t>
      </w:r>
      <w:r w:rsidR="00F063B3" w:rsidRPr="00111CDD">
        <w:rPr>
          <w:rFonts w:asciiTheme="minorHAnsi" w:hAnsiTheme="minorHAnsi" w:cstheme="minorHAnsi"/>
          <w:color w:val="000000" w:themeColor="text1"/>
          <w:lang w:val="en-US"/>
        </w:rPr>
        <w:t>described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here, specific anti-AQP4 </w:t>
      </w:r>
      <w:r w:rsidR="007921A1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 serum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detectable. During the procedure, pre-diluted samples,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positive control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,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 control </w:t>
      </w:r>
      <w:r w:rsidR="00F063B3" w:rsidRPr="00111CDD">
        <w:rPr>
          <w:rFonts w:asciiTheme="minorHAnsi" w:hAnsiTheme="minorHAnsi" w:cstheme="minorHAnsi"/>
          <w:color w:val="000000" w:themeColor="text1"/>
          <w:lang w:val="en-US"/>
        </w:rPr>
        <w:t>were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added to the reaction fields, which contain transfected and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2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). Fluorescence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negative control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transfected area mainly indicated the unspecific binding of secondary antibody to the transfected cells on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7921A1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3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>Homogeneous</w:t>
      </w:r>
      <w:r w:rsidR="007921A1" w:rsidRPr="00111CDD">
        <w:rPr>
          <w:rFonts w:asciiTheme="minorHAnsi" w:hAnsiTheme="minorHAnsi" w:cstheme="minorHAnsi"/>
          <w:color w:val="000000" w:themeColor="text1"/>
          <w:lang w:val="en-US"/>
        </w:rPr>
        <w:t>ly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weak fluorescence was visible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3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As for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control, anti-AQP4 antibody was added to the reaction field.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Strong fluorescence was observed in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transfected area, which indicated the </w:t>
      </w:r>
      <w:r w:rsidR="007921A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specific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binding of anti-AQP4 </w:t>
      </w:r>
      <w:r w:rsidR="007921A1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AQP4-M1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transfected cells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4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Fluorescence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positive control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an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hint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unspecific binding of anti-AQP4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fixed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cells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on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For 10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x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diluted samples, anti-AQP4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7853F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 serum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a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fluorescent pattern </w:t>
      </w:r>
      <w:proofErr w:type="gramStart"/>
      <w:r w:rsidR="00F75526">
        <w:rPr>
          <w:rFonts w:asciiTheme="minorHAnsi" w:hAnsiTheme="minorHAnsi" w:cstheme="minorHAnsi"/>
          <w:color w:val="000000" w:themeColor="text1"/>
          <w:lang w:val="en-US"/>
        </w:rPr>
        <w:t>similar to</w:t>
      </w:r>
      <w:proofErr w:type="gramEnd"/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 the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negative control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while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positi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ve serum 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showed a pattern similar to the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positive control</w:t>
      </w:r>
      <w:r w:rsidR="00D16E5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5</w:t>
      </w:r>
      <w:r w:rsidR="00D16E51" w:rsidRPr="00111CDD">
        <w:rPr>
          <w:rFonts w:asciiTheme="minorHAnsi" w:hAnsiTheme="minorHAnsi" w:cstheme="minorHAnsi"/>
          <w:color w:val="000000" w:themeColor="text1"/>
          <w:lang w:val="en-US"/>
        </w:rPr>
        <w:t>)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The intensity of fluorescence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was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associated with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anti-AQP4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IgG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titer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Examples of different intensity of fluorescence are presented in 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5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5</w:t>
      </w:r>
      <w:proofErr w:type="gramStart"/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="00F75526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E26C7A" w:rsidRPr="007A17EB">
        <w:rPr>
          <w:rFonts w:asciiTheme="minorHAnsi" w:hAnsiTheme="minorHAnsi" w:cstheme="minorHAnsi"/>
          <w:b/>
          <w:color w:val="000000" w:themeColor="text1"/>
          <w:lang w:val="en-US"/>
        </w:rPr>
        <w:t>B</w:t>
      </w:r>
      <w:proofErr w:type="gramEnd"/>
      <w:r w:rsidR="00E26C7A" w:rsidRP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>were from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>anti-AQP4 IgG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>negative sample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while 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5C</w:t>
      </w:r>
      <w:r w:rsidR="001E4117" w:rsidRPr="001E4117">
        <w:rPr>
          <w:rFonts w:asciiTheme="minorHAnsi" w:hAnsiTheme="minorHAnsi" w:cstheme="minorHAnsi"/>
          <w:b/>
          <w:color w:val="000000" w:themeColor="text1"/>
          <w:lang w:val="en-US"/>
        </w:rPr>
        <w:t>–</w:t>
      </w:r>
      <w:r w:rsidR="00E26C7A" w:rsidRPr="007A17EB">
        <w:rPr>
          <w:rFonts w:asciiTheme="minorHAnsi" w:hAnsiTheme="minorHAnsi" w:cstheme="minorHAnsi"/>
          <w:b/>
          <w:color w:val="000000" w:themeColor="text1"/>
          <w:lang w:val="en-US"/>
        </w:rPr>
        <w:t>H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 xml:space="preserve">were 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>from anti-AQP4 IgG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E26C7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samples. </w:t>
      </w:r>
      <w:proofErr w:type="gramStart"/>
      <w:r w:rsidR="005D1BE1" w:rsidRPr="00111CDD">
        <w:rPr>
          <w:rFonts w:asciiTheme="minorHAnsi" w:hAnsiTheme="minorHAnsi" w:cstheme="minorHAnsi"/>
          <w:color w:val="000000" w:themeColor="text1"/>
          <w:lang w:val="en-US"/>
        </w:rPr>
        <w:t>As long as</w:t>
      </w:r>
      <w:proofErr w:type="gramEnd"/>
      <w:r w:rsidR="005D1BE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40373" w:rsidRPr="00111CDD">
        <w:rPr>
          <w:rFonts w:asciiTheme="minorHAnsi" w:hAnsiTheme="minorHAnsi" w:cstheme="minorHAnsi"/>
          <w:color w:val="000000" w:themeColor="text1"/>
          <w:lang w:val="en-US"/>
        </w:rPr>
        <w:t>heterogeneous and granular fluorescence appeared in transfected area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C40373" w:rsidRPr="00111CDD">
        <w:rPr>
          <w:rFonts w:asciiTheme="minorHAnsi" w:hAnsiTheme="minorHAnsi" w:cstheme="minorHAnsi"/>
          <w:color w:val="000000" w:themeColor="text1"/>
          <w:lang w:val="en-US"/>
        </w:rPr>
        <w:t>, the sample was considered anti-AQP4 IgG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C40373" w:rsidRPr="00111CDD">
        <w:rPr>
          <w:rFonts w:asciiTheme="minorHAnsi" w:hAnsiTheme="minorHAnsi" w:cstheme="minorHAnsi"/>
          <w:color w:val="000000" w:themeColor="text1"/>
          <w:lang w:val="en-US"/>
        </w:rPr>
        <w:t>positive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C4037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regardless 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 xml:space="preserve">of </w:t>
      </w:r>
      <w:r w:rsidR="00C4037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the strength of the fluorescence. </w:t>
      </w:r>
      <w:r w:rsidR="001E68CF" w:rsidRPr="00111CDD">
        <w:rPr>
          <w:rFonts w:asciiTheme="minorHAnsi" w:hAnsiTheme="minorHAnsi" w:cstheme="minorHAnsi"/>
          <w:color w:val="000000" w:themeColor="text1"/>
          <w:lang w:val="en-US"/>
        </w:rPr>
        <w:t>The diagnostic criteria for NMOSD, which is based on the serum anti-AQP4 IgG, w</w:t>
      </w:r>
      <w:r w:rsidR="00AD2F49">
        <w:rPr>
          <w:rFonts w:asciiTheme="minorHAnsi" w:hAnsiTheme="minorHAnsi" w:cstheme="minorHAnsi"/>
          <w:color w:val="000000" w:themeColor="text1"/>
          <w:lang w:val="en-US"/>
        </w:rPr>
        <w:t>ill be</w:t>
      </w:r>
      <w:r w:rsidR="001E68C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further </w:t>
      </w:r>
      <w:r w:rsidR="00BE5270">
        <w:rPr>
          <w:rFonts w:asciiTheme="minorHAnsi" w:hAnsiTheme="minorHAnsi" w:cstheme="minorHAnsi"/>
          <w:color w:val="000000" w:themeColor="text1"/>
          <w:lang w:val="en-US"/>
        </w:rPr>
        <w:t>described</w:t>
      </w:r>
      <w:r w:rsidR="00BE527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E68CF" w:rsidRPr="00111CDD">
        <w:rPr>
          <w:rFonts w:asciiTheme="minorHAnsi" w:hAnsiTheme="minorHAnsi" w:cstheme="minorHAnsi"/>
          <w:color w:val="000000" w:themeColor="text1"/>
          <w:lang w:val="en-US"/>
        </w:rPr>
        <w:t>in the discussion section.</w:t>
      </w:r>
    </w:p>
    <w:p w14:paraId="0D2FEF92" w14:textId="77777777" w:rsidR="00F75526" w:rsidRDefault="00F75526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C51BB3D" w14:textId="01BFA87F" w:rsidR="003A5924" w:rsidRPr="00111CDD" w:rsidRDefault="00BE5270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lastRenderedPageBreak/>
        <w:t>In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a few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samples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only a small </w:t>
      </w:r>
      <w:r>
        <w:rPr>
          <w:rFonts w:asciiTheme="minorHAnsi" w:hAnsiTheme="minorHAnsi" w:cstheme="minorHAnsi"/>
          <w:color w:val="000000" w:themeColor="text1"/>
          <w:lang w:val="en-US"/>
        </w:rPr>
        <w:t>number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</w:t>
      </w:r>
      <w:r w:rsidR="00336EA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 w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as</w:t>
      </w:r>
      <w:r w:rsidR="00336EA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strongly stained in transfected area</w:t>
      </w:r>
      <w:r>
        <w:rPr>
          <w:rFonts w:asciiTheme="minorHAnsi" w:hAnsiTheme="minorHAnsi" w:cstheme="minorHAnsi"/>
          <w:color w:val="000000" w:themeColor="text1"/>
          <w:lang w:val="en-US"/>
        </w:rPr>
        <w:t>s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and it was hard to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determine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whether the serum was anti-AQP4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>
        <w:rPr>
          <w:rFonts w:asciiTheme="minorHAnsi" w:hAnsiTheme="minorHAnsi" w:cstheme="minorHAnsi"/>
          <w:color w:val="000000" w:themeColor="text1"/>
          <w:lang w:val="en-US"/>
        </w:rPr>
        <w:t>-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or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negative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>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6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In this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case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“probable positive” </w:t>
      </w:r>
      <w:r>
        <w:rPr>
          <w:rFonts w:asciiTheme="minorHAnsi" w:hAnsiTheme="minorHAnsi" w:cstheme="minorHAnsi"/>
          <w:color w:val="000000" w:themeColor="text1"/>
          <w:lang w:val="en-US"/>
        </w:rPr>
        <w:t>can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reported. In rare</w:t>
      </w:r>
      <w:r>
        <w:rPr>
          <w:rFonts w:asciiTheme="minorHAnsi" w:hAnsiTheme="minorHAnsi" w:cstheme="minorHAnsi"/>
          <w:color w:val="000000" w:themeColor="text1"/>
          <w:lang w:val="en-US"/>
        </w:rPr>
        <w:t>r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cases, the </w:t>
      </w:r>
      <w:r w:rsidR="009C0F9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fluorescence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of </w:t>
      </w:r>
      <w:r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sample </w:t>
      </w:r>
      <w:r w:rsidR="009C0F93" w:rsidRPr="00111CDD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transfected area</w:t>
      </w:r>
      <w:r>
        <w:rPr>
          <w:rFonts w:asciiTheme="minorHAnsi" w:hAnsiTheme="minorHAnsi" w:cstheme="minorHAnsi"/>
          <w:color w:val="000000" w:themeColor="text1"/>
          <w:lang w:val="en-US"/>
        </w:rPr>
        <w:t>s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was </w:t>
      </w:r>
      <w:r w:rsidR="00EC7064" w:rsidRPr="00111CDD">
        <w:rPr>
          <w:rFonts w:asciiTheme="minorHAnsi" w:hAnsiTheme="minorHAnsi" w:cstheme="minorHAnsi"/>
          <w:color w:val="000000" w:themeColor="text1"/>
          <w:lang w:val="en-US"/>
        </w:rPr>
        <w:t>homogeneously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stronger than </w:t>
      </w:r>
      <w:r w:rsidR="009C0F9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</w:t>
      </w:r>
      <w:proofErr w:type="spellStart"/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>
        <w:rPr>
          <w:rFonts w:asciiTheme="minorHAnsi" w:hAnsiTheme="minorHAnsi" w:cstheme="minorHAnsi"/>
          <w:color w:val="000000" w:themeColor="text1"/>
          <w:lang w:val="en-US"/>
        </w:rPr>
        <w:t>s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</w:t>
      </w:r>
      <w:r w:rsidR="00AD2F49"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7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). In this </w:t>
      </w:r>
      <w:r w:rsidR="00C875F0" w:rsidRPr="00111CDD">
        <w:rPr>
          <w:rFonts w:asciiTheme="minorHAnsi" w:hAnsiTheme="minorHAnsi" w:cstheme="minorHAnsi"/>
          <w:color w:val="000000" w:themeColor="text1"/>
          <w:lang w:val="en-US"/>
        </w:rPr>
        <w:t>case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the sample should be regarded as anti-AQP4 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>
        <w:rPr>
          <w:rFonts w:asciiTheme="minorHAnsi" w:hAnsiTheme="minorHAnsi" w:cstheme="minorHAnsi"/>
          <w:color w:val="000000" w:themeColor="text1"/>
          <w:lang w:val="en-US"/>
        </w:rPr>
        <w:t>-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negative. The high intensity of background fluorescence might be </w:t>
      </w:r>
      <w:r w:rsidR="00DD003E">
        <w:rPr>
          <w:rFonts w:asciiTheme="minorHAnsi" w:hAnsiTheme="minorHAnsi" w:cstheme="minorHAnsi"/>
          <w:color w:val="000000" w:themeColor="text1"/>
          <w:lang w:val="en-US"/>
        </w:rPr>
        <w:t>no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nspecific. To </w:t>
      </w:r>
      <w:r>
        <w:rPr>
          <w:rFonts w:asciiTheme="minorHAnsi" w:hAnsiTheme="minorHAnsi" w:cstheme="minorHAnsi"/>
          <w:color w:val="000000" w:themeColor="text1"/>
          <w:lang w:val="en-US"/>
        </w:rPr>
        <w:t>create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 reliable report, all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photograph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 should be blindly evaluated by </w:t>
      </w:r>
      <w:r w:rsidR="00336EA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at least 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two clinicians. </w:t>
      </w:r>
      <w:r w:rsidR="00187D78" w:rsidRPr="00111CDD">
        <w:rPr>
          <w:rFonts w:asciiTheme="minorHAnsi" w:hAnsiTheme="minorHAnsi" w:cstheme="minorHAnsi"/>
          <w:color w:val="000000" w:themeColor="text1"/>
          <w:lang w:val="en-US"/>
        </w:rPr>
        <w:t>The clinician</w:t>
      </w:r>
      <w:r w:rsidR="007B66F5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187D7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should be trained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before evalu</w:t>
      </w:r>
      <w:r w:rsidR="00801852" w:rsidRPr="00111CDD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tion</w:t>
      </w:r>
      <w:r w:rsidR="00187D7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In this protocol</w:t>
      </w:r>
      <w:r w:rsidR="00E1369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they were shown </w:t>
      </w:r>
      <w:r w:rsidR="00E1369B" w:rsidRPr="00111CDD">
        <w:rPr>
          <w:rFonts w:asciiTheme="minorHAnsi" w:hAnsiTheme="minorHAnsi" w:cstheme="minorHAnsi" w:hint="eastAsia"/>
          <w:color w:val="000000" w:themeColor="text1"/>
          <w:lang w:val="en-US"/>
        </w:rPr>
        <w:t>re</w:t>
      </w:r>
      <w:r w:rsidR="00E1369B" w:rsidRPr="00111CDD">
        <w:rPr>
          <w:rFonts w:asciiTheme="minorHAnsi" w:hAnsiTheme="minorHAnsi" w:cstheme="minorHAnsi"/>
          <w:color w:val="000000" w:themeColor="text1"/>
          <w:lang w:val="en-US"/>
        </w:rPr>
        <w:t>presentative photographs of different sample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 types</w:t>
      </w:r>
      <w:r w:rsidR="00E1369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were </w:t>
      </w:r>
      <w:r w:rsidR="00490332" w:rsidRPr="00111CDD">
        <w:rPr>
          <w:rFonts w:asciiTheme="minorHAnsi" w:hAnsiTheme="minorHAnsi" w:cstheme="minorHAnsi" w:hint="eastAsia"/>
          <w:color w:val="000000" w:themeColor="text1"/>
          <w:lang w:val="en-US"/>
        </w:rPr>
        <w:t>informed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 as to </w:t>
      </w:r>
      <w:r w:rsidR="00490332" w:rsidRPr="00111CDD">
        <w:rPr>
          <w:rFonts w:asciiTheme="minorHAnsi" w:hAnsiTheme="minorHAnsi" w:cstheme="minorHAnsi"/>
          <w:color w:val="000000" w:themeColor="text1"/>
          <w:lang w:val="en-US"/>
        </w:rPr>
        <w:t>how to evaluate results. Then, they evaluat</w:t>
      </w:r>
      <w:r w:rsidR="00177A3B" w:rsidRPr="00111CDD">
        <w:rPr>
          <w:rFonts w:asciiTheme="minorHAnsi" w:hAnsiTheme="minorHAnsi" w:cstheme="minorHAnsi"/>
          <w:color w:val="000000" w:themeColor="text1"/>
          <w:lang w:val="en-US"/>
        </w:rPr>
        <w:t>ed</w:t>
      </w:r>
      <w:r w:rsidR="0049033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photographs together with an experienced clinician. Finally, the trained clinicians worked independently.</w:t>
      </w:r>
      <w:r w:rsidR="00E1369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87D7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an ideal situation, </w:t>
      </w:r>
      <w:r w:rsidR="007B66F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it should be always the same clinicians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who</w:t>
      </w:r>
      <w:r w:rsidR="007B66F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evaluate results.</w:t>
      </w:r>
      <w:r w:rsidR="003A592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5CF081BB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C9083F6" w14:textId="40C8EFD6" w:rsidR="00B32616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FIGURE</w:t>
      </w:r>
      <w:r w:rsidR="00B32616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13621E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AND TABLE </w:t>
      </w:r>
      <w:r w:rsidR="00B32616" w:rsidRPr="00111CDD">
        <w:rPr>
          <w:rFonts w:asciiTheme="minorHAnsi" w:hAnsiTheme="minorHAnsi" w:cstheme="minorHAnsi"/>
          <w:b/>
          <w:color w:val="000000" w:themeColor="text1"/>
          <w:lang w:val="en-US"/>
        </w:rPr>
        <w:t>LEGENDS:</w:t>
      </w:r>
      <w:r w:rsidR="00B3261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6A945F22" w14:textId="63CD5A3D" w:rsidR="00EE2C12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1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: </w:t>
      </w:r>
      <w:r w:rsidR="00EE2C12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Flow chart of anti-AQP4 </w:t>
      </w:r>
      <w:r w:rsidR="00627E33" w:rsidRPr="00111CDD">
        <w:rPr>
          <w:rFonts w:asciiTheme="minorHAnsi" w:hAnsiTheme="minorHAnsi" w:cstheme="minorHAnsi"/>
          <w:b/>
          <w:color w:val="000000" w:themeColor="text1"/>
          <w:lang w:val="en-US"/>
        </w:rPr>
        <w:t>IgG</w:t>
      </w:r>
      <w:r w:rsidR="00EE2C12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 detection protocol.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AQP4-M1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trans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fected or </w:t>
      </w:r>
      <w:proofErr w:type="spellStart"/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un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trans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fected</w:t>
      </w:r>
      <w:proofErr w:type="spellEnd"/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EU 90 cells are fixed on the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s. When adding serum t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biochips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, anti-AQP4 IgG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 serum is captured by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fixed transfected cells.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Then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fluorescein-labelled secondary antibody is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applied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detect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anti-AQP4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The fluorescence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can be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visualized by microscopy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with various magnifications. </w:t>
      </w:r>
    </w:p>
    <w:p w14:paraId="22257A8C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EE478BF" w14:textId="3C44EA12" w:rsidR="00025327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2</w:t>
      </w:r>
      <w:r w:rsidR="00EE2C12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: Sample </w:t>
      </w:r>
      <w:r w:rsidR="00102F54" w:rsidRPr="00111CDD">
        <w:rPr>
          <w:rFonts w:asciiTheme="minorHAnsi" w:hAnsiTheme="minorHAnsi" w:cstheme="minorHAnsi"/>
          <w:b/>
          <w:color w:val="000000" w:themeColor="text1"/>
          <w:lang w:val="en-US"/>
        </w:rPr>
        <w:t>incubation</w:t>
      </w:r>
      <w:r w:rsidR="00EE2C12" w:rsidRPr="00111CDD">
        <w:rPr>
          <w:rFonts w:asciiTheme="minorHAnsi" w:hAnsiTheme="minorHAnsi" w:cstheme="minorHAnsi"/>
          <w:b/>
          <w:color w:val="000000" w:themeColor="text1"/>
          <w:lang w:val="en-US"/>
        </w:rPr>
        <w:t>. (A)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Top view of reagent tray. Every reage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nt tray contains five individual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reaction fields.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The p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>ositive contro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>l, samples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627E3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negative control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should be added to the 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>sep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102F5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rate 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reaction fields. </w:t>
      </w:r>
      <w:r w:rsidR="00EE2C12" w:rsidRPr="00111CDD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Top view of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slide. Every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EE2C1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slide contains five reaction fields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, which have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two subsection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s. The transfected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subsection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contains fixed A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>QP4-M1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transfected cells,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while the </w:t>
      </w:r>
      <w:proofErr w:type="spellStart"/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subsection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contains </w:t>
      </w:r>
      <w:proofErr w:type="spellStart"/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cells. </w:t>
      </w:r>
      <w:r w:rsidR="00025327" w:rsidRPr="00111CDD">
        <w:rPr>
          <w:rFonts w:asciiTheme="minorHAnsi" w:hAnsiTheme="minorHAnsi" w:cstheme="minorHAnsi"/>
          <w:b/>
          <w:color w:val="000000" w:themeColor="text1"/>
          <w:lang w:val="en-US"/>
        </w:rPr>
        <w:t>(C)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Front view of reagent tray and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slide. Reaction fields on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reagent tray and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slide are pai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red with each other. The sample added to the reaction field on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reagent tray should be connected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to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corresponding reaction field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on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02532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slide.</w:t>
      </w:r>
    </w:p>
    <w:p w14:paraId="098E040D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726F120C" w14:textId="57AF82B0" w:rsidR="00521901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3</w:t>
      </w:r>
      <w:r w:rsidR="00521901" w:rsidRPr="00111CDD">
        <w:rPr>
          <w:rFonts w:asciiTheme="minorHAnsi" w:hAnsiTheme="minorHAnsi" w:cstheme="minorHAnsi"/>
          <w:b/>
          <w:color w:val="000000" w:themeColor="text1"/>
          <w:lang w:val="en-US"/>
        </w:rPr>
        <w:t>: Represen</w:t>
      </w:r>
      <w:r w:rsidR="002D565A" w:rsidRPr="00111CDD">
        <w:rPr>
          <w:rFonts w:asciiTheme="minorHAnsi" w:hAnsiTheme="minorHAnsi" w:cstheme="minorHAnsi"/>
          <w:b/>
          <w:color w:val="000000" w:themeColor="text1"/>
          <w:lang w:val="en-US"/>
        </w:rPr>
        <w:t>ta</w:t>
      </w:r>
      <w:r w:rsidR="00521901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tive </w:t>
      </w:r>
      <w:r w:rsidR="001E4117">
        <w:rPr>
          <w:rFonts w:asciiTheme="minorHAnsi" w:hAnsiTheme="minorHAnsi" w:cstheme="minorHAnsi"/>
          <w:b/>
          <w:color w:val="000000" w:themeColor="text1"/>
          <w:lang w:val="en-US"/>
        </w:rPr>
        <w:t>f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>igure</w:t>
      </w:r>
      <w:r w:rsidR="002D565A" w:rsidRPr="00111CDD">
        <w:rPr>
          <w:rFonts w:asciiTheme="minorHAnsi" w:hAnsiTheme="minorHAnsi" w:cstheme="minorHAnsi"/>
          <w:b/>
          <w:color w:val="000000" w:themeColor="text1"/>
          <w:lang w:val="en-US"/>
        </w:rPr>
        <w:t>s for negative control. (A)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>An o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verview of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transfected area of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 control was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obtained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by 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>4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magnification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microscopy</w:t>
      </w:r>
      <w:r w:rsidR="002D565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>Homogeneous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ly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weak fluorescence was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ob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erved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throughout the area</w:t>
      </w:r>
      <w:r w:rsidR="0097550B"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B,C</w:t>
      </w:r>
      <w:proofErr w:type="gramEnd"/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More details were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observed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10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2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0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97550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(C)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>magnification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photographs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521901" w:rsidRPr="00111CDD">
        <w:rPr>
          <w:rFonts w:asciiTheme="minorHAnsi" w:hAnsiTheme="minorHAnsi" w:cstheme="minorHAnsi"/>
          <w:color w:val="000000" w:themeColor="text1"/>
          <w:lang w:val="en-US"/>
        </w:rPr>
        <w:t>Generally,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 the</w:t>
      </w:r>
      <w:r w:rsidR="0052190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 membrane a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nd plasma were slightly stained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52190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A97D41" w:rsidRPr="00111CDD">
        <w:rPr>
          <w:rFonts w:asciiTheme="minorHAnsi" w:hAnsiTheme="minorHAnsi" w:cstheme="minorHAnsi"/>
          <w:color w:val="000000" w:themeColor="text1"/>
          <w:lang w:val="en-US"/>
        </w:rPr>
        <w:t>cell nucleus was unstained</w:t>
      </w:r>
      <w:r w:rsidR="00521901"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</w:p>
    <w:p w14:paraId="0F8C1093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68BFAA44" w14:textId="7F845721" w:rsidR="00521901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4</w:t>
      </w:r>
      <w:r w:rsidR="0067262F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: Representative </w:t>
      </w:r>
      <w:r w:rsidR="001E4117">
        <w:rPr>
          <w:rFonts w:asciiTheme="minorHAnsi" w:hAnsiTheme="minorHAnsi" w:cstheme="minorHAnsi"/>
          <w:b/>
          <w:color w:val="000000" w:themeColor="text1"/>
          <w:lang w:val="en-US"/>
        </w:rPr>
        <w:t>f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>igure</w:t>
      </w:r>
      <w:r w:rsidR="0067262F" w:rsidRPr="00111CDD">
        <w:rPr>
          <w:rFonts w:asciiTheme="minorHAnsi" w:hAnsiTheme="minorHAnsi" w:cstheme="minorHAnsi"/>
          <w:b/>
          <w:color w:val="000000" w:themeColor="text1"/>
          <w:lang w:val="en-US"/>
        </w:rPr>
        <w:t>s for positive control. (</w:t>
      </w:r>
      <w:proofErr w:type="gramStart"/>
      <w:r w:rsidR="0067262F" w:rsidRPr="00111CDD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,B</w:t>
      </w:r>
      <w:proofErr w:type="gramEnd"/>
      <w:r w:rsidR="0067262F" w:rsidRPr="00111CDD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9F2595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T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ransfected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(A)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proofErr w:type="spellStart"/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of positive control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are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091A37" w:rsidRPr="00111CDD">
        <w:rPr>
          <w:rFonts w:asciiTheme="minorHAnsi" w:hAnsiTheme="minorHAnsi" w:cstheme="minorHAnsi"/>
          <w:color w:val="000000" w:themeColor="text1"/>
          <w:lang w:val="en-US"/>
        </w:rPr>
        <w:t>shown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>. Homogeneous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ly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weak fluorescence was observed in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s,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indicating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unspecific binding of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anti-AQP4 IgG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fix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ed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cells. </w:t>
      </w:r>
      <w:r w:rsidR="00DD003E">
        <w:rPr>
          <w:rFonts w:asciiTheme="minorHAnsi" w:hAnsiTheme="minorHAnsi" w:cstheme="minorHAnsi"/>
          <w:color w:val="000000" w:themeColor="text1"/>
          <w:lang w:val="en-US"/>
        </w:rPr>
        <w:t>Conversely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, h</w:t>
      </w:r>
      <w:r w:rsidR="003C60A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eterogeneous strong fluorescence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was observed in transfected area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indicating specific binding of anti-AQP4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AQP4-M1 expressed on fixed cells. </w:t>
      </w:r>
      <w:r w:rsidR="00AC6DBA" w:rsidRPr="007A17EB">
        <w:rPr>
          <w:rFonts w:asciiTheme="minorHAnsi" w:hAnsiTheme="minorHAnsi" w:cstheme="minorHAnsi"/>
          <w:b/>
          <w:color w:val="000000" w:themeColor="text1"/>
          <w:lang w:val="en-US"/>
        </w:rPr>
        <w:t>(C</w:t>
      </w:r>
      <w:r w:rsidR="001E4117" w:rsidRPr="007A17EB">
        <w:rPr>
          <w:rFonts w:asciiTheme="minorHAnsi" w:hAnsiTheme="minorHAnsi" w:cstheme="minorHAnsi"/>
          <w:b/>
          <w:color w:val="000000" w:themeColor="text1"/>
          <w:lang w:val="en-US"/>
        </w:rPr>
        <w:t>–</w:t>
      </w:r>
      <w:r w:rsidR="00AC6DBA" w:rsidRPr="007A17EB">
        <w:rPr>
          <w:rFonts w:asciiTheme="minorHAnsi" w:hAnsiTheme="minorHAnsi" w:cstheme="minorHAnsi"/>
          <w:b/>
          <w:color w:val="000000" w:themeColor="text1"/>
          <w:lang w:val="en-US"/>
        </w:rPr>
        <w:t>F)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More details of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transfected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7A17EB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BE5C58" w:rsidRPr="007A17EB">
        <w:rPr>
          <w:rFonts w:asciiTheme="minorHAnsi" w:hAnsiTheme="minorHAnsi" w:cstheme="minorHAnsi"/>
          <w:b/>
          <w:color w:val="000000" w:themeColor="text1"/>
          <w:lang w:val="en-US"/>
        </w:rPr>
        <w:t>C,E</w:t>
      </w:r>
      <w:proofErr w:type="gramEnd"/>
      <w:r w:rsidR="00BE5C58" w:rsidRPr="007A17EB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</w:t>
      </w:r>
      <w:r w:rsidR="00AC6DBA" w:rsidRP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proofErr w:type="spellStart"/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untran</w:t>
      </w:r>
      <w:r w:rsid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fected</w:t>
      </w:r>
      <w:proofErr w:type="spellEnd"/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7A17EB">
        <w:rPr>
          <w:rFonts w:asciiTheme="minorHAnsi" w:hAnsiTheme="minorHAnsi" w:cstheme="minorHAnsi"/>
          <w:b/>
          <w:color w:val="000000" w:themeColor="text1"/>
          <w:lang w:val="en-US"/>
        </w:rPr>
        <w:t>(D,F)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area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are</w:t>
      </w:r>
      <w:r w:rsidR="00091A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observed 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6068A" w:rsidRPr="00111CDD">
        <w:rPr>
          <w:rFonts w:asciiTheme="minorHAnsi" w:hAnsiTheme="minorHAnsi" w:cstheme="minorHAnsi"/>
          <w:color w:val="000000" w:themeColor="text1"/>
          <w:lang w:val="en-US"/>
        </w:rPr>
        <w:t>with 10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(C, D)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or 20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 xml:space="preserve">X </w:t>
      </w:r>
      <w:r w:rsidR="00BE5C58" w:rsidRPr="00BE5C58">
        <w:rPr>
          <w:rFonts w:asciiTheme="minorHAnsi" w:hAnsiTheme="minorHAnsi" w:cstheme="minorHAnsi"/>
          <w:b/>
          <w:color w:val="000000" w:themeColor="text1"/>
          <w:lang w:val="en-US"/>
        </w:rPr>
        <w:t>(E,F)</w:t>
      </w:r>
      <w:r w:rsidR="00AC6DBA" w:rsidRP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magnification. Weak and even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fluorescence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appeared in </w:t>
      </w:r>
      <w:proofErr w:type="spellStart"/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1E4117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>. However, a large percentage of cells in 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="00091A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intens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e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fluorescence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the plasma of </w:t>
      </w:r>
      <w:r w:rsidR="00091A3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strongly </w:t>
      </w:r>
      <w:r w:rsidR="00AC6DB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stained 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cells, anti-AQP4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sm</w:t>
      </w:r>
      <w:r w:rsidR="00091A37" w:rsidRPr="00111CDD">
        <w:rPr>
          <w:rFonts w:asciiTheme="minorHAnsi" w:hAnsiTheme="minorHAnsi" w:cstheme="minorHAnsi"/>
          <w:color w:val="000000" w:themeColor="text1"/>
          <w:lang w:val="en-US"/>
        </w:rPr>
        <w:t>ooth and granular fluorescence</w:t>
      </w:r>
      <w:r w:rsidR="0067262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67262F" w:rsidRPr="00111CDD">
        <w:rPr>
          <w:rFonts w:asciiTheme="minorHAnsi" w:hAnsiTheme="minorHAnsi" w:cstheme="minorHAnsi"/>
          <w:color w:val="000000" w:themeColor="text1"/>
        </w:rPr>
        <w:t>The cell nucleus was unstaine</w:t>
      </w:r>
      <w:r w:rsidR="00091A37" w:rsidRPr="00111CDD">
        <w:rPr>
          <w:rFonts w:asciiTheme="minorHAnsi" w:hAnsiTheme="minorHAnsi" w:cstheme="minorHAnsi"/>
          <w:color w:val="000000" w:themeColor="text1"/>
        </w:rPr>
        <w:t>d or slightly stained</w:t>
      </w:r>
      <w:r w:rsidR="0067262F" w:rsidRPr="00111CDD">
        <w:rPr>
          <w:rFonts w:asciiTheme="minorHAnsi" w:hAnsiTheme="minorHAnsi" w:cstheme="minorHAnsi"/>
          <w:color w:val="000000" w:themeColor="text1"/>
        </w:rPr>
        <w:t>.</w:t>
      </w:r>
    </w:p>
    <w:p w14:paraId="5CC1E24D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6A72CEF" w14:textId="5023D0B0" w:rsidR="00091A37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lastRenderedPageBreak/>
        <w:t>Figure 5</w:t>
      </w:r>
      <w:r w:rsidR="004743B1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: Representative 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f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>igure</w:t>
      </w:r>
      <w:r w:rsidR="004743B1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s for 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anti-AQP4 antibody negative or positive </w:t>
      </w:r>
      <w:r w:rsidR="004743B1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samples. 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Samples were 10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diluted, and all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f</w:t>
      </w:r>
      <w:r w:rsidRPr="007A17EB">
        <w:rPr>
          <w:rFonts w:asciiTheme="minorHAnsi" w:hAnsiTheme="minorHAnsi" w:cstheme="minorHAnsi"/>
          <w:color w:val="000000" w:themeColor="text1"/>
          <w:lang w:val="en-US"/>
        </w:rPr>
        <w:t>igure</w:t>
      </w:r>
      <w:r w:rsidR="00A504B2" w:rsidRP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shown 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were taken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with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>10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objective. </w:t>
      </w:r>
      <w:r w:rsidR="00A504B2" w:rsidRPr="00111CDD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A504B2" w:rsidRPr="00111CDD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,</w:t>
      </w:r>
      <w:r w:rsidR="00F8194B" w:rsidRPr="00111CDD">
        <w:rPr>
          <w:rFonts w:asciiTheme="minorHAnsi" w:hAnsiTheme="minorHAnsi" w:cstheme="minorHAnsi"/>
          <w:b/>
          <w:color w:val="000000" w:themeColor="text1"/>
          <w:lang w:val="en-US"/>
        </w:rPr>
        <w:t>B</w:t>
      </w:r>
      <w:proofErr w:type="gramEnd"/>
      <w:r w:rsidR="00A504B2" w:rsidRPr="00111CDD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A504B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N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egative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fluorescence </w:t>
      </w:r>
      <w:r w:rsidR="00B264E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sample: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t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he fluorescence was homogeneous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>ly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weak in both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(A)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transfected and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F8194B" w:rsidRPr="00111CDD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F8194B" w:rsidRPr="00111CDD">
        <w:rPr>
          <w:rFonts w:asciiTheme="minorHAnsi" w:hAnsiTheme="minorHAnsi" w:cstheme="minorHAnsi"/>
          <w:b/>
          <w:color w:val="000000" w:themeColor="text1"/>
          <w:lang w:val="en-US"/>
        </w:rPr>
        <w:t>C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,</w:t>
      </w:r>
      <w:r w:rsidR="00F8194B" w:rsidRPr="00111CDD">
        <w:rPr>
          <w:rFonts w:asciiTheme="minorHAnsi" w:hAnsiTheme="minorHAnsi" w:cstheme="minorHAnsi"/>
          <w:b/>
          <w:color w:val="000000" w:themeColor="text1"/>
          <w:lang w:val="en-US"/>
        </w:rPr>
        <w:t>D</w:t>
      </w:r>
      <w:proofErr w:type="gramEnd"/>
      <w:r w:rsidR="00F8194B" w:rsidRPr="00111CDD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Weak fluorescence sample: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w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hen compared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with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(D)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, a small amount of cells (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approximately 25% to 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50%) in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>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(C)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more intens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e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fluorescence. </w:t>
      </w:r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E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,</w:t>
      </w:r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F</w:t>
      </w:r>
      <w:proofErr w:type="gramEnd"/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F8194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Moderate fluorescence sample: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i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>n 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E)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strong granular fluorescence was observed in 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>a medium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amount of cells (approximately 50% to 75%). </w:t>
      </w:r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G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,</w:t>
      </w:r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H</w:t>
      </w:r>
      <w:proofErr w:type="gramEnd"/>
      <w:r w:rsidR="009A2CE8" w:rsidRPr="00111CDD">
        <w:rPr>
          <w:rFonts w:asciiTheme="minorHAnsi" w:hAnsiTheme="minorHAnsi" w:cstheme="minorHAnsi"/>
          <w:b/>
          <w:color w:val="000000" w:themeColor="text1"/>
          <w:lang w:val="en-US"/>
        </w:rPr>
        <w:t>)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Strong fluorescence sample: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c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ells in </w:t>
      </w:r>
      <w:proofErr w:type="spellStart"/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(H)</w:t>
      </w:r>
      <w:r w:rsidR="009A2CE8" w:rsidRP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>were weakly stained. However, in 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(G)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granular fluorescence with high intensity appeared in </w:t>
      </w:r>
      <w:proofErr w:type="gramStart"/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 large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number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</w:t>
      </w:r>
      <w:proofErr w:type="gramEnd"/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 (approximately over 75%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>).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Generally, as the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titer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of anti-AQP4 </w:t>
      </w:r>
      <w:r w:rsidR="003157C5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increased</w:t>
      </w:r>
      <w:r w:rsidR="009A2CE8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both fluorescence 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>intensity and percentage of strong</w:t>
      </w:r>
      <w:r w:rsidR="008166CA" w:rsidRPr="00111CDD">
        <w:rPr>
          <w:rFonts w:asciiTheme="minorHAnsi" w:hAnsiTheme="minorHAnsi" w:cstheme="minorHAnsi"/>
          <w:color w:val="000000" w:themeColor="text1"/>
          <w:lang w:val="en-US"/>
        </w:rPr>
        <w:t>ly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stained cells elevated correspondingly. The fluorescence of </w:t>
      </w:r>
      <w:proofErr w:type="spellStart"/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3923F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was always homogeneously weak.</w:t>
      </w:r>
    </w:p>
    <w:p w14:paraId="2A4411FC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1977C0BD" w14:textId="16305EB9" w:rsidR="008166CA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6</w:t>
      </w:r>
      <w:r w:rsidR="00E76A42" w:rsidRPr="00111CDD">
        <w:rPr>
          <w:rFonts w:asciiTheme="minorHAnsi" w:hAnsiTheme="minorHAnsi" w:cstheme="minorHAnsi"/>
          <w:b/>
          <w:color w:val="000000" w:themeColor="text1"/>
          <w:lang w:val="en-US"/>
        </w:rPr>
        <w:t>:</w:t>
      </w:r>
      <w:r w:rsidR="00E76A4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Representative 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f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>igure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>s for anti-AQP4 antibody “probable positive” samples. (</w:t>
      </w:r>
      <w:proofErr w:type="gramStart"/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>A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,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>B</w:t>
      </w:r>
      <w:proofErr w:type="gramEnd"/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) 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>No significant difference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fluorescence pattern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were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observed between transfected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(A)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proofErr w:type="spellStart"/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>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at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4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magnification. 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>(C</w:t>
      </w:r>
      <w:r w:rsidR="00EE71F0" w:rsidRPr="001E4117">
        <w:rPr>
          <w:rFonts w:asciiTheme="minorHAnsi" w:hAnsiTheme="minorHAnsi" w:cstheme="minorHAnsi"/>
          <w:b/>
          <w:color w:val="000000" w:themeColor="text1"/>
          <w:lang w:val="en-US"/>
        </w:rPr>
        <w:t>–</w:t>
      </w:r>
      <w:r w:rsidR="00C46A3E" w:rsidRPr="00111CDD">
        <w:rPr>
          <w:rFonts w:asciiTheme="minorHAnsi" w:hAnsiTheme="minorHAnsi" w:cstheme="minorHAnsi"/>
          <w:b/>
          <w:color w:val="000000" w:themeColor="text1"/>
          <w:lang w:val="en-US"/>
        </w:rPr>
        <w:t>E)</w:t>
      </w:r>
      <w:r w:rsidR="00C46A3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With 10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BE5C58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proofErr w:type="gramStart"/>
      <w:r w:rsidR="00BE5C58">
        <w:rPr>
          <w:rFonts w:asciiTheme="minorHAnsi" w:hAnsiTheme="minorHAnsi" w:cstheme="minorHAnsi"/>
          <w:b/>
          <w:color w:val="000000" w:themeColor="text1"/>
          <w:lang w:val="en-US"/>
        </w:rPr>
        <w:t>C,D</w:t>
      </w:r>
      <w:proofErr w:type="gramEnd"/>
      <w:r w:rsidR="00BE5C58">
        <w:rPr>
          <w:rFonts w:asciiTheme="minorHAnsi" w:hAnsiTheme="minorHAnsi" w:cstheme="minorHAnsi"/>
          <w:b/>
          <w:color w:val="000000" w:themeColor="text1"/>
          <w:lang w:val="en-US"/>
        </w:rPr>
        <w:t xml:space="preserve">) 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>or 20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5505F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BE5C58">
        <w:rPr>
          <w:rFonts w:asciiTheme="minorHAnsi" w:hAnsiTheme="minorHAnsi" w:cstheme="minorHAnsi"/>
          <w:b/>
          <w:color w:val="000000" w:themeColor="text1"/>
          <w:lang w:val="en-US"/>
        </w:rPr>
        <w:t>(</w:t>
      </w:r>
      <w:r w:rsidR="00BE5C58">
        <w:rPr>
          <w:rFonts w:asciiTheme="minorHAnsi" w:hAnsiTheme="minorHAnsi" w:cstheme="minorHAnsi"/>
          <w:b/>
          <w:color w:val="000000" w:themeColor="text1"/>
          <w:lang w:val="en-US"/>
        </w:rPr>
        <w:t>E,F)</w:t>
      </w:r>
      <w:r w:rsidR="008166C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magnification, a few cells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in 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BE5C58" w:rsidRPr="00BE5C58">
        <w:rPr>
          <w:rFonts w:asciiTheme="minorHAnsi" w:hAnsiTheme="minorHAnsi" w:cstheme="minorHAnsi"/>
          <w:b/>
          <w:color w:val="000000" w:themeColor="text1"/>
          <w:lang w:val="en-US"/>
        </w:rPr>
        <w:t>(C,E)</w:t>
      </w:r>
      <w:r w:rsidR="00BE5C58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showed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strong</w:t>
      </w:r>
      <w:r w:rsidR="008166C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granular fluores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cence</w:t>
      </w:r>
      <w:r w:rsidR="008166CA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</w:p>
    <w:p w14:paraId="01DC6BF9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78A7A901" w14:textId="3F8022F8" w:rsidR="0067262F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Figure 7</w:t>
      </w:r>
      <w:r w:rsidR="00326925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: 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E</w:t>
      </w:r>
      <w:r w:rsidR="00ED2DD4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xample of </w:t>
      </w:r>
      <w:r w:rsidR="007A17EB">
        <w:rPr>
          <w:rFonts w:asciiTheme="minorHAnsi" w:hAnsiTheme="minorHAnsi" w:cstheme="minorHAnsi"/>
          <w:b/>
          <w:color w:val="000000" w:themeColor="text1"/>
          <w:lang w:val="en-US"/>
        </w:rPr>
        <w:t>u</w:t>
      </w:r>
      <w:r w:rsidR="00ED2DD4" w:rsidRPr="00111CDD">
        <w:rPr>
          <w:rFonts w:asciiTheme="minorHAnsi" w:hAnsiTheme="minorHAnsi" w:cstheme="minorHAnsi"/>
          <w:b/>
          <w:color w:val="000000" w:themeColor="text1"/>
          <w:lang w:val="en-US"/>
        </w:rPr>
        <w:t>ntypical anti-AQP4 IgG</w:t>
      </w:r>
      <w:r w:rsidR="00EE71F0">
        <w:rPr>
          <w:rFonts w:asciiTheme="minorHAnsi" w:hAnsiTheme="minorHAnsi" w:cstheme="minorHAnsi"/>
          <w:b/>
          <w:color w:val="000000" w:themeColor="text1"/>
          <w:lang w:val="en-US"/>
        </w:rPr>
        <w:t>-</w:t>
      </w:r>
      <w:r w:rsidR="00ED2DD4"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negative sample. 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Both transfected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(A)</w:t>
      </w:r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proofErr w:type="spellStart"/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7A17E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7A17EB" w:rsidRPr="007A17EB">
        <w:rPr>
          <w:rFonts w:asciiTheme="minorHAnsi" w:hAnsiTheme="minorHAnsi" w:cstheme="minorHAnsi"/>
          <w:b/>
          <w:color w:val="000000" w:themeColor="text1"/>
          <w:lang w:val="en-US"/>
        </w:rPr>
        <w:t>(B)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were homogeneously stained.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However, t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>he fluorescence in transfected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was stronger than in </w:t>
      </w:r>
      <w:proofErr w:type="spellStart"/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273C0F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</w:p>
    <w:p w14:paraId="39F57CC4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C6CE384" w14:textId="452F8D47" w:rsidR="002B2836" w:rsidRPr="00111CDD" w:rsidRDefault="00AD2F49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AD2F49">
        <w:rPr>
          <w:rFonts w:asciiTheme="minorHAnsi" w:hAnsiTheme="minorHAnsi" w:cstheme="minorHAnsi"/>
          <w:b/>
          <w:color w:val="000000" w:themeColor="text1"/>
          <w:lang w:val="en-US"/>
        </w:rPr>
        <w:t>Table 1</w:t>
      </w:r>
      <w:r w:rsidR="002D4DC7" w:rsidRPr="00111CDD">
        <w:rPr>
          <w:rFonts w:asciiTheme="minorHAnsi" w:hAnsiTheme="minorHAnsi" w:cstheme="minorHAnsi"/>
          <w:b/>
          <w:color w:val="000000" w:themeColor="text1"/>
          <w:lang w:val="en-US"/>
        </w:rPr>
        <w:t>: Fluorescence microscopy.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It is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recommend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ed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to use </w:t>
      </w:r>
      <w:r w:rsidR="0035703C" w:rsidRPr="00111CDD">
        <w:rPr>
          <w:rFonts w:asciiTheme="minorHAnsi" w:hAnsiTheme="minorHAnsi" w:cstheme="minorHAnsi"/>
          <w:color w:val="000000" w:themeColor="text1"/>
          <w:lang w:val="en-US"/>
        </w:rPr>
        <w:t>4</w:t>
      </w:r>
      <w:r w:rsidR="0035703C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5703C" w:rsidRPr="00111CDD">
        <w:rPr>
          <w:rFonts w:asciiTheme="minorHAnsi" w:hAnsiTheme="minorHAnsi" w:cstheme="minorHAnsi"/>
          <w:color w:val="000000" w:themeColor="text1"/>
          <w:lang w:val="en-US"/>
        </w:rPr>
        <w:t>10</w:t>
      </w:r>
      <w:r w:rsidR="0035703C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</w:t>
      </w:r>
      <w:r w:rsidR="0035703C" w:rsidRPr="00111CDD">
        <w:rPr>
          <w:rFonts w:asciiTheme="minorHAnsi" w:hAnsiTheme="minorHAnsi" w:cstheme="minorHAnsi"/>
          <w:color w:val="000000" w:themeColor="text1"/>
          <w:lang w:val="en-US"/>
        </w:rPr>
        <w:t>20</w:t>
      </w:r>
      <w:r w:rsidR="0035703C">
        <w:rPr>
          <w:rFonts w:asciiTheme="minorHAnsi" w:hAnsiTheme="minorHAnsi" w:cstheme="minorHAnsi"/>
          <w:color w:val="000000" w:themeColor="text1"/>
          <w:lang w:val="en-US"/>
        </w:rPr>
        <w:t>X</w:t>
      </w:r>
      <w:r w:rsidR="0035703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objectives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for imaging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of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transfected and </w:t>
      </w:r>
      <w:proofErr w:type="spellStart"/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area</w:t>
      </w:r>
      <w:r w:rsidR="00EE71F0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2D4DC7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</w:p>
    <w:p w14:paraId="52383DB4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77BFA9D6" w14:textId="109F924A" w:rsidR="006D3475" w:rsidRPr="00111CDD" w:rsidRDefault="006305D7" w:rsidP="007A17EB">
      <w:pPr>
        <w:jc w:val="both"/>
        <w:rPr>
          <w:rFonts w:asciiTheme="minorHAnsi" w:hAnsiTheme="minorHAnsi" w:cstheme="minorHAnsi"/>
          <w:b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DISCUSSION</w:t>
      </w: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: </w:t>
      </w:r>
    </w:p>
    <w:p w14:paraId="01AB5A90" w14:textId="20EBD594" w:rsidR="00D71856" w:rsidRPr="00111CDD" w:rsidRDefault="006D3475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We have described a widely accessible method to detect anti-AQP4 </w:t>
      </w:r>
      <w:r w:rsidR="003157C5" w:rsidRPr="00111CDD">
        <w:rPr>
          <w:rFonts w:asciiTheme="minorHAnsi" w:hAnsiTheme="minorHAnsi" w:cstheme="minorHAnsi"/>
          <w:color w:val="000000" w:themeColor="text1"/>
          <w:lang w:val="en-US"/>
        </w:rPr>
        <w:t>IgG in human serum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3157C5" w:rsidRPr="00111CDD">
        <w:rPr>
          <w:rFonts w:asciiTheme="minorHAnsi" w:hAnsiTheme="minorHAnsi" w:cstheme="minorHAnsi"/>
          <w:color w:val="000000" w:themeColor="text1"/>
          <w:lang w:val="en-US"/>
        </w:rPr>
        <w:t>Anti-AQP4 I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gG is closely related to NMOSD, and establishing a reliable anti-AQP4 IgG detection method is crucial for the clinical diagnosis of NMOSD. First, anti-AQP4 IgG is specific for NMOSD. Multiple sclerosis is also an </w:t>
      </w:r>
      <w:r w:rsidR="00001A18" w:rsidRPr="00111CDD">
        <w:rPr>
          <w:rFonts w:asciiTheme="minorHAnsi" w:hAnsiTheme="minorHAnsi" w:cstheme="minorHAnsi"/>
          <w:color w:val="000000" w:themeColor="text1"/>
          <w:lang w:val="en-US"/>
        </w:rPr>
        <w:t>immune-mediated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disease of </w:t>
      </w:r>
      <w:r w:rsidR="001F59DC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central nervous system and shares many similarities with NMOSD</w:t>
      </w:r>
      <w:r w:rsidR="00D71856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. However, anti-AQP4 IgG is only positive in NMOSD</w:t>
      </w:r>
      <w:r w:rsidR="00D71856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3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. Second,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anti-AQP4 IgG is common among NMOSD patients. A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pproximately two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thirds of NMOSD patients are serum anti-AQP4 IgG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positive</w:t>
      </w:r>
      <w:r w:rsidR="00D71856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4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. Third,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most recent diagnosis criteria for NMOSD is 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based on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serum anti-AQP4 IgG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 xml:space="preserve"> testing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>. T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aken together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serum anti-AQP4 IgG 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 xml:space="preserve">detection </w:t>
      </w:r>
      <w:r w:rsidR="00D71856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could facilitate the clinical diagnosis of NMOSD. </w:t>
      </w:r>
    </w:p>
    <w:p w14:paraId="41E4F8B0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0EE35E99" w14:textId="281F1A92" w:rsidR="006D3475" w:rsidRPr="00111CDD" w:rsidRDefault="0070251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Among 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various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anti-AQP4 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detection methods, CBA is widely 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used for clinical diagnosis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due to its high sen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>sitivity and specificity</w:t>
      </w:r>
      <w:r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6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,7</w:t>
      </w:r>
      <w:r w:rsidR="00E801B0"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Although CBA is a quick and straightforward method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, some key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points should be addressed. First, 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experimenters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should be careful when work</w:t>
      </w:r>
      <w:r w:rsidR="00327E82" w:rsidRPr="00111CDD">
        <w:rPr>
          <w:rFonts w:asciiTheme="minorHAnsi" w:hAnsiTheme="minorHAnsi" w:cstheme="minorHAnsi"/>
          <w:color w:val="000000" w:themeColor="text1"/>
          <w:lang w:val="en-US"/>
        </w:rPr>
        <w:t>ing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with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, as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AQP4-M1</w:t>
      </w:r>
      <w:r w:rsidR="0099495F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transfected and </w:t>
      </w:r>
      <w:proofErr w:type="spellStart"/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untransfected</w:t>
      </w:r>
      <w:proofErr w:type="spellEnd"/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cells are fixed on the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s. During the whole procedure,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biochips should not be touched by hand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or dried out. Additionally, slides with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s should be handled gently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o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therwise the fixed cell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on the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 may </w:t>
      </w:r>
      <w:proofErr w:type="gramStart"/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fall down</w:t>
      </w:r>
      <w:proofErr w:type="gramEnd"/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or be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come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contaminated, which may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result in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fluorescence defective zones or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a 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high fluorescent background. Second, when adding samples to the reaction field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on the reagent tray,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researchers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lastRenderedPageBreak/>
        <w:t xml:space="preserve">must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ensure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that the drops of samples are not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mixed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with each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other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ir bubbles between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 the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samples and </w:t>
      </w:r>
      <w:r w:rsidR="00326925" w:rsidRPr="00111CDD">
        <w:rPr>
          <w:rFonts w:asciiTheme="minorHAnsi" w:hAnsiTheme="minorHAnsi" w:cstheme="minorHAnsi"/>
          <w:color w:val="000000" w:themeColor="text1"/>
          <w:lang w:val="en-US"/>
        </w:rPr>
        <w:t>biochip</w:t>
      </w:r>
      <w:r w:rsidR="006D3475" w:rsidRPr="00111CDD">
        <w:rPr>
          <w:rFonts w:asciiTheme="minorHAnsi" w:hAnsiTheme="minorHAnsi" w:cstheme="minorHAnsi"/>
          <w:color w:val="000000" w:themeColor="text1"/>
          <w:lang w:val="en-US"/>
        </w:rPr>
        <w:t>s should be avoided.</w:t>
      </w:r>
    </w:p>
    <w:p w14:paraId="59941089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48B80FA0" w14:textId="5BAD8793" w:rsidR="00C11DBF" w:rsidRPr="00111CDD" w:rsidRDefault="006D3475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This method has limitations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; for example,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w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hen using CBA to detect anti-AQP4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, it is hard to quantify fluorescence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 intensity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de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scribe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anti-AQP4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6422B1" w:rsidRPr="00111CDD">
        <w:rPr>
          <w:rFonts w:asciiTheme="minorHAnsi" w:hAnsiTheme="minorHAnsi" w:cstheme="minorHAnsi"/>
          <w:color w:val="000000" w:themeColor="text1"/>
          <w:lang w:val="en-US"/>
        </w:rPr>
        <w:t>titer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 the serum. Currently, </w:t>
      </w:r>
      <w:r w:rsidR="006422B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our diagnostic center,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the intensity of fluorescence is 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subjectively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reported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 xml:space="preserve">by two clinicians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after comparing </w:t>
      </w:r>
      <w:r w:rsidR="006422B1" w:rsidRPr="00111CDD">
        <w:rPr>
          <w:rFonts w:asciiTheme="minorHAnsi" w:hAnsiTheme="minorHAnsi" w:cstheme="minorHAnsi"/>
          <w:color w:val="000000" w:themeColor="text1"/>
          <w:lang w:val="en-US"/>
        </w:rPr>
        <w:t>photograph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s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of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samples </w:t>
      </w:r>
      <w:r w:rsidR="009C39ED" w:rsidRPr="007A17EB">
        <w:rPr>
          <w:rFonts w:asciiTheme="minorHAnsi" w:hAnsiTheme="minorHAnsi" w:cstheme="minorHAnsi"/>
          <w:i/>
          <w:color w:val="000000" w:themeColor="text1"/>
          <w:lang w:val="en-US"/>
        </w:rPr>
        <w:t>vs.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controls. In most cases, it is not hard to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determine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whether the serum is ant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i-AQP4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positive or negative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 However, in rare cases, the fluorescence from sample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may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seem only slightly stronger than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 control, and the sample </w:t>
      </w:r>
      <w:proofErr w:type="gramStart"/>
      <w:r w:rsidRPr="00111CDD">
        <w:rPr>
          <w:rFonts w:asciiTheme="minorHAnsi" w:hAnsiTheme="minorHAnsi" w:cstheme="minorHAnsi"/>
          <w:color w:val="000000" w:themeColor="text1"/>
          <w:lang w:val="en-US"/>
        </w:rPr>
        <w:t>is considered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 xml:space="preserve"> to be</w:t>
      </w:r>
      <w:proofErr w:type="gram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“probable positive”.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5D7AB4" w:rsidRPr="00111CDD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this situation, clinicians should be more careful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in making a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diagnosis. </w:t>
      </w:r>
      <w:r w:rsidR="00E5159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Another possible solution 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is</w:t>
      </w:r>
      <w:r w:rsidR="00E51591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repeating the CBA.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A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more accurate method to quantify the intensity of fluorescence and an international definition of “anti-AQP4 </w:t>
      </w:r>
      <w:r w:rsidR="00C11DBF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9C39ED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70251B"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positive” are warranted. </w:t>
      </w:r>
      <w:r w:rsidR="00C11DBF" w:rsidRPr="00111CDD">
        <w:rPr>
          <w:rFonts w:asciiTheme="minorHAnsi" w:hAnsiTheme="minorHAnsi" w:cstheme="minorHAnsi"/>
          <w:color w:val="000000" w:themeColor="text1"/>
          <w:lang w:val="en-US"/>
        </w:rPr>
        <w:t>Notably, the positive rate of anti-AQP4 IgG in cerebrospinal fluid is much lower than in serum, and testing for anti-AQP4 IgG in cerebrospinal fluid is not informative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14</w:t>
      </w:r>
      <w:r w:rsidR="00C11DB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15</w:t>
      </w:r>
      <w:r w:rsidR="00C11DBF"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</w:p>
    <w:p w14:paraId="7EB690D6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6010833E" w14:textId="4C4BA46D" w:rsidR="0070251B" w:rsidRPr="00111CDD" w:rsidRDefault="0070251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CBA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can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applied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to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both clinical diagnosis and scientific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studies</w:t>
      </w:r>
      <w:r w:rsidR="002C4A4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of NMOSD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C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linical diagnosis of NMOSD is made based on the combination of clinical manifestations, serum anti-AQP4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and 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neuro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r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adiological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findings. Serum anti-AQP4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patients with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at least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one core clinical characteristic of NMOSD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can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diagnosed with NMOSD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;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h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owever, if the patient is anti-AQP4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negative,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a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diagnosis of NMOSD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should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not be excluded</w:t>
      </w:r>
      <w:r w:rsidR="002D19EF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, and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c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linicians should further evaluate the clinical manifestation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and 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neuro</w:t>
      </w:r>
      <w:r w:rsidR="002C4A43">
        <w:rPr>
          <w:rFonts w:asciiTheme="minorHAnsi" w:hAnsiTheme="minorHAnsi" w:cstheme="minorHAnsi"/>
          <w:color w:val="000000" w:themeColor="text1"/>
          <w:lang w:val="en-US"/>
        </w:rPr>
        <w:t>r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adiological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findings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5,</w:t>
      </w:r>
      <w:r w:rsidR="0028478E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16,17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Serum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myelin oligodendrocyte glycoprotein antibody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may be detected to assist the diagnosis</w:t>
      </w:r>
      <w:r w:rsidR="0028478E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18</w:t>
      </w:r>
      <w:r w:rsidR="0035703C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-</w:t>
      </w:r>
      <w:r w:rsidR="0028478E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20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896B13" w:rsidRPr="00111CDD">
        <w:rPr>
          <w:rFonts w:asciiTheme="minorHAnsi" w:hAnsiTheme="minorHAnsi" w:cstheme="minorHAnsi"/>
          <w:color w:val="000000" w:themeColor="text1"/>
          <w:lang w:val="en-US"/>
        </w:rPr>
        <w:t>Notably, although the serum anti-AQP4 IgG titer may be changed with rituximab treatment</w:t>
      </w:r>
      <w:r w:rsidR="00896B13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1</w:t>
      </w:r>
      <w:r w:rsidR="00896B13" w:rsidRPr="00111CDD">
        <w:rPr>
          <w:rFonts w:asciiTheme="minorHAnsi" w:hAnsiTheme="minorHAnsi" w:cstheme="minorHAnsi"/>
          <w:color w:val="000000" w:themeColor="text1"/>
          <w:lang w:val="en-US"/>
        </w:rPr>
        <w:t>, it is not predictive of disease course and response to immunotherapy</w:t>
      </w:r>
      <w:r w:rsidR="00896B13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="00896B13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,2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3</w:t>
      </w:r>
      <w:r w:rsidR="00896B13"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CBA is also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widely used for scientific research. For example, Yang </w:t>
      </w:r>
      <w:r w:rsidR="00AD2F49" w:rsidRPr="007A17EB">
        <w:rPr>
          <w:rFonts w:asciiTheme="minorHAnsi" w:hAnsiTheme="minorHAnsi" w:cstheme="minorHAnsi"/>
          <w:color w:val="000000" w:themeColor="text1"/>
          <w:lang w:val="en-US"/>
        </w:rPr>
        <w:t>et al.</w:t>
      </w:r>
      <w:r w:rsidR="002C4A43" w:rsidRPr="007A17EB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24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 xml:space="preserve"> 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described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the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clinical features of anti-AQP4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-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positive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NMOSD 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>patients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Additionally,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Kitley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AD2F49" w:rsidRPr="007A17EB">
        <w:rPr>
          <w:rFonts w:asciiTheme="minorHAnsi" w:hAnsiTheme="minorHAnsi" w:cstheme="minorHAnsi"/>
          <w:color w:val="000000" w:themeColor="text1"/>
          <w:lang w:val="en-US"/>
        </w:rPr>
        <w:t>et al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.</w:t>
      </w:r>
      <w:r w:rsidR="004B3128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25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ana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 xml:space="preserve">lyzed the prognostic factors for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anti-AQP4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positive</w:t>
      </w:r>
      <w:r w:rsidR="001C2CFD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NMOSD patients</w:t>
      </w:r>
      <w:r w:rsidR="00462852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2</w:t>
      </w:r>
      <w:r w:rsidR="001C2CFD" w:rsidRPr="00111CDD">
        <w:rPr>
          <w:rFonts w:asciiTheme="minorHAnsi" w:hAnsiTheme="minorHAnsi" w:cstheme="minorHAnsi"/>
          <w:color w:val="000000" w:themeColor="text1"/>
          <w:vertAlign w:val="superscript"/>
          <w:lang w:val="en-US"/>
        </w:rPr>
        <w:t>5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. Both studies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use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CBA to detect serum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anti-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AQP4 </w:t>
      </w:r>
      <w:r w:rsidR="00AF3A92" w:rsidRPr="00111CDD">
        <w:rPr>
          <w:rFonts w:asciiTheme="minorHAnsi" w:hAnsiTheme="minorHAnsi" w:cstheme="minorHAnsi"/>
          <w:color w:val="000000" w:themeColor="text1"/>
          <w:lang w:val="en-US"/>
        </w:rPr>
        <w:t>IgG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</w:p>
    <w:p w14:paraId="3D489D14" w14:textId="77777777" w:rsidR="001F6644" w:rsidRPr="00111CDD" w:rsidRDefault="001F664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192C52B" w14:textId="2F0FEB27" w:rsidR="007511FE" w:rsidRPr="00111CDD" w:rsidRDefault="0070251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In summary, </w:t>
      </w:r>
      <w:r w:rsidR="007511F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CBA is a widely used method to detect anti-AQP4 IgG and 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can</w:t>
      </w:r>
      <w:r w:rsidR="007511F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be applied </w:t>
      </w:r>
      <w:r w:rsidR="00B937AE" w:rsidRPr="00111CDD">
        <w:rPr>
          <w:rFonts w:asciiTheme="minorHAnsi" w:hAnsiTheme="minorHAnsi" w:cstheme="minorHAnsi"/>
          <w:color w:val="000000" w:themeColor="text1"/>
          <w:lang w:val="en-US"/>
        </w:rPr>
        <w:t>to</w:t>
      </w:r>
      <w:r w:rsidR="007511F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clinical diagnosis and scientific research of NMOSD.</w:t>
      </w:r>
      <w:r w:rsidR="00AD2F4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78AB6E1E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1734505F" w14:textId="54BBEA63" w:rsidR="00AA03DF" w:rsidRPr="00111CDD" w:rsidRDefault="00AA03DF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b/>
          <w:bCs/>
          <w:color w:val="000000" w:themeColor="text1"/>
        </w:rPr>
        <w:t xml:space="preserve">ACKNOWLEDGMENTS: </w:t>
      </w:r>
    </w:p>
    <w:p w14:paraId="2D96E92E" w14:textId="340AACC0" w:rsidR="00AA03DF" w:rsidRPr="00111CDD" w:rsidRDefault="006D3475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The authors are grateful for the support from grants from the National Science Foundation of China (No. 31600820), The Health and Family Planning Commission of Jilin Province (No. 2016Q036)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, and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Science and 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T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echnology 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P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lanning 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>P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roject of Jilin Province (No. 20180520110JH).</w:t>
      </w:r>
    </w:p>
    <w:p w14:paraId="6B292BC6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5D52ED8B" w14:textId="481BB912" w:rsidR="00AA03DF" w:rsidRPr="00111CDD" w:rsidRDefault="00AA03DF" w:rsidP="007A17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11CDD">
        <w:rPr>
          <w:rFonts w:asciiTheme="minorHAnsi" w:hAnsiTheme="minorHAnsi" w:cstheme="minorHAnsi"/>
          <w:b/>
          <w:color w:val="000000" w:themeColor="text1"/>
        </w:rPr>
        <w:t>DISCLOSURES</w:t>
      </w:r>
      <w:r w:rsidRPr="00111CDD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</w:p>
    <w:p w14:paraId="66030076" w14:textId="258145AA" w:rsidR="00AA03DF" w:rsidRPr="00111CDD" w:rsidRDefault="006D3475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The authors have nothing to disclose.</w:t>
      </w:r>
    </w:p>
    <w:p w14:paraId="6B5A529D" w14:textId="77777777" w:rsidR="0099689B" w:rsidRPr="00111CDD" w:rsidRDefault="0099689B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14:paraId="315B4FAD" w14:textId="6A97D0F6" w:rsidR="00B32616" w:rsidRPr="00111CDD" w:rsidRDefault="009726EE" w:rsidP="007A17EB">
      <w:pPr>
        <w:jc w:val="both"/>
        <w:rPr>
          <w:rFonts w:asciiTheme="minorHAnsi" w:hAnsiTheme="minorHAnsi" w:cstheme="minorHAnsi"/>
          <w:b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REFERENCES</w:t>
      </w:r>
      <w:r w:rsidR="00D04760" w:rsidRPr="00111CDD">
        <w:rPr>
          <w:rFonts w:asciiTheme="minorHAnsi" w:hAnsiTheme="minorHAnsi" w:cstheme="minorHAnsi"/>
          <w:b/>
          <w:bCs/>
          <w:color w:val="000000" w:themeColor="text1"/>
          <w:lang w:val="en-US"/>
        </w:rPr>
        <w:t>: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</w:p>
    <w:p w14:paraId="7B258B57" w14:textId="18921705" w:rsidR="00D838AC" w:rsidRPr="00111CDD" w:rsidRDefault="00D838AC" w:rsidP="007A17EB">
      <w:pPr>
        <w:jc w:val="both"/>
        <w:rPr>
          <w:rFonts w:asciiTheme="minorHAnsi" w:hAnsiTheme="minorHAnsi" w:cstheme="minorHAnsi"/>
          <w:color w:val="000000"/>
          <w:shd w:val="clear" w:color="auto" w:fill="FFFFFF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1.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Zekeridou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>, A., Lennon, V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A. Aquaporin-4 autoimmunity.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2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(4), e110,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10.1212/NXI.0000000000000110 (2015).</w:t>
      </w:r>
    </w:p>
    <w:p w14:paraId="7255C2CE" w14:textId="40CC761A" w:rsidR="009E0A6E" w:rsidRPr="00111CDD" w:rsidRDefault="009E0A6E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lastRenderedPageBreak/>
        <w:t>2. Ho, J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D. </w:t>
      </w:r>
      <w:r w:rsidR="00AD2F49" w:rsidRPr="007A17EB">
        <w:rPr>
          <w:rFonts w:asciiTheme="minorHAnsi" w:hAnsiTheme="minorHAnsi" w:cstheme="minorHAnsi"/>
          <w:color w:val="000000" w:themeColor="text1"/>
          <w:lang w:val="en-US"/>
        </w:rPr>
        <w:t>et al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Crystal structure of human aquaporin 4 at 1.8 A and its mechanism of conductance. </w:t>
      </w:r>
      <w:r w:rsidRPr="00111CDD">
        <w:rPr>
          <w:rFonts w:asciiTheme="minorHAnsi" w:hAnsiTheme="minorHAnsi" w:cstheme="minorHAnsi"/>
          <w:i/>
          <w:lang w:val="en-US"/>
        </w:rPr>
        <w:t>Proceedings of the National Academy of Sciences of the United States of America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 xml:space="preserve">106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(18), 7437-7442, 10.1073/pnas.0902725106 (2009). </w:t>
      </w:r>
    </w:p>
    <w:p w14:paraId="1160A667" w14:textId="402672A8" w:rsidR="00D838AC" w:rsidRPr="00111CDD" w:rsidRDefault="00D838AC" w:rsidP="007A17EB">
      <w:pPr>
        <w:jc w:val="both"/>
        <w:rPr>
          <w:rFonts w:asciiTheme="minorHAnsi" w:hAnsiTheme="minorHAnsi" w:cstheme="minorHAnsi"/>
          <w:color w:val="000000"/>
          <w:shd w:val="clear" w:color="auto" w:fill="FFFFFF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3. Takeshita, Y.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Effects of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-IgG at the blood-brain barrier </w:t>
      </w:r>
      <w:r w:rsidR="00AD2F49" w:rsidRPr="007A17EB">
        <w:rPr>
          <w:rFonts w:asciiTheme="minorHAnsi" w:hAnsiTheme="minorHAnsi" w:cstheme="minorHAnsi"/>
          <w:color w:val="000000"/>
          <w:lang w:val="en-US"/>
        </w:rPr>
        <w:t>in vitro</w:t>
      </w:r>
      <w:r w:rsidRPr="00111CDD">
        <w:rPr>
          <w:rFonts w:asciiTheme="minorHAnsi" w:hAnsiTheme="minorHAnsi" w:cstheme="minorHAnsi"/>
          <w:color w:val="000000"/>
          <w:lang w:val="en-US"/>
        </w:rPr>
        <w:t>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(1), e311,</w:t>
      </w:r>
      <w:r w:rsidR="009E0A6E"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10.1212/NXI.0000000000000311 (2016).</w:t>
      </w:r>
    </w:p>
    <w:p w14:paraId="3D0A96D5" w14:textId="68C0A943" w:rsidR="009E0A6E" w:rsidRPr="00111CDD" w:rsidRDefault="009E0A6E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4. Sato, D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K.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Distinction between MOG antibody-positive and AQP4 antibody-positive NMO spectrum disorders. </w:t>
      </w:r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>Neurology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82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(6), 474–481, 1212/WNL.0000000000000101 (2014). </w:t>
      </w:r>
    </w:p>
    <w:p w14:paraId="23BBFAC9" w14:textId="2CF94136" w:rsidR="00462852" w:rsidRPr="00111CDD" w:rsidRDefault="00462852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5.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Wingerchuk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>, D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M.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</w:t>
      </w:r>
      <w:r w:rsidR="004B3128">
        <w:rPr>
          <w:rFonts w:asciiTheme="minorHAnsi" w:hAnsiTheme="minorHAnsi" w:cstheme="minorHAnsi"/>
          <w:i/>
          <w:color w:val="000000" w:themeColor="text1"/>
          <w:lang w:val="en-US"/>
        </w:rPr>
        <w:t>l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International consensus diagnostic criteria for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spectrum disorders. </w:t>
      </w:r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>Neurology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85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(2), 177–89, 10.1212/WNL.00000000000 01729 (2015).</w:t>
      </w:r>
    </w:p>
    <w:p w14:paraId="3B927B09" w14:textId="0629E780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6. Ruiz-Gaviria, R</w:t>
      </w:r>
      <w:r w:rsidRPr="007A17EB">
        <w:rPr>
          <w:rFonts w:asciiTheme="minorHAnsi" w:hAnsiTheme="minorHAnsi" w:cstheme="minorHAnsi"/>
          <w:i/>
          <w:color w:val="000000" w:themeColor="text1"/>
          <w:lang w:val="en-US"/>
        </w:rPr>
        <w:t>.</w:t>
      </w:r>
      <w:r w:rsidR="004B3128" w:rsidRPr="007A17EB">
        <w:rPr>
          <w:rFonts w:asciiTheme="minorHAnsi" w:hAnsiTheme="minorHAnsi" w:cstheme="minorHAnsi"/>
          <w:i/>
          <w:color w:val="000000" w:themeColor="text1"/>
          <w:lang w:val="en-US"/>
        </w:rPr>
        <w:t xml:space="preserve"> et al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Specificity and sensitivity of aquaporin 4 antibody detection tests in patients with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: A meta-analysis. </w:t>
      </w:r>
      <w:r w:rsidRPr="00111CDD">
        <w:rPr>
          <w:rFonts w:asciiTheme="minorHAnsi" w:hAnsiTheme="minorHAnsi" w:cstheme="minorHAnsi"/>
          <w:i/>
          <w:lang w:val="en-US"/>
        </w:rPr>
        <w:t xml:space="preserve">Multiple </w:t>
      </w:r>
      <w:r w:rsidR="004B3128">
        <w:rPr>
          <w:rFonts w:asciiTheme="minorHAnsi" w:hAnsiTheme="minorHAnsi" w:cstheme="minorHAnsi"/>
          <w:i/>
          <w:lang w:val="en-US"/>
        </w:rPr>
        <w:t>S</w:t>
      </w:r>
      <w:r w:rsidRPr="00111CDD">
        <w:rPr>
          <w:rFonts w:asciiTheme="minorHAnsi" w:hAnsiTheme="minorHAnsi" w:cstheme="minorHAnsi"/>
          <w:i/>
          <w:lang w:val="en-US"/>
        </w:rPr>
        <w:t xml:space="preserve">clerosis and </w:t>
      </w:r>
      <w:r w:rsidR="004B3128">
        <w:rPr>
          <w:rFonts w:asciiTheme="minorHAnsi" w:hAnsiTheme="minorHAnsi" w:cstheme="minorHAnsi"/>
          <w:i/>
          <w:lang w:val="en-US"/>
        </w:rPr>
        <w:t>R</w:t>
      </w:r>
      <w:r w:rsidRPr="00111CDD">
        <w:rPr>
          <w:rFonts w:asciiTheme="minorHAnsi" w:hAnsiTheme="minorHAnsi" w:cstheme="minorHAnsi"/>
          <w:i/>
          <w:lang w:val="en-US"/>
        </w:rPr>
        <w:t xml:space="preserve">elated </w:t>
      </w:r>
      <w:r w:rsidR="004B3128">
        <w:rPr>
          <w:rFonts w:asciiTheme="minorHAnsi" w:hAnsiTheme="minorHAnsi" w:cstheme="minorHAnsi"/>
          <w:i/>
          <w:lang w:val="en-US"/>
        </w:rPr>
        <w:t>D</w:t>
      </w:r>
      <w:r w:rsidRPr="00111CDD">
        <w:rPr>
          <w:rFonts w:asciiTheme="minorHAnsi" w:hAnsiTheme="minorHAnsi" w:cstheme="minorHAnsi"/>
          <w:i/>
          <w:lang w:val="en-US"/>
        </w:rPr>
        <w:t>isorders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 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(4), 345-349, 10.1016/j.msard.2015.06.003 (2015).</w:t>
      </w:r>
    </w:p>
    <w:p w14:paraId="7D86EB3F" w14:textId="522552E7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7. Waters, P.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Multicentre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 comparison of a diagnostic assay: aquaporin-4 antibodies in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i/>
          <w:lang w:val="en-US"/>
        </w:rPr>
        <w:t>Journal of Neurology, Neurosurgery, and Psychiatry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87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(9), 1005-1015, 10.1136/jnnp-2015-31260 (2016).</w:t>
      </w:r>
    </w:p>
    <w:p w14:paraId="006A6186" w14:textId="4768A6FC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>8. Fryer, J</w:t>
      </w:r>
      <w:r w:rsidR="004B3128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P.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AQP4 autoantibody assay performance in clinical laboratory service.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1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(1), e11, 10.1212/NXI.0000000000000011 (2014).</w:t>
      </w:r>
    </w:p>
    <w:p w14:paraId="0C2C0AC7" w14:textId="3BA4B228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9. Long, Y.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Aquaporin-4 antibody in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>: re-testing study in a large population from China</w:t>
      </w:r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i/>
          <w:lang w:val="en-US"/>
        </w:rPr>
        <w:t xml:space="preserve">The International </w:t>
      </w:r>
      <w:r w:rsidR="004B3128">
        <w:rPr>
          <w:rFonts w:asciiTheme="minorHAnsi" w:hAnsiTheme="minorHAnsi" w:cstheme="minorHAnsi"/>
          <w:i/>
          <w:lang w:val="en-US"/>
        </w:rPr>
        <w:t>J</w:t>
      </w:r>
      <w:r w:rsidRPr="00111CDD">
        <w:rPr>
          <w:rFonts w:asciiTheme="minorHAnsi" w:hAnsiTheme="minorHAnsi" w:cstheme="minorHAnsi"/>
          <w:i/>
          <w:lang w:val="en-US"/>
        </w:rPr>
        <w:t xml:space="preserve">ournal of </w:t>
      </w:r>
      <w:r w:rsidR="004B3128">
        <w:rPr>
          <w:rFonts w:asciiTheme="minorHAnsi" w:hAnsiTheme="minorHAnsi" w:cstheme="minorHAnsi"/>
          <w:i/>
          <w:lang w:val="en-US"/>
        </w:rPr>
        <w:t>N</w:t>
      </w:r>
      <w:r w:rsidRPr="00111CDD">
        <w:rPr>
          <w:rFonts w:asciiTheme="minorHAnsi" w:hAnsiTheme="minorHAnsi" w:cstheme="minorHAnsi"/>
          <w:i/>
          <w:lang w:val="en-US"/>
        </w:rPr>
        <w:t>euroscience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127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(9), 790-799, 10.1080/00207454.2016.1259226 (2017).</w:t>
      </w:r>
    </w:p>
    <w:p w14:paraId="10A63782" w14:textId="75B1F435" w:rsidR="00462852" w:rsidRPr="00111CDD" w:rsidRDefault="00462852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10. Pisani, F.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Aquaporin-4 autoantibodies in Neuromyelitis Optica: AQP4 isoform-dependent sensitivity and specificity</w:t>
      </w:r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 xml:space="preserve">. </w:t>
      </w:r>
      <w:proofErr w:type="spellStart"/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>PloS</w:t>
      </w:r>
      <w:proofErr w:type="spellEnd"/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 xml:space="preserve"> One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8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(11), e79185, 10.1371/journal.pone.0079185 (2013).</w:t>
      </w:r>
    </w:p>
    <w:p w14:paraId="53AC3295" w14:textId="633CDC99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11.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Jarius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S.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Aquaporin-4 antibody testing: direct comparison of M1-AQP4-DNA-transfected cells with leaky scanning versus M23-AQP4-DNA-transfected cells as antigenic substrate. </w:t>
      </w:r>
      <w:r w:rsidRPr="00111CDD">
        <w:rPr>
          <w:rFonts w:asciiTheme="minorHAnsi" w:hAnsiTheme="minorHAnsi" w:cstheme="minorHAnsi"/>
          <w:i/>
          <w:lang w:val="en-US"/>
        </w:rPr>
        <w:t>Journal of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11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, 129, 10.1186/1742-2094-11-129 (2014).</w:t>
      </w:r>
    </w:p>
    <w:p w14:paraId="2F033127" w14:textId="0464465E" w:rsidR="00462852" w:rsidRPr="00111CDD" w:rsidRDefault="00462852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12.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Juryńczyk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>, M., 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Craner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M., Palace, J. Overlapping CNS inflammatory diseases: differentiating features of NMO and MS. </w:t>
      </w:r>
      <w:r w:rsidRPr="00111CDD">
        <w:rPr>
          <w:rFonts w:asciiTheme="minorHAnsi" w:hAnsiTheme="minorHAnsi" w:cstheme="minorHAnsi"/>
          <w:i/>
          <w:lang w:val="en-US"/>
        </w:rPr>
        <w:t>Journal of Neurology, Neurosurgery, and Psychiatry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 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86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(1), 20-25, 10.1136/jnnp-2014-308984 (2015).</w:t>
      </w:r>
    </w:p>
    <w:p w14:paraId="28815F17" w14:textId="44D51CA8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13. Chen, H.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Clinical Features of Patients with Multiple Sclerosis and Neuromyelitis Optica Spectrum Disorders. </w:t>
      </w:r>
      <w:r w:rsidRPr="00111CDD">
        <w:rPr>
          <w:rFonts w:asciiTheme="minorHAnsi" w:hAnsiTheme="minorHAnsi" w:cstheme="minorHAnsi"/>
          <w:i/>
          <w:lang w:val="en-US"/>
        </w:rPr>
        <w:t>Chinese Medical Journal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 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129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(17), 2079-2084, 10.4103/0366-6999.189046 (2016).</w:t>
      </w:r>
    </w:p>
    <w:p w14:paraId="187A8C9B" w14:textId="3EB92529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>14. Majed, M., Fryer, J</w:t>
      </w:r>
      <w:r w:rsidR="004B3128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>P., McKeon, A., Lennon, V</w:t>
      </w:r>
      <w:r w:rsidR="004B3128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 xml:space="preserve">A., </w:t>
      </w:r>
      <w:proofErr w:type="spellStart"/>
      <w:r w:rsidRPr="00111CDD">
        <w:rPr>
          <w:rFonts w:asciiTheme="minorHAnsi" w:hAnsiTheme="minorHAnsi" w:cstheme="minorHAnsi"/>
          <w:lang w:val="en-US"/>
        </w:rPr>
        <w:t>Pittock</w:t>
      </w:r>
      <w:proofErr w:type="spellEnd"/>
      <w:r w:rsidRPr="00111CDD">
        <w:rPr>
          <w:rFonts w:asciiTheme="minorHAnsi" w:hAnsiTheme="minorHAnsi" w:cstheme="minorHAnsi"/>
          <w:lang w:val="en-US"/>
        </w:rPr>
        <w:t>, S</w:t>
      </w:r>
      <w:r w:rsidR="004B3128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 xml:space="preserve">J. </w:t>
      </w:r>
      <w:r w:rsidRPr="00111CDD">
        <w:rPr>
          <w:rFonts w:asciiTheme="minorHAnsi" w:hAnsiTheme="minorHAnsi" w:cstheme="minorHAnsi"/>
          <w:color w:val="000000"/>
          <w:lang w:val="en-US"/>
        </w:rPr>
        <w:t>Clinical utility of testing AQP4-IgG in CSF: Guidance for physicians.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3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(3), e231,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10.1212/NXI.0000000000000231 (2016).</w:t>
      </w:r>
    </w:p>
    <w:p w14:paraId="3070E3B6" w14:textId="4AD76EF9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 xml:space="preserve">15. </w:t>
      </w:r>
      <w:proofErr w:type="spellStart"/>
      <w:r w:rsidRPr="00111CDD">
        <w:rPr>
          <w:rFonts w:asciiTheme="minorHAnsi" w:hAnsiTheme="minorHAnsi" w:cstheme="minorHAnsi"/>
          <w:lang w:val="en-US"/>
        </w:rPr>
        <w:t>Jarius</w:t>
      </w:r>
      <w:proofErr w:type="spellEnd"/>
      <w:r w:rsidRPr="00111CDD">
        <w:rPr>
          <w:rFonts w:asciiTheme="minorHAnsi" w:hAnsiTheme="minorHAnsi" w:cstheme="minorHAnsi"/>
          <w:lang w:val="en-US"/>
        </w:rPr>
        <w:t xml:space="preserve">, S. </w:t>
      </w:r>
      <w:r w:rsidR="00AD2F49" w:rsidRPr="00AD2F49">
        <w:rPr>
          <w:rFonts w:asciiTheme="minorHAnsi" w:hAnsiTheme="minorHAnsi" w:cstheme="minorHAnsi"/>
          <w:i/>
          <w:lang w:val="en-US"/>
        </w:rPr>
        <w:t>et al.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Cerebrospinal fluid antibodies to aquaporin-4 in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 and related disorders: frequency, origin, and diagnostic relevance.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Journal of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52,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10.1186/1742-2094-7-52 (2010).</w:t>
      </w:r>
    </w:p>
    <w:p w14:paraId="3FA28980" w14:textId="61A3FD93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 xml:space="preserve">16. </w:t>
      </w:r>
      <w:proofErr w:type="spellStart"/>
      <w:r w:rsidRPr="00111CDD">
        <w:rPr>
          <w:rFonts w:asciiTheme="minorHAnsi" w:hAnsiTheme="minorHAnsi" w:cstheme="minorHAnsi"/>
          <w:lang w:val="en-US"/>
        </w:rPr>
        <w:t>Asgari</w:t>
      </w:r>
      <w:proofErr w:type="spellEnd"/>
      <w:r w:rsidRPr="00111CDD">
        <w:rPr>
          <w:rFonts w:asciiTheme="minorHAnsi" w:hAnsiTheme="minorHAnsi" w:cstheme="minorHAnsi"/>
          <w:lang w:val="en-US"/>
        </w:rPr>
        <w:t xml:space="preserve">, N. </w:t>
      </w:r>
      <w:r w:rsidR="00AD2F49" w:rsidRPr="00AD2F49">
        <w:rPr>
          <w:rFonts w:asciiTheme="minorHAnsi" w:hAnsiTheme="minorHAnsi" w:cstheme="minorHAnsi"/>
          <w:i/>
          <w:lang w:val="en-US"/>
        </w:rPr>
        <w:t>et al.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Disruption of the leptomeningeal blood barrier in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 spectrum disorder.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(4), e343,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10.1212/NXI.0000000000000343 (2017).</w:t>
      </w:r>
    </w:p>
    <w:p w14:paraId="1CC1580E" w14:textId="241F8DC6" w:rsidR="009E0A6E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>17. Kim, H</w:t>
      </w:r>
      <w:r w:rsidR="004B3128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 xml:space="preserve">J. </w:t>
      </w:r>
      <w:r w:rsidR="00AD2F49" w:rsidRPr="00AD2F49">
        <w:rPr>
          <w:rFonts w:asciiTheme="minorHAnsi" w:hAnsiTheme="minorHAnsi" w:cstheme="minorHAnsi"/>
          <w:i/>
          <w:lang w:val="en-US"/>
        </w:rPr>
        <w:t>et al.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MRI characteristics of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 spectrum disorder: an international update.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Neurology</w:t>
      </w:r>
      <w:r w:rsidRPr="00111CDD">
        <w:rPr>
          <w:rFonts w:asciiTheme="minorHAnsi" w:hAnsiTheme="minorHAnsi" w:cstheme="minorHAnsi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lang w:val="en-US"/>
        </w:rPr>
        <w:t>84</w:t>
      </w:r>
      <w:r w:rsidRPr="00111CDD">
        <w:rPr>
          <w:rFonts w:asciiTheme="minorHAnsi" w:hAnsiTheme="minorHAnsi" w:cstheme="minorHAnsi"/>
          <w:lang w:val="en-US"/>
        </w:rPr>
        <w:t xml:space="preserve"> (11), 1165-1173,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10.1212/WNL.0000000000001367 (2015).</w:t>
      </w:r>
    </w:p>
    <w:p w14:paraId="5B24959C" w14:textId="2079486F" w:rsidR="00462852" w:rsidRPr="00111CDD" w:rsidRDefault="00462852" w:rsidP="007A17EB">
      <w:pPr>
        <w:jc w:val="both"/>
        <w:rPr>
          <w:rFonts w:asciiTheme="minorHAnsi" w:hAnsiTheme="minorHAnsi" w:cstheme="minorHAnsi"/>
          <w:color w:val="000000"/>
          <w:shd w:val="clear" w:color="auto" w:fill="FFFFFF"/>
          <w:lang w:val="en-US"/>
        </w:rPr>
      </w:pP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lastRenderedPageBreak/>
        <w:t xml:space="preserve">18. </w:t>
      </w:r>
      <w:proofErr w:type="spellStart"/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Jarius</w:t>
      </w:r>
      <w:proofErr w:type="spellEnd"/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, S. </w:t>
      </w:r>
      <w:r w:rsidR="00AD2F49" w:rsidRPr="00AD2F49">
        <w:rPr>
          <w:rFonts w:asciiTheme="minorHAnsi" w:hAnsiTheme="minorHAnsi" w:cstheme="minorHAnsi"/>
          <w:i/>
          <w:color w:val="000000"/>
          <w:shd w:val="clear" w:color="auto" w:fill="FFFFFF"/>
          <w:lang w:val="en-US"/>
        </w:rPr>
        <w:t>et al.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>MOG encephalomyelitis: international recommendations on diagnosis and antibody testing.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Journal of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7A17EB">
        <w:rPr>
          <w:rFonts w:asciiTheme="minorHAnsi" w:hAnsiTheme="minorHAnsi" w:cstheme="minorHAnsi"/>
          <w:b/>
          <w:lang w:val="en-US"/>
        </w:rPr>
        <w:t xml:space="preserve">15 </w:t>
      </w:r>
      <w:r w:rsidRPr="00111CDD">
        <w:rPr>
          <w:rFonts w:asciiTheme="minorHAnsi" w:hAnsiTheme="minorHAnsi" w:cstheme="minorHAnsi"/>
          <w:lang w:val="en-US"/>
        </w:rPr>
        <w:t xml:space="preserve">(1), 134,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10.1186/s12974-018-1144-2 (2018).</w:t>
      </w:r>
    </w:p>
    <w:p w14:paraId="258C6BD9" w14:textId="790A05E4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19. Narayan, R. </w:t>
      </w:r>
      <w:r w:rsidR="00AD2F49" w:rsidRPr="00AD2F49">
        <w:rPr>
          <w:rFonts w:asciiTheme="minorHAnsi" w:hAnsiTheme="minorHAnsi" w:cstheme="minorHAnsi"/>
          <w:i/>
          <w:color w:val="000000"/>
          <w:shd w:val="clear" w:color="auto" w:fill="FFFFFF"/>
          <w:lang w:val="en-US"/>
        </w:rPr>
        <w:t>et al.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MOG antibody disease: A review of MOG antibody seropositive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 spectrum disorder.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 xml:space="preserve">Multiple </w:t>
      </w:r>
      <w:r w:rsidR="004B3128">
        <w:rPr>
          <w:rFonts w:asciiTheme="minorHAnsi" w:hAnsiTheme="minorHAnsi" w:cstheme="minorHAnsi"/>
          <w:i/>
          <w:lang w:val="en-US"/>
        </w:rPr>
        <w:t>S</w:t>
      </w:r>
      <w:r w:rsidRPr="00111CDD">
        <w:rPr>
          <w:rFonts w:asciiTheme="minorHAnsi" w:hAnsiTheme="minorHAnsi" w:cstheme="minorHAnsi"/>
          <w:i/>
          <w:lang w:val="en-US"/>
        </w:rPr>
        <w:t xml:space="preserve">clerosis and </w:t>
      </w:r>
      <w:r w:rsidR="004B3128">
        <w:rPr>
          <w:rFonts w:asciiTheme="minorHAnsi" w:hAnsiTheme="minorHAnsi" w:cstheme="minorHAnsi"/>
          <w:i/>
          <w:lang w:val="en-US"/>
        </w:rPr>
        <w:t>R</w:t>
      </w:r>
      <w:r w:rsidRPr="00111CDD">
        <w:rPr>
          <w:rFonts w:asciiTheme="minorHAnsi" w:hAnsiTheme="minorHAnsi" w:cstheme="minorHAnsi"/>
          <w:i/>
          <w:lang w:val="en-US"/>
        </w:rPr>
        <w:t xml:space="preserve">elated </w:t>
      </w:r>
      <w:r w:rsidR="004B3128">
        <w:rPr>
          <w:rFonts w:asciiTheme="minorHAnsi" w:hAnsiTheme="minorHAnsi" w:cstheme="minorHAnsi"/>
          <w:i/>
          <w:lang w:val="en-US"/>
        </w:rPr>
        <w:t>D</w:t>
      </w:r>
      <w:r w:rsidRPr="00111CDD">
        <w:rPr>
          <w:rFonts w:asciiTheme="minorHAnsi" w:hAnsiTheme="minorHAnsi" w:cstheme="minorHAnsi"/>
          <w:i/>
          <w:lang w:val="en-US"/>
        </w:rPr>
        <w:t>isorders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>. 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25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66-72,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10.1016/j.msard.2018.07.025 (2018).</w:t>
      </w:r>
    </w:p>
    <w:p w14:paraId="4B3903E1" w14:textId="261025FF" w:rsidR="0028478E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 xml:space="preserve">20. Ogawa, R. </w:t>
      </w:r>
      <w:r w:rsidR="00AD2F49" w:rsidRPr="00AD2F49">
        <w:rPr>
          <w:rFonts w:asciiTheme="minorHAnsi" w:hAnsiTheme="minorHAnsi" w:cstheme="minorHAnsi"/>
          <w:i/>
          <w:lang w:val="en-US"/>
        </w:rPr>
        <w:t>et al.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>MOG antibody-positive, benign, unilateral, cerebral cortical encephalitis with epilepsy.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 xml:space="preserve">4 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(2), e322,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10.1212/NXI.0000000000000322 (2017).</w:t>
      </w:r>
    </w:p>
    <w:p w14:paraId="797FDC71" w14:textId="548E6BD2" w:rsidR="00C8050C" w:rsidRPr="00111CDD" w:rsidRDefault="00896B13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>2</w:t>
      </w:r>
      <w:r w:rsidR="00462852" w:rsidRPr="00111CDD">
        <w:rPr>
          <w:rFonts w:asciiTheme="minorHAnsi" w:hAnsiTheme="minorHAnsi" w:cstheme="minorHAnsi"/>
          <w:lang w:val="en-US"/>
        </w:rPr>
        <w:t>1</w:t>
      </w:r>
      <w:r w:rsidRPr="00111CDD">
        <w:rPr>
          <w:rFonts w:asciiTheme="minorHAnsi" w:hAnsiTheme="minorHAnsi" w:cstheme="minorHAnsi"/>
          <w:lang w:val="en-US"/>
        </w:rPr>
        <w:t>. Valentino, P.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</w:t>
      </w:r>
      <w:r w:rsidRPr="00111CDD">
        <w:rPr>
          <w:rStyle w:val="apple-converted-space"/>
          <w:rFonts w:asciiTheme="minorHAnsi" w:hAnsiTheme="minorHAnsi" w:cstheme="minorHAnsi"/>
          <w:color w:val="000000"/>
          <w:shd w:val="clear" w:color="auto" w:fill="FFFFFF"/>
          <w:lang w:val="en-US"/>
        </w:rPr>
        <w:t> </w:t>
      </w:r>
      <w:proofErr w:type="spellStart"/>
      <w:r w:rsidRPr="00111CDD">
        <w:rPr>
          <w:rFonts w:asciiTheme="minorHAnsi" w:hAnsiTheme="minorHAnsi" w:cstheme="minorHAnsi"/>
          <w:lang w:val="en-US"/>
        </w:rPr>
        <w:t>Marnetto</w:t>
      </w:r>
      <w:proofErr w:type="spellEnd"/>
      <w:r w:rsidRPr="00111CDD">
        <w:rPr>
          <w:rFonts w:asciiTheme="minorHAnsi" w:hAnsiTheme="minorHAnsi" w:cstheme="minorHAnsi"/>
          <w:lang w:val="en-US"/>
        </w:rPr>
        <w:t>, F.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</w:t>
      </w:r>
      <w:r w:rsidRPr="00111CDD">
        <w:rPr>
          <w:rStyle w:val="apple-converted-space"/>
          <w:rFonts w:asciiTheme="minorHAnsi" w:hAnsiTheme="minorHAnsi" w:cstheme="minorHAnsi"/>
          <w:color w:val="000000"/>
          <w:shd w:val="clear" w:color="auto" w:fill="FFFFFF"/>
          <w:lang w:val="en-US"/>
        </w:rPr>
        <w:t> </w:t>
      </w:r>
      <w:proofErr w:type="spellStart"/>
      <w:r w:rsidRPr="00111CDD">
        <w:rPr>
          <w:rFonts w:asciiTheme="minorHAnsi" w:hAnsiTheme="minorHAnsi" w:cstheme="minorHAnsi"/>
          <w:lang w:val="en-US"/>
        </w:rPr>
        <w:t>Granieri</w:t>
      </w:r>
      <w:proofErr w:type="spellEnd"/>
      <w:r w:rsidRPr="00111CDD">
        <w:rPr>
          <w:rFonts w:asciiTheme="minorHAnsi" w:hAnsiTheme="minorHAnsi" w:cstheme="minorHAnsi"/>
          <w:lang w:val="en-US"/>
        </w:rPr>
        <w:t>, L.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</w:t>
      </w:r>
      <w:r w:rsidRPr="00111CDD">
        <w:rPr>
          <w:rStyle w:val="apple-converted-space"/>
          <w:rFonts w:asciiTheme="minorHAnsi" w:hAnsiTheme="minorHAnsi" w:cstheme="minorHAnsi"/>
          <w:color w:val="000000"/>
          <w:shd w:val="clear" w:color="auto" w:fill="FFFFFF"/>
          <w:lang w:val="en-US"/>
        </w:rPr>
        <w:t> </w:t>
      </w:r>
      <w:r w:rsidRPr="00111CDD">
        <w:rPr>
          <w:rFonts w:asciiTheme="minorHAnsi" w:hAnsiTheme="minorHAnsi" w:cstheme="minorHAnsi"/>
          <w:lang w:val="en-US"/>
        </w:rPr>
        <w:t>Capobianco, M.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</w:t>
      </w:r>
      <w:r w:rsidRPr="00111CDD">
        <w:rPr>
          <w:rStyle w:val="apple-converted-space"/>
          <w:rFonts w:asciiTheme="minorHAnsi" w:hAnsiTheme="minorHAnsi" w:cstheme="minorHAnsi"/>
          <w:color w:val="000000"/>
          <w:shd w:val="clear" w:color="auto" w:fill="FFFFFF"/>
          <w:lang w:val="en-US"/>
        </w:rPr>
        <w:t> </w:t>
      </w:r>
      <w:proofErr w:type="spellStart"/>
      <w:r w:rsidRPr="00111CDD">
        <w:rPr>
          <w:rFonts w:asciiTheme="minorHAnsi" w:hAnsiTheme="minorHAnsi" w:cstheme="minorHAnsi"/>
          <w:lang w:val="en-US"/>
        </w:rPr>
        <w:t>Bertolotto</w:t>
      </w:r>
      <w:proofErr w:type="spellEnd"/>
      <w:r w:rsidRPr="00111CDD">
        <w:rPr>
          <w:rFonts w:asciiTheme="minorHAnsi" w:hAnsiTheme="minorHAnsi" w:cstheme="minorHAnsi"/>
          <w:lang w:val="en-US"/>
        </w:rPr>
        <w:t>, A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/>
          <w:lang w:val="en-US"/>
        </w:rPr>
        <w:t>Aquaporin-4 antibody titration in NMO patients treated with rituximab: A retrospective study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i/>
          <w:lang w:val="en-US"/>
        </w:rPr>
        <w:t>Neurology Neuroimmunology &amp; Neuroinflammation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4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(2)</w:t>
      </w:r>
      <w:r w:rsidR="00C8050C"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e317, </w:t>
      </w:r>
      <w:r w:rsidR="00C8050C"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10.1212/NXI.0000000000000317 (2016).</w:t>
      </w:r>
    </w:p>
    <w:p w14:paraId="70F13974" w14:textId="0BDCC2DD" w:rsidR="00C8050C" w:rsidRPr="00111CDD" w:rsidRDefault="00C8050C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>2</w:t>
      </w:r>
      <w:r w:rsidR="00462852" w:rsidRPr="00111CDD">
        <w:rPr>
          <w:rFonts w:asciiTheme="minorHAnsi" w:hAnsiTheme="minorHAnsi" w:cstheme="minorHAnsi"/>
          <w:lang w:val="en-US"/>
        </w:rPr>
        <w:t>2</w:t>
      </w:r>
      <w:r w:rsidRPr="00111CDD">
        <w:rPr>
          <w:rFonts w:asciiTheme="minorHAnsi" w:hAnsiTheme="minorHAnsi" w:cstheme="minorHAnsi"/>
          <w:lang w:val="en-US"/>
        </w:rPr>
        <w:t>. Kessler, R</w:t>
      </w:r>
      <w:r w:rsidR="00E00B2F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 xml:space="preserve">A. </w:t>
      </w:r>
      <w:r w:rsidR="00AD2F49" w:rsidRPr="00AD2F49">
        <w:rPr>
          <w:rFonts w:asciiTheme="minorHAnsi" w:hAnsiTheme="minorHAnsi" w:cstheme="minorHAnsi"/>
          <w:i/>
          <w:lang w:val="en-US"/>
        </w:rPr>
        <w:t>et a</w:t>
      </w:r>
      <w:r w:rsidR="00E00B2F">
        <w:rPr>
          <w:rFonts w:asciiTheme="minorHAnsi" w:hAnsiTheme="minorHAnsi" w:cstheme="minorHAnsi"/>
          <w:i/>
          <w:lang w:val="en-US"/>
        </w:rPr>
        <w:t>l</w:t>
      </w:r>
      <w:r w:rsidR="00AD2F49" w:rsidRPr="00AD2F49">
        <w:rPr>
          <w:rFonts w:asciiTheme="minorHAnsi" w:hAnsiTheme="minorHAnsi" w:cstheme="minorHAnsi"/>
          <w:i/>
          <w:lang w:val="en-US"/>
        </w:rPr>
        <w:t>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>Anti-aquaporin-4 titer is not predictive of disease course in neuromyelitis optica spectrum disorder: A multicenter cohort study.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i/>
          <w:lang w:val="en-US"/>
        </w:rPr>
        <w:t xml:space="preserve">Multiple </w:t>
      </w:r>
      <w:r w:rsidR="00E00B2F">
        <w:rPr>
          <w:rFonts w:asciiTheme="minorHAnsi" w:hAnsiTheme="minorHAnsi" w:cstheme="minorHAnsi"/>
          <w:i/>
          <w:lang w:val="en-US"/>
        </w:rPr>
        <w:t>S</w:t>
      </w:r>
      <w:r w:rsidRPr="00111CDD">
        <w:rPr>
          <w:rFonts w:asciiTheme="minorHAnsi" w:hAnsiTheme="minorHAnsi" w:cstheme="minorHAnsi"/>
          <w:i/>
          <w:lang w:val="en-US"/>
        </w:rPr>
        <w:t xml:space="preserve">clerosis and </w:t>
      </w:r>
      <w:r w:rsidR="00E00B2F">
        <w:rPr>
          <w:rFonts w:asciiTheme="minorHAnsi" w:hAnsiTheme="minorHAnsi" w:cstheme="minorHAnsi"/>
          <w:i/>
          <w:lang w:val="en-US"/>
        </w:rPr>
        <w:t>R</w:t>
      </w:r>
      <w:r w:rsidRPr="00111CDD">
        <w:rPr>
          <w:rFonts w:asciiTheme="minorHAnsi" w:hAnsiTheme="minorHAnsi" w:cstheme="minorHAnsi"/>
          <w:i/>
          <w:lang w:val="en-US"/>
        </w:rPr>
        <w:t xml:space="preserve">elated </w:t>
      </w:r>
      <w:r w:rsidR="00E00B2F">
        <w:rPr>
          <w:rFonts w:asciiTheme="minorHAnsi" w:hAnsiTheme="minorHAnsi" w:cstheme="minorHAnsi"/>
          <w:i/>
          <w:lang w:val="en-US"/>
        </w:rPr>
        <w:t>D</w:t>
      </w:r>
      <w:r w:rsidRPr="00111CDD">
        <w:rPr>
          <w:rFonts w:asciiTheme="minorHAnsi" w:hAnsiTheme="minorHAnsi" w:cstheme="minorHAnsi"/>
          <w:i/>
          <w:lang w:val="en-US"/>
        </w:rPr>
        <w:t>isorders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7A17EB">
        <w:rPr>
          <w:rFonts w:asciiTheme="minorHAnsi" w:hAnsiTheme="minorHAnsi" w:cstheme="minorHAnsi"/>
          <w:b/>
          <w:color w:val="000000" w:themeColor="text1"/>
          <w:lang w:val="en-US"/>
        </w:rPr>
        <w:t>17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198-201,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10.1016/j.msard.2017.08.005 (2017).</w:t>
      </w:r>
    </w:p>
    <w:p w14:paraId="0664B06E" w14:textId="28148DF3" w:rsidR="00C8050C" w:rsidRPr="00111CDD" w:rsidRDefault="00C8050C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lang w:val="en-US"/>
        </w:rPr>
        <w:t>2</w:t>
      </w:r>
      <w:r w:rsidR="00462852" w:rsidRPr="00111CDD">
        <w:rPr>
          <w:rFonts w:asciiTheme="minorHAnsi" w:hAnsiTheme="minorHAnsi" w:cstheme="minorHAnsi"/>
          <w:lang w:val="en-US"/>
        </w:rPr>
        <w:t>3</w:t>
      </w:r>
      <w:r w:rsidRPr="00111CDD">
        <w:rPr>
          <w:rFonts w:asciiTheme="minorHAnsi" w:hAnsiTheme="minorHAnsi" w:cstheme="minorHAnsi"/>
          <w:lang w:val="en-US"/>
        </w:rPr>
        <w:t>. Mealy, M</w:t>
      </w:r>
      <w:r w:rsidR="00E00B2F">
        <w:rPr>
          <w:rFonts w:asciiTheme="minorHAnsi" w:hAnsiTheme="minorHAnsi" w:cstheme="minorHAnsi"/>
          <w:lang w:val="en-US"/>
        </w:rPr>
        <w:t xml:space="preserve">. </w:t>
      </w:r>
      <w:r w:rsidRPr="00111CDD">
        <w:rPr>
          <w:rFonts w:asciiTheme="minorHAnsi" w:hAnsiTheme="minorHAnsi" w:cstheme="minorHAnsi"/>
          <w:lang w:val="en-US"/>
        </w:rPr>
        <w:t xml:space="preserve">A. </w:t>
      </w:r>
      <w:r w:rsidR="00AD2F49" w:rsidRPr="00AD2F49">
        <w:rPr>
          <w:rFonts w:asciiTheme="minorHAnsi" w:hAnsiTheme="minorHAnsi" w:cstheme="minorHAnsi"/>
          <w:i/>
          <w:lang w:val="en-US"/>
        </w:rPr>
        <w:t>et al.</w:t>
      </w:r>
      <w:r w:rsidRPr="00111CDD">
        <w:rPr>
          <w:rFonts w:asciiTheme="minorHAnsi" w:hAnsiTheme="minorHAnsi" w:cstheme="minorHAnsi"/>
          <w:lang w:val="en-US"/>
        </w:rPr>
        <w:t xml:space="preserve"> </w:t>
      </w:r>
      <w:r w:rsidRPr="00111CDD">
        <w:rPr>
          <w:rFonts w:asciiTheme="minorHAnsi" w:hAnsiTheme="minorHAnsi" w:cstheme="minorHAnsi"/>
          <w:color w:val="000000"/>
          <w:lang w:val="en-US"/>
        </w:rPr>
        <w:t xml:space="preserve">Aquaporin-4 serostatus does not predict response to immunotherapy in neuromyelitis </w:t>
      </w:r>
      <w:proofErr w:type="spellStart"/>
      <w:r w:rsidRPr="00111CDD">
        <w:rPr>
          <w:rFonts w:asciiTheme="minorHAnsi" w:hAnsiTheme="minorHAnsi" w:cstheme="minorHAnsi"/>
          <w:color w:val="000000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/>
          <w:lang w:val="en-US"/>
        </w:rPr>
        <w:t xml:space="preserve"> spectrum disorders.</w:t>
      </w:r>
      <w:r w:rsidRPr="00111CDD">
        <w:rPr>
          <w:rFonts w:asciiTheme="minorHAnsi" w:hAnsiTheme="minorHAnsi" w:cstheme="minorHAnsi"/>
          <w:i/>
          <w:lang w:val="en-US"/>
        </w:rPr>
        <w:t xml:space="preserve"> Multiple </w:t>
      </w:r>
      <w:r w:rsidR="00E00B2F">
        <w:rPr>
          <w:rFonts w:asciiTheme="minorHAnsi" w:hAnsiTheme="minorHAnsi" w:cstheme="minorHAnsi"/>
          <w:i/>
          <w:lang w:val="en-US"/>
        </w:rPr>
        <w:t>S</w:t>
      </w:r>
      <w:r w:rsidRPr="00111CDD">
        <w:rPr>
          <w:rFonts w:asciiTheme="minorHAnsi" w:hAnsiTheme="minorHAnsi" w:cstheme="minorHAnsi"/>
          <w:i/>
          <w:lang w:val="en-US"/>
        </w:rPr>
        <w:t>clerosis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1352458517730131, 10.1177/1352458517730131 (2017).</w:t>
      </w:r>
    </w:p>
    <w:p w14:paraId="1A796852" w14:textId="5D8E5B82" w:rsidR="00462852" w:rsidRPr="00111CDD" w:rsidRDefault="00462852" w:rsidP="007A17EB">
      <w:pPr>
        <w:jc w:val="both"/>
        <w:rPr>
          <w:rFonts w:asciiTheme="minorHAnsi" w:hAnsiTheme="minorHAnsi" w:cstheme="minorHAnsi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24. Yang, Y.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The role of aquaporin-4 antibodies in Chinese patients with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i/>
          <w:lang w:val="en-US"/>
        </w:rPr>
        <w:t xml:space="preserve">Journal of </w:t>
      </w:r>
      <w:r w:rsidR="00E00B2F">
        <w:rPr>
          <w:rFonts w:asciiTheme="minorHAnsi" w:hAnsiTheme="minorHAnsi" w:cstheme="minorHAnsi"/>
          <w:i/>
          <w:lang w:val="en-US"/>
        </w:rPr>
        <w:t>C</w:t>
      </w:r>
      <w:r w:rsidRPr="00111CDD">
        <w:rPr>
          <w:rFonts w:asciiTheme="minorHAnsi" w:hAnsiTheme="minorHAnsi" w:cstheme="minorHAnsi"/>
          <w:i/>
          <w:lang w:val="en-US"/>
        </w:rPr>
        <w:t xml:space="preserve">linical </w:t>
      </w:r>
      <w:r w:rsidR="00E00B2F">
        <w:rPr>
          <w:rFonts w:asciiTheme="minorHAnsi" w:hAnsiTheme="minorHAnsi" w:cstheme="minorHAnsi"/>
          <w:i/>
          <w:lang w:val="en-US"/>
        </w:rPr>
        <w:t>N</w:t>
      </w:r>
      <w:r w:rsidRPr="00111CDD">
        <w:rPr>
          <w:rFonts w:asciiTheme="minorHAnsi" w:hAnsiTheme="minorHAnsi" w:cstheme="minorHAnsi"/>
          <w:i/>
          <w:lang w:val="en-US"/>
        </w:rPr>
        <w:t>euroscience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20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(1), 94-98, 10.1016/j.jocn.2012.06.006 (2013).</w:t>
      </w:r>
    </w:p>
    <w:p w14:paraId="3EA3E363" w14:textId="6B2E2439" w:rsidR="00462852" w:rsidRPr="00111CDD" w:rsidRDefault="00462852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25.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Kitley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, J. </w:t>
      </w:r>
      <w:r w:rsidR="00AD2F49" w:rsidRPr="00AD2F49">
        <w:rPr>
          <w:rFonts w:asciiTheme="minorHAnsi" w:hAnsiTheme="minorHAnsi" w:cstheme="minorHAnsi"/>
          <w:i/>
          <w:color w:val="000000" w:themeColor="text1"/>
          <w:lang w:val="en-US"/>
        </w:rPr>
        <w:t>et al.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Prognostic factors and disease course in aquaporin-4 antibody-positive patients with neuromyelitis </w:t>
      </w:r>
      <w:proofErr w:type="spellStart"/>
      <w:r w:rsidRPr="00111CDD">
        <w:rPr>
          <w:rFonts w:asciiTheme="minorHAnsi" w:hAnsiTheme="minorHAnsi" w:cstheme="minorHAnsi"/>
          <w:color w:val="000000" w:themeColor="text1"/>
          <w:lang w:val="en-US"/>
        </w:rPr>
        <w:t>optica</w:t>
      </w:r>
      <w:proofErr w:type="spellEnd"/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spectrum disorder from the United Kingdom and Japan. </w:t>
      </w:r>
      <w:r w:rsidRPr="00111CDD">
        <w:rPr>
          <w:rFonts w:asciiTheme="minorHAnsi" w:hAnsiTheme="minorHAnsi" w:cstheme="minorHAnsi"/>
          <w:i/>
          <w:color w:val="000000" w:themeColor="text1"/>
          <w:lang w:val="en-US"/>
        </w:rPr>
        <w:t>Brain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r w:rsidRPr="00111CDD">
        <w:rPr>
          <w:rFonts w:asciiTheme="minorHAnsi" w:hAnsiTheme="minorHAnsi" w:cstheme="minorHAnsi"/>
          <w:b/>
          <w:color w:val="000000" w:themeColor="text1"/>
          <w:lang w:val="en-US"/>
        </w:rPr>
        <w:t>135</w:t>
      </w:r>
      <w:r w:rsidRPr="00111CDD">
        <w:rPr>
          <w:rFonts w:asciiTheme="minorHAnsi" w:hAnsiTheme="minorHAnsi" w:cstheme="minorHAnsi"/>
          <w:color w:val="000000" w:themeColor="text1"/>
          <w:lang w:val="en-US"/>
        </w:rPr>
        <w:t xml:space="preserve"> (6), 1834-1849, 10.1093/brain/aws109 (2012).</w:t>
      </w:r>
    </w:p>
    <w:p w14:paraId="0719D082" w14:textId="1CD792E9" w:rsidR="00C8050C" w:rsidRPr="00111CDD" w:rsidRDefault="00C8050C" w:rsidP="007A17EB">
      <w:pPr>
        <w:jc w:val="both"/>
        <w:rPr>
          <w:rFonts w:asciiTheme="minorHAnsi" w:hAnsiTheme="minorHAnsi" w:cstheme="minorHAnsi"/>
          <w:lang w:val="en-US"/>
        </w:rPr>
      </w:pPr>
    </w:p>
    <w:p w14:paraId="0B873487" w14:textId="317A7B7B" w:rsidR="003A5924" w:rsidRPr="00111CDD" w:rsidRDefault="003A5924" w:rsidP="007A17EB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sectPr w:rsidR="003A5924" w:rsidRPr="00111CDD" w:rsidSect="00AD2F49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B3176" w14:textId="77777777" w:rsidR="00D97331" w:rsidRDefault="00D97331" w:rsidP="00621C4E">
      <w:r>
        <w:separator/>
      </w:r>
    </w:p>
  </w:endnote>
  <w:endnote w:type="continuationSeparator" w:id="0">
    <w:p w14:paraId="4D6A1B48" w14:textId="77777777" w:rsidR="00D97331" w:rsidRDefault="00D9733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669931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786478" w14:textId="0097A38C" w:rsidR="00BE5C58" w:rsidRDefault="00BE5C58" w:rsidP="0087694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0E9BB7" w14:textId="77777777" w:rsidR="00BE5C58" w:rsidRDefault="00BE5C58" w:rsidP="008769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ED3C2" w14:textId="77777777" w:rsidR="00BE5C58" w:rsidRDefault="00BE5C58" w:rsidP="0087694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E5C58" w:rsidRDefault="00BE5C5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F8BD0" w14:textId="77777777" w:rsidR="00D97331" w:rsidRDefault="00D97331" w:rsidP="00621C4E">
      <w:r>
        <w:separator/>
      </w:r>
    </w:p>
  </w:footnote>
  <w:footnote w:type="continuationSeparator" w:id="0">
    <w:p w14:paraId="76D4C74E" w14:textId="77777777" w:rsidR="00D97331" w:rsidRDefault="00D9733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BE5C58" w:rsidRPr="006F06E4" w:rsidRDefault="00BE5C58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4508E"/>
    <w:multiLevelType w:val="multilevel"/>
    <w:tmpl w:val="1FAA04F6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856091A"/>
    <w:multiLevelType w:val="hybridMultilevel"/>
    <w:tmpl w:val="AB14C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16451"/>
    <w:multiLevelType w:val="multilevel"/>
    <w:tmpl w:val="13028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11272C"/>
    <w:multiLevelType w:val="hybridMultilevel"/>
    <w:tmpl w:val="67104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8"/>
  </w:num>
  <w:num w:numId="12">
    <w:abstractNumId w:val="1"/>
  </w:num>
  <w:num w:numId="13">
    <w:abstractNumId w:val="16"/>
  </w:num>
  <w:num w:numId="14">
    <w:abstractNumId w:val="24"/>
  </w:num>
  <w:num w:numId="15">
    <w:abstractNumId w:val="9"/>
  </w:num>
  <w:num w:numId="16">
    <w:abstractNumId w:val="5"/>
  </w:num>
  <w:num w:numId="17">
    <w:abstractNumId w:val="17"/>
  </w:num>
  <w:num w:numId="18">
    <w:abstractNumId w:val="10"/>
  </w:num>
  <w:num w:numId="19">
    <w:abstractNumId w:val="20"/>
  </w:num>
  <w:num w:numId="20">
    <w:abstractNumId w:val="2"/>
  </w:num>
  <w:num w:numId="21">
    <w:abstractNumId w:val="22"/>
  </w:num>
  <w:num w:numId="22">
    <w:abstractNumId w:val="21"/>
  </w:num>
  <w:num w:numId="23">
    <w:abstractNumId w:val="23"/>
  </w:num>
  <w:num w:numId="24">
    <w:abstractNumId w:val="19"/>
  </w:num>
  <w:num w:numId="25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1A18"/>
    <w:rsid w:val="00002EB1"/>
    <w:rsid w:val="000040E6"/>
    <w:rsid w:val="000054BC"/>
    <w:rsid w:val="00005815"/>
    <w:rsid w:val="00007DBC"/>
    <w:rsid w:val="00007EA1"/>
    <w:rsid w:val="000100F0"/>
    <w:rsid w:val="00010963"/>
    <w:rsid w:val="00012FF9"/>
    <w:rsid w:val="00014314"/>
    <w:rsid w:val="00021434"/>
    <w:rsid w:val="00021774"/>
    <w:rsid w:val="00021DF3"/>
    <w:rsid w:val="00023869"/>
    <w:rsid w:val="00024598"/>
    <w:rsid w:val="00025327"/>
    <w:rsid w:val="00032769"/>
    <w:rsid w:val="00034B97"/>
    <w:rsid w:val="00037B58"/>
    <w:rsid w:val="00047F01"/>
    <w:rsid w:val="00051B73"/>
    <w:rsid w:val="00052A88"/>
    <w:rsid w:val="00060ABE"/>
    <w:rsid w:val="00061A50"/>
    <w:rsid w:val="00064104"/>
    <w:rsid w:val="00066025"/>
    <w:rsid w:val="0006750A"/>
    <w:rsid w:val="000701D1"/>
    <w:rsid w:val="00080A20"/>
    <w:rsid w:val="00082796"/>
    <w:rsid w:val="00084FBE"/>
    <w:rsid w:val="00087C0A"/>
    <w:rsid w:val="00091A37"/>
    <w:rsid w:val="00093BC4"/>
    <w:rsid w:val="00096F26"/>
    <w:rsid w:val="00097929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3AFA"/>
    <w:rsid w:val="000F5712"/>
    <w:rsid w:val="000F6611"/>
    <w:rsid w:val="000F7844"/>
    <w:rsid w:val="000F7E22"/>
    <w:rsid w:val="00102F54"/>
    <w:rsid w:val="001104F3"/>
    <w:rsid w:val="00111CDD"/>
    <w:rsid w:val="00112EEB"/>
    <w:rsid w:val="0012563A"/>
    <w:rsid w:val="001313A7"/>
    <w:rsid w:val="0013276F"/>
    <w:rsid w:val="0013621E"/>
    <w:rsid w:val="0013642E"/>
    <w:rsid w:val="00152A23"/>
    <w:rsid w:val="00162CB7"/>
    <w:rsid w:val="00171E5B"/>
    <w:rsid w:val="00171F94"/>
    <w:rsid w:val="0017207C"/>
    <w:rsid w:val="00175D4E"/>
    <w:rsid w:val="0017668A"/>
    <w:rsid w:val="001766FE"/>
    <w:rsid w:val="001771E7"/>
    <w:rsid w:val="00177A3B"/>
    <w:rsid w:val="00182CFD"/>
    <w:rsid w:val="00187D78"/>
    <w:rsid w:val="001911FF"/>
    <w:rsid w:val="00191D0C"/>
    <w:rsid w:val="00192006"/>
    <w:rsid w:val="00193180"/>
    <w:rsid w:val="00197840"/>
    <w:rsid w:val="001B1519"/>
    <w:rsid w:val="001B2E2D"/>
    <w:rsid w:val="001B5CD2"/>
    <w:rsid w:val="001C0BEE"/>
    <w:rsid w:val="001C1E49"/>
    <w:rsid w:val="001C2A98"/>
    <w:rsid w:val="001C2CFD"/>
    <w:rsid w:val="001D3D7D"/>
    <w:rsid w:val="001D3FFF"/>
    <w:rsid w:val="001D5D83"/>
    <w:rsid w:val="001D625F"/>
    <w:rsid w:val="001D7576"/>
    <w:rsid w:val="001E14A0"/>
    <w:rsid w:val="001E4117"/>
    <w:rsid w:val="001E68CF"/>
    <w:rsid w:val="001E7376"/>
    <w:rsid w:val="001F225C"/>
    <w:rsid w:val="001F59DC"/>
    <w:rsid w:val="001F6644"/>
    <w:rsid w:val="001F70C5"/>
    <w:rsid w:val="00201CFA"/>
    <w:rsid w:val="0020220D"/>
    <w:rsid w:val="00202448"/>
    <w:rsid w:val="00202D15"/>
    <w:rsid w:val="00212EAE"/>
    <w:rsid w:val="00214BEE"/>
    <w:rsid w:val="002205B8"/>
    <w:rsid w:val="00225720"/>
    <w:rsid w:val="002259E5"/>
    <w:rsid w:val="00226140"/>
    <w:rsid w:val="002274F3"/>
    <w:rsid w:val="0023094C"/>
    <w:rsid w:val="00231EC2"/>
    <w:rsid w:val="00234BE3"/>
    <w:rsid w:val="00235A90"/>
    <w:rsid w:val="00241E48"/>
    <w:rsid w:val="0024214E"/>
    <w:rsid w:val="00242623"/>
    <w:rsid w:val="00245B1B"/>
    <w:rsid w:val="00250558"/>
    <w:rsid w:val="00257BBA"/>
    <w:rsid w:val="00260652"/>
    <w:rsid w:val="00261F25"/>
    <w:rsid w:val="002648A9"/>
    <w:rsid w:val="0026536F"/>
    <w:rsid w:val="0026553C"/>
    <w:rsid w:val="00267DD5"/>
    <w:rsid w:val="00273C0F"/>
    <w:rsid w:val="00274A0A"/>
    <w:rsid w:val="00277593"/>
    <w:rsid w:val="00280918"/>
    <w:rsid w:val="00282AF6"/>
    <w:rsid w:val="0028478E"/>
    <w:rsid w:val="00287085"/>
    <w:rsid w:val="00287694"/>
    <w:rsid w:val="00290AF9"/>
    <w:rsid w:val="002967CF"/>
    <w:rsid w:val="00297788"/>
    <w:rsid w:val="002A0DEF"/>
    <w:rsid w:val="002A484B"/>
    <w:rsid w:val="002A64A6"/>
    <w:rsid w:val="002B2836"/>
    <w:rsid w:val="002C47D4"/>
    <w:rsid w:val="002C4A43"/>
    <w:rsid w:val="002D0F38"/>
    <w:rsid w:val="002D19EF"/>
    <w:rsid w:val="002D4DC7"/>
    <w:rsid w:val="002D565A"/>
    <w:rsid w:val="002D77E3"/>
    <w:rsid w:val="002F2859"/>
    <w:rsid w:val="002F6E3C"/>
    <w:rsid w:val="0030117D"/>
    <w:rsid w:val="00301F30"/>
    <w:rsid w:val="00303C87"/>
    <w:rsid w:val="003108E5"/>
    <w:rsid w:val="00311651"/>
    <w:rsid w:val="003120CB"/>
    <w:rsid w:val="003157C5"/>
    <w:rsid w:val="00317D92"/>
    <w:rsid w:val="00320153"/>
    <w:rsid w:val="00320367"/>
    <w:rsid w:val="00322871"/>
    <w:rsid w:val="00322D4B"/>
    <w:rsid w:val="00326925"/>
    <w:rsid w:val="00326FB3"/>
    <w:rsid w:val="00327E82"/>
    <w:rsid w:val="003316D4"/>
    <w:rsid w:val="00333822"/>
    <w:rsid w:val="00336715"/>
    <w:rsid w:val="00336EA7"/>
    <w:rsid w:val="00337DCB"/>
    <w:rsid w:val="00340DFD"/>
    <w:rsid w:val="00344954"/>
    <w:rsid w:val="003453C7"/>
    <w:rsid w:val="00350CD7"/>
    <w:rsid w:val="0035703C"/>
    <w:rsid w:val="00360C17"/>
    <w:rsid w:val="003621C6"/>
    <w:rsid w:val="003622B8"/>
    <w:rsid w:val="00366B76"/>
    <w:rsid w:val="00373051"/>
    <w:rsid w:val="00373B8F"/>
    <w:rsid w:val="00376D95"/>
    <w:rsid w:val="00377FBB"/>
    <w:rsid w:val="00385140"/>
    <w:rsid w:val="003923F7"/>
    <w:rsid w:val="003A16FC"/>
    <w:rsid w:val="003A4FCD"/>
    <w:rsid w:val="003A5924"/>
    <w:rsid w:val="003B0944"/>
    <w:rsid w:val="003B1593"/>
    <w:rsid w:val="003B22DB"/>
    <w:rsid w:val="003B4381"/>
    <w:rsid w:val="003C1043"/>
    <w:rsid w:val="003C1A30"/>
    <w:rsid w:val="003C60A4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48E"/>
    <w:rsid w:val="00403CDD"/>
    <w:rsid w:val="004148E1"/>
    <w:rsid w:val="00414CFA"/>
    <w:rsid w:val="00420BE9"/>
    <w:rsid w:val="00422367"/>
    <w:rsid w:val="00423AD8"/>
    <w:rsid w:val="00424C85"/>
    <w:rsid w:val="004260BD"/>
    <w:rsid w:val="0043012F"/>
    <w:rsid w:val="00430F1F"/>
    <w:rsid w:val="004326EA"/>
    <w:rsid w:val="0044434C"/>
    <w:rsid w:val="0044456B"/>
    <w:rsid w:val="00444B69"/>
    <w:rsid w:val="00447BD1"/>
    <w:rsid w:val="004507F3"/>
    <w:rsid w:val="00450AF4"/>
    <w:rsid w:val="00462852"/>
    <w:rsid w:val="004671C7"/>
    <w:rsid w:val="00472F4D"/>
    <w:rsid w:val="004730BF"/>
    <w:rsid w:val="004743B1"/>
    <w:rsid w:val="00474DCB"/>
    <w:rsid w:val="0047535C"/>
    <w:rsid w:val="00485870"/>
    <w:rsid w:val="00485FE8"/>
    <w:rsid w:val="00490332"/>
    <w:rsid w:val="00492EB5"/>
    <w:rsid w:val="00494F77"/>
    <w:rsid w:val="00497721"/>
    <w:rsid w:val="004A0229"/>
    <w:rsid w:val="004A35D2"/>
    <w:rsid w:val="004A71E4"/>
    <w:rsid w:val="004B2F00"/>
    <w:rsid w:val="004B3128"/>
    <w:rsid w:val="004B4674"/>
    <w:rsid w:val="004B6E31"/>
    <w:rsid w:val="004C1D66"/>
    <w:rsid w:val="004C31D7"/>
    <w:rsid w:val="004C4AD2"/>
    <w:rsid w:val="004D1F21"/>
    <w:rsid w:val="004D22C3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335D"/>
    <w:rsid w:val="00502A0A"/>
    <w:rsid w:val="00507C50"/>
    <w:rsid w:val="00517C3A"/>
    <w:rsid w:val="00521901"/>
    <w:rsid w:val="00523E9B"/>
    <w:rsid w:val="00524B66"/>
    <w:rsid w:val="00527BF4"/>
    <w:rsid w:val="005324BE"/>
    <w:rsid w:val="00534F6C"/>
    <w:rsid w:val="00535994"/>
    <w:rsid w:val="0053646D"/>
    <w:rsid w:val="00540AAD"/>
    <w:rsid w:val="00543EC1"/>
    <w:rsid w:val="005453DD"/>
    <w:rsid w:val="00546458"/>
    <w:rsid w:val="005505FC"/>
    <w:rsid w:val="0055087C"/>
    <w:rsid w:val="00553413"/>
    <w:rsid w:val="00560E31"/>
    <w:rsid w:val="005676EE"/>
    <w:rsid w:val="00581B23"/>
    <w:rsid w:val="0058219C"/>
    <w:rsid w:val="00584C8B"/>
    <w:rsid w:val="0058707F"/>
    <w:rsid w:val="005931FE"/>
    <w:rsid w:val="00597B6A"/>
    <w:rsid w:val="005A1429"/>
    <w:rsid w:val="005B0072"/>
    <w:rsid w:val="005B0732"/>
    <w:rsid w:val="005B38A0"/>
    <w:rsid w:val="005B491C"/>
    <w:rsid w:val="005B4DBF"/>
    <w:rsid w:val="005B5DE2"/>
    <w:rsid w:val="005B674C"/>
    <w:rsid w:val="005C5D89"/>
    <w:rsid w:val="005C7561"/>
    <w:rsid w:val="005D1BE1"/>
    <w:rsid w:val="005D1E57"/>
    <w:rsid w:val="005D2F57"/>
    <w:rsid w:val="005D34F6"/>
    <w:rsid w:val="005D4F1A"/>
    <w:rsid w:val="005D6999"/>
    <w:rsid w:val="005D7AB4"/>
    <w:rsid w:val="005E1884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202A6"/>
    <w:rsid w:val="0062054B"/>
    <w:rsid w:val="00621C4E"/>
    <w:rsid w:val="00622566"/>
    <w:rsid w:val="006226D5"/>
    <w:rsid w:val="00624EAE"/>
    <w:rsid w:val="00627E33"/>
    <w:rsid w:val="006305D7"/>
    <w:rsid w:val="00633A01"/>
    <w:rsid w:val="00633B97"/>
    <w:rsid w:val="006341F7"/>
    <w:rsid w:val="00635014"/>
    <w:rsid w:val="006369CE"/>
    <w:rsid w:val="006411CA"/>
    <w:rsid w:val="006422B1"/>
    <w:rsid w:val="00653D1E"/>
    <w:rsid w:val="006619C8"/>
    <w:rsid w:val="00662040"/>
    <w:rsid w:val="0067049D"/>
    <w:rsid w:val="00671710"/>
    <w:rsid w:val="0067262F"/>
    <w:rsid w:val="00673414"/>
    <w:rsid w:val="00676079"/>
    <w:rsid w:val="00676ECD"/>
    <w:rsid w:val="00677D0A"/>
    <w:rsid w:val="0068185F"/>
    <w:rsid w:val="00685D1D"/>
    <w:rsid w:val="006A01CF"/>
    <w:rsid w:val="006A1524"/>
    <w:rsid w:val="006A60DD"/>
    <w:rsid w:val="006B074C"/>
    <w:rsid w:val="006B3B84"/>
    <w:rsid w:val="006B4E7C"/>
    <w:rsid w:val="006B5D8C"/>
    <w:rsid w:val="006B72D4"/>
    <w:rsid w:val="006C11CC"/>
    <w:rsid w:val="006C1AEB"/>
    <w:rsid w:val="006C57FE"/>
    <w:rsid w:val="006D3475"/>
    <w:rsid w:val="006E112A"/>
    <w:rsid w:val="006E4B63"/>
    <w:rsid w:val="006F06E4"/>
    <w:rsid w:val="006F7B41"/>
    <w:rsid w:val="0070251B"/>
    <w:rsid w:val="00702B5D"/>
    <w:rsid w:val="00703ED2"/>
    <w:rsid w:val="00707B8D"/>
    <w:rsid w:val="00713636"/>
    <w:rsid w:val="00714B8C"/>
    <w:rsid w:val="0071675D"/>
    <w:rsid w:val="00721877"/>
    <w:rsid w:val="00724526"/>
    <w:rsid w:val="00735CF5"/>
    <w:rsid w:val="0074063A"/>
    <w:rsid w:val="00742AA4"/>
    <w:rsid w:val="00742E56"/>
    <w:rsid w:val="00743BA1"/>
    <w:rsid w:val="00745F1E"/>
    <w:rsid w:val="007511FE"/>
    <w:rsid w:val="007515FE"/>
    <w:rsid w:val="007601D0"/>
    <w:rsid w:val="0076109D"/>
    <w:rsid w:val="00767107"/>
    <w:rsid w:val="00773BFD"/>
    <w:rsid w:val="007743B3"/>
    <w:rsid w:val="00774490"/>
    <w:rsid w:val="00776697"/>
    <w:rsid w:val="007804DA"/>
    <w:rsid w:val="007819FF"/>
    <w:rsid w:val="00784A4C"/>
    <w:rsid w:val="00784BC6"/>
    <w:rsid w:val="0078523D"/>
    <w:rsid w:val="007853F6"/>
    <w:rsid w:val="007921A1"/>
    <w:rsid w:val="007931DF"/>
    <w:rsid w:val="007A0172"/>
    <w:rsid w:val="007A17EB"/>
    <w:rsid w:val="007A2511"/>
    <w:rsid w:val="007A25D3"/>
    <w:rsid w:val="007A260E"/>
    <w:rsid w:val="007A4D4C"/>
    <w:rsid w:val="007A4DD6"/>
    <w:rsid w:val="007A5CB9"/>
    <w:rsid w:val="007B66F5"/>
    <w:rsid w:val="007B6B07"/>
    <w:rsid w:val="007B6D43"/>
    <w:rsid w:val="007B749A"/>
    <w:rsid w:val="007B7C6E"/>
    <w:rsid w:val="007D44D7"/>
    <w:rsid w:val="007D621A"/>
    <w:rsid w:val="007E058A"/>
    <w:rsid w:val="007E2887"/>
    <w:rsid w:val="007E5278"/>
    <w:rsid w:val="007E749C"/>
    <w:rsid w:val="007F1B5C"/>
    <w:rsid w:val="00801257"/>
    <w:rsid w:val="00801852"/>
    <w:rsid w:val="00803B0A"/>
    <w:rsid w:val="00804DED"/>
    <w:rsid w:val="00805B96"/>
    <w:rsid w:val="008105BE"/>
    <w:rsid w:val="008115A5"/>
    <w:rsid w:val="00811D46"/>
    <w:rsid w:val="0081415D"/>
    <w:rsid w:val="008166CA"/>
    <w:rsid w:val="00820229"/>
    <w:rsid w:val="00822448"/>
    <w:rsid w:val="00822ABE"/>
    <w:rsid w:val="00823D89"/>
    <w:rsid w:val="008244D1"/>
    <w:rsid w:val="00827F51"/>
    <w:rsid w:val="0083104E"/>
    <w:rsid w:val="008343BE"/>
    <w:rsid w:val="00840FB4"/>
    <w:rsid w:val="008410B2"/>
    <w:rsid w:val="008500A0"/>
    <w:rsid w:val="008524E5"/>
    <w:rsid w:val="0085351C"/>
    <w:rsid w:val="008549CA"/>
    <w:rsid w:val="008556C3"/>
    <w:rsid w:val="0085687C"/>
    <w:rsid w:val="008706C5"/>
    <w:rsid w:val="0087154D"/>
    <w:rsid w:val="00873707"/>
    <w:rsid w:val="00874B20"/>
    <w:rsid w:val="008763E1"/>
    <w:rsid w:val="00876945"/>
    <w:rsid w:val="0087775C"/>
    <w:rsid w:val="00877EC8"/>
    <w:rsid w:val="00880F36"/>
    <w:rsid w:val="00885530"/>
    <w:rsid w:val="008910D1"/>
    <w:rsid w:val="0089296C"/>
    <w:rsid w:val="00896ABD"/>
    <w:rsid w:val="00896B13"/>
    <w:rsid w:val="008A106D"/>
    <w:rsid w:val="008A143E"/>
    <w:rsid w:val="008A3380"/>
    <w:rsid w:val="008A7A9C"/>
    <w:rsid w:val="008B5218"/>
    <w:rsid w:val="008B7102"/>
    <w:rsid w:val="008C3B7D"/>
    <w:rsid w:val="008C76B3"/>
    <w:rsid w:val="008D0F90"/>
    <w:rsid w:val="008D3715"/>
    <w:rsid w:val="008D5465"/>
    <w:rsid w:val="008D7EB7"/>
    <w:rsid w:val="008E3684"/>
    <w:rsid w:val="008E46D6"/>
    <w:rsid w:val="008E57F5"/>
    <w:rsid w:val="008E7606"/>
    <w:rsid w:val="008F1DAA"/>
    <w:rsid w:val="008F3EBD"/>
    <w:rsid w:val="008F60B2"/>
    <w:rsid w:val="008F7C41"/>
    <w:rsid w:val="009031E2"/>
    <w:rsid w:val="0091276C"/>
    <w:rsid w:val="009165AC"/>
    <w:rsid w:val="0092053F"/>
    <w:rsid w:val="0092340A"/>
    <w:rsid w:val="009313D9"/>
    <w:rsid w:val="00932AE9"/>
    <w:rsid w:val="00935B7F"/>
    <w:rsid w:val="00935C08"/>
    <w:rsid w:val="009378E9"/>
    <w:rsid w:val="00941293"/>
    <w:rsid w:val="00946372"/>
    <w:rsid w:val="00950C17"/>
    <w:rsid w:val="00951FAF"/>
    <w:rsid w:val="00954740"/>
    <w:rsid w:val="00957744"/>
    <w:rsid w:val="0096068A"/>
    <w:rsid w:val="00963ABC"/>
    <w:rsid w:val="00965D21"/>
    <w:rsid w:val="00967764"/>
    <w:rsid w:val="00970B0E"/>
    <w:rsid w:val="00970BB9"/>
    <w:rsid w:val="009726EE"/>
    <w:rsid w:val="0097550B"/>
    <w:rsid w:val="00975573"/>
    <w:rsid w:val="00976D03"/>
    <w:rsid w:val="00977B30"/>
    <w:rsid w:val="00981736"/>
    <w:rsid w:val="00982F41"/>
    <w:rsid w:val="00985090"/>
    <w:rsid w:val="00987710"/>
    <w:rsid w:val="009904AB"/>
    <w:rsid w:val="0099495F"/>
    <w:rsid w:val="009949BA"/>
    <w:rsid w:val="00995688"/>
    <w:rsid w:val="009958A6"/>
    <w:rsid w:val="00996456"/>
    <w:rsid w:val="0099689B"/>
    <w:rsid w:val="009A04F5"/>
    <w:rsid w:val="009A15EF"/>
    <w:rsid w:val="009A2CE8"/>
    <w:rsid w:val="009A38A5"/>
    <w:rsid w:val="009B118B"/>
    <w:rsid w:val="009B1737"/>
    <w:rsid w:val="009B3D4B"/>
    <w:rsid w:val="009B5B99"/>
    <w:rsid w:val="009B6EFC"/>
    <w:rsid w:val="009C0F93"/>
    <w:rsid w:val="009C2DF8"/>
    <w:rsid w:val="009C31BF"/>
    <w:rsid w:val="009C39ED"/>
    <w:rsid w:val="009C68B7"/>
    <w:rsid w:val="009D0834"/>
    <w:rsid w:val="009D0A1E"/>
    <w:rsid w:val="009D2AE3"/>
    <w:rsid w:val="009D52BC"/>
    <w:rsid w:val="009D7D0A"/>
    <w:rsid w:val="009E09D9"/>
    <w:rsid w:val="009E0A6E"/>
    <w:rsid w:val="009F01B1"/>
    <w:rsid w:val="009F0DBB"/>
    <w:rsid w:val="009F2595"/>
    <w:rsid w:val="009F3887"/>
    <w:rsid w:val="009F732B"/>
    <w:rsid w:val="00A01FE0"/>
    <w:rsid w:val="00A10656"/>
    <w:rsid w:val="00A113C0"/>
    <w:rsid w:val="00A12FA6"/>
    <w:rsid w:val="00A1339B"/>
    <w:rsid w:val="00A14ABA"/>
    <w:rsid w:val="00A209CE"/>
    <w:rsid w:val="00A24CB6"/>
    <w:rsid w:val="00A26CD2"/>
    <w:rsid w:val="00A27667"/>
    <w:rsid w:val="00A32979"/>
    <w:rsid w:val="00A34A67"/>
    <w:rsid w:val="00A37462"/>
    <w:rsid w:val="00A459E1"/>
    <w:rsid w:val="00A504B2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76AE8"/>
    <w:rsid w:val="00A82C8A"/>
    <w:rsid w:val="00A8346B"/>
    <w:rsid w:val="00A852FF"/>
    <w:rsid w:val="00A87337"/>
    <w:rsid w:val="00A90C97"/>
    <w:rsid w:val="00A960C8"/>
    <w:rsid w:val="00A96604"/>
    <w:rsid w:val="00A97D41"/>
    <w:rsid w:val="00AA03DF"/>
    <w:rsid w:val="00AA1B4F"/>
    <w:rsid w:val="00AA21D8"/>
    <w:rsid w:val="00AA54F3"/>
    <w:rsid w:val="00AA6B43"/>
    <w:rsid w:val="00AB367A"/>
    <w:rsid w:val="00AC01D1"/>
    <w:rsid w:val="00AC52A5"/>
    <w:rsid w:val="00AC6DBA"/>
    <w:rsid w:val="00AC6EFD"/>
    <w:rsid w:val="00AC7151"/>
    <w:rsid w:val="00AD2F49"/>
    <w:rsid w:val="00AD460A"/>
    <w:rsid w:val="00AD6A05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3A92"/>
    <w:rsid w:val="00AF5F75"/>
    <w:rsid w:val="00AF6001"/>
    <w:rsid w:val="00B01A16"/>
    <w:rsid w:val="00B04236"/>
    <w:rsid w:val="00B06716"/>
    <w:rsid w:val="00B07F45"/>
    <w:rsid w:val="00B1021A"/>
    <w:rsid w:val="00B1481A"/>
    <w:rsid w:val="00B15A1F"/>
    <w:rsid w:val="00B15FE9"/>
    <w:rsid w:val="00B2148A"/>
    <w:rsid w:val="00B220C2"/>
    <w:rsid w:val="00B25B32"/>
    <w:rsid w:val="00B264EA"/>
    <w:rsid w:val="00B32616"/>
    <w:rsid w:val="00B36C42"/>
    <w:rsid w:val="00B42EA7"/>
    <w:rsid w:val="00B43178"/>
    <w:rsid w:val="00B5337C"/>
    <w:rsid w:val="00B53FDE"/>
    <w:rsid w:val="00B56397"/>
    <w:rsid w:val="00B6027B"/>
    <w:rsid w:val="00B60D48"/>
    <w:rsid w:val="00B65EDB"/>
    <w:rsid w:val="00B67AFF"/>
    <w:rsid w:val="00B70B59"/>
    <w:rsid w:val="00B73657"/>
    <w:rsid w:val="00B75E57"/>
    <w:rsid w:val="00B937AE"/>
    <w:rsid w:val="00BA1735"/>
    <w:rsid w:val="00BA19FA"/>
    <w:rsid w:val="00BA4288"/>
    <w:rsid w:val="00BB12B1"/>
    <w:rsid w:val="00BB48E5"/>
    <w:rsid w:val="00BB5607"/>
    <w:rsid w:val="00BB5ACA"/>
    <w:rsid w:val="00BB627F"/>
    <w:rsid w:val="00BC3823"/>
    <w:rsid w:val="00BC5841"/>
    <w:rsid w:val="00BD60B4"/>
    <w:rsid w:val="00BD796B"/>
    <w:rsid w:val="00BE40C0"/>
    <w:rsid w:val="00BE5270"/>
    <w:rsid w:val="00BE5C58"/>
    <w:rsid w:val="00BE5F4A"/>
    <w:rsid w:val="00BE7AEF"/>
    <w:rsid w:val="00BF09B0"/>
    <w:rsid w:val="00BF1544"/>
    <w:rsid w:val="00BF1B53"/>
    <w:rsid w:val="00BF246D"/>
    <w:rsid w:val="00C06F06"/>
    <w:rsid w:val="00C11DBF"/>
    <w:rsid w:val="00C20FAD"/>
    <w:rsid w:val="00C2375F"/>
    <w:rsid w:val="00C247CB"/>
    <w:rsid w:val="00C32E66"/>
    <w:rsid w:val="00C3355F"/>
    <w:rsid w:val="00C3569A"/>
    <w:rsid w:val="00C40373"/>
    <w:rsid w:val="00C43F48"/>
    <w:rsid w:val="00C448FF"/>
    <w:rsid w:val="00C45E57"/>
    <w:rsid w:val="00C46A3E"/>
    <w:rsid w:val="00C46B37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050C"/>
    <w:rsid w:val="00C8162D"/>
    <w:rsid w:val="00C83A0B"/>
    <w:rsid w:val="00C842D0"/>
    <w:rsid w:val="00C84ED1"/>
    <w:rsid w:val="00C875F0"/>
    <w:rsid w:val="00C9038F"/>
    <w:rsid w:val="00C92AAB"/>
    <w:rsid w:val="00CA1E6F"/>
    <w:rsid w:val="00CA2435"/>
    <w:rsid w:val="00CA4068"/>
    <w:rsid w:val="00CB37F8"/>
    <w:rsid w:val="00CB7885"/>
    <w:rsid w:val="00CB7DC3"/>
    <w:rsid w:val="00CD0E2F"/>
    <w:rsid w:val="00CD1D49"/>
    <w:rsid w:val="00CD2F20"/>
    <w:rsid w:val="00CD6B20"/>
    <w:rsid w:val="00CD7C00"/>
    <w:rsid w:val="00CE1277"/>
    <w:rsid w:val="00CE1339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5131"/>
    <w:rsid w:val="00D159EF"/>
    <w:rsid w:val="00D16E51"/>
    <w:rsid w:val="00D16FA2"/>
    <w:rsid w:val="00D20954"/>
    <w:rsid w:val="00D21C39"/>
    <w:rsid w:val="00D21FC6"/>
    <w:rsid w:val="00D2243A"/>
    <w:rsid w:val="00D23345"/>
    <w:rsid w:val="00D3285C"/>
    <w:rsid w:val="00D33393"/>
    <w:rsid w:val="00D33D36"/>
    <w:rsid w:val="00D34D94"/>
    <w:rsid w:val="00D409E2"/>
    <w:rsid w:val="00D427D7"/>
    <w:rsid w:val="00D44E62"/>
    <w:rsid w:val="00D4593D"/>
    <w:rsid w:val="00D45AE2"/>
    <w:rsid w:val="00D51570"/>
    <w:rsid w:val="00D51B13"/>
    <w:rsid w:val="00D533F4"/>
    <w:rsid w:val="00D556AD"/>
    <w:rsid w:val="00D60381"/>
    <w:rsid w:val="00D616DE"/>
    <w:rsid w:val="00D62201"/>
    <w:rsid w:val="00D651D1"/>
    <w:rsid w:val="00D66249"/>
    <w:rsid w:val="00D717BB"/>
    <w:rsid w:val="00D71856"/>
    <w:rsid w:val="00D7226B"/>
    <w:rsid w:val="00D72707"/>
    <w:rsid w:val="00D75A9C"/>
    <w:rsid w:val="00D805F1"/>
    <w:rsid w:val="00D838AC"/>
    <w:rsid w:val="00D90871"/>
    <w:rsid w:val="00D90C54"/>
    <w:rsid w:val="00D9155F"/>
    <w:rsid w:val="00D9403F"/>
    <w:rsid w:val="00D959B4"/>
    <w:rsid w:val="00D97331"/>
    <w:rsid w:val="00DA44DE"/>
    <w:rsid w:val="00DB620A"/>
    <w:rsid w:val="00DC3832"/>
    <w:rsid w:val="00DC7A51"/>
    <w:rsid w:val="00DD003E"/>
    <w:rsid w:val="00DD3B1E"/>
    <w:rsid w:val="00DE5B5F"/>
    <w:rsid w:val="00E00696"/>
    <w:rsid w:val="00E00B2F"/>
    <w:rsid w:val="00E02604"/>
    <w:rsid w:val="00E03651"/>
    <w:rsid w:val="00E03808"/>
    <w:rsid w:val="00E060C2"/>
    <w:rsid w:val="00E06324"/>
    <w:rsid w:val="00E12FB0"/>
    <w:rsid w:val="00E1369B"/>
    <w:rsid w:val="00E14814"/>
    <w:rsid w:val="00E1591B"/>
    <w:rsid w:val="00E16A50"/>
    <w:rsid w:val="00E249D5"/>
    <w:rsid w:val="00E26C7A"/>
    <w:rsid w:val="00E26F73"/>
    <w:rsid w:val="00E33C68"/>
    <w:rsid w:val="00E34EEB"/>
    <w:rsid w:val="00E3687C"/>
    <w:rsid w:val="00E44EB9"/>
    <w:rsid w:val="00E46358"/>
    <w:rsid w:val="00E471DC"/>
    <w:rsid w:val="00E50EB4"/>
    <w:rsid w:val="00E51591"/>
    <w:rsid w:val="00E5250D"/>
    <w:rsid w:val="00E532FC"/>
    <w:rsid w:val="00E559B4"/>
    <w:rsid w:val="00E55BB0"/>
    <w:rsid w:val="00E609E5"/>
    <w:rsid w:val="00E60F27"/>
    <w:rsid w:val="00E64943"/>
    <w:rsid w:val="00E64D93"/>
    <w:rsid w:val="00E65EDB"/>
    <w:rsid w:val="00E66927"/>
    <w:rsid w:val="00E677B8"/>
    <w:rsid w:val="00E6793C"/>
    <w:rsid w:val="00E67FA1"/>
    <w:rsid w:val="00E71783"/>
    <w:rsid w:val="00E7387D"/>
    <w:rsid w:val="00E73D53"/>
    <w:rsid w:val="00E75111"/>
    <w:rsid w:val="00E76A42"/>
    <w:rsid w:val="00E77296"/>
    <w:rsid w:val="00E801B0"/>
    <w:rsid w:val="00E93763"/>
    <w:rsid w:val="00E965AA"/>
    <w:rsid w:val="00E96C4C"/>
    <w:rsid w:val="00EA2AAE"/>
    <w:rsid w:val="00EA2EC0"/>
    <w:rsid w:val="00EA427A"/>
    <w:rsid w:val="00EA51BB"/>
    <w:rsid w:val="00EA723B"/>
    <w:rsid w:val="00EB6350"/>
    <w:rsid w:val="00EB687A"/>
    <w:rsid w:val="00EC2F62"/>
    <w:rsid w:val="00EC62EB"/>
    <w:rsid w:val="00EC6E9F"/>
    <w:rsid w:val="00EC7064"/>
    <w:rsid w:val="00ED2DD4"/>
    <w:rsid w:val="00ED44F0"/>
    <w:rsid w:val="00ED4B33"/>
    <w:rsid w:val="00ED7DD6"/>
    <w:rsid w:val="00EE060B"/>
    <w:rsid w:val="00EE15A1"/>
    <w:rsid w:val="00EE2A7C"/>
    <w:rsid w:val="00EE2C12"/>
    <w:rsid w:val="00EE2C42"/>
    <w:rsid w:val="00EE341B"/>
    <w:rsid w:val="00EE4453"/>
    <w:rsid w:val="00EE5FCE"/>
    <w:rsid w:val="00EE6BBD"/>
    <w:rsid w:val="00EE6E1E"/>
    <w:rsid w:val="00EE705F"/>
    <w:rsid w:val="00EE71F0"/>
    <w:rsid w:val="00EF1462"/>
    <w:rsid w:val="00EF54FD"/>
    <w:rsid w:val="00EF749E"/>
    <w:rsid w:val="00F047F4"/>
    <w:rsid w:val="00F063B3"/>
    <w:rsid w:val="00F13112"/>
    <w:rsid w:val="00F16FE6"/>
    <w:rsid w:val="00F238BD"/>
    <w:rsid w:val="00F24992"/>
    <w:rsid w:val="00F25A71"/>
    <w:rsid w:val="00F32F2F"/>
    <w:rsid w:val="00F33F3F"/>
    <w:rsid w:val="00F35BDD"/>
    <w:rsid w:val="00F403FD"/>
    <w:rsid w:val="00F41E72"/>
    <w:rsid w:val="00F45BDF"/>
    <w:rsid w:val="00F50300"/>
    <w:rsid w:val="00F56E39"/>
    <w:rsid w:val="00F623E9"/>
    <w:rsid w:val="00F63951"/>
    <w:rsid w:val="00F63C86"/>
    <w:rsid w:val="00F71147"/>
    <w:rsid w:val="00F71438"/>
    <w:rsid w:val="00F75526"/>
    <w:rsid w:val="00F766BE"/>
    <w:rsid w:val="00F77EB9"/>
    <w:rsid w:val="00F80635"/>
    <w:rsid w:val="00F815D1"/>
    <w:rsid w:val="00F8194B"/>
    <w:rsid w:val="00F81E7E"/>
    <w:rsid w:val="00F81F0F"/>
    <w:rsid w:val="00F825F4"/>
    <w:rsid w:val="00F83AEB"/>
    <w:rsid w:val="00F92AA1"/>
    <w:rsid w:val="00F932DE"/>
    <w:rsid w:val="00F93B45"/>
    <w:rsid w:val="00F963DD"/>
    <w:rsid w:val="00F9641A"/>
    <w:rsid w:val="00F97004"/>
    <w:rsid w:val="00FA2045"/>
    <w:rsid w:val="00FA7A1C"/>
    <w:rsid w:val="00FA7A66"/>
    <w:rsid w:val="00FB1AA9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050C"/>
    <w:rPr>
      <w:rFonts w:eastAsia="Times New Roman"/>
      <w:sz w:val="24"/>
      <w:szCs w:val="24"/>
      <w:lang w:val="sv-SE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eastAsia="SimSun" w:hAnsi="Calibri"/>
      <w:b/>
      <w:bCs/>
      <w:color w:val="000000"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eastAsia="SimSun" w:hAnsi="Calibri"/>
      <w:b/>
      <w:bCs/>
      <w:iCs/>
      <w:color w:val="00000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eastAsia="SimSun" w:hAnsi="Calibri" w:cs="Calibri"/>
      <w:color w:val="000000"/>
      <w:lang w:val="en-US" w:eastAsia="en-US"/>
    </w:r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eastAsia="SimSun" w:hAnsi="Calibri" w:cs="Calibri"/>
      <w:color w:val="000000"/>
      <w:lang w:val="en-US" w:eastAsia="en-US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eastAsia="SimSun" w:hAnsi="Calibri" w:cs="Calibri"/>
      <w:color w:val="000000"/>
      <w:lang w:val="en-US" w:eastAsia="en-US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pPr>
      <w:widowControl w:val="0"/>
      <w:autoSpaceDE w:val="0"/>
      <w:autoSpaceDN w:val="0"/>
      <w:adjustRightInd w:val="0"/>
      <w:jc w:val="both"/>
    </w:pPr>
    <w:rPr>
      <w:rFonts w:ascii="Calibri" w:eastAsia="SimSun" w:hAnsi="Calibri" w:cs="Calibri"/>
      <w:color w:val="000000"/>
      <w:lang w:val="en-US" w:eastAsia="en-US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pPr>
      <w:widowControl w:val="0"/>
      <w:autoSpaceDE w:val="0"/>
      <w:autoSpaceDN w:val="0"/>
      <w:adjustRightInd w:val="0"/>
      <w:jc w:val="both"/>
    </w:pPr>
    <w:rPr>
      <w:rFonts w:ascii="Lucida Grande" w:eastAsia="SimSun" w:hAnsi="Lucida Grande" w:cs="Calibri"/>
      <w:color w:val="000000"/>
      <w:sz w:val="18"/>
      <w:szCs w:val="18"/>
      <w:lang w:val="en-US" w:eastAsia="en-US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uiPriority w:val="9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eastAsia="SimSun" w:hAnsi="Calibri" w:cs="Calibri"/>
      <w:color w:val="7F7F7F"/>
      <w:lang w:val="en-US" w:eastAsia="en-US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eastAsia="SimSun" w:hAnsi="Calibri" w:cs="Calibri"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widowControl w:val="0"/>
    </w:pPr>
    <w:rPr>
      <w:rFonts w:ascii="Calibri" w:eastAsia="Calibri" w:hAnsi="Calibri" w:cs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highlight">
    <w:name w:val="highlight"/>
    <w:basedOn w:val="DefaultParagraphFont"/>
    <w:rsid w:val="00E64943"/>
  </w:style>
  <w:style w:type="character" w:styleId="PlaceholderText">
    <w:name w:val="Placeholder Text"/>
    <w:basedOn w:val="DefaultParagraphFont"/>
    <w:uiPriority w:val="99"/>
    <w:semiHidden/>
    <w:rsid w:val="00231EC2"/>
    <w:rPr>
      <w:color w:val="808080"/>
    </w:rPr>
  </w:style>
  <w:style w:type="table" w:styleId="TableGrid">
    <w:name w:val="Table Grid"/>
    <w:basedOn w:val="TableNormal"/>
    <w:uiPriority w:val="59"/>
    <w:rsid w:val="002B2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996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4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6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1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1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3C88-9EF0-4773-9410-DB377555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3929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26277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2018-10-18T20:16:00Z</dcterms:created>
  <dcterms:modified xsi:type="dcterms:W3CDTF">2018-10-19T19:05:00Z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