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373D58" w14:textId="17147B72" w:rsidR="007B6B07" w:rsidRPr="004D21FA" w:rsidRDefault="00951294" w:rsidP="003F7EF1">
      <w:pPr>
        <w:widowControl/>
        <w:rPr>
          <w:b/>
          <w:color w:val="auto"/>
        </w:rPr>
      </w:pPr>
      <w:r w:rsidRPr="004D21FA">
        <w:rPr>
          <w:b/>
          <w:color w:val="auto"/>
        </w:rPr>
        <w:t>TITLE:</w:t>
      </w:r>
    </w:p>
    <w:p w14:paraId="0C76090E" w14:textId="5CFDAC29" w:rsidR="007A4DD6" w:rsidRPr="00C006C7" w:rsidRDefault="007A5EDB" w:rsidP="003F7EF1">
      <w:pPr>
        <w:widowControl/>
        <w:rPr>
          <w:color w:val="auto"/>
        </w:rPr>
      </w:pPr>
      <w:r w:rsidRPr="00C006C7">
        <w:rPr>
          <w:color w:val="auto"/>
        </w:rPr>
        <w:t xml:space="preserve">A </w:t>
      </w:r>
      <w:r w:rsidR="006F2A89" w:rsidRPr="00C006C7">
        <w:rPr>
          <w:color w:val="auto"/>
        </w:rPr>
        <w:t xml:space="preserve">Bedside, Single Burr Hole Approach </w:t>
      </w:r>
      <w:r w:rsidR="006F2A89">
        <w:rPr>
          <w:color w:val="auto"/>
        </w:rPr>
        <w:t>t</w:t>
      </w:r>
      <w:r w:rsidR="006F2A89" w:rsidRPr="00C006C7">
        <w:rPr>
          <w:color w:val="auto"/>
        </w:rPr>
        <w:t xml:space="preserve">o Multimodality Monitoring </w:t>
      </w:r>
      <w:r w:rsidR="006F2A89">
        <w:rPr>
          <w:color w:val="auto"/>
        </w:rPr>
        <w:t>i</w:t>
      </w:r>
      <w:r w:rsidR="006F2A89" w:rsidRPr="00C006C7">
        <w:rPr>
          <w:color w:val="auto"/>
        </w:rPr>
        <w:t>n Severe Brain Injury</w:t>
      </w:r>
    </w:p>
    <w:p w14:paraId="2E300B21" w14:textId="77777777" w:rsidR="007A4DD6" w:rsidRPr="00C006C7" w:rsidRDefault="007A4DD6" w:rsidP="003F7EF1">
      <w:pPr>
        <w:widowControl/>
        <w:rPr>
          <w:b/>
          <w:bCs/>
          <w:color w:val="auto"/>
        </w:rPr>
      </w:pPr>
    </w:p>
    <w:p w14:paraId="63B5429B" w14:textId="77777777" w:rsidR="00E75D29" w:rsidRPr="002C6B06" w:rsidRDefault="00E75D29" w:rsidP="003F7EF1">
      <w:pPr>
        <w:widowControl/>
        <w:rPr>
          <w:b/>
          <w:color w:val="auto"/>
        </w:rPr>
      </w:pPr>
      <w:r w:rsidRPr="002C6B06">
        <w:rPr>
          <w:b/>
          <w:color w:val="auto"/>
        </w:rPr>
        <w:t>AUTHORS AND AFFILIATIONS:</w:t>
      </w:r>
    </w:p>
    <w:p w14:paraId="32B171D0" w14:textId="5136B3B3" w:rsidR="007A4DD6" w:rsidRPr="00C006C7" w:rsidRDefault="00751775" w:rsidP="003F7EF1">
      <w:pPr>
        <w:widowControl/>
        <w:rPr>
          <w:color w:val="auto"/>
        </w:rPr>
      </w:pPr>
      <w:r w:rsidRPr="00C006C7">
        <w:rPr>
          <w:color w:val="auto"/>
        </w:rPr>
        <w:t>Brandon Foreman</w:t>
      </w:r>
      <w:r w:rsidR="006C4648" w:rsidRPr="00C006C7">
        <w:rPr>
          <w:color w:val="auto"/>
          <w:vertAlign w:val="superscript"/>
        </w:rPr>
        <w:t>1</w:t>
      </w:r>
      <w:r w:rsidRPr="00C006C7">
        <w:rPr>
          <w:color w:val="auto"/>
        </w:rPr>
        <w:t xml:space="preserve">, </w:t>
      </w:r>
      <w:proofErr w:type="spellStart"/>
      <w:r w:rsidRPr="00C006C7">
        <w:rPr>
          <w:color w:val="auto"/>
        </w:rPr>
        <w:t>D</w:t>
      </w:r>
      <w:r w:rsidR="007A5EDB" w:rsidRPr="00C006C7">
        <w:rPr>
          <w:color w:val="auto"/>
        </w:rPr>
        <w:t>aryn</w:t>
      </w:r>
      <w:proofErr w:type="spellEnd"/>
      <w:r w:rsidR="007A5EDB" w:rsidRPr="00C006C7">
        <w:rPr>
          <w:color w:val="auto"/>
        </w:rPr>
        <w:t xml:space="preserve"> Cass</w:t>
      </w:r>
      <w:r w:rsidR="006C4648" w:rsidRPr="00C006C7">
        <w:rPr>
          <w:color w:val="auto"/>
          <w:vertAlign w:val="superscript"/>
        </w:rPr>
        <w:t>2</w:t>
      </w:r>
      <w:r w:rsidR="007A5EDB" w:rsidRPr="00C006C7">
        <w:rPr>
          <w:color w:val="auto"/>
        </w:rPr>
        <w:t>, Jonathan Forbes</w:t>
      </w:r>
      <w:r w:rsidR="006C4648" w:rsidRPr="00C006C7">
        <w:rPr>
          <w:color w:val="auto"/>
          <w:vertAlign w:val="superscript"/>
        </w:rPr>
        <w:t>2</w:t>
      </w:r>
      <w:r w:rsidR="006C4648" w:rsidRPr="00C006C7">
        <w:rPr>
          <w:color w:val="auto"/>
        </w:rPr>
        <w:t>,</w:t>
      </w:r>
      <w:r w:rsidR="007A5EDB" w:rsidRPr="00C006C7">
        <w:rPr>
          <w:color w:val="auto"/>
        </w:rPr>
        <w:t xml:space="preserve"> Laura B</w:t>
      </w:r>
      <w:r w:rsidR="009B7A9D">
        <w:rPr>
          <w:color w:val="auto"/>
        </w:rPr>
        <w:t>.</w:t>
      </w:r>
      <w:r w:rsidR="007A5EDB" w:rsidRPr="00C006C7">
        <w:rPr>
          <w:color w:val="auto"/>
        </w:rPr>
        <w:t xml:space="preserve"> Ngwenya</w:t>
      </w:r>
      <w:r w:rsidR="006C4648" w:rsidRPr="00C006C7">
        <w:rPr>
          <w:color w:val="auto"/>
          <w:vertAlign w:val="superscript"/>
        </w:rPr>
        <w:t>2</w:t>
      </w:r>
      <w:r w:rsidR="007A5EDB" w:rsidRPr="00C006C7">
        <w:rPr>
          <w:color w:val="auto"/>
          <w:vertAlign w:val="superscript"/>
        </w:rPr>
        <w:t>,</w:t>
      </w:r>
      <w:r w:rsidR="006C4648" w:rsidRPr="00C006C7">
        <w:rPr>
          <w:color w:val="auto"/>
          <w:vertAlign w:val="superscript"/>
        </w:rPr>
        <w:t>3</w:t>
      </w:r>
    </w:p>
    <w:p w14:paraId="1FF88A4F" w14:textId="06EB2CD5" w:rsidR="007A5EDB" w:rsidRPr="00C006C7" w:rsidRDefault="007A5EDB" w:rsidP="003F7EF1">
      <w:pPr>
        <w:widowControl/>
        <w:rPr>
          <w:color w:val="auto"/>
        </w:rPr>
      </w:pPr>
    </w:p>
    <w:p w14:paraId="7BE790E7" w14:textId="27EEA9FD" w:rsidR="006C4648" w:rsidRPr="00C006C7" w:rsidRDefault="006C4648" w:rsidP="003F7EF1">
      <w:pPr>
        <w:widowControl/>
        <w:rPr>
          <w:color w:val="auto"/>
        </w:rPr>
      </w:pPr>
      <w:r w:rsidRPr="00C006C7">
        <w:rPr>
          <w:color w:val="auto"/>
          <w:vertAlign w:val="superscript"/>
        </w:rPr>
        <w:t>1</w:t>
      </w:r>
      <w:r w:rsidR="00AD7EE7" w:rsidRPr="00C006C7">
        <w:rPr>
          <w:color w:val="auto"/>
        </w:rPr>
        <w:t>Department of Neurology and Rehabilitation Medicine</w:t>
      </w:r>
      <w:r w:rsidR="00AD7EE7">
        <w:rPr>
          <w:color w:val="auto"/>
        </w:rPr>
        <w:t>,</w:t>
      </w:r>
      <w:r w:rsidR="00AD7EE7" w:rsidRPr="00C006C7">
        <w:rPr>
          <w:color w:val="auto"/>
        </w:rPr>
        <w:t xml:space="preserve"> </w:t>
      </w:r>
      <w:r w:rsidRPr="00C006C7">
        <w:rPr>
          <w:color w:val="auto"/>
        </w:rPr>
        <w:t>University of Cincinnati</w:t>
      </w:r>
      <w:r w:rsidR="00102C6F" w:rsidRPr="00C006C7">
        <w:rPr>
          <w:color w:val="auto"/>
        </w:rPr>
        <w:t>, Cincinnati</w:t>
      </w:r>
      <w:r w:rsidR="00797E6D">
        <w:rPr>
          <w:color w:val="auto"/>
        </w:rPr>
        <w:t>,</w:t>
      </w:r>
      <w:r w:rsidR="00102C6F" w:rsidRPr="00C006C7">
        <w:rPr>
          <w:color w:val="auto"/>
        </w:rPr>
        <w:t xml:space="preserve"> OH</w:t>
      </w:r>
      <w:r w:rsidR="00797E6D">
        <w:rPr>
          <w:color w:val="auto"/>
        </w:rPr>
        <w:t>, USA</w:t>
      </w:r>
    </w:p>
    <w:p w14:paraId="07238B93" w14:textId="7211E269" w:rsidR="007A5EDB" w:rsidRPr="00C006C7" w:rsidRDefault="006C4648" w:rsidP="003F7EF1">
      <w:pPr>
        <w:widowControl/>
        <w:rPr>
          <w:color w:val="auto"/>
        </w:rPr>
      </w:pPr>
      <w:r w:rsidRPr="00C006C7">
        <w:rPr>
          <w:color w:val="auto"/>
          <w:vertAlign w:val="superscript"/>
        </w:rPr>
        <w:t>2</w:t>
      </w:r>
      <w:r w:rsidR="00797E6D" w:rsidRPr="00C006C7">
        <w:rPr>
          <w:color w:val="auto"/>
        </w:rPr>
        <w:t xml:space="preserve">Department of Neurosurgery, </w:t>
      </w:r>
      <w:r w:rsidR="007A5EDB" w:rsidRPr="00C006C7">
        <w:rPr>
          <w:color w:val="auto"/>
        </w:rPr>
        <w:t>University of Cincinnati</w:t>
      </w:r>
      <w:r w:rsidR="005827B0">
        <w:rPr>
          <w:color w:val="auto"/>
        </w:rPr>
        <w:t>,</w:t>
      </w:r>
      <w:r w:rsidR="007A5EDB" w:rsidRPr="00C006C7">
        <w:rPr>
          <w:color w:val="auto"/>
        </w:rPr>
        <w:t xml:space="preserve"> </w:t>
      </w:r>
      <w:r w:rsidR="00102C6F" w:rsidRPr="00C006C7">
        <w:rPr>
          <w:color w:val="auto"/>
        </w:rPr>
        <w:t>Cincinnati</w:t>
      </w:r>
      <w:r w:rsidR="005827B0">
        <w:rPr>
          <w:color w:val="auto"/>
        </w:rPr>
        <w:t>,</w:t>
      </w:r>
      <w:r w:rsidR="00102C6F" w:rsidRPr="00C006C7">
        <w:rPr>
          <w:color w:val="auto"/>
        </w:rPr>
        <w:t xml:space="preserve"> OH</w:t>
      </w:r>
      <w:r w:rsidR="005827B0">
        <w:rPr>
          <w:color w:val="auto"/>
        </w:rPr>
        <w:t>, USA</w:t>
      </w:r>
    </w:p>
    <w:p w14:paraId="7446AD15" w14:textId="54F2D615" w:rsidR="007A5EDB" w:rsidRPr="00C006C7" w:rsidRDefault="007A5EDB" w:rsidP="003F7EF1">
      <w:pPr>
        <w:widowControl/>
        <w:rPr>
          <w:color w:val="auto"/>
        </w:rPr>
      </w:pPr>
      <w:r w:rsidRPr="00C006C7">
        <w:rPr>
          <w:color w:val="auto"/>
          <w:vertAlign w:val="superscript"/>
        </w:rPr>
        <w:t>3</w:t>
      </w:r>
      <w:r w:rsidRPr="00C006C7">
        <w:rPr>
          <w:color w:val="auto"/>
        </w:rPr>
        <w:t>University of Cincinnati Gardner Neuroscience Institute, Neurotrauma Center</w:t>
      </w:r>
      <w:r w:rsidR="00102C6F" w:rsidRPr="00C006C7">
        <w:rPr>
          <w:color w:val="auto"/>
        </w:rPr>
        <w:t>, Cincinnati</w:t>
      </w:r>
      <w:r w:rsidR="005827B0">
        <w:rPr>
          <w:color w:val="auto"/>
        </w:rPr>
        <w:t>,</w:t>
      </w:r>
      <w:r w:rsidR="00102C6F" w:rsidRPr="00C006C7">
        <w:rPr>
          <w:color w:val="auto"/>
        </w:rPr>
        <w:t xml:space="preserve"> OH</w:t>
      </w:r>
      <w:r w:rsidR="005827B0">
        <w:rPr>
          <w:color w:val="auto"/>
        </w:rPr>
        <w:t>, USA</w:t>
      </w:r>
    </w:p>
    <w:p w14:paraId="7150A2EE" w14:textId="6FE8C4E2" w:rsidR="00102C6F" w:rsidRDefault="00102C6F" w:rsidP="003F7EF1">
      <w:pPr>
        <w:widowControl/>
        <w:rPr>
          <w:color w:val="auto"/>
        </w:rPr>
      </w:pPr>
    </w:p>
    <w:p w14:paraId="0AE5A226" w14:textId="77777777" w:rsidR="00AC73E1" w:rsidRPr="00AC73E1" w:rsidRDefault="00AC73E1" w:rsidP="003F7EF1">
      <w:pPr>
        <w:widowControl/>
        <w:rPr>
          <w:b/>
          <w:color w:val="auto"/>
        </w:rPr>
      </w:pPr>
      <w:r w:rsidRPr="00AC73E1">
        <w:rPr>
          <w:b/>
          <w:color w:val="auto"/>
        </w:rPr>
        <w:t>Corresponding Author:</w:t>
      </w:r>
    </w:p>
    <w:p w14:paraId="4FD60CE9" w14:textId="37FBD8A7" w:rsidR="00AC73E1" w:rsidRDefault="00AC73E1" w:rsidP="003F7EF1">
      <w:pPr>
        <w:widowControl/>
        <w:rPr>
          <w:color w:val="auto"/>
        </w:rPr>
      </w:pPr>
      <w:r w:rsidRPr="00C006C7">
        <w:rPr>
          <w:color w:val="auto"/>
        </w:rPr>
        <w:t>Brandon Foreman</w:t>
      </w:r>
      <w:r w:rsidR="00B36C54">
        <w:rPr>
          <w:color w:val="auto"/>
        </w:rPr>
        <w:tab/>
        <w:t>(</w:t>
      </w:r>
      <w:hyperlink r:id="rId8" w:history="1">
        <w:r w:rsidR="00B36C54" w:rsidRPr="00C006C7">
          <w:rPr>
            <w:rStyle w:val="Hyperlink"/>
            <w:color w:val="auto"/>
            <w:u w:val="none"/>
          </w:rPr>
          <w:t>foremabo@ucmail.uc.edu</w:t>
        </w:r>
      </w:hyperlink>
      <w:r w:rsidR="00B36C54">
        <w:rPr>
          <w:color w:val="auto"/>
        </w:rPr>
        <w:t>)</w:t>
      </w:r>
    </w:p>
    <w:p w14:paraId="53B342B4" w14:textId="071C2EF2" w:rsidR="00296082" w:rsidRDefault="00296082" w:rsidP="003F7EF1">
      <w:pPr>
        <w:widowControl/>
        <w:rPr>
          <w:color w:val="auto"/>
        </w:rPr>
      </w:pPr>
    </w:p>
    <w:p w14:paraId="5F41B70E" w14:textId="3EE074B0" w:rsidR="00296082" w:rsidRPr="00433026" w:rsidRDefault="00296082" w:rsidP="003F7EF1">
      <w:pPr>
        <w:widowControl/>
        <w:rPr>
          <w:b/>
          <w:color w:val="auto"/>
        </w:rPr>
      </w:pPr>
      <w:r w:rsidRPr="00433026">
        <w:rPr>
          <w:b/>
          <w:color w:val="auto"/>
        </w:rPr>
        <w:t>Email Addresses of Co-authors:</w:t>
      </w:r>
    </w:p>
    <w:p w14:paraId="50871B31" w14:textId="3A8DE73F" w:rsidR="00195F3E" w:rsidRPr="00C006C7" w:rsidRDefault="00195F3E" w:rsidP="003F7EF1">
      <w:pPr>
        <w:widowControl/>
        <w:rPr>
          <w:color w:val="auto"/>
        </w:rPr>
      </w:pPr>
      <w:proofErr w:type="spellStart"/>
      <w:r w:rsidRPr="00C006C7">
        <w:rPr>
          <w:color w:val="auto"/>
        </w:rPr>
        <w:t>Daryn</w:t>
      </w:r>
      <w:proofErr w:type="spellEnd"/>
      <w:r w:rsidRPr="00C006C7">
        <w:rPr>
          <w:color w:val="auto"/>
        </w:rPr>
        <w:t xml:space="preserve"> Cass</w:t>
      </w:r>
      <w:r w:rsidR="00433026">
        <w:rPr>
          <w:color w:val="auto"/>
        </w:rPr>
        <w:tab/>
      </w:r>
      <w:r w:rsidR="00433026">
        <w:rPr>
          <w:color w:val="auto"/>
        </w:rPr>
        <w:tab/>
        <w:t>(</w:t>
      </w:r>
      <w:hyperlink r:id="rId9" w:history="1">
        <w:r w:rsidR="00433026" w:rsidRPr="00433026">
          <w:rPr>
            <w:color w:val="auto"/>
          </w:rPr>
          <w:t>cassdn@ucmail.uc.edu</w:t>
        </w:r>
      </w:hyperlink>
      <w:r w:rsidR="00433026" w:rsidRPr="00433026">
        <w:rPr>
          <w:color w:val="auto"/>
        </w:rPr>
        <w:t>)</w:t>
      </w:r>
    </w:p>
    <w:p w14:paraId="6A2B1551" w14:textId="26F1A7A8" w:rsidR="00195F3E" w:rsidRPr="00C006C7" w:rsidRDefault="00195F3E" w:rsidP="003F7EF1">
      <w:pPr>
        <w:widowControl/>
        <w:rPr>
          <w:color w:val="auto"/>
        </w:rPr>
      </w:pPr>
      <w:r w:rsidRPr="00C006C7">
        <w:rPr>
          <w:color w:val="auto"/>
        </w:rPr>
        <w:t>Jonathan Forbes</w:t>
      </w:r>
      <w:r w:rsidR="00433026">
        <w:rPr>
          <w:color w:val="auto"/>
        </w:rPr>
        <w:tab/>
        <w:t>(</w:t>
      </w:r>
      <w:hyperlink r:id="rId10" w:history="1">
        <w:r w:rsidRPr="00433026">
          <w:rPr>
            <w:color w:val="auto"/>
          </w:rPr>
          <w:t>forbesjh@ucmail.uc.edu</w:t>
        </w:r>
      </w:hyperlink>
      <w:r w:rsidR="00433026">
        <w:rPr>
          <w:color w:val="auto"/>
        </w:rPr>
        <w:t>)</w:t>
      </w:r>
    </w:p>
    <w:p w14:paraId="43E96CEA" w14:textId="4B17D243" w:rsidR="00296082" w:rsidRPr="00C006C7" w:rsidRDefault="00195F3E" w:rsidP="003F7EF1">
      <w:pPr>
        <w:widowControl/>
        <w:rPr>
          <w:color w:val="auto"/>
        </w:rPr>
      </w:pPr>
      <w:r w:rsidRPr="00C006C7">
        <w:rPr>
          <w:color w:val="auto"/>
        </w:rPr>
        <w:t>Laura B</w:t>
      </w:r>
      <w:r w:rsidR="00B247E8">
        <w:rPr>
          <w:color w:val="auto"/>
        </w:rPr>
        <w:t>.</w:t>
      </w:r>
      <w:r w:rsidRPr="00C006C7">
        <w:rPr>
          <w:color w:val="auto"/>
        </w:rPr>
        <w:t xml:space="preserve"> Ngwenya</w:t>
      </w:r>
      <w:r w:rsidR="00092D06">
        <w:rPr>
          <w:color w:val="auto"/>
        </w:rPr>
        <w:tab/>
        <w:t>(</w:t>
      </w:r>
      <w:hyperlink r:id="rId11" w:history="1">
        <w:r w:rsidRPr="00433026">
          <w:rPr>
            <w:color w:val="auto"/>
          </w:rPr>
          <w:t>ngwenyla@ucmail.uc.edu</w:t>
        </w:r>
      </w:hyperlink>
      <w:r w:rsidR="00092D06">
        <w:rPr>
          <w:color w:val="auto"/>
        </w:rPr>
        <w:t>)</w:t>
      </w:r>
    </w:p>
    <w:p w14:paraId="60FCB589" w14:textId="42D11221" w:rsidR="00D04A95" w:rsidRPr="00C006C7" w:rsidRDefault="00D04A95" w:rsidP="003F7EF1">
      <w:pPr>
        <w:widowControl/>
        <w:rPr>
          <w:bCs/>
          <w:color w:val="auto"/>
        </w:rPr>
      </w:pPr>
    </w:p>
    <w:p w14:paraId="71B79AC9" w14:textId="3B71990A" w:rsidR="006305D7" w:rsidRPr="00C006C7" w:rsidRDefault="006305D7" w:rsidP="003F7EF1">
      <w:pPr>
        <w:pStyle w:val="NormalWeb"/>
        <w:widowControl/>
        <w:spacing w:before="0" w:beforeAutospacing="0" w:after="0" w:afterAutospacing="0"/>
        <w:rPr>
          <w:color w:val="auto"/>
        </w:rPr>
      </w:pPr>
      <w:r w:rsidRPr="00C006C7">
        <w:rPr>
          <w:b/>
          <w:bCs/>
          <w:color w:val="auto"/>
        </w:rPr>
        <w:t>KEYWORDS:</w:t>
      </w:r>
    </w:p>
    <w:p w14:paraId="6C0B0781" w14:textId="18C03CA2" w:rsidR="007A4DD6" w:rsidRPr="00C006C7" w:rsidRDefault="00323148" w:rsidP="003F7EF1">
      <w:pPr>
        <w:widowControl/>
        <w:rPr>
          <w:color w:val="auto"/>
        </w:rPr>
      </w:pPr>
      <w:r w:rsidRPr="00C006C7">
        <w:rPr>
          <w:color w:val="auto"/>
        </w:rPr>
        <w:t xml:space="preserve">Multimodality monitoring, </w:t>
      </w:r>
      <w:r w:rsidR="007C64AC" w:rsidRPr="00C006C7">
        <w:rPr>
          <w:color w:val="auto"/>
        </w:rPr>
        <w:t>neuromonitoring</w:t>
      </w:r>
      <w:r w:rsidRPr="00C006C7">
        <w:rPr>
          <w:color w:val="auto"/>
        </w:rPr>
        <w:t>, intracranial pressure, brain tissue oxygen, cerebral blood flow, electroencephalography, neurocritical care</w:t>
      </w:r>
      <w:r w:rsidR="007C64AC" w:rsidRPr="00C006C7">
        <w:rPr>
          <w:color w:val="auto"/>
        </w:rPr>
        <w:t>, traumatic brain injury</w:t>
      </w:r>
    </w:p>
    <w:p w14:paraId="1CB4E390" w14:textId="77777777" w:rsidR="006305D7" w:rsidRPr="00C006C7" w:rsidRDefault="006305D7" w:rsidP="003F7EF1">
      <w:pPr>
        <w:pStyle w:val="NormalWeb"/>
        <w:widowControl/>
        <w:spacing w:before="0" w:beforeAutospacing="0" w:after="0" w:afterAutospacing="0"/>
        <w:rPr>
          <w:color w:val="auto"/>
        </w:rPr>
      </w:pPr>
    </w:p>
    <w:p w14:paraId="628AC4B5" w14:textId="14AA15DF" w:rsidR="006305D7" w:rsidRPr="00C006C7" w:rsidRDefault="006305D7" w:rsidP="003F7EF1">
      <w:pPr>
        <w:widowControl/>
        <w:rPr>
          <w:color w:val="auto"/>
        </w:rPr>
      </w:pPr>
      <w:r w:rsidRPr="00C006C7">
        <w:rPr>
          <w:b/>
          <w:bCs/>
          <w:color w:val="auto"/>
        </w:rPr>
        <w:t>S</w:t>
      </w:r>
      <w:r w:rsidR="000F6B58">
        <w:rPr>
          <w:b/>
          <w:bCs/>
          <w:color w:val="auto"/>
        </w:rPr>
        <w:t>UMMARY</w:t>
      </w:r>
      <w:r w:rsidRPr="00C006C7">
        <w:rPr>
          <w:b/>
          <w:bCs/>
          <w:color w:val="auto"/>
        </w:rPr>
        <w:t>:</w:t>
      </w:r>
    </w:p>
    <w:p w14:paraId="32798D51" w14:textId="46312445" w:rsidR="007A4DD6" w:rsidRPr="00C006C7" w:rsidRDefault="00102C6F" w:rsidP="003F7EF1">
      <w:pPr>
        <w:widowControl/>
        <w:rPr>
          <w:color w:val="auto"/>
        </w:rPr>
      </w:pPr>
      <w:r w:rsidRPr="00C006C7">
        <w:rPr>
          <w:color w:val="auto"/>
        </w:rPr>
        <w:t>A</w:t>
      </w:r>
      <w:r w:rsidR="00323148" w:rsidRPr="00C006C7">
        <w:rPr>
          <w:color w:val="auto"/>
        </w:rPr>
        <w:t xml:space="preserve"> method of recording multimodality monitoring signals in patients with severe brain injuries using a bedside, single burr hole technique</w:t>
      </w:r>
      <w:r w:rsidRPr="00C006C7">
        <w:rPr>
          <w:color w:val="auto"/>
        </w:rPr>
        <w:t xml:space="preserve"> is described</w:t>
      </w:r>
      <w:r w:rsidR="00323148" w:rsidRPr="00C006C7">
        <w:rPr>
          <w:color w:val="auto"/>
        </w:rPr>
        <w:t>.</w:t>
      </w:r>
    </w:p>
    <w:p w14:paraId="761028D6" w14:textId="77777777" w:rsidR="006305D7" w:rsidRPr="00C006C7" w:rsidRDefault="006305D7" w:rsidP="003F7EF1">
      <w:pPr>
        <w:widowControl/>
        <w:rPr>
          <w:color w:val="auto"/>
        </w:rPr>
      </w:pPr>
    </w:p>
    <w:p w14:paraId="64FB8590" w14:textId="232245BB" w:rsidR="006305D7" w:rsidRPr="00C006C7" w:rsidRDefault="006305D7" w:rsidP="003F7EF1">
      <w:pPr>
        <w:widowControl/>
        <w:rPr>
          <w:color w:val="auto"/>
        </w:rPr>
      </w:pPr>
      <w:r w:rsidRPr="00C006C7">
        <w:rPr>
          <w:b/>
          <w:bCs/>
          <w:color w:val="auto"/>
        </w:rPr>
        <w:t>ABSTRACT:</w:t>
      </w:r>
      <w:r w:rsidRPr="00C006C7">
        <w:rPr>
          <w:color w:val="auto"/>
        </w:rPr>
        <w:t xml:space="preserve"> </w:t>
      </w:r>
    </w:p>
    <w:p w14:paraId="69D456B9" w14:textId="36576DA1" w:rsidR="007A4DD6" w:rsidRPr="00C006C7" w:rsidRDefault="00D90343" w:rsidP="003F7EF1">
      <w:pPr>
        <w:widowControl/>
        <w:rPr>
          <w:color w:val="auto"/>
        </w:rPr>
      </w:pPr>
      <w:r w:rsidRPr="00C006C7">
        <w:rPr>
          <w:color w:val="auto"/>
        </w:rPr>
        <w:t xml:space="preserve">Intracranial pressure (ICP) monitoring is a cornerstone of the intensive care management of patients with severe acute brain injuries, including traumatic brain injury. While elevations in ICP are common, data regarding the measurement and treatment of these ICP elevations are conflicting. There is increasing recognition that changes in the balance between supply and demand of brain tissue are critically important and therefore the measurement of multiple modalities </w:t>
      </w:r>
      <w:r w:rsidR="007877D6" w:rsidRPr="00C006C7">
        <w:rPr>
          <w:color w:val="auto"/>
        </w:rPr>
        <w:t>is</w:t>
      </w:r>
      <w:r w:rsidRPr="00C006C7">
        <w:rPr>
          <w:color w:val="auto"/>
        </w:rPr>
        <w:t xml:space="preserve"> required. Approaches are not standard, and therefore </w:t>
      </w:r>
      <w:r w:rsidR="00102C6F" w:rsidRPr="00C006C7">
        <w:rPr>
          <w:color w:val="auto"/>
        </w:rPr>
        <w:t xml:space="preserve">this </w:t>
      </w:r>
      <w:r w:rsidR="007877D6">
        <w:rPr>
          <w:color w:val="auto"/>
        </w:rPr>
        <w:t>article</w:t>
      </w:r>
      <w:r w:rsidR="00102C6F" w:rsidRPr="00C006C7">
        <w:rPr>
          <w:color w:val="auto"/>
        </w:rPr>
        <w:t xml:space="preserve"> provides a description of </w:t>
      </w:r>
      <w:r w:rsidRPr="00C006C7">
        <w:rPr>
          <w:color w:val="auto"/>
        </w:rPr>
        <w:t xml:space="preserve">a bedside, single burr hole approach to multimodality monitoring that allows the passage of probes designed to measure not only ICP but brain tissue oxygen, blood flow, and intracranial </w:t>
      </w:r>
      <w:r w:rsidR="00675F3F" w:rsidRPr="00C006C7">
        <w:rPr>
          <w:color w:val="auto"/>
        </w:rPr>
        <w:t>electroencephalography</w:t>
      </w:r>
      <w:bookmarkStart w:id="0" w:name="_GoBack"/>
      <w:bookmarkEnd w:id="0"/>
      <w:r w:rsidRPr="00C006C7">
        <w:rPr>
          <w:color w:val="auto"/>
        </w:rPr>
        <w:t xml:space="preserve">. </w:t>
      </w:r>
      <w:r w:rsidR="00102C6F" w:rsidRPr="00C006C7">
        <w:rPr>
          <w:color w:val="auto"/>
        </w:rPr>
        <w:t>P</w:t>
      </w:r>
      <w:r w:rsidRPr="00C006C7">
        <w:rPr>
          <w:color w:val="auto"/>
        </w:rPr>
        <w:t>atient selection criteria, operative procedures, and practical considerations for securing probes during critical care</w:t>
      </w:r>
      <w:r w:rsidR="001E16DC" w:rsidRPr="00C006C7">
        <w:rPr>
          <w:color w:val="auto"/>
        </w:rPr>
        <w:t xml:space="preserve"> are described</w:t>
      </w:r>
      <w:r w:rsidRPr="00C006C7">
        <w:rPr>
          <w:color w:val="auto"/>
        </w:rPr>
        <w:t>. This method is readily performed, safe, secure, and flexible for the adoption of a variety of multimodality monitoring approaches aimed at detecting or preventing secondary brain injuries.</w:t>
      </w:r>
    </w:p>
    <w:p w14:paraId="4C7D5FD5" w14:textId="77777777" w:rsidR="006305D7" w:rsidRPr="00C006C7" w:rsidRDefault="006305D7" w:rsidP="003F7EF1">
      <w:pPr>
        <w:widowControl/>
        <w:rPr>
          <w:color w:val="auto"/>
        </w:rPr>
      </w:pPr>
    </w:p>
    <w:p w14:paraId="00D25F73" w14:textId="5A4CBBE7" w:rsidR="006305D7" w:rsidRPr="00C006C7" w:rsidRDefault="006305D7" w:rsidP="003F7EF1">
      <w:pPr>
        <w:widowControl/>
        <w:rPr>
          <w:color w:val="auto"/>
        </w:rPr>
      </w:pPr>
      <w:r w:rsidRPr="00C006C7">
        <w:rPr>
          <w:b/>
          <w:color w:val="auto"/>
        </w:rPr>
        <w:t>INTRODUCTION</w:t>
      </w:r>
      <w:r w:rsidRPr="00C006C7">
        <w:rPr>
          <w:b/>
          <w:bCs/>
          <w:color w:val="auto"/>
        </w:rPr>
        <w:t>:</w:t>
      </w:r>
      <w:r w:rsidRPr="00C006C7">
        <w:rPr>
          <w:color w:val="auto"/>
        </w:rPr>
        <w:t xml:space="preserve"> </w:t>
      </w:r>
    </w:p>
    <w:p w14:paraId="67D5C0F6" w14:textId="34D67A01" w:rsidR="007C64AC" w:rsidRPr="00C006C7" w:rsidRDefault="00C2204A" w:rsidP="003F7EF1">
      <w:pPr>
        <w:widowControl/>
        <w:tabs>
          <w:tab w:val="left" w:pos="270"/>
        </w:tabs>
        <w:rPr>
          <w:color w:val="auto"/>
        </w:rPr>
      </w:pPr>
      <w:r w:rsidRPr="00C006C7">
        <w:rPr>
          <w:color w:val="auto"/>
        </w:rPr>
        <w:lastRenderedPageBreak/>
        <w:t xml:space="preserve">Severe brain injuries such as traumatic brain injury </w:t>
      </w:r>
      <w:r w:rsidR="00B811B8">
        <w:rPr>
          <w:color w:val="auto"/>
        </w:rPr>
        <w:t xml:space="preserve">(TBI) </w:t>
      </w:r>
      <w:r w:rsidRPr="00C006C7">
        <w:rPr>
          <w:color w:val="auto"/>
        </w:rPr>
        <w:t xml:space="preserve">or subarachnoid hemorrhage may </w:t>
      </w:r>
      <w:r w:rsidR="007C64AC" w:rsidRPr="00C006C7">
        <w:rPr>
          <w:color w:val="auto"/>
        </w:rPr>
        <w:t>result i</w:t>
      </w:r>
      <w:r w:rsidRPr="00C006C7">
        <w:rPr>
          <w:color w:val="auto"/>
        </w:rPr>
        <w:t>n coma,</w:t>
      </w:r>
      <w:r w:rsidR="007C64AC" w:rsidRPr="00C006C7">
        <w:rPr>
          <w:color w:val="auto"/>
        </w:rPr>
        <w:t xml:space="preserve"> a clinical state in which patients do not respond to their environment. Neurosurgeons and </w:t>
      </w:r>
      <w:proofErr w:type="spellStart"/>
      <w:r w:rsidR="007C64AC" w:rsidRPr="00C006C7">
        <w:rPr>
          <w:color w:val="auto"/>
        </w:rPr>
        <w:t>neurointensivists</w:t>
      </w:r>
      <w:proofErr w:type="spellEnd"/>
      <w:r w:rsidR="007C64AC" w:rsidRPr="00C006C7">
        <w:rPr>
          <w:color w:val="auto"/>
        </w:rPr>
        <w:t xml:space="preserve"> rely heavily on the clinical neurological exam, but </w:t>
      </w:r>
      <w:r w:rsidRPr="00C006C7">
        <w:rPr>
          <w:color w:val="auto"/>
        </w:rPr>
        <w:t>severe</w:t>
      </w:r>
      <w:r w:rsidR="007C64AC" w:rsidRPr="00C006C7">
        <w:rPr>
          <w:color w:val="auto"/>
        </w:rPr>
        <w:t xml:space="preserve"> brain injur</w:t>
      </w:r>
      <w:r w:rsidRPr="00C006C7">
        <w:rPr>
          <w:color w:val="auto"/>
        </w:rPr>
        <w:t>ies</w:t>
      </w:r>
      <w:r w:rsidR="007C64AC" w:rsidRPr="00C006C7">
        <w:rPr>
          <w:color w:val="auto"/>
        </w:rPr>
        <w:t xml:space="preserve"> may make it impossible to detect changes related to the brain’s physiologic environment: elevations in intracranial pressure</w:t>
      </w:r>
      <w:r w:rsidR="004A7799" w:rsidRPr="00C006C7">
        <w:rPr>
          <w:color w:val="auto"/>
        </w:rPr>
        <w:t xml:space="preserve"> (ICP)</w:t>
      </w:r>
      <w:r w:rsidR="007C64AC" w:rsidRPr="00C006C7">
        <w:rPr>
          <w:color w:val="auto"/>
        </w:rPr>
        <w:t xml:space="preserve">, decreases in </w:t>
      </w:r>
      <w:r w:rsidR="004A7799" w:rsidRPr="00C006C7">
        <w:rPr>
          <w:color w:val="auto"/>
        </w:rPr>
        <w:t xml:space="preserve">cerebral </w:t>
      </w:r>
      <w:r w:rsidR="007C64AC" w:rsidRPr="00C006C7">
        <w:rPr>
          <w:color w:val="auto"/>
        </w:rPr>
        <w:t>blood flow, or nonconvulsive seizures and spreading depolarizations. These physiologic disturbances can lead to further injury, termed secondary brain injury.</w:t>
      </w:r>
    </w:p>
    <w:p w14:paraId="1DB115D6" w14:textId="77777777" w:rsidR="00990932" w:rsidRDefault="00990932" w:rsidP="003F7EF1">
      <w:pPr>
        <w:widowControl/>
        <w:tabs>
          <w:tab w:val="left" w:pos="270"/>
        </w:tabs>
        <w:rPr>
          <w:color w:val="auto"/>
        </w:rPr>
      </w:pPr>
    </w:p>
    <w:p w14:paraId="4F35268B" w14:textId="1B2F9E6A" w:rsidR="00047E52" w:rsidRPr="00C006C7" w:rsidRDefault="004A7799" w:rsidP="003F7EF1">
      <w:pPr>
        <w:widowControl/>
        <w:tabs>
          <w:tab w:val="left" w:pos="270"/>
        </w:tabs>
        <w:rPr>
          <w:color w:val="auto"/>
        </w:rPr>
      </w:pPr>
      <w:r w:rsidRPr="00C006C7">
        <w:rPr>
          <w:color w:val="auto"/>
        </w:rPr>
        <w:t>After severe traumatic brain injury, e</w:t>
      </w:r>
      <w:r w:rsidR="00047E52" w:rsidRPr="00C006C7">
        <w:rPr>
          <w:color w:val="auto"/>
        </w:rPr>
        <w:t xml:space="preserve">levations in ICP are common and may result in decreased blood flow and therefore secondary brain injury and </w:t>
      </w:r>
      <w:proofErr w:type="spellStart"/>
      <w:r w:rsidR="00047E52" w:rsidRPr="00C006C7">
        <w:rPr>
          <w:color w:val="auto"/>
        </w:rPr>
        <w:t>neurodeterioration</w:t>
      </w:r>
      <w:proofErr w:type="spellEnd"/>
      <w:r w:rsidR="00047E52" w:rsidRPr="00C006C7">
        <w:rPr>
          <w:color w:val="auto"/>
        </w:rPr>
        <w:t>. Elevations in ICP have been documented in up to 89% of patients</w:t>
      </w:r>
      <w:r w:rsidR="002D1F5F" w:rsidRPr="00C006C7">
        <w:rPr>
          <w:color w:val="auto"/>
          <w:vertAlign w:val="superscript"/>
        </w:rPr>
        <w:t>1</w:t>
      </w:r>
      <w:r w:rsidR="00047E52" w:rsidRPr="00C006C7">
        <w:rPr>
          <w:color w:val="auto"/>
        </w:rPr>
        <w:t xml:space="preserve"> and </w:t>
      </w:r>
      <w:proofErr w:type="spellStart"/>
      <w:r w:rsidR="00047E52" w:rsidRPr="00C006C7">
        <w:rPr>
          <w:color w:val="auto"/>
        </w:rPr>
        <w:t>neurodeterioration</w:t>
      </w:r>
      <w:proofErr w:type="spellEnd"/>
      <w:r w:rsidR="00047E52" w:rsidRPr="00C006C7">
        <w:rPr>
          <w:color w:val="auto"/>
        </w:rPr>
        <w:t xml:space="preserve"> occurs in one-quar</w:t>
      </w:r>
      <w:r w:rsidR="00DA6A0F" w:rsidRPr="00C006C7">
        <w:rPr>
          <w:color w:val="auto"/>
        </w:rPr>
        <w:t>ter, increasing mortality from 9.6% to 56.4%</w:t>
      </w:r>
      <w:r w:rsidR="00DA6A0F" w:rsidRPr="00C006C7">
        <w:rPr>
          <w:color w:val="auto"/>
          <w:vertAlign w:val="superscript"/>
        </w:rPr>
        <w:t>2</w:t>
      </w:r>
      <w:r w:rsidR="00047E52" w:rsidRPr="00C006C7">
        <w:rPr>
          <w:color w:val="auto"/>
        </w:rPr>
        <w:t xml:space="preserve">. Therefore, the measurement of ICP is the most commonly used biomarker for the development of secondary brain </w:t>
      </w:r>
      <w:r w:rsidR="000C6E3D" w:rsidRPr="00C006C7">
        <w:rPr>
          <w:color w:val="auto"/>
        </w:rPr>
        <w:t>injury and</w:t>
      </w:r>
      <w:r w:rsidR="00047E52" w:rsidRPr="00C006C7">
        <w:rPr>
          <w:color w:val="auto"/>
        </w:rPr>
        <w:t xml:space="preserve"> has a </w:t>
      </w:r>
      <w:r w:rsidR="00A85816">
        <w:rPr>
          <w:color w:val="auto"/>
        </w:rPr>
        <w:t>Level</w:t>
      </w:r>
      <w:r w:rsidR="00215CFC">
        <w:rPr>
          <w:color w:val="auto"/>
        </w:rPr>
        <w:t xml:space="preserve"> </w:t>
      </w:r>
      <w:r w:rsidR="00047E52" w:rsidRPr="00C006C7">
        <w:rPr>
          <w:color w:val="auto"/>
        </w:rPr>
        <w:t>IIb recommendation from the Brain Trauma Foundation</w:t>
      </w:r>
      <w:r w:rsidR="00DA6A0F" w:rsidRPr="00C006C7">
        <w:rPr>
          <w:color w:val="auto"/>
          <w:vertAlign w:val="superscript"/>
        </w:rPr>
        <w:t>3</w:t>
      </w:r>
      <w:r w:rsidR="00047E52" w:rsidRPr="00C006C7">
        <w:rPr>
          <w:color w:val="auto"/>
        </w:rPr>
        <w:t xml:space="preserve">. </w:t>
      </w:r>
    </w:p>
    <w:p w14:paraId="781342D1" w14:textId="51FB3E1A" w:rsidR="004A7799" w:rsidRPr="00C006C7" w:rsidRDefault="00A17761" w:rsidP="003F7EF1">
      <w:pPr>
        <w:widowControl/>
        <w:tabs>
          <w:tab w:val="left" w:pos="270"/>
        </w:tabs>
        <w:rPr>
          <w:color w:val="auto"/>
        </w:rPr>
      </w:pPr>
      <w:r>
        <w:rPr>
          <w:color w:val="auto"/>
        </w:rPr>
        <w:br/>
      </w:r>
      <w:r w:rsidR="00C2204A" w:rsidRPr="00C006C7">
        <w:rPr>
          <w:color w:val="auto"/>
        </w:rPr>
        <w:t xml:space="preserve">The measurement of </w:t>
      </w:r>
      <w:r w:rsidR="004A7799" w:rsidRPr="00C006C7">
        <w:rPr>
          <w:color w:val="auto"/>
        </w:rPr>
        <w:t xml:space="preserve">ICP </w:t>
      </w:r>
      <w:r w:rsidR="00C2204A" w:rsidRPr="00C006C7">
        <w:rPr>
          <w:color w:val="auto"/>
        </w:rPr>
        <w:t xml:space="preserve">was pioneered over </w:t>
      </w:r>
      <w:r w:rsidR="004A7799" w:rsidRPr="00C006C7">
        <w:rPr>
          <w:color w:val="auto"/>
        </w:rPr>
        <w:t>50 years ago</w:t>
      </w:r>
      <w:r w:rsidR="00DA6A0F" w:rsidRPr="00C006C7">
        <w:rPr>
          <w:color w:val="auto"/>
          <w:vertAlign w:val="superscript"/>
        </w:rPr>
        <w:t>4</w:t>
      </w:r>
      <w:r w:rsidR="004A7799" w:rsidRPr="00C006C7">
        <w:rPr>
          <w:color w:val="auto"/>
        </w:rPr>
        <w:t xml:space="preserve"> </w:t>
      </w:r>
      <w:r w:rsidR="00C2204A" w:rsidRPr="00C006C7">
        <w:rPr>
          <w:color w:val="auto"/>
        </w:rPr>
        <w:t>using catheters that were introduced through a</w:t>
      </w:r>
      <w:r w:rsidR="00F600B4" w:rsidRPr="00C006C7">
        <w:rPr>
          <w:color w:val="auto"/>
        </w:rPr>
        <w:t xml:space="preserve"> twist drill </w:t>
      </w:r>
      <w:proofErr w:type="spellStart"/>
      <w:r w:rsidR="00F600B4" w:rsidRPr="00C006C7">
        <w:rPr>
          <w:color w:val="auto"/>
        </w:rPr>
        <w:t>craniostomy</w:t>
      </w:r>
      <w:proofErr w:type="spellEnd"/>
      <w:r w:rsidR="00C2204A" w:rsidRPr="00C006C7">
        <w:rPr>
          <w:color w:val="auto"/>
        </w:rPr>
        <w:t xml:space="preserve"> </w:t>
      </w:r>
      <w:r w:rsidR="00F600B4" w:rsidRPr="00C006C7">
        <w:rPr>
          <w:color w:val="auto"/>
        </w:rPr>
        <w:t xml:space="preserve">(often referred to interchangeably as a </w:t>
      </w:r>
      <w:r w:rsidR="00C2204A" w:rsidRPr="00C006C7">
        <w:rPr>
          <w:color w:val="auto"/>
        </w:rPr>
        <w:t>burr hole</w:t>
      </w:r>
      <w:r w:rsidR="00F600B4" w:rsidRPr="00C006C7">
        <w:rPr>
          <w:color w:val="auto"/>
        </w:rPr>
        <w:t>)</w:t>
      </w:r>
      <w:r w:rsidR="00C2204A" w:rsidRPr="00C006C7">
        <w:rPr>
          <w:color w:val="auto"/>
        </w:rPr>
        <w:t xml:space="preserve"> typically created in the frontal bone at the mid</w:t>
      </w:r>
      <w:r w:rsidR="00936EE5" w:rsidRPr="00C006C7">
        <w:rPr>
          <w:color w:val="auto"/>
        </w:rPr>
        <w:t>-</w:t>
      </w:r>
      <w:r w:rsidR="00C2204A" w:rsidRPr="00C006C7">
        <w:rPr>
          <w:color w:val="auto"/>
        </w:rPr>
        <w:t xml:space="preserve">pupillary line just anterior to the coronal suture and passed into the ventricles. However, these </w:t>
      </w:r>
      <w:r w:rsidR="004A7799" w:rsidRPr="00C006C7">
        <w:rPr>
          <w:color w:val="auto"/>
        </w:rPr>
        <w:t>external ventricular drainage catheters (EVDs)</w:t>
      </w:r>
      <w:r w:rsidR="00C2204A" w:rsidRPr="00C006C7">
        <w:rPr>
          <w:color w:val="auto"/>
        </w:rPr>
        <w:t xml:space="preserve"> require midline anatomy, which is not always present after severe brain injuries, and misplacement can potentially damage deep st</w:t>
      </w:r>
      <w:r w:rsidR="00711C6A" w:rsidRPr="00C006C7">
        <w:rPr>
          <w:color w:val="auto"/>
        </w:rPr>
        <w:t>ructures such as the thalamus. Although EVDs allow drainage of CSF as a potential treatment option, th</w:t>
      </w:r>
      <w:r w:rsidR="00C2204A" w:rsidRPr="00C006C7">
        <w:rPr>
          <w:color w:val="auto"/>
        </w:rPr>
        <w:t xml:space="preserve">e hemorrhage rates from </w:t>
      </w:r>
      <w:r w:rsidR="004A7799" w:rsidRPr="00C006C7">
        <w:rPr>
          <w:color w:val="auto"/>
        </w:rPr>
        <w:t>EVDs are 6</w:t>
      </w:r>
      <w:r w:rsidR="00BB4600">
        <w:rPr>
          <w:color w:val="auto"/>
        </w:rPr>
        <w:t xml:space="preserve"> </w:t>
      </w:r>
      <w:r w:rsidR="004A7799" w:rsidRPr="00C006C7">
        <w:rPr>
          <w:color w:val="auto"/>
        </w:rPr>
        <w:t>-</w:t>
      </w:r>
      <w:r w:rsidR="00BB4600">
        <w:rPr>
          <w:color w:val="auto"/>
        </w:rPr>
        <w:t xml:space="preserve"> </w:t>
      </w:r>
      <w:r w:rsidR="004A7799" w:rsidRPr="00C006C7">
        <w:rPr>
          <w:color w:val="auto"/>
        </w:rPr>
        <w:t>7% on average</w:t>
      </w:r>
      <w:r w:rsidR="001B5BDE" w:rsidRPr="00C006C7">
        <w:rPr>
          <w:color w:val="auto"/>
          <w:vertAlign w:val="superscript"/>
        </w:rPr>
        <w:t>5,6</w:t>
      </w:r>
      <w:r w:rsidR="004A7799" w:rsidRPr="00C006C7">
        <w:rPr>
          <w:color w:val="auto"/>
        </w:rPr>
        <w:t xml:space="preserve">. </w:t>
      </w:r>
    </w:p>
    <w:p w14:paraId="6C9F5022" w14:textId="77777777" w:rsidR="001B676B" w:rsidRDefault="001B676B" w:rsidP="003F7EF1">
      <w:pPr>
        <w:widowControl/>
        <w:tabs>
          <w:tab w:val="left" w:pos="270"/>
        </w:tabs>
        <w:rPr>
          <w:color w:val="auto"/>
        </w:rPr>
      </w:pPr>
    </w:p>
    <w:p w14:paraId="6D4F38C8" w14:textId="2EA41E67" w:rsidR="007C64AC" w:rsidRPr="00C006C7" w:rsidRDefault="004A7799" w:rsidP="003F7EF1">
      <w:pPr>
        <w:widowControl/>
        <w:tabs>
          <w:tab w:val="left" w:pos="270"/>
        </w:tabs>
        <w:rPr>
          <w:color w:val="auto"/>
        </w:rPr>
      </w:pPr>
      <w:r w:rsidRPr="00C006C7">
        <w:rPr>
          <w:color w:val="auto"/>
        </w:rPr>
        <w:t xml:space="preserve">Intraparenchymal pressure monitors are introduced </w:t>
      </w:r>
      <w:r w:rsidR="00C006C7" w:rsidRPr="00C006C7">
        <w:rPr>
          <w:i/>
          <w:color w:val="auto"/>
        </w:rPr>
        <w:t>via</w:t>
      </w:r>
      <w:r w:rsidRPr="00C006C7">
        <w:rPr>
          <w:color w:val="auto"/>
        </w:rPr>
        <w:t xml:space="preserve"> burr hole and are common alternatives </w:t>
      </w:r>
      <w:r w:rsidR="00711C6A" w:rsidRPr="00C006C7">
        <w:rPr>
          <w:color w:val="auto"/>
        </w:rPr>
        <w:t xml:space="preserve">and adjuncts </w:t>
      </w:r>
      <w:r w:rsidRPr="00C006C7">
        <w:rPr>
          <w:color w:val="auto"/>
        </w:rPr>
        <w:t>to EVDs with hemorrhage rates of 3</w:t>
      </w:r>
      <w:r w:rsidR="00356A4F">
        <w:rPr>
          <w:color w:val="auto"/>
        </w:rPr>
        <w:t xml:space="preserve"> </w:t>
      </w:r>
      <w:r w:rsidRPr="00C006C7">
        <w:rPr>
          <w:color w:val="auto"/>
        </w:rPr>
        <w:t>-</w:t>
      </w:r>
      <w:r w:rsidR="00356A4F">
        <w:rPr>
          <w:color w:val="auto"/>
        </w:rPr>
        <w:t xml:space="preserve"> </w:t>
      </w:r>
      <w:r w:rsidRPr="00C006C7">
        <w:rPr>
          <w:color w:val="auto"/>
        </w:rPr>
        <w:t>5%</w:t>
      </w:r>
      <w:r w:rsidR="001B5BDE" w:rsidRPr="00C006C7">
        <w:rPr>
          <w:color w:val="auto"/>
          <w:vertAlign w:val="superscript"/>
        </w:rPr>
        <w:t>7,8</w:t>
      </w:r>
      <w:r w:rsidRPr="00C006C7">
        <w:rPr>
          <w:color w:val="auto"/>
        </w:rPr>
        <w:t xml:space="preserve">. These are smaller </w:t>
      </w:r>
      <w:r w:rsidR="00711C6A" w:rsidRPr="00C006C7">
        <w:rPr>
          <w:color w:val="auto"/>
        </w:rPr>
        <w:t>probes</w:t>
      </w:r>
      <w:r w:rsidRPr="00C006C7">
        <w:rPr>
          <w:color w:val="auto"/>
        </w:rPr>
        <w:t xml:space="preserve"> that sit 2</w:t>
      </w:r>
      <w:r w:rsidR="00454BF7">
        <w:rPr>
          <w:color w:val="auto"/>
        </w:rPr>
        <w:t xml:space="preserve"> </w:t>
      </w:r>
      <w:r w:rsidRPr="00C006C7">
        <w:rPr>
          <w:color w:val="auto"/>
        </w:rPr>
        <w:t>-</w:t>
      </w:r>
      <w:r w:rsidR="00454BF7">
        <w:rPr>
          <w:color w:val="auto"/>
        </w:rPr>
        <w:t xml:space="preserve"> </w:t>
      </w:r>
      <w:r w:rsidRPr="00C006C7">
        <w:rPr>
          <w:color w:val="auto"/>
        </w:rPr>
        <w:t>3 cm unde</w:t>
      </w:r>
      <w:r w:rsidR="003E0B4E" w:rsidRPr="00C006C7">
        <w:rPr>
          <w:color w:val="auto"/>
        </w:rPr>
        <w:t xml:space="preserve">r the inner table of the </w:t>
      </w:r>
      <w:proofErr w:type="gramStart"/>
      <w:r w:rsidR="00454BF7" w:rsidRPr="00C006C7">
        <w:rPr>
          <w:color w:val="auto"/>
        </w:rPr>
        <w:t>skull</w:t>
      </w:r>
      <w:r w:rsidR="00454BF7">
        <w:rPr>
          <w:color w:val="auto"/>
        </w:rPr>
        <w:t>,</w:t>
      </w:r>
      <w:r w:rsidR="00454BF7" w:rsidRPr="00C006C7">
        <w:rPr>
          <w:color w:val="auto"/>
        </w:rPr>
        <w:t xml:space="preserve"> and</w:t>
      </w:r>
      <w:proofErr w:type="gramEnd"/>
      <w:r w:rsidR="00711C6A" w:rsidRPr="00C006C7">
        <w:rPr>
          <w:color w:val="auto"/>
        </w:rPr>
        <w:t xml:space="preserve"> allow </w:t>
      </w:r>
      <w:r w:rsidR="00BA5720">
        <w:rPr>
          <w:color w:val="auto"/>
        </w:rPr>
        <w:t xml:space="preserve">for </w:t>
      </w:r>
      <w:r w:rsidRPr="00C006C7">
        <w:rPr>
          <w:color w:val="auto"/>
        </w:rPr>
        <w:t>continuous measure</w:t>
      </w:r>
      <w:r w:rsidR="00711C6A" w:rsidRPr="00C006C7">
        <w:rPr>
          <w:color w:val="auto"/>
        </w:rPr>
        <w:t>ment of</w:t>
      </w:r>
      <w:r w:rsidRPr="00C006C7">
        <w:rPr>
          <w:color w:val="auto"/>
        </w:rPr>
        <w:t xml:space="preserve"> pressure</w:t>
      </w:r>
      <w:r w:rsidR="00711C6A" w:rsidRPr="00C006C7">
        <w:rPr>
          <w:color w:val="auto"/>
        </w:rPr>
        <w:t xml:space="preserve"> but without</w:t>
      </w:r>
      <w:r w:rsidRPr="00C006C7">
        <w:rPr>
          <w:color w:val="auto"/>
        </w:rPr>
        <w:t xml:space="preserve"> an option to drain cerebrospinal fluid</w:t>
      </w:r>
      <w:r w:rsidR="00711C6A" w:rsidRPr="00C006C7">
        <w:rPr>
          <w:color w:val="auto"/>
        </w:rPr>
        <w:t>,</w:t>
      </w:r>
      <w:r w:rsidRPr="00C006C7">
        <w:rPr>
          <w:color w:val="auto"/>
        </w:rPr>
        <w:t xml:space="preserve"> as do EVDs. Existing cohort studies</w:t>
      </w:r>
      <w:r w:rsidR="001B5BDE" w:rsidRPr="00C006C7">
        <w:rPr>
          <w:color w:val="auto"/>
          <w:vertAlign w:val="superscript"/>
        </w:rPr>
        <w:t>9</w:t>
      </w:r>
      <w:r w:rsidR="003E0B4E" w:rsidRPr="00C006C7">
        <w:rPr>
          <w:color w:val="auto"/>
        </w:rPr>
        <w:t xml:space="preserve"> and meta-analyse</w:t>
      </w:r>
      <w:r w:rsidRPr="00C006C7">
        <w:rPr>
          <w:color w:val="auto"/>
        </w:rPr>
        <w:t>s</w:t>
      </w:r>
      <w:r w:rsidR="001B5BDE" w:rsidRPr="00C006C7">
        <w:rPr>
          <w:color w:val="auto"/>
          <w:vertAlign w:val="superscript"/>
        </w:rPr>
        <w:t>10,11</w:t>
      </w:r>
      <w:r w:rsidRPr="00C006C7">
        <w:rPr>
          <w:color w:val="auto"/>
        </w:rPr>
        <w:t xml:space="preserve"> suggest that </w:t>
      </w:r>
      <w:r w:rsidR="00047E52" w:rsidRPr="00C006C7">
        <w:rPr>
          <w:color w:val="auto"/>
        </w:rPr>
        <w:t xml:space="preserve">targeting ICP as a marker of secondary brain injury may improve survival; however, a randomized controlled trial comparing treatment of ICP based on neurological exam alone </w:t>
      </w:r>
      <w:r w:rsidR="00C006C7" w:rsidRPr="00C006C7">
        <w:rPr>
          <w:i/>
          <w:color w:val="auto"/>
        </w:rPr>
        <w:t>vs.</w:t>
      </w:r>
      <w:r w:rsidR="00047E52" w:rsidRPr="00C006C7">
        <w:rPr>
          <w:color w:val="auto"/>
        </w:rPr>
        <w:t xml:space="preserve"> measured ICP failed to demonstrate benefit</w:t>
      </w:r>
      <w:r w:rsidR="001B5BDE" w:rsidRPr="00C006C7">
        <w:rPr>
          <w:color w:val="auto"/>
          <w:vertAlign w:val="superscript"/>
        </w:rPr>
        <w:t>12</w:t>
      </w:r>
      <w:r w:rsidR="00047E52" w:rsidRPr="00C006C7">
        <w:rPr>
          <w:color w:val="auto"/>
        </w:rPr>
        <w:t>.</w:t>
      </w:r>
    </w:p>
    <w:p w14:paraId="149E2812" w14:textId="77777777" w:rsidR="001B676B" w:rsidRDefault="001B676B" w:rsidP="003F7EF1">
      <w:pPr>
        <w:widowControl/>
        <w:tabs>
          <w:tab w:val="left" w:pos="270"/>
        </w:tabs>
        <w:rPr>
          <w:color w:val="auto"/>
        </w:rPr>
      </w:pPr>
    </w:p>
    <w:p w14:paraId="55C8B816" w14:textId="53E8121C" w:rsidR="00945E18" w:rsidRPr="00C006C7" w:rsidRDefault="00047E52" w:rsidP="003F7EF1">
      <w:pPr>
        <w:widowControl/>
        <w:tabs>
          <w:tab w:val="left" w:pos="270"/>
        </w:tabs>
        <w:rPr>
          <w:color w:val="auto"/>
        </w:rPr>
      </w:pPr>
      <w:r w:rsidRPr="00C006C7">
        <w:rPr>
          <w:color w:val="auto"/>
        </w:rPr>
        <w:t xml:space="preserve">Advances in neurosurgery and </w:t>
      </w:r>
      <w:proofErr w:type="spellStart"/>
      <w:r w:rsidRPr="00C006C7">
        <w:rPr>
          <w:color w:val="auto"/>
        </w:rPr>
        <w:t>neurointensive</w:t>
      </w:r>
      <w:proofErr w:type="spellEnd"/>
      <w:r w:rsidRPr="00C006C7">
        <w:rPr>
          <w:color w:val="auto"/>
        </w:rPr>
        <w:t xml:space="preserve"> care have led to </w:t>
      </w:r>
      <w:r w:rsidR="003E0B4E" w:rsidRPr="00C006C7">
        <w:rPr>
          <w:color w:val="auto"/>
        </w:rPr>
        <w:t>an</w:t>
      </w:r>
      <w:r w:rsidRPr="00C006C7">
        <w:rPr>
          <w:color w:val="auto"/>
        </w:rPr>
        <w:t xml:space="preserve"> understanding that brain physiology is more </w:t>
      </w:r>
      <w:r w:rsidR="00711C6A" w:rsidRPr="00C006C7">
        <w:rPr>
          <w:color w:val="auto"/>
        </w:rPr>
        <w:t>complicated than ICP alone. It has been</w:t>
      </w:r>
      <w:r w:rsidRPr="00C006C7">
        <w:rPr>
          <w:color w:val="auto"/>
        </w:rPr>
        <w:t xml:space="preserve"> </w:t>
      </w:r>
      <w:r w:rsidR="00711C6A" w:rsidRPr="00C006C7">
        <w:rPr>
          <w:color w:val="auto"/>
        </w:rPr>
        <w:t>demonstrated</w:t>
      </w:r>
      <w:r w:rsidRPr="00C006C7">
        <w:rPr>
          <w:color w:val="auto"/>
        </w:rPr>
        <w:t xml:space="preserve"> that autoregulatory function within the brain is impaired</w:t>
      </w:r>
      <w:r w:rsidR="00945E18" w:rsidRPr="00C006C7">
        <w:rPr>
          <w:color w:val="auto"/>
        </w:rPr>
        <w:t xml:space="preserve"> after brain injury</w:t>
      </w:r>
      <w:r w:rsidR="001B5BDE" w:rsidRPr="00C006C7">
        <w:rPr>
          <w:color w:val="auto"/>
          <w:vertAlign w:val="superscript"/>
        </w:rPr>
        <w:t>13</w:t>
      </w:r>
      <w:r w:rsidRPr="00C006C7">
        <w:rPr>
          <w:color w:val="auto"/>
        </w:rPr>
        <w:t>, leading to changes in the regulation of regional cerebral blood flow (</w:t>
      </w:r>
      <w:proofErr w:type="spellStart"/>
      <w:r w:rsidRPr="00C006C7">
        <w:rPr>
          <w:color w:val="auto"/>
        </w:rPr>
        <w:t>rCBF</w:t>
      </w:r>
      <w:proofErr w:type="spellEnd"/>
      <w:r w:rsidRPr="00C006C7">
        <w:rPr>
          <w:color w:val="auto"/>
        </w:rPr>
        <w:t xml:space="preserve">). </w:t>
      </w:r>
      <w:r w:rsidR="00945E18" w:rsidRPr="00C006C7">
        <w:rPr>
          <w:color w:val="auto"/>
        </w:rPr>
        <w:t>Further, the burden of nonconvulsive seizures</w:t>
      </w:r>
      <w:r w:rsidR="001B5BDE" w:rsidRPr="00C006C7">
        <w:rPr>
          <w:color w:val="auto"/>
          <w:vertAlign w:val="superscript"/>
        </w:rPr>
        <w:t>14</w:t>
      </w:r>
      <w:r w:rsidR="00945E18" w:rsidRPr="00C006C7">
        <w:rPr>
          <w:color w:val="auto"/>
        </w:rPr>
        <w:t xml:space="preserve"> and spreading depolarizations</w:t>
      </w:r>
      <w:r w:rsidR="001B5BDE" w:rsidRPr="00C006C7">
        <w:rPr>
          <w:color w:val="auto"/>
          <w:vertAlign w:val="superscript"/>
        </w:rPr>
        <w:t>15</w:t>
      </w:r>
      <w:r w:rsidR="00945E18" w:rsidRPr="00C006C7">
        <w:rPr>
          <w:color w:val="auto"/>
        </w:rPr>
        <w:t xml:space="preserve"> are </w:t>
      </w:r>
      <w:r w:rsidR="001B5BDE" w:rsidRPr="00C006C7">
        <w:rPr>
          <w:color w:val="auto"/>
        </w:rPr>
        <w:t>being recognized using recordings</w:t>
      </w:r>
      <w:r w:rsidR="00945E18" w:rsidRPr="00C006C7">
        <w:rPr>
          <w:color w:val="auto"/>
        </w:rPr>
        <w:t xml:space="preserve"> from intracranial </w:t>
      </w:r>
      <w:r w:rsidR="00454BF7" w:rsidRPr="00454BF7">
        <w:rPr>
          <w:color w:val="auto"/>
        </w:rPr>
        <w:t>electroencephalography</w:t>
      </w:r>
      <w:r w:rsidR="00454BF7">
        <w:rPr>
          <w:color w:val="auto"/>
        </w:rPr>
        <w:t xml:space="preserve"> </w:t>
      </w:r>
      <w:r w:rsidR="00454BF7" w:rsidRPr="00C006C7">
        <w:rPr>
          <w:color w:val="auto"/>
        </w:rPr>
        <w:t>(</w:t>
      </w:r>
      <w:proofErr w:type="spellStart"/>
      <w:r w:rsidR="00454BF7" w:rsidRPr="00C006C7">
        <w:rPr>
          <w:color w:val="auto"/>
        </w:rPr>
        <w:t>iEEG</w:t>
      </w:r>
      <w:proofErr w:type="spellEnd"/>
      <w:r w:rsidR="00454BF7" w:rsidRPr="00C006C7">
        <w:rPr>
          <w:color w:val="auto"/>
        </w:rPr>
        <w:t>)</w:t>
      </w:r>
      <w:r w:rsidR="00454BF7">
        <w:rPr>
          <w:color w:val="auto"/>
        </w:rPr>
        <w:t xml:space="preserve"> </w:t>
      </w:r>
      <w:r w:rsidR="00945E18" w:rsidRPr="00C006C7">
        <w:rPr>
          <w:color w:val="auto"/>
        </w:rPr>
        <w:t>electrodes</w:t>
      </w:r>
      <w:r w:rsidR="003E0B4E" w:rsidRPr="00C006C7">
        <w:rPr>
          <w:color w:val="auto"/>
        </w:rPr>
        <w:t>. S</w:t>
      </w:r>
      <w:r w:rsidR="001B5BDE" w:rsidRPr="00C006C7">
        <w:rPr>
          <w:color w:val="auto"/>
        </w:rPr>
        <w:t xml:space="preserve">trategies to improve </w:t>
      </w:r>
      <w:r w:rsidR="00945E18" w:rsidRPr="00C006C7">
        <w:rPr>
          <w:color w:val="auto"/>
        </w:rPr>
        <w:t>brain tissue oxygen (PbtO2)</w:t>
      </w:r>
      <w:r w:rsidR="001B5BDE" w:rsidRPr="00C006C7">
        <w:rPr>
          <w:color w:val="auto"/>
        </w:rPr>
        <w:t xml:space="preserve"> were shown to be </w:t>
      </w:r>
      <w:r w:rsidR="003E0B4E" w:rsidRPr="00C006C7">
        <w:rPr>
          <w:color w:val="auto"/>
        </w:rPr>
        <w:t xml:space="preserve">a target for therapy and proved </w:t>
      </w:r>
      <w:r w:rsidR="001B5BDE" w:rsidRPr="00C006C7">
        <w:rPr>
          <w:color w:val="auto"/>
        </w:rPr>
        <w:t xml:space="preserve">feasible </w:t>
      </w:r>
      <w:r w:rsidR="00945E18" w:rsidRPr="00C006C7">
        <w:rPr>
          <w:color w:val="auto"/>
        </w:rPr>
        <w:t>in a large, multicenter Phase II clinical trial</w:t>
      </w:r>
      <w:r w:rsidR="001B5BDE" w:rsidRPr="00C006C7">
        <w:rPr>
          <w:color w:val="auto"/>
          <w:vertAlign w:val="superscript"/>
        </w:rPr>
        <w:t>16</w:t>
      </w:r>
      <w:r w:rsidR="00945E18" w:rsidRPr="00C006C7">
        <w:rPr>
          <w:color w:val="auto"/>
        </w:rPr>
        <w:t xml:space="preserve">. </w:t>
      </w:r>
    </w:p>
    <w:p w14:paraId="746F69EC" w14:textId="77777777" w:rsidR="001B676B" w:rsidRDefault="001B676B" w:rsidP="003F7EF1">
      <w:pPr>
        <w:widowControl/>
        <w:tabs>
          <w:tab w:val="left" w:pos="270"/>
        </w:tabs>
        <w:rPr>
          <w:color w:val="auto"/>
        </w:rPr>
      </w:pPr>
    </w:p>
    <w:p w14:paraId="31D684DA" w14:textId="3048D5C0" w:rsidR="007C64AC" w:rsidRPr="00C006C7" w:rsidRDefault="001E16DC" w:rsidP="003F7EF1">
      <w:pPr>
        <w:widowControl/>
        <w:tabs>
          <w:tab w:val="left" w:pos="270"/>
        </w:tabs>
        <w:rPr>
          <w:color w:val="auto"/>
        </w:rPr>
      </w:pPr>
      <w:r w:rsidRPr="00C006C7">
        <w:rPr>
          <w:color w:val="auto"/>
        </w:rPr>
        <w:t>T</w:t>
      </w:r>
      <w:r w:rsidR="00945E18" w:rsidRPr="00C006C7">
        <w:rPr>
          <w:color w:val="auto"/>
        </w:rPr>
        <w:t xml:space="preserve">his </w:t>
      </w:r>
      <w:r w:rsidR="00DE7B13">
        <w:rPr>
          <w:color w:val="auto"/>
        </w:rPr>
        <w:t>article</w:t>
      </w:r>
      <w:r w:rsidRPr="00C006C7">
        <w:rPr>
          <w:color w:val="auto"/>
        </w:rPr>
        <w:t xml:space="preserve"> describes</w:t>
      </w:r>
      <w:r w:rsidR="00945E18" w:rsidRPr="00C006C7">
        <w:rPr>
          <w:color w:val="auto"/>
        </w:rPr>
        <w:t xml:space="preserve"> a technique that allows for the simultaneous measurement of </w:t>
      </w:r>
      <w:r w:rsidR="003E0B4E" w:rsidRPr="00C006C7">
        <w:rPr>
          <w:color w:val="auto"/>
        </w:rPr>
        <w:t xml:space="preserve">multiple modalities – including </w:t>
      </w:r>
      <w:r w:rsidR="00945E18" w:rsidRPr="00C006C7">
        <w:rPr>
          <w:color w:val="auto"/>
        </w:rPr>
        <w:t xml:space="preserve">ICP, PbtO2, </w:t>
      </w:r>
      <w:proofErr w:type="spellStart"/>
      <w:r w:rsidR="00945E18" w:rsidRPr="00C006C7">
        <w:rPr>
          <w:color w:val="auto"/>
        </w:rPr>
        <w:t>rCBF</w:t>
      </w:r>
      <w:proofErr w:type="spellEnd"/>
      <w:r w:rsidR="00945E18" w:rsidRPr="00C006C7">
        <w:rPr>
          <w:color w:val="auto"/>
        </w:rPr>
        <w:t xml:space="preserve">, and </w:t>
      </w:r>
      <w:proofErr w:type="spellStart"/>
      <w:r w:rsidR="001B5BDE" w:rsidRPr="00C006C7">
        <w:rPr>
          <w:color w:val="auto"/>
        </w:rPr>
        <w:t>i</w:t>
      </w:r>
      <w:r w:rsidR="00945E18" w:rsidRPr="00C006C7">
        <w:rPr>
          <w:color w:val="auto"/>
        </w:rPr>
        <w:t>EEG</w:t>
      </w:r>
      <w:proofErr w:type="spellEnd"/>
      <w:r w:rsidR="00945E18" w:rsidRPr="00C006C7">
        <w:rPr>
          <w:color w:val="auto"/>
        </w:rPr>
        <w:t xml:space="preserve"> </w:t>
      </w:r>
      <w:r w:rsidR="0030726E" w:rsidRPr="00C006C7">
        <w:rPr>
          <w:color w:val="auto"/>
        </w:rPr>
        <w:t>–</w:t>
      </w:r>
      <w:r w:rsidR="003E0B4E" w:rsidRPr="00C006C7">
        <w:rPr>
          <w:color w:val="auto"/>
        </w:rPr>
        <w:t xml:space="preserve"> </w:t>
      </w:r>
      <w:r w:rsidR="00945E18" w:rsidRPr="00C006C7">
        <w:rPr>
          <w:color w:val="auto"/>
        </w:rPr>
        <w:t>using a simple, single burr hole placed at the bedside in patients with severe acute brain injuries requir</w:t>
      </w:r>
      <w:r w:rsidR="006F7722" w:rsidRPr="00C006C7">
        <w:rPr>
          <w:color w:val="auto"/>
        </w:rPr>
        <w:t xml:space="preserve">ing intensive care. </w:t>
      </w:r>
      <w:r w:rsidRPr="00C006C7">
        <w:rPr>
          <w:color w:val="auto"/>
        </w:rPr>
        <w:t>P</w:t>
      </w:r>
      <w:r w:rsidR="00945E18" w:rsidRPr="00C006C7">
        <w:rPr>
          <w:color w:val="auto"/>
        </w:rPr>
        <w:t xml:space="preserve">atient selection and surgical </w:t>
      </w:r>
      <w:r w:rsidR="006F7722" w:rsidRPr="00C006C7">
        <w:rPr>
          <w:color w:val="auto"/>
        </w:rPr>
        <w:t xml:space="preserve">approach to this </w:t>
      </w:r>
      <w:r w:rsidR="00945E18" w:rsidRPr="00C006C7">
        <w:rPr>
          <w:color w:val="auto"/>
        </w:rPr>
        <w:t>technique</w:t>
      </w:r>
      <w:r w:rsidRPr="00C006C7">
        <w:rPr>
          <w:color w:val="auto"/>
        </w:rPr>
        <w:t xml:space="preserve"> are included</w:t>
      </w:r>
      <w:r w:rsidR="00945E18" w:rsidRPr="00C006C7">
        <w:rPr>
          <w:color w:val="auto"/>
        </w:rPr>
        <w:t xml:space="preserve">. </w:t>
      </w:r>
      <w:r w:rsidR="006F7722" w:rsidRPr="00C006C7">
        <w:rPr>
          <w:color w:val="auto"/>
        </w:rPr>
        <w:t>This</w:t>
      </w:r>
      <w:r w:rsidR="00945E18" w:rsidRPr="00C006C7">
        <w:rPr>
          <w:color w:val="auto"/>
        </w:rPr>
        <w:t xml:space="preserve"> technique specifically allows</w:t>
      </w:r>
      <w:r w:rsidR="0030653E" w:rsidRPr="00C006C7">
        <w:rPr>
          <w:color w:val="auto"/>
        </w:rPr>
        <w:t xml:space="preserve"> for the </w:t>
      </w:r>
      <w:r w:rsidR="0030653E" w:rsidRPr="00C006C7">
        <w:rPr>
          <w:color w:val="auto"/>
        </w:rPr>
        <w:lastRenderedPageBreak/>
        <w:t xml:space="preserve">placement of multiple </w:t>
      </w:r>
      <w:r w:rsidR="00711C6A" w:rsidRPr="00C006C7">
        <w:rPr>
          <w:color w:val="auto"/>
        </w:rPr>
        <w:t>probes</w:t>
      </w:r>
      <w:r w:rsidR="0030653E" w:rsidRPr="00C006C7">
        <w:rPr>
          <w:color w:val="auto"/>
        </w:rPr>
        <w:t xml:space="preserve"> to provide</w:t>
      </w:r>
      <w:r w:rsidR="00945E18" w:rsidRPr="00C006C7">
        <w:rPr>
          <w:color w:val="auto"/>
        </w:rPr>
        <w:t xml:space="preserve"> targeted monitoring of multiple physiologic parameters that may provide a more sensitive and specific early warning system for secondary brain injuries.</w:t>
      </w:r>
    </w:p>
    <w:p w14:paraId="6F2D6AB8" w14:textId="77777777" w:rsidR="00794FAA" w:rsidRDefault="00794FAA" w:rsidP="003F7EF1">
      <w:pPr>
        <w:widowControl/>
        <w:tabs>
          <w:tab w:val="left" w:pos="270"/>
        </w:tabs>
        <w:rPr>
          <w:color w:val="auto"/>
        </w:rPr>
      </w:pPr>
    </w:p>
    <w:p w14:paraId="3D4CD2F3" w14:textId="28F24A9C" w:rsidR="006305D7" w:rsidRPr="00C006C7" w:rsidRDefault="006305D7" w:rsidP="003F7EF1">
      <w:pPr>
        <w:widowControl/>
        <w:rPr>
          <w:color w:val="auto"/>
        </w:rPr>
      </w:pPr>
      <w:r w:rsidRPr="00C006C7">
        <w:rPr>
          <w:b/>
          <w:color w:val="auto"/>
        </w:rPr>
        <w:t>PROTOCOL:</w:t>
      </w:r>
    </w:p>
    <w:p w14:paraId="6DCD4847" w14:textId="77777777" w:rsidR="005A27B5" w:rsidRDefault="005A27B5" w:rsidP="005A27B5">
      <w:pPr>
        <w:widowControl/>
        <w:tabs>
          <w:tab w:val="left" w:pos="270"/>
        </w:tabs>
        <w:rPr>
          <w:color w:val="auto"/>
        </w:rPr>
      </w:pPr>
      <w:r w:rsidRPr="00C006C7">
        <w:rPr>
          <w:color w:val="auto"/>
        </w:rPr>
        <w:t xml:space="preserve">This protocol was developed as a standard of care. The retrospective use of data gathered </w:t>
      </w:r>
      <w:proofErr w:type="gramStart"/>
      <w:r w:rsidRPr="00C006C7">
        <w:rPr>
          <w:color w:val="auto"/>
        </w:rPr>
        <w:t>during the course of</w:t>
      </w:r>
      <w:proofErr w:type="gramEnd"/>
      <w:r w:rsidRPr="00C006C7">
        <w:rPr>
          <w:color w:val="auto"/>
        </w:rPr>
        <w:t xml:space="preserve"> care was approved through a waiver of informed consent by the University of Cincinnati’s Institutional Review Board. </w:t>
      </w:r>
    </w:p>
    <w:p w14:paraId="459C7FFF" w14:textId="77777777" w:rsidR="00FB1989" w:rsidRDefault="00FB1989" w:rsidP="003F7EF1">
      <w:pPr>
        <w:widowControl/>
        <w:rPr>
          <w:b/>
          <w:color w:val="auto"/>
        </w:rPr>
      </w:pPr>
    </w:p>
    <w:p w14:paraId="4F083687" w14:textId="3520C7C4" w:rsidR="0030653E" w:rsidRPr="00C006C7" w:rsidRDefault="0030653E" w:rsidP="003F7EF1">
      <w:pPr>
        <w:widowControl/>
        <w:rPr>
          <w:b/>
          <w:color w:val="auto"/>
        </w:rPr>
      </w:pPr>
      <w:r w:rsidRPr="00C006C7">
        <w:rPr>
          <w:b/>
          <w:color w:val="auto"/>
        </w:rPr>
        <w:t>1. Patient Selection</w:t>
      </w:r>
    </w:p>
    <w:p w14:paraId="193A43AF" w14:textId="77777777" w:rsidR="004878DA" w:rsidRDefault="004878DA" w:rsidP="003F7EF1">
      <w:pPr>
        <w:widowControl/>
        <w:rPr>
          <w:color w:val="auto"/>
        </w:rPr>
      </w:pPr>
    </w:p>
    <w:p w14:paraId="7122562A" w14:textId="4B305BB0" w:rsidR="0030653E" w:rsidRPr="00C006C7" w:rsidRDefault="0030653E" w:rsidP="003F7EF1">
      <w:pPr>
        <w:widowControl/>
        <w:rPr>
          <w:color w:val="auto"/>
        </w:rPr>
      </w:pPr>
      <w:r w:rsidRPr="00C006C7">
        <w:rPr>
          <w:color w:val="auto"/>
        </w:rPr>
        <w:t>1.1 Identify patient with acute brain injury (traumatic brain injury, stroke).</w:t>
      </w:r>
    </w:p>
    <w:p w14:paraId="13C8ED78" w14:textId="77777777" w:rsidR="004878DA" w:rsidRDefault="004878DA" w:rsidP="003F7EF1">
      <w:pPr>
        <w:widowControl/>
        <w:rPr>
          <w:color w:val="auto"/>
        </w:rPr>
      </w:pPr>
    </w:p>
    <w:p w14:paraId="6CBC9DBA" w14:textId="3132250B" w:rsidR="0030653E" w:rsidRPr="00C006C7" w:rsidRDefault="00DC7BAF" w:rsidP="003F7EF1">
      <w:pPr>
        <w:widowControl/>
        <w:rPr>
          <w:color w:val="auto"/>
        </w:rPr>
      </w:pPr>
      <w:r>
        <w:rPr>
          <w:color w:val="auto"/>
        </w:rPr>
        <w:t xml:space="preserve">NOTE: </w:t>
      </w:r>
      <w:r w:rsidR="0030653E" w:rsidRPr="00C006C7">
        <w:rPr>
          <w:color w:val="auto"/>
        </w:rPr>
        <w:t>Collaborative discussion between surgical and intensive care teams is critical to ensure that there is consensus on which acute brain injury processes warrant monitoring.</w:t>
      </w:r>
    </w:p>
    <w:p w14:paraId="74D892D5" w14:textId="77777777" w:rsidR="004878DA" w:rsidRDefault="004878DA" w:rsidP="003F7EF1">
      <w:pPr>
        <w:widowControl/>
        <w:rPr>
          <w:color w:val="auto"/>
        </w:rPr>
      </w:pPr>
    </w:p>
    <w:p w14:paraId="0F22C73B" w14:textId="0439CB0C" w:rsidR="0030653E" w:rsidRPr="00C006C7" w:rsidRDefault="0030653E" w:rsidP="003F7EF1">
      <w:pPr>
        <w:widowControl/>
        <w:rPr>
          <w:color w:val="auto"/>
        </w:rPr>
      </w:pPr>
      <w:r w:rsidRPr="00C006C7">
        <w:rPr>
          <w:color w:val="auto"/>
        </w:rPr>
        <w:t>1.1.</w:t>
      </w:r>
      <w:r w:rsidR="005040C3">
        <w:rPr>
          <w:color w:val="auto"/>
        </w:rPr>
        <w:t>1</w:t>
      </w:r>
      <w:r w:rsidRPr="00C006C7">
        <w:rPr>
          <w:color w:val="auto"/>
        </w:rPr>
        <w:t xml:space="preserve"> Rule out confounders that may cloud clinical examination including elevated alcohol level or toxic exposures</w:t>
      </w:r>
      <w:r w:rsidR="00CF1E64">
        <w:rPr>
          <w:color w:val="auto"/>
        </w:rPr>
        <w:t>.</w:t>
      </w:r>
    </w:p>
    <w:p w14:paraId="70EE9200" w14:textId="77777777" w:rsidR="004878DA" w:rsidRDefault="004878DA" w:rsidP="003F7EF1">
      <w:pPr>
        <w:widowControl/>
        <w:rPr>
          <w:color w:val="auto"/>
        </w:rPr>
      </w:pPr>
    </w:p>
    <w:p w14:paraId="5D8528C5" w14:textId="4F1AF7FE" w:rsidR="0030653E" w:rsidRPr="00C006C7" w:rsidRDefault="0030653E" w:rsidP="003F7EF1">
      <w:pPr>
        <w:widowControl/>
        <w:rPr>
          <w:color w:val="auto"/>
        </w:rPr>
      </w:pPr>
      <w:r w:rsidRPr="00C006C7">
        <w:rPr>
          <w:color w:val="auto"/>
        </w:rPr>
        <w:t>1.1.</w:t>
      </w:r>
      <w:r w:rsidR="005040C3">
        <w:rPr>
          <w:color w:val="auto"/>
        </w:rPr>
        <w:t>2</w:t>
      </w:r>
      <w:r w:rsidRPr="00C006C7">
        <w:rPr>
          <w:color w:val="auto"/>
        </w:rPr>
        <w:t xml:space="preserve"> Rule out contraindications to neurosurgical procedures, including but not limited to platelets &lt; 100 g/dL, </w:t>
      </w:r>
      <w:r w:rsidR="00CB4CBF">
        <w:rPr>
          <w:color w:val="auto"/>
        </w:rPr>
        <w:t>i</w:t>
      </w:r>
      <w:r w:rsidRPr="00C006C7">
        <w:rPr>
          <w:color w:val="auto"/>
        </w:rPr>
        <w:t xml:space="preserve">nternational </w:t>
      </w:r>
      <w:r w:rsidR="00CB4CBF">
        <w:rPr>
          <w:color w:val="auto"/>
        </w:rPr>
        <w:t>n</w:t>
      </w:r>
      <w:r w:rsidRPr="00C006C7">
        <w:rPr>
          <w:color w:val="auto"/>
        </w:rPr>
        <w:t xml:space="preserve">ormalized </w:t>
      </w:r>
      <w:r w:rsidR="00CB4CBF">
        <w:rPr>
          <w:color w:val="auto"/>
        </w:rPr>
        <w:t>r</w:t>
      </w:r>
      <w:r w:rsidRPr="00C006C7">
        <w:rPr>
          <w:color w:val="auto"/>
        </w:rPr>
        <w:t>atio &gt; 1.5, recent administration of non-vitamin K antagonist anticoagulants; caution is warranted in those on dual antiplatelets (</w:t>
      </w:r>
      <w:r w:rsidR="00EB702E" w:rsidRPr="00C006C7">
        <w:rPr>
          <w:i/>
          <w:color w:val="auto"/>
        </w:rPr>
        <w:t>e.g.</w:t>
      </w:r>
      <w:r w:rsidR="00EB702E" w:rsidRPr="005874EB">
        <w:rPr>
          <w:color w:val="auto"/>
        </w:rPr>
        <w:t>,</w:t>
      </w:r>
      <w:r w:rsidR="00EB702E" w:rsidRPr="00C006C7">
        <w:rPr>
          <w:i/>
          <w:color w:val="auto"/>
        </w:rPr>
        <w:t xml:space="preserve"> </w:t>
      </w:r>
      <w:r w:rsidRPr="00C006C7">
        <w:rPr>
          <w:color w:val="auto"/>
        </w:rPr>
        <w:t>both aspirin and clopidogrel)</w:t>
      </w:r>
      <w:r w:rsidR="00CF1E64">
        <w:rPr>
          <w:color w:val="auto"/>
        </w:rPr>
        <w:t>.</w:t>
      </w:r>
    </w:p>
    <w:p w14:paraId="6B53531C" w14:textId="77777777" w:rsidR="004878DA" w:rsidRDefault="004878DA" w:rsidP="003F7EF1">
      <w:pPr>
        <w:widowControl/>
        <w:rPr>
          <w:color w:val="auto"/>
        </w:rPr>
      </w:pPr>
    </w:p>
    <w:p w14:paraId="1F469145" w14:textId="2AE34178" w:rsidR="0030653E" w:rsidRPr="00C006C7" w:rsidRDefault="0030653E" w:rsidP="003F7EF1">
      <w:pPr>
        <w:widowControl/>
        <w:rPr>
          <w:color w:val="auto"/>
        </w:rPr>
      </w:pPr>
      <w:r w:rsidRPr="00C006C7">
        <w:rPr>
          <w:color w:val="auto"/>
        </w:rPr>
        <w:t>1.2 Perform Glasgow Coma Scale score</w:t>
      </w:r>
      <w:r w:rsidR="004207A2" w:rsidRPr="00C006C7">
        <w:rPr>
          <w:color w:val="auto"/>
        </w:rPr>
        <w:t>. Patients are excluded if they exhibit command following or if they cannot follow commands due to aphasia and have eye opening spontaneously or to voice.</w:t>
      </w:r>
    </w:p>
    <w:p w14:paraId="35FC4CB0" w14:textId="77777777" w:rsidR="004878DA" w:rsidRDefault="004878DA" w:rsidP="003F7EF1">
      <w:pPr>
        <w:widowControl/>
        <w:rPr>
          <w:color w:val="auto"/>
        </w:rPr>
      </w:pPr>
    </w:p>
    <w:p w14:paraId="1A2DA71D" w14:textId="77777777" w:rsidR="002431B1" w:rsidRDefault="0030653E" w:rsidP="003F7EF1">
      <w:pPr>
        <w:widowControl/>
        <w:rPr>
          <w:color w:val="auto"/>
        </w:rPr>
      </w:pPr>
      <w:r w:rsidRPr="00C006C7">
        <w:rPr>
          <w:color w:val="auto"/>
        </w:rPr>
        <w:t xml:space="preserve">1.3 Once a patient is considered eligible for advanced neuromonitoring, </w:t>
      </w:r>
      <w:r w:rsidR="0051469D" w:rsidRPr="00C006C7">
        <w:rPr>
          <w:color w:val="auto"/>
        </w:rPr>
        <w:t xml:space="preserve">obtain </w:t>
      </w:r>
      <w:r w:rsidRPr="00C006C7">
        <w:rPr>
          <w:color w:val="auto"/>
        </w:rPr>
        <w:t xml:space="preserve">operative consent </w:t>
      </w:r>
      <w:r w:rsidR="001D5E14" w:rsidRPr="00C006C7">
        <w:rPr>
          <w:color w:val="auto"/>
        </w:rPr>
        <w:t xml:space="preserve">after discussion of risks and benefits of the procedure. </w:t>
      </w:r>
    </w:p>
    <w:p w14:paraId="6CC1623F" w14:textId="77777777" w:rsidR="002431B1" w:rsidRDefault="002431B1" w:rsidP="003F7EF1">
      <w:pPr>
        <w:widowControl/>
        <w:rPr>
          <w:color w:val="auto"/>
        </w:rPr>
      </w:pPr>
    </w:p>
    <w:p w14:paraId="460039B6" w14:textId="3419CD15" w:rsidR="0030653E" w:rsidRPr="00C006C7" w:rsidRDefault="002431B1" w:rsidP="003F7EF1">
      <w:pPr>
        <w:widowControl/>
        <w:rPr>
          <w:color w:val="auto"/>
        </w:rPr>
      </w:pPr>
      <w:r>
        <w:rPr>
          <w:color w:val="auto"/>
        </w:rPr>
        <w:t xml:space="preserve">NOTE: </w:t>
      </w:r>
      <w:r w:rsidR="001D5E14" w:rsidRPr="00C006C7">
        <w:rPr>
          <w:color w:val="auto"/>
        </w:rPr>
        <w:t>Risks include an overall risk of significant hemorrhage 1.9% and a theoretical risk of infection. Benefits include ability to monitor intracranial parameters for targeted therapies, although there is no class I evidence for the use of any intracranial monitoring modality.</w:t>
      </w:r>
    </w:p>
    <w:p w14:paraId="48D23678" w14:textId="77777777" w:rsidR="004878DA" w:rsidRDefault="004878DA" w:rsidP="003F7EF1">
      <w:pPr>
        <w:widowControl/>
        <w:rPr>
          <w:b/>
          <w:color w:val="auto"/>
          <w:highlight w:val="yellow"/>
        </w:rPr>
      </w:pPr>
    </w:p>
    <w:p w14:paraId="26483C5C" w14:textId="2B0E9684" w:rsidR="001D5E14" w:rsidRPr="00C006C7" w:rsidRDefault="0030653E" w:rsidP="003F7EF1">
      <w:pPr>
        <w:widowControl/>
        <w:rPr>
          <w:b/>
          <w:color w:val="auto"/>
          <w:highlight w:val="yellow"/>
        </w:rPr>
      </w:pPr>
      <w:r w:rsidRPr="00C006C7">
        <w:rPr>
          <w:b/>
          <w:color w:val="auto"/>
          <w:highlight w:val="yellow"/>
        </w:rPr>
        <w:t xml:space="preserve">2. </w:t>
      </w:r>
      <w:r w:rsidR="001D5E14" w:rsidRPr="00C006C7">
        <w:rPr>
          <w:b/>
          <w:color w:val="auto"/>
          <w:highlight w:val="yellow"/>
        </w:rPr>
        <w:t xml:space="preserve">Preparation of </w:t>
      </w:r>
      <w:r w:rsidR="00E1118C">
        <w:rPr>
          <w:b/>
          <w:color w:val="auto"/>
          <w:highlight w:val="yellow"/>
        </w:rPr>
        <w:t>S</w:t>
      </w:r>
      <w:r w:rsidR="001D5E14" w:rsidRPr="00C006C7">
        <w:rPr>
          <w:b/>
          <w:color w:val="auto"/>
          <w:highlight w:val="yellow"/>
        </w:rPr>
        <w:t xml:space="preserve">ite and </w:t>
      </w:r>
      <w:r w:rsidR="00E1118C">
        <w:rPr>
          <w:b/>
          <w:color w:val="auto"/>
          <w:highlight w:val="yellow"/>
        </w:rPr>
        <w:t>S</w:t>
      </w:r>
      <w:r w:rsidR="001D5E14" w:rsidRPr="00C006C7">
        <w:rPr>
          <w:b/>
          <w:color w:val="auto"/>
          <w:highlight w:val="yellow"/>
        </w:rPr>
        <w:t>kin</w:t>
      </w:r>
    </w:p>
    <w:p w14:paraId="48E5869B" w14:textId="77777777" w:rsidR="004878DA" w:rsidRDefault="004878DA" w:rsidP="003F7EF1">
      <w:pPr>
        <w:widowControl/>
        <w:rPr>
          <w:color w:val="auto"/>
          <w:highlight w:val="yellow"/>
        </w:rPr>
      </w:pPr>
    </w:p>
    <w:p w14:paraId="47EAF662" w14:textId="5156A8D3" w:rsidR="001D5E14" w:rsidRPr="00C006C7" w:rsidRDefault="001D5E14" w:rsidP="003F7EF1">
      <w:pPr>
        <w:widowControl/>
        <w:rPr>
          <w:color w:val="auto"/>
          <w:highlight w:val="yellow"/>
        </w:rPr>
      </w:pPr>
      <w:r w:rsidRPr="00C006C7">
        <w:rPr>
          <w:color w:val="auto"/>
          <w:highlight w:val="yellow"/>
        </w:rPr>
        <w:t>2.1 Identify the correct location for placement of the bolt. This will be 11</w:t>
      </w:r>
      <w:r w:rsidR="00C96646">
        <w:rPr>
          <w:color w:val="auto"/>
          <w:highlight w:val="yellow"/>
        </w:rPr>
        <w:t xml:space="preserve"> </w:t>
      </w:r>
      <w:r w:rsidRPr="00C006C7">
        <w:rPr>
          <w:color w:val="auto"/>
          <w:highlight w:val="yellow"/>
        </w:rPr>
        <w:t xml:space="preserve">cm from the </w:t>
      </w:r>
      <w:proofErr w:type="spellStart"/>
      <w:r w:rsidRPr="00C006C7">
        <w:rPr>
          <w:color w:val="auto"/>
          <w:highlight w:val="yellow"/>
        </w:rPr>
        <w:t>nasion</w:t>
      </w:r>
      <w:proofErr w:type="spellEnd"/>
      <w:r w:rsidRPr="00C006C7">
        <w:rPr>
          <w:color w:val="auto"/>
          <w:highlight w:val="yellow"/>
        </w:rPr>
        <w:t xml:space="preserve"> or 1</w:t>
      </w:r>
      <w:r w:rsidR="001B2BD3">
        <w:rPr>
          <w:color w:val="auto"/>
          <w:highlight w:val="yellow"/>
        </w:rPr>
        <w:t xml:space="preserve"> </w:t>
      </w:r>
      <w:r w:rsidRPr="00C006C7">
        <w:rPr>
          <w:color w:val="auto"/>
          <w:highlight w:val="yellow"/>
        </w:rPr>
        <w:t xml:space="preserve">cm </w:t>
      </w:r>
      <w:r w:rsidR="00711C6A" w:rsidRPr="00C006C7">
        <w:rPr>
          <w:color w:val="auto"/>
          <w:highlight w:val="yellow"/>
        </w:rPr>
        <w:t>anterior to</w:t>
      </w:r>
      <w:r w:rsidRPr="00C006C7">
        <w:rPr>
          <w:color w:val="auto"/>
          <w:highlight w:val="yellow"/>
        </w:rPr>
        <w:t xml:space="preserve"> the coronal suture and 2</w:t>
      </w:r>
      <w:r w:rsidR="00322F71">
        <w:rPr>
          <w:color w:val="auto"/>
          <w:highlight w:val="yellow"/>
        </w:rPr>
        <w:t xml:space="preserve"> </w:t>
      </w:r>
      <w:r w:rsidRPr="00C006C7">
        <w:rPr>
          <w:color w:val="auto"/>
          <w:highlight w:val="yellow"/>
        </w:rPr>
        <w:t>-</w:t>
      </w:r>
      <w:r w:rsidR="00322F71">
        <w:rPr>
          <w:color w:val="auto"/>
          <w:highlight w:val="yellow"/>
        </w:rPr>
        <w:t xml:space="preserve"> </w:t>
      </w:r>
      <w:r w:rsidRPr="00C006C7">
        <w:rPr>
          <w:color w:val="auto"/>
          <w:highlight w:val="yellow"/>
        </w:rPr>
        <w:t xml:space="preserve">3 cm laterally at about the mid-pupillary line. </w:t>
      </w:r>
    </w:p>
    <w:p w14:paraId="73B09C09" w14:textId="77777777" w:rsidR="004878DA" w:rsidRDefault="004878DA" w:rsidP="003F7EF1">
      <w:pPr>
        <w:widowControl/>
        <w:rPr>
          <w:color w:val="auto"/>
          <w:highlight w:val="yellow"/>
        </w:rPr>
      </w:pPr>
    </w:p>
    <w:p w14:paraId="790BDB22" w14:textId="37BEFA6F" w:rsidR="001D5E14" w:rsidRPr="00C006C7" w:rsidRDefault="001D5E14" w:rsidP="003F7EF1">
      <w:pPr>
        <w:widowControl/>
        <w:rPr>
          <w:color w:val="auto"/>
          <w:highlight w:val="yellow"/>
        </w:rPr>
      </w:pPr>
      <w:r w:rsidRPr="00C006C7">
        <w:rPr>
          <w:color w:val="auto"/>
          <w:highlight w:val="yellow"/>
        </w:rPr>
        <w:t xml:space="preserve">2.2 </w:t>
      </w:r>
      <w:r w:rsidR="00711C6A" w:rsidRPr="00C006C7">
        <w:rPr>
          <w:color w:val="auto"/>
          <w:highlight w:val="yellow"/>
        </w:rPr>
        <w:t>Clip hair in</w:t>
      </w:r>
      <w:r w:rsidRPr="00C006C7">
        <w:rPr>
          <w:color w:val="auto"/>
          <w:highlight w:val="yellow"/>
        </w:rPr>
        <w:t xml:space="preserve"> the region of the scalp through which the bolt will be placed as identified in </w:t>
      </w:r>
      <w:r w:rsidR="00DA12B3">
        <w:rPr>
          <w:color w:val="auto"/>
          <w:highlight w:val="yellow"/>
        </w:rPr>
        <w:t>step 2.1</w:t>
      </w:r>
      <w:r w:rsidRPr="00C006C7">
        <w:rPr>
          <w:color w:val="auto"/>
          <w:highlight w:val="yellow"/>
        </w:rPr>
        <w:t>. Then re-identify the correct location once more and mark with a pen or a marker.</w:t>
      </w:r>
    </w:p>
    <w:p w14:paraId="079C92F1" w14:textId="77777777" w:rsidR="004878DA" w:rsidRDefault="004878DA" w:rsidP="003F7EF1">
      <w:pPr>
        <w:widowControl/>
        <w:rPr>
          <w:color w:val="auto"/>
          <w:highlight w:val="yellow"/>
        </w:rPr>
      </w:pPr>
    </w:p>
    <w:p w14:paraId="436FFFB0" w14:textId="5A8D20AF" w:rsidR="001D5E14" w:rsidRPr="00C006C7" w:rsidRDefault="001D5E14" w:rsidP="003F7EF1">
      <w:pPr>
        <w:widowControl/>
        <w:rPr>
          <w:color w:val="auto"/>
          <w:highlight w:val="yellow"/>
        </w:rPr>
      </w:pPr>
      <w:r w:rsidRPr="00C006C7">
        <w:rPr>
          <w:color w:val="auto"/>
          <w:highlight w:val="yellow"/>
        </w:rPr>
        <w:t>2.3 Immobilize the head by using tape or other securing strategy to ensure that the head does not move during the burr hole placement.</w:t>
      </w:r>
    </w:p>
    <w:p w14:paraId="12812BB3" w14:textId="77777777" w:rsidR="004878DA" w:rsidRDefault="004878DA" w:rsidP="003F7EF1">
      <w:pPr>
        <w:widowControl/>
        <w:rPr>
          <w:color w:val="auto"/>
          <w:highlight w:val="yellow"/>
        </w:rPr>
      </w:pPr>
    </w:p>
    <w:p w14:paraId="5A252970" w14:textId="77777777" w:rsidR="00F75BB6" w:rsidRDefault="001D5E14" w:rsidP="003F7EF1">
      <w:pPr>
        <w:widowControl/>
        <w:rPr>
          <w:color w:val="auto"/>
          <w:highlight w:val="yellow"/>
        </w:rPr>
      </w:pPr>
      <w:r w:rsidRPr="00C006C7">
        <w:rPr>
          <w:color w:val="auto"/>
          <w:highlight w:val="yellow"/>
        </w:rPr>
        <w:t xml:space="preserve">2.4 Sterilize the area using </w:t>
      </w:r>
      <w:r w:rsidR="00711C6A" w:rsidRPr="00C006C7">
        <w:rPr>
          <w:color w:val="auto"/>
          <w:highlight w:val="yellow"/>
        </w:rPr>
        <w:t>betad</w:t>
      </w:r>
      <w:r w:rsidRPr="00C006C7">
        <w:rPr>
          <w:color w:val="auto"/>
          <w:highlight w:val="yellow"/>
        </w:rPr>
        <w:t xml:space="preserve">ine </w:t>
      </w:r>
      <w:r w:rsidR="00711C6A" w:rsidRPr="00C006C7">
        <w:rPr>
          <w:color w:val="auto"/>
          <w:highlight w:val="yellow"/>
        </w:rPr>
        <w:t xml:space="preserve">solution, </w:t>
      </w:r>
      <w:r w:rsidRPr="00C006C7">
        <w:rPr>
          <w:color w:val="auto"/>
          <w:highlight w:val="yellow"/>
        </w:rPr>
        <w:t>allowing the prepared area to dry fully.</w:t>
      </w:r>
      <w:r w:rsidR="00711C6A" w:rsidRPr="00C006C7">
        <w:rPr>
          <w:color w:val="auto"/>
          <w:highlight w:val="yellow"/>
        </w:rPr>
        <w:t xml:space="preserve"> </w:t>
      </w:r>
    </w:p>
    <w:p w14:paraId="33060743" w14:textId="77777777" w:rsidR="00F75BB6" w:rsidRDefault="00F75BB6" w:rsidP="003F7EF1">
      <w:pPr>
        <w:widowControl/>
        <w:rPr>
          <w:color w:val="auto"/>
          <w:highlight w:val="yellow"/>
        </w:rPr>
      </w:pPr>
    </w:p>
    <w:p w14:paraId="29160CCA" w14:textId="2139E89F" w:rsidR="001D5E14" w:rsidRPr="00C006C7" w:rsidRDefault="00F75BB6" w:rsidP="003F7EF1">
      <w:pPr>
        <w:widowControl/>
        <w:rPr>
          <w:color w:val="auto"/>
          <w:highlight w:val="yellow"/>
        </w:rPr>
      </w:pPr>
      <w:r>
        <w:rPr>
          <w:color w:val="auto"/>
          <w:highlight w:val="yellow"/>
        </w:rPr>
        <w:t xml:space="preserve">NOTE: </w:t>
      </w:r>
      <w:r w:rsidR="00711C6A" w:rsidRPr="00C006C7">
        <w:rPr>
          <w:color w:val="auto"/>
          <w:highlight w:val="yellow"/>
        </w:rPr>
        <w:t xml:space="preserve">Commercial chlorhexidine solutions may </w:t>
      </w:r>
      <w:r w:rsidR="0051469D" w:rsidRPr="00C006C7">
        <w:rPr>
          <w:color w:val="auto"/>
          <w:highlight w:val="yellow"/>
        </w:rPr>
        <w:t xml:space="preserve">contain indications </w:t>
      </w:r>
      <w:r w:rsidR="00711C6A" w:rsidRPr="00C006C7">
        <w:rPr>
          <w:color w:val="auto"/>
          <w:highlight w:val="yellow"/>
        </w:rPr>
        <w:t>that they are not for use when in contact with cerebrospinal fluid due to neurotoxicity.</w:t>
      </w:r>
    </w:p>
    <w:p w14:paraId="4F659F32" w14:textId="77777777" w:rsidR="004878DA" w:rsidRDefault="004878DA" w:rsidP="003F7EF1">
      <w:pPr>
        <w:widowControl/>
        <w:rPr>
          <w:color w:val="auto"/>
        </w:rPr>
      </w:pPr>
    </w:p>
    <w:p w14:paraId="2BE8E02E" w14:textId="21A57CA8" w:rsidR="001D5E14" w:rsidRPr="00C006C7" w:rsidRDefault="001D5E14" w:rsidP="003F7EF1">
      <w:pPr>
        <w:widowControl/>
        <w:rPr>
          <w:color w:val="auto"/>
        </w:rPr>
      </w:pPr>
      <w:r w:rsidRPr="00C006C7">
        <w:rPr>
          <w:color w:val="auto"/>
        </w:rPr>
        <w:t>2.5 Using 10</w:t>
      </w:r>
      <w:r w:rsidR="00A875FA">
        <w:rPr>
          <w:color w:val="auto"/>
        </w:rPr>
        <w:t xml:space="preserve"> </w:t>
      </w:r>
      <w:r w:rsidRPr="00C006C7">
        <w:rPr>
          <w:color w:val="auto"/>
        </w:rPr>
        <w:t xml:space="preserve">cc of 1% lidocaine with epinephrine, provide adequate analgesia to the location marked in </w:t>
      </w:r>
      <w:r w:rsidR="0008219C" w:rsidRPr="00C006C7">
        <w:rPr>
          <w:color w:val="auto"/>
        </w:rPr>
        <w:t>step</w:t>
      </w:r>
      <w:r w:rsidR="007326E5">
        <w:rPr>
          <w:color w:val="auto"/>
        </w:rPr>
        <w:t xml:space="preserve"> 2.2</w:t>
      </w:r>
      <w:r w:rsidR="0008219C" w:rsidRPr="00C006C7">
        <w:rPr>
          <w:color w:val="auto"/>
        </w:rPr>
        <w:t>. Begin with the skin, creating a large wheal, then advance the needle to the periosteal surface and inject several cc as the needle is retracted slowly to the surface of the skin.</w:t>
      </w:r>
    </w:p>
    <w:p w14:paraId="03BDEC8D" w14:textId="77777777" w:rsidR="004878DA" w:rsidRDefault="004878DA" w:rsidP="003F7EF1">
      <w:pPr>
        <w:widowControl/>
        <w:rPr>
          <w:b/>
          <w:color w:val="auto"/>
          <w:highlight w:val="yellow"/>
        </w:rPr>
      </w:pPr>
    </w:p>
    <w:p w14:paraId="36738839" w14:textId="631D7939" w:rsidR="0008219C" w:rsidRPr="00C006C7" w:rsidRDefault="0008219C" w:rsidP="003F7EF1">
      <w:pPr>
        <w:widowControl/>
        <w:rPr>
          <w:b/>
          <w:color w:val="auto"/>
          <w:highlight w:val="yellow"/>
        </w:rPr>
      </w:pPr>
      <w:r w:rsidRPr="00C006C7">
        <w:rPr>
          <w:b/>
          <w:color w:val="auto"/>
          <w:highlight w:val="yellow"/>
        </w:rPr>
        <w:t>3. Prepar</w:t>
      </w:r>
      <w:r w:rsidR="00F00684">
        <w:rPr>
          <w:b/>
          <w:color w:val="auto"/>
          <w:highlight w:val="yellow"/>
        </w:rPr>
        <w:t>ation of</w:t>
      </w:r>
      <w:r w:rsidRPr="00C006C7">
        <w:rPr>
          <w:b/>
          <w:color w:val="auto"/>
          <w:highlight w:val="yellow"/>
        </w:rPr>
        <w:t xml:space="preserve"> Equipment</w:t>
      </w:r>
    </w:p>
    <w:p w14:paraId="5724A222" w14:textId="77777777" w:rsidR="004878DA" w:rsidRDefault="004878DA" w:rsidP="003F7EF1">
      <w:pPr>
        <w:widowControl/>
        <w:rPr>
          <w:color w:val="auto"/>
          <w:highlight w:val="yellow"/>
        </w:rPr>
      </w:pPr>
    </w:p>
    <w:p w14:paraId="57E3DF07" w14:textId="54CF46F0" w:rsidR="0008219C" w:rsidRPr="00C006C7" w:rsidRDefault="0008219C" w:rsidP="003F7EF1">
      <w:pPr>
        <w:widowControl/>
        <w:rPr>
          <w:color w:val="auto"/>
          <w:highlight w:val="yellow"/>
        </w:rPr>
      </w:pPr>
      <w:r w:rsidRPr="00C006C7">
        <w:rPr>
          <w:color w:val="auto"/>
          <w:highlight w:val="yellow"/>
        </w:rPr>
        <w:t>3.1 Set up a sterile table with the following equipment</w:t>
      </w:r>
      <w:r w:rsidR="00103367">
        <w:rPr>
          <w:color w:val="auto"/>
          <w:highlight w:val="yellow"/>
        </w:rPr>
        <w:t>.</w:t>
      </w:r>
    </w:p>
    <w:p w14:paraId="78A5542F" w14:textId="77777777" w:rsidR="004878DA" w:rsidRDefault="004878DA" w:rsidP="003F7EF1">
      <w:pPr>
        <w:widowControl/>
        <w:rPr>
          <w:color w:val="auto"/>
          <w:highlight w:val="yellow"/>
        </w:rPr>
      </w:pPr>
    </w:p>
    <w:p w14:paraId="0DE7DD25" w14:textId="67BC0EE9" w:rsidR="0008219C" w:rsidRPr="00C006C7" w:rsidRDefault="0008219C" w:rsidP="003F7EF1">
      <w:pPr>
        <w:widowControl/>
        <w:rPr>
          <w:color w:val="auto"/>
          <w:highlight w:val="yellow"/>
        </w:rPr>
      </w:pPr>
      <w:r w:rsidRPr="00C006C7">
        <w:rPr>
          <w:color w:val="auto"/>
          <w:highlight w:val="yellow"/>
        </w:rPr>
        <w:t xml:space="preserve">3.1.1 </w:t>
      </w:r>
      <w:r w:rsidR="00D03F4A">
        <w:rPr>
          <w:color w:val="auto"/>
          <w:highlight w:val="yellow"/>
        </w:rPr>
        <w:t>Prepare a</w:t>
      </w:r>
      <w:r w:rsidR="00711C6A" w:rsidRPr="00C006C7">
        <w:rPr>
          <w:color w:val="auto"/>
          <w:highlight w:val="yellow"/>
        </w:rPr>
        <w:t xml:space="preserve"> cranial access kit or comparable set of instruments </w:t>
      </w:r>
      <w:r w:rsidR="00D03F4A">
        <w:rPr>
          <w:color w:val="auto"/>
          <w:highlight w:val="yellow"/>
        </w:rPr>
        <w:t>that</w:t>
      </w:r>
      <w:r w:rsidR="00711C6A" w:rsidRPr="00C006C7">
        <w:rPr>
          <w:color w:val="auto"/>
          <w:highlight w:val="yellow"/>
        </w:rPr>
        <w:t xml:space="preserve"> include a scalpel blade, hemostat, forceps, gauze, and a hand-held twist drill. </w:t>
      </w:r>
    </w:p>
    <w:p w14:paraId="4D9B824C" w14:textId="77777777" w:rsidR="004878DA" w:rsidRDefault="004878DA" w:rsidP="003F7EF1">
      <w:pPr>
        <w:widowControl/>
        <w:rPr>
          <w:color w:val="auto"/>
          <w:highlight w:val="yellow"/>
        </w:rPr>
      </w:pPr>
    </w:p>
    <w:p w14:paraId="13106B24" w14:textId="3C1CDFA6" w:rsidR="00546DEC" w:rsidRPr="00C006C7" w:rsidRDefault="00546DEC" w:rsidP="003F7EF1">
      <w:pPr>
        <w:widowControl/>
        <w:rPr>
          <w:color w:val="auto"/>
          <w:highlight w:val="yellow"/>
        </w:rPr>
      </w:pPr>
      <w:r w:rsidRPr="00C006C7">
        <w:rPr>
          <w:color w:val="auto"/>
          <w:highlight w:val="yellow"/>
        </w:rPr>
        <w:t>3.1.2 Open intracranial monitors onto the sterile field</w:t>
      </w:r>
      <w:r w:rsidR="00313053" w:rsidRPr="00C006C7">
        <w:rPr>
          <w:color w:val="auto"/>
          <w:highlight w:val="yellow"/>
        </w:rPr>
        <w:t xml:space="preserve"> (</w:t>
      </w:r>
      <w:r w:rsidR="00C006C7" w:rsidRPr="00C006C7">
        <w:rPr>
          <w:b/>
          <w:color w:val="auto"/>
          <w:highlight w:val="yellow"/>
        </w:rPr>
        <w:t>Table 1</w:t>
      </w:r>
      <w:r w:rsidR="00F67ACE">
        <w:rPr>
          <w:color w:val="auto"/>
          <w:highlight w:val="yellow"/>
        </w:rPr>
        <w:t xml:space="preserve"> and </w:t>
      </w:r>
      <w:r w:rsidR="00F67ACE">
        <w:rPr>
          <w:b/>
          <w:color w:val="auto"/>
          <w:highlight w:val="yellow"/>
        </w:rPr>
        <w:t>Table of Materials</w:t>
      </w:r>
      <w:r w:rsidR="00313053" w:rsidRPr="00C006C7">
        <w:rPr>
          <w:color w:val="auto"/>
          <w:highlight w:val="yellow"/>
        </w:rPr>
        <w:t>)</w:t>
      </w:r>
      <w:r w:rsidRPr="00C006C7">
        <w:rPr>
          <w:color w:val="auto"/>
          <w:highlight w:val="yellow"/>
        </w:rPr>
        <w:t>, including</w:t>
      </w:r>
      <w:r w:rsidR="00EC6C85">
        <w:rPr>
          <w:color w:val="auto"/>
          <w:highlight w:val="yellow"/>
        </w:rPr>
        <w:t xml:space="preserve"> (</w:t>
      </w:r>
      <w:proofErr w:type="spellStart"/>
      <w:r w:rsidR="00EC6C85">
        <w:rPr>
          <w:color w:val="auto"/>
          <w:highlight w:val="yellow"/>
        </w:rPr>
        <w:t>i</w:t>
      </w:r>
      <w:proofErr w:type="spellEnd"/>
      <w:r w:rsidR="00EC6C85">
        <w:rPr>
          <w:color w:val="auto"/>
          <w:highlight w:val="yellow"/>
        </w:rPr>
        <w:t>)</w:t>
      </w:r>
      <w:r w:rsidRPr="00C006C7">
        <w:rPr>
          <w:color w:val="auto"/>
          <w:highlight w:val="yellow"/>
        </w:rPr>
        <w:t xml:space="preserve"> </w:t>
      </w:r>
      <w:r w:rsidR="00EC6C85">
        <w:rPr>
          <w:color w:val="auto"/>
          <w:highlight w:val="yellow"/>
        </w:rPr>
        <w:t>q</w:t>
      </w:r>
      <w:r w:rsidR="00C746E7" w:rsidRPr="00C006C7">
        <w:rPr>
          <w:color w:val="auto"/>
          <w:highlight w:val="yellow"/>
        </w:rPr>
        <w:t xml:space="preserve">uad </w:t>
      </w:r>
      <w:r w:rsidR="00EC6C85" w:rsidRPr="00C006C7">
        <w:rPr>
          <w:color w:val="auto"/>
          <w:highlight w:val="yellow"/>
        </w:rPr>
        <w:t>lumen bolt kit</w:t>
      </w:r>
      <w:r w:rsidR="00EC6C85" w:rsidRPr="00C006C7" w:rsidDel="00C746E7">
        <w:rPr>
          <w:color w:val="auto"/>
          <w:highlight w:val="yellow"/>
        </w:rPr>
        <w:t xml:space="preserve"> </w:t>
      </w:r>
      <w:r w:rsidRPr="00C006C7">
        <w:rPr>
          <w:color w:val="auto"/>
          <w:highlight w:val="yellow"/>
        </w:rPr>
        <w:t>and locking nuts (up to 4)</w:t>
      </w:r>
      <w:r w:rsidR="00711C6A" w:rsidRPr="00C006C7">
        <w:rPr>
          <w:color w:val="auto"/>
          <w:highlight w:val="yellow"/>
        </w:rPr>
        <w:t>; this kit will also include a 5.3 mm cranial drill bit</w:t>
      </w:r>
      <w:r w:rsidR="00983930">
        <w:rPr>
          <w:color w:val="auto"/>
          <w:highlight w:val="yellow"/>
        </w:rPr>
        <w:t xml:space="preserve"> to</w:t>
      </w:r>
      <w:r w:rsidR="00711C6A" w:rsidRPr="00C006C7">
        <w:rPr>
          <w:color w:val="auto"/>
          <w:highlight w:val="yellow"/>
        </w:rPr>
        <w:t xml:space="preserve"> be used with the hand-held twist drill (</w:t>
      </w:r>
      <w:r w:rsidR="00103367">
        <w:rPr>
          <w:color w:val="auto"/>
          <w:highlight w:val="yellow"/>
        </w:rPr>
        <w:t xml:space="preserve">step </w:t>
      </w:r>
      <w:r w:rsidR="00711C6A" w:rsidRPr="00C006C7">
        <w:rPr>
          <w:color w:val="auto"/>
          <w:highlight w:val="yellow"/>
        </w:rPr>
        <w:t>3.1.1)</w:t>
      </w:r>
      <w:r w:rsidR="00EC6C85">
        <w:rPr>
          <w:color w:val="auto"/>
          <w:highlight w:val="yellow"/>
        </w:rPr>
        <w:t xml:space="preserve">; (ii) the </w:t>
      </w:r>
      <w:r w:rsidR="00C746E7" w:rsidRPr="00C006C7">
        <w:rPr>
          <w:color w:val="auto"/>
          <w:highlight w:val="yellow"/>
        </w:rPr>
        <w:t>ICP/PbtO2 probe</w:t>
      </w:r>
      <w:r w:rsidR="000056CB">
        <w:rPr>
          <w:color w:val="auto"/>
          <w:highlight w:val="yellow"/>
        </w:rPr>
        <w:t xml:space="preserve">; (iii) the </w:t>
      </w:r>
      <w:proofErr w:type="spellStart"/>
      <w:r w:rsidR="00C746E7" w:rsidRPr="00C006C7">
        <w:rPr>
          <w:color w:val="auto"/>
          <w:highlight w:val="yellow"/>
        </w:rPr>
        <w:t>rCBF</w:t>
      </w:r>
      <w:proofErr w:type="spellEnd"/>
      <w:r w:rsidR="00C746E7" w:rsidRPr="00C006C7">
        <w:rPr>
          <w:color w:val="auto"/>
          <w:highlight w:val="yellow"/>
        </w:rPr>
        <w:t xml:space="preserve"> probe</w:t>
      </w:r>
      <w:r w:rsidR="000056CB">
        <w:rPr>
          <w:color w:val="auto"/>
          <w:highlight w:val="yellow"/>
        </w:rPr>
        <w:t>; (iv) the d</w:t>
      </w:r>
      <w:r w:rsidR="00C746E7" w:rsidRPr="00C006C7">
        <w:rPr>
          <w:color w:val="auto"/>
          <w:highlight w:val="yellow"/>
        </w:rPr>
        <w:t xml:space="preserve">epth </w:t>
      </w:r>
      <w:r w:rsidR="000056CB">
        <w:rPr>
          <w:color w:val="auto"/>
          <w:highlight w:val="yellow"/>
        </w:rPr>
        <w:t>e</w:t>
      </w:r>
      <w:r w:rsidR="00C746E7" w:rsidRPr="00C006C7">
        <w:rPr>
          <w:color w:val="auto"/>
          <w:highlight w:val="yellow"/>
        </w:rPr>
        <w:t>lectrode with stylet</w:t>
      </w:r>
      <w:r w:rsidR="000056CB">
        <w:rPr>
          <w:color w:val="auto"/>
          <w:highlight w:val="yellow"/>
        </w:rPr>
        <w:t>; (v) o</w:t>
      </w:r>
      <w:r w:rsidR="00C746E7" w:rsidRPr="00C006C7">
        <w:rPr>
          <w:color w:val="auto"/>
          <w:highlight w:val="yellow"/>
        </w:rPr>
        <w:t>ptional</w:t>
      </w:r>
      <w:r w:rsidR="00D24E60">
        <w:rPr>
          <w:color w:val="auto"/>
          <w:highlight w:val="yellow"/>
        </w:rPr>
        <w:t>ly</w:t>
      </w:r>
      <w:r w:rsidR="00C746E7" w:rsidRPr="00C006C7">
        <w:rPr>
          <w:color w:val="auto"/>
          <w:highlight w:val="yellow"/>
        </w:rPr>
        <w:t xml:space="preserve"> (not shown)</w:t>
      </w:r>
      <w:r w:rsidR="00D24E60">
        <w:rPr>
          <w:color w:val="auto"/>
          <w:highlight w:val="yellow"/>
        </w:rPr>
        <w:t>,</w:t>
      </w:r>
      <w:r w:rsidRPr="00C006C7">
        <w:rPr>
          <w:color w:val="auto"/>
          <w:highlight w:val="yellow"/>
        </w:rPr>
        <w:t xml:space="preserve"> </w:t>
      </w:r>
      <w:r w:rsidR="00C746E7" w:rsidRPr="00C006C7">
        <w:rPr>
          <w:color w:val="auto"/>
          <w:highlight w:val="yellow"/>
        </w:rPr>
        <w:t xml:space="preserve">70 </w:t>
      </w:r>
      <w:proofErr w:type="spellStart"/>
      <w:r w:rsidR="000056CB" w:rsidRPr="00C006C7">
        <w:rPr>
          <w:color w:val="auto"/>
          <w:highlight w:val="yellow"/>
        </w:rPr>
        <w:t>microdialysis</w:t>
      </w:r>
      <w:proofErr w:type="spellEnd"/>
      <w:r w:rsidR="000056CB" w:rsidRPr="00C006C7">
        <w:rPr>
          <w:color w:val="auto"/>
          <w:highlight w:val="yellow"/>
        </w:rPr>
        <w:t xml:space="preserve"> bolt catheter </w:t>
      </w:r>
      <w:r w:rsidRPr="00C006C7">
        <w:rPr>
          <w:color w:val="auto"/>
          <w:highlight w:val="yellow"/>
        </w:rPr>
        <w:t xml:space="preserve">or other intracranial </w:t>
      </w:r>
      <w:r w:rsidR="00711C6A" w:rsidRPr="00C006C7">
        <w:rPr>
          <w:color w:val="auto"/>
          <w:highlight w:val="yellow"/>
        </w:rPr>
        <w:t>probe</w:t>
      </w:r>
      <w:r w:rsidR="000056CB">
        <w:rPr>
          <w:color w:val="auto"/>
          <w:highlight w:val="yellow"/>
        </w:rPr>
        <w:t>.</w:t>
      </w:r>
    </w:p>
    <w:p w14:paraId="6F24E38F" w14:textId="77777777" w:rsidR="004878DA" w:rsidRDefault="004878DA" w:rsidP="003F7EF1">
      <w:pPr>
        <w:widowControl/>
        <w:rPr>
          <w:color w:val="auto"/>
          <w:highlight w:val="yellow"/>
        </w:rPr>
      </w:pPr>
    </w:p>
    <w:p w14:paraId="2258BC7E" w14:textId="56C5E207" w:rsidR="00546DEC" w:rsidRPr="00C006C7" w:rsidRDefault="00546DEC" w:rsidP="003F7EF1">
      <w:pPr>
        <w:widowControl/>
        <w:rPr>
          <w:color w:val="auto"/>
          <w:highlight w:val="yellow"/>
        </w:rPr>
      </w:pPr>
      <w:r w:rsidRPr="00C006C7">
        <w:rPr>
          <w:color w:val="auto"/>
          <w:highlight w:val="yellow"/>
        </w:rPr>
        <w:t xml:space="preserve">3.1.3 Thread each </w:t>
      </w:r>
      <w:r w:rsidR="00711C6A" w:rsidRPr="00C006C7">
        <w:rPr>
          <w:color w:val="auto"/>
          <w:highlight w:val="yellow"/>
        </w:rPr>
        <w:t>probe</w:t>
      </w:r>
      <w:r w:rsidRPr="00C006C7">
        <w:rPr>
          <w:color w:val="auto"/>
          <w:highlight w:val="yellow"/>
        </w:rPr>
        <w:t xml:space="preserve"> through a locking nut and subsequent insert through one of the lumens of the bolt. The </w:t>
      </w:r>
      <w:r w:rsidR="00085E44" w:rsidRPr="00C006C7">
        <w:rPr>
          <w:color w:val="auto"/>
          <w:highlight w:val="yellow"/>
        </w:rPr>
        <w:t xml:space="preserve">ICP/PbtO2 </w:t>
      </w:r>
      <w:r w:rsidR="00711C6A" w:rsidRPr="00C006C7">
        <w:rPr>
          <w:color w:val="auto"/>
          <w:highlight w:val="yellow"/>
        </w:rPr>
        <w:t>probe</w:t>
      </w:r>
      <w:r w:rsidRPr="00C006C7">
        <w:rPr>
          <w:color w:val="auto"/>
          <w:highlight w:val="yellow"/>
        </w:rPr>
        <w:t xml:space="preserve">, the thickest </w:t>
      </w:r>
      <w:r w:rsidR="00711C6A" w:rsidRPr="00C006C7">
        <w:rPr>
          <w:color w:val="auto"/>
          <w:highlight w:val="yellow"/>
        </w:rPr>
        <w:t>probe</w:t>
      </w:r>
      <w:r w:rsidRPr="00C006C7">
        <w:rPr>
          <w:color w:val="auto"/>
          <w:highlight w:val="yellow"/>
        </w:rPr>
        <w:t xml:space="preserve">, is placed preferentially in the tallest lumen, whereas the other </w:t>
      </w:r>
      <w:r w:rsidR="00711C6A" w:rsidRPr="00C006C7">
        <w:rPr>
          <w:color w:val="auto"/>
          <w:highlight w:val="yellow"/>
        </w:rPr>
        <w:t>probe</w:t>
      </w:r>
      <w:r w:rsidRPr="00C006C7">
        <w:rPr>
          <w:color w:val="auto"/>
          <w:highlight w:val="yellow"/>
        </w:rPr>
        <w:t>s can fit through any remaining lumens.</w:t>
      </w:r>
    </w:p>
    <w:p w14:paraId="1AC717BF" w14:textId="77777777" w:rsidR="004878DA" w:rsidRDefault="004878DA" w:rsidP="003F7EF1">
      <w:pPr>
        <w:widowControl/>
        <w:rPr>
          <w:color w:val="auto"/>
          <w:highlight w:val="yellow"/>
        </w:rPr>
      </w:pPr>
    </w:p>
    <w:p w14:paraId="253BB47F" w14:textId="6863E99E" w:rsidR="00546DEC" w:rsidRPr="00C006C7" w:rsidRDefault="00546DEC" w:rsidP="003F7EF1">
      <w:pPr>
        <w:widowControl/>
        <w:rPr>
          <w:color w:val="auto"/>
          <w:highlight w:val="yellow"/>
        </w:rPr>
      </w:pPr>
      <w:r w:rsidRPr="00C006C7">
        <w:rPr>
          <w:color w:val="auto"/>
          <w:highlight w:val="yellow"/>
        </w:rPr>
        <w:t xml:space="preserve">3.1.4 </w:t>
      </w:r>
      <w:r w:rsidR="00B66EC7" w:rsidRPr="00C006C7">
        <w:rPr>
          <w:color w:val="auto"/>
          <w:highlight w:val="yellow"/>
        </w:rPr>
        <w:t>M</w:t>
      </w:r>
      <w:r w:rsidRPr="00C006C7">
        <w:rPr>
          <w:color w:val="auto"/>
          <w:highlight w:val="yellow"/>
        </w:rPr>
        <w:t xml:space="preserve">easure the distance from the end of the bolt to the tip of each </w:t>
      </w:r>
      <w:r w:rsidR="00711C6A" w:rsidRPr="00C006C7">
        <w:rPr>
          <w:color w:val="auto"/>
          <w:highlight w:val="yellow"/>
        </w:rPr>
        <w:t>probe</w:t>
      </w:r>
      <w:r w:rsidRPr="00C006C7">
        <w:rPr>
          <w:color w:val="auto"/>
          <w:highlight w:val="yellow"/>
        </w:rPr>
        <w:t xml:space="preserve"> at 2.5</w:t>
      </w:r>
      <w:r w:rsidR="00D2221A">
        <w:rPr>
          <w:color w:val="auto"/>
          <w:highlight w:val="yellow"/>
        </w:rPr>
        <w:t xml:space="preserve"> - </w:t>
      </w:r>
      <w:r w:rsidRPr="00C006C7">
        <w:rPr>
          <w:color w:val="auto"/>
          <w:highlight w:val="yellow"/>
        </w:rPr>
        <w:t>3</w:t>
      </w:r>
      <w:r w:rsidR="00D2221A">
        <w:rPr>
          <w:color w:val="auto"/>
          <w:highlight w:val="yellow"/>
        </w:rPr>
        <w:t xml:space="preserve"> </w:t>
      </w:r>
      <w:r w:rsidRPr="00C006C7">
        <w:rPr>
          <w:color w:val="auto"/>
          <w:highlight w:val="yellow"/>
        </w:rPr>
        <w:t xml:space="preserve">cm. </w:t>
      </w:r>
      <w:r w:rsidR="0051469D" w:rsidRPr="00C006C7">
        <w:rPr>
          <w:color w:val="auto"/>
          <w:highlight w:val="yellow"/>
        </w:rPr>
        <w:t>Advance t</w:t>
      </w:r>
      <w:r w:rsidRPr="00C006C7">
        <w:rPr>
          <w:color w:val="auto"/>
          <w:highlight w:val="yellow"/>
        </w:rPr>
        <w:t>he depth electrode until the most proximal electrode is just outside the end of the bolt.</w:t>
      </w:r>
    </w:p>
    <w:p w14:paraId="7970B5FC" w14:textId="77777777" w:rsidR="004878DA" w:rsidRDefault="004878DA" w:rsidP="003F7EF1">
      <w:pPr>
        <w:widowControl/>
        <w:rPr>
          <w:color w:val="auto"/>
          <w:highlight w:val="yellow"/>
        </w:rPr>
      </w:pPr>
    </w:p>
    <w:p w14:paraId="7C8E8A73" w14:textId="313FD8E6" w:rsidR="00546DEC" w:rsidRPr="00C006C7" w:rsidRDefault="00546DEC" w:rsidP="003F7EF1">
      <w:pPr>
        <w:widowControl/>
        <w:rPr>
          <w:color w:val="auto"/>
          <w:highlight w:val="yellow"/>
        </w:rPr>
      </w:pPr>
      <w:r w:rsidRPr="00C006C7">
        <w:rPr>
          <w:color w:val="auto"/>
          <w:highlight w:val="yellow"/>
        </w:rPr>
        <w:t xml:space="preserve">3.1.5 Once the </w:t>
      </w:r>
      <w:r w:rsidR="00711C6A" w:rsidRPr="00C006C7">
        <w:rPr>
          <w:color w:val="auto"/>
          <w:highlight w:val="yellow"/>
        </w:rPr>
        <w:t>probe</w:t>
      </w:r>
      <w:r w:rsidRPr="00C006C7">
        <w:rPr>
          <w:color w:val="auto"/>
          <w:highlight w:val="yellow"/>
        </w:rPr>
        <w:t xml:space="preserve"> is placed the appropriate distance from the end of the bolt,</w:t>
      </w:r>
      <w:r w:rsidR="0051469D" w:rsidRPr="00C006C7">
        <w:rPr>
          <w:color w:val="auto"/>
          <w:highlight w:val="yellow"/>
        </w:rPr>
        <w:t xml:space="preserve"> tighten</w:t>
      </w:r>
      <w:r w:rsidRPr="00C006C7">
        <w:rPr>
          <w:color w:val="auto"/>
          <w:highlight w:val="yellow"/>
        </w:rPr>
        <w:t xml:space="preserve"> the locking nut on the lumen of the bolt and then the </w:t>
      </w:r>
      <w:r w:rsidR="00711C6A" w:rsidRPr="00C006C7">
        <w:rPr>
          <w:color w:val="auto"/>
          <w:highlight w:val="yellow"/>
        </w:rPr>
        <w:t>probe</w:t>
      </w:r>
      <w:r w:rsidRPr="00C006C7">
        <w:rPr>
          <w:color w:val="auto"/>
          <w:highlight w:val="yellow"/>
        </w:rPr>
        <w:t xml:space="preserve"> itself, locking in place on the </w:t>
      </w:r>
      <w:r w:rsidR="00711C6A" w:rsidRPr="00C006C7">
        <w:rPr>
          <w:color w:val="auto"/>
          <w:highlight w:val="yellow"/>
        </w:rPr>
        <w:t>probe</w:t>
      </w:r>
      <w:r w:rsidRPr="00C006C7">
        <w:rPr>
          <w:color w:val="auto"/>
          <w:highlight w:val="yellow"/>
        </w:rPr>
        <w:t>.</w:t>
      </w:r>
    </w:p>
    <w:p w14:paraId="6F205E40" w14:textId="77777777" w:rsidR="004878DA" w:rsidRDefault="004878DA" w:rsidP="003F7EF1">
      <w:pPr>
        <w:widowControl/>
        <w:rPr>
          <w:color w:val="auto"/>
          <w:highlight w:val="yellow"/>
        </w:rPr>
      </w:pPr>
    </w:p>
    <w:p w14:paraId="2D76606B" w14:textId="1FF7590F" w:rsidR="00546DEC" w:rsidRPr="00C006C7" w:rsidRDefault="00546DEC" w:rsidP="003F7EF1">
      <w:pPr>
        <w:widowControl/>
        <w:rPr>
          <w:color w:val="auto"/>
          <w:highlight w:val="yellow"/>
        </w:rPr>
      </w:pPr>
      <w:r w:rsidRPr="00C006C7">
        <w:rPr>
          <w:color w:val="auto"/>
          <w:highlight w:val="yellow"/>
        </w:rPr>
        <w:t xml:space="preserve">3.1.6 Once the locking nut is tight, loosen the nut from the lumen and remove each </w:t>
      </w:r>
      <w:r w:rsidR="00711C6A" w:rsidRPr="00C006C7">
        <w:rPr>
          <w:color w:val="auto"/>
          <w:highlight w:val="yellow"/>
        </w:rPr>
        <w:t>probe</w:t>
      </w:r>
      <w:r w:rsidRPr="00C006C7">
        <w:rPr>
          <w:color w:val="auto"/>
          <w:highlight w:val="yellow"/>
        </w:rPr>
        <w:t xml:space="preserve"> with its locking nut in place. Place on the sterile table next to the bolt.</w:t>
      </w:r>
    </w:p>
    <w:p w14:paraId="46D320A3" w14:textId="77777777" w:rsidR="004878DA" w:rsidRDefault="004878DA" w:rsidP="003F7EF1">
      <w:pPr>
        <w:widowControl/>
        <w:rPr>
          <w:b/>
          <w:color w:val="auto"/>
          <w:highlight w:val="yellow"/>
        </w:rPr>
      </w:pPr>
    </w:p>
    <w:p w14:paraId="5BBC4FF1" w14:textId="72D1FCB8" w:rsidR="00546DEC" w:rsidRPr="00C006C7" w:rsidRDefault="00546DEC" w:rsidP="003F7EF1">
      <w:pPr>
        <w:widowControl/>
        <w:rPr>
          <w:b/>
          <w:color w:val="auto"/>
          <w:highlight w:val="yellow"/>
        </w:rPr>
      </w:pPr>
      <w:r w:rsidRPr="00C006C7">
        <w:rPr>
          <w:b/>
          <w:color w:val="auto"/>
          <w:highlight w:val="yellow"/>
        </w:rPr>
        <w:t>4. Drill</w:t>
      </w:r>
      <w:r w:rsidR="00027797">
        <w:rPr>
          <w:b/>
          <w:color w:val="auto"/>
          <w:highlight w:val="yellow"/>
        </w:rPr>
        <w:t>ing</w:t>
      </w:r>
      <w:r w:rsidRPr="00C006C7">
        <w:rPr>
          <w:b/>
          <w:color w:val="auto"/>
          <w:highlight w:val="yellow"/>
        </w:rPr>
        <w:t xml:space="preserve"> </w:t>
      </w:r>
      <w:r w:rsidR="0047138D">
        <w:rPr>
          <w:b/>
          <w:color w:val="auto"/>
          <w:highlight w:val="yellow"/>
        </w:rPr>
        <w:t xml:space="preserve">a </w:t>
      </w:r>
      <w:r w:rsidR="00027797" w:rsidRPr="00C006C7">
        <w:rPr>
          <w:b/>
          <w:color w:val="auto"/>
          <w:highlight w:val="yellow"/>
        </w:rPr>
        <w:t>Burr Hole</w:t>
      </w:r>
    </w:p>
    <w:p w14:paraId="113D4631" w14:textId="77777777" w:rsidR="004878DA" w:rsidRDefault="004878DA" w:rsidP="003F7EF1">
      <w:pPr>
        <w:widowControl/>
        <w:rPr>
          <w:color w:val="auto"/>
          <w:highlight w:val="yellow"/>
        </w:rPr>
      </w:pPr>
    </w:p>
    <w:p w14:paraId="6FD7D5DE" w14:textId="77605900" w:rsidR="00546DEC" w:rsidRPr="00C006C7" w:rsidRDefault="00546DEC" w:rsidP="003F7EF1">
      <w:pPr>
        <w:widowControl/>
        <w:rPr>
          <w:color w:val="auto"/>
          <w:highlight w:val="yellow"/>
        </w:rPr>
      </w:pPr>
      <w:r w:rsidRPr="00C006C7">
        <w:rPr>
          <w:color w:val="auto"/>
          <w:highlight w:val="yellow"/>
        </w:rPr>
        <w:t>4.1 Use scalpel to create</w:t>
      </w:r>
      <w:r w:rsidR="00EF3391" w:rsidRPr="00C006C7">
        <w:rPr>
          <w:color w:val="auto"/>
          <w:highlight w:val="yellow"/>
        </w:rPr>
        <w:t xml:space="preserve"> a 1</w:t>
      </w:r>
      <w:r w:rsidR="00FC3A0C">
        <w:rPr>
          <w:color w:val="auto"/>
          <w:highlight w:val="yellow"/>
        </w:rPr>
        <w:t xml:space="preserve"> </w:t>
      </w:r>
      <w:r w:rsidR="00EF3391" w:rsidRPr="00C006C7">
        <w:rPr>
          <w:color w:val="auto"/>
          <w:highlight w:val="yellow"/>
        </w:rPr>
        <w:t>-</w:t>
      </w:r>
      <w:r w:rsidR="00FC3A0C">
        <w:rPr>
          <w:color w:val="auto"/>
          <w:highlight w:val="yellow"/>
        </w:rPr>
        <w:t xml:space="preserve"> </w:t>
      </w:r>
      <w:r w:rsidR="00EF3391" w:rsidRPr="00C006C7">
        <w:rPr>
          <w:color w:val="auto"/>
          <w:highlight w:val="yellow"/>
        </w:rPr>
        <w:t>2 cm</w:t>
      </w:r>
      <w:r w:rsidRPr="00C006C7">
        <w:rPr>
          <w:color w:val="auto"/>
          <w:highlight w:val="yellow"/>
        </w:rPr>
        <w:t xml:space="preserve"> incision in the anesthetized region </w:t>
      </w:r>
      <w:r w:rsidR="00FC3A0C">
        <w:rPr>
          <w:color w:val="auto"/>
          <w:highlight w:val="yellow"/>
        </w:rPr>
        <w:t>(step 2.5)</w:t>
      </w:r>
      <w:r w:rsidR="00A81B79" w:rsidRPr="00C006C7">
        <w:rPr>
          <w:color w:val="auto"/>
          <w:highlight w:val="yellow"/>
        </w:rPr>
        <w:t xml:space="preserve">. Use blunt tip instrument to separate </w:t>
      </w:r>
      <w:proofErr w:type="spellStart"/>
      <w:r w:rsidR="00A81B79" w:rsidRPr="00C006C7">
        <w:rPr>
          <w:color w:val="auto"/>
          <w:highlight w:val="yellow"/>
        </w:rPr>
        <w:t>subgaleal</w:t>
      </w:r>
      <w:proofErr w:type="spellEnd"/>
      <w:r w:rsidR="00A81B79" w:rsidRPr="00C006C7">
        <w:rPr>
          <w:color w:val="auto"/>
          <w:highlight w:val="yellow"/>
        </w:rPr>
        <w:t xml:space="preserve"> tissues, exposing periosteum. </w:t>
      </w:r>
    </w:p>
    <w:p w14:paraId="29D6C675" w14:textId="77777777" w:rsidR="004878DA" w:rsidRDefault="004878DA" w:rsidP="003F7EF1">
      <w:pPr>
        <w:widowControl/>
        <w:rPr>
          <w:color w:val="auto"/>
          <w:highlight w:val="yellow"/>
        </w:rPr>
      </w:pPr>
    </w:p>
    <w:p w14:paraId="0830B716" w14:textId="4F98A6D6" w:rsidR="00A81B79" w:rsidRPr="00C006C7" w:rsidRDefault="00A81B79" w:rsidP="003F7EF1">
      <w:pPr>
        <w:widowControl/>
        <w:rPr>
          <w:color w:val="auto"/>
          <w:highlight w:val="yellow"/>
        </w:rPr>
      </w:pPr>
      <w:r w:rsidRPr="00C006C7">
        <w:rPr>
          <w:color w:val="auto"/>
          <w:highlight w:val="yellow"/>
        </w:rPr>
        <w:t>4.2 Insert and use hex bit to tighten 5.3</w:t>
      </w:r>
      <w:r w:rsidR="00FC3A0C">
        <w:rPr>
          <w:color w:val="auto"/>
          <w:highlight w:val="yellow"/>
        </w:rPr>
        <w:t xml:space="preserve"> </w:t>
      </w:r>
      <w:r w:rsidRPr="00C006C7">
        <w:rPr>
          <w:color w:val="auto"/>
          <w:highlight w:val="yellow"/>
        </w:rPr>
        <w:t xml:space="preserve">mm drill bit to </w:t>
      </w:r>
      <w:r w:rsidR="00FC3A0C">
        <w:rPr>
          <w:color w:val="auto"/>
          <w:highlight w:val="yellow"/>
        </w:rPr>
        <w:t xml:space="preserve">the </w:t>
      </w:r>
      <w:r w:rsidRPr="00C006C7">
        <w:rPr>
          <w:color w:val="auto"/>
          <w:highlight w:val="yellow"/>
        </w:rPr>
        <w:t>cranial drill.</w:t>
      </w:r>
    </w:p>
    <w:p w14:paraId="62B2B0E9" w14:textId="77777777" w:rsidR="004878DA" w:rsidRDefault="004878DA" w:rsidP="003F7EF1">
      <w:pPr>
        <w:widowControl/>
        <w:rPr>
          <w:color w:val="auto"/>
          <w:highlight w:val="yellow"/>
        </w:rPr>
      </w:pPr>
    </w:p>
    <w:p w14:paraId="2838F16E" w14:textId="2E027E71" w:rsidR="00A81B79" w:rsidRPr="00C006C7" w:rsidRDefault="00A81B79" w:rsidP="003F7EF1">
      <w:pPr>
        <w:widowControl/>
        <w:rPr>
          <w:color w:val="auto"/>
          <w:highlight w:val="yellow"/>
        </w:rPr>
      </w:pPr>
      <w:r w:rsidRPr="00C006C7">
        <w:rPr>
          <w:color w:val="auto"/>
          <w:highlight w:val="yellow"/>
        </w:rPr>
        <w:lastRenderedPageBreak/>
        <w:t xml:space="preserve">4.3 Place </w:t>
      </w:r>
      <w:r w:rsidR="00FC3A0C">
        <w:rPr>
          <w:color w:val="auto"/>
          <w:highlight w:val="yellow"/>
        </w:rPr>
        <w:t xml:space="preserve">the </w:t>
      </w:r>
      <w:r w:rsidRPr="00C006C7">
        <w:rPr>
          <w:color w:val="auto"/>
          <w:highlight w:val="yellow"/>
        </w:rPr>
        <w:t>cranial drill perpendicular to the skull. Use continuous pressure while rotating the drill. Continue to drill until there is a tactile change in pressure.</w:t>
      </w:r>
      <w:r w:rsidR="00EF3391" w:rsidRPr="00C006C7">
        <w:rPr>
          <w:color w:val="auto"/>
          <w:highlight w:val="yellow"/>
        </w:rPr>
        <w:t xml:space="preserve"> Once it becomes harder to drill, the inner table of the skull has been reached. Continue drilling with counter upward support to avoid plunging the drill into the cortex.</w:t>
      </w:r>
    </w:p>
    <w:p w14:paraId="3C964D2A" w14:textId="77777777" w:rsidR="004878DA" w:rsidRDefault="004878DA" w:rsidP="003F7EF1">
      <w:pPr>
        <w:widowControl/>
        <w:rPr>
          <w:color w:val="auto"/>
          <w:highlight w:val="yellow"/>
        </w:rPr>
      </w:pPr>
    </w:p>
    <w:p w14:paraId="2D65A3D8" w14:textId="1EDBFC80" w:rsidR="00A81B79" w:rsidRPr="00C006C7" w:rsidRDefault="00A81B79" w:rsidP="003F7EF1">
      <w:pPr>
        <w:widowControl/>
        <w:rPr>
          <w:color w:val="auto"/>
          <w:highlight w:val="yellow"/>
        </w:rPr>
      </w:pPr>
      <w:r w:rsidRPr="00C006C7">
        <w:rPr>
          <w:color w:val="auto"/>
          <w:highlight w:val="yellow"/>
        </w:rPr>
        <w:t>4.4 Re</w:t>
      </w:r>
      <w:r w:rsidR="00EF3391" w:rsidRPr="00C006C7">
        <w:rPr>
          <w:color w:val="auto"/>
          <w:highlight w:val="yellow"/>
        </w:rPr>
        <w:t>move</w:t>
      </w:r>
      <w:r w:rsidR="00117A72">
        <w:rPr>
          <w:color w:val="auto"/>
          <w:highlight w:val="yellow"/>
        </w:rPr>
        <w:t xml:space="preserve"> the</w:t>
      </w:r>
      <w:r w:rsidR="00EF3391" w:rsidRPr="00C006C7">
        <w:rPr>
          <w:color w:val="auto"/>
          <w:highlight w:val="yellow"/>
        </w:rPr>
        <w:t xml:space="preserve"> drill</w:t>
      </w:r>
      <w:r w:rsidRPr="00C006C7">
        <w:rPr>
          <w:color w:val="auto"/>
          <w:highlight w:val="yellow"/>
        </w:rPr>
        <w:t xml:space="preserve"> </w:t>
      </w:r>
      <w:r w:rsidR="00B66EC7" w:rsidRPr="00C006C7">
        <w:rPr>
          <w:color w:val="auto"/>
          <w:highlight w:val="yellow"/>
        </w:rPr>
        <w:t xml:space="preserve">and </w:t>
      </w:r>
      <w:r w:rsidRPr="00C006C7">
        <w:rPr>
          <w:color w:val="auto"/>
          <w:highlight w:val="yellow"/>
        </w:rPr>
        <w:t>clear the burr hole of any bone chips or debris</w:t>
      </w:r>
      <w:r w:rsidR="00EF3391" w:rsidRPr="00C006C7">
        <w:rPr>
          <w:color w:val="auto"/>
          <w:highlight w:val="yellow"/>
        </w:rPr>
        <w:t xml:space="preserve"> using a </w:t>
      </w:r>
      <w:proofErr w:type="spellStart"/>
      <w:r w:rsidR="00EF3391" w:rsidRPr="00C006C7">
        <w:rPr>
          <w:color w:val="auto"/>
          <w:highlight w:val="yellow"/>
        </w:rPr>
        <w:t>curet</w:t>
      </w:r>
      <w:proofErr w:type="spellEnd"/>
      <w:r w:rsidR="00EF3391" w:rsidRPr="00C006C7">
        <w:rPr>
          <w:color w:val="auto"/>
          <w:highlight w:val="yellow"/>
        </w:rPr>
        <w:t xml:space="preserve"> or hemostat.</w:t>
      </w:r>
    </w:p>
    <w:p w14:paraId="4F7A8F97" w14:textId="77777777" w:rsidR="004878DA" w:rsidRDefault="004878DA" w:rsidP="003F7EF1">
      <w:pPr>
        <w:widowControl/>
        <w:rPr>
          <w:color w:val="auto"/>
          <w:highlight w:val="yellow"/>
        </w:rPr>
      </w:pPr>
    </w:p>
    <w:p w14:paraId="7BF216C5" w14:textId="77777777" w:rsidR="004878DA" w:rsidRDefault="00A81B79" w:rsidP="003F7EF1">
      <w:pPr>
        <w:widowControl/>
        <w:rPr>
          <w:color w:val="auto"/>
          <w:highlight w:val="yellow"/>
        </w:rPr>
      </w:pPr>
      <w:r w:rsidRPr="00C006C7">
        <w:rPr>
          <w:color w:val="auto"/>
          <w:highlight w:val="yellow"/>
        </w:rPr>
        <w:t xml:space="preserve">4.5 </w:t>
      </w:r>
      <w:r w:rsidR="00EF3391" w:rsidRPr="00C006C7">
        <w:rPr>
          <w:color w:val="auto"/>
          <w:highlight w:val="yellow"/>
        </w:rPr>
        <w:t>Use a scalpel blade to incise the dura in a cruciate fashion. Confirm that the dura is complete</w:t>
      </w:r>
      <w:r w:rsidR="00F600B4" w:rsidRPr="00C006C7">
        <w:rPr>
          <w:color w:val="auto"/>
          <w:highlight w:val="yellow"/>
        </w:rPr>
        <w:t>ly</w:t>
      </w:r>
      <w:r w:rsidR="00EF3391" w:rsidRPr="00C006C7">
        <w:rPr>
          <w:color w:val="auto"/>
          <w:highlight w:val="yellow"/>
        </w:rPr>
        <w:t xml:space="preserve"> open.</w:t>
      </w:r>
      <w:r w:rsidR="00F600B4" w:rsidRPr="00C006C7">
        <w:rPr>
          <w:color w:val="auto"/>
          <w:highlight w:val="yellow"/>
        </w:rPr>
        <w:t xml:space="preserve"> </w:t>
      </w:r>
    </w:p>
    <w:p w14:paraId="42DA8492" w14:textId="77777777" w:rsidR="004878DA" w:rsidRDefault="004878DA" w:rsidP="003F7EF1">
      <w:pPr>
        <w:widowControl/>
        <w:rPr>
          <w:color w:val="auto"/>
        </w:rPr>
      </w:pPr>
    </w:p>
    <w:p w14:paraId="770F6B43" w14:textId="2F22FA3C" w:rsidR="00A81B79" w:rsidRPr="00C006C7" w:rsidRDefault="00F600B4" w:rsidP="003F7EF1">
      <w:pPr>
        <w:widowControl/>
        <w:rPr>
          <w:color w:val="auto"/>
          <w:highlight w:val="yellow"/>
        </w:rPr>
      </w:pPr>
      <w:r w:rsidRPr="00C006C7">
        <w:rPr>
          <w:color w:val="auto"/>
        </w:rPr>
        <w:t>N</w:t>
      </w:r>
      <w:r w:rsidR="00E61EEB">
        <w:rPr>
          <w:color w:val="auto"/>
        </w:rPr>
        <w:t>OTE</w:t>
      </w:r>
      <w:r w:rsidRPr="00C006C7">
        <w:rPr>
          <w:color w:val="auto"/>
        </w:rPr>
        <w:t>: Some practitioners may use alternative approaches, such as using an 18</w:t>
      </w:r>
      <w:r w:rsidR="005B44A5">
        <w:rPr>
          <w:color w:val="auto"/>
        </w:rPr>
        <w:t xml:space="preserve"> G</w:t>
      </w:r>
      <w:r w:rsidRPr="00C006C7">
        <w:rPr>
          <w:color w:val="auto"/>
        </w:rPr>
        <w:t xml:space="preserve"> needle to perforate the dura using tactile feedback until the dura is sufficiently opened. Adequate durotomy is critical regardless of the technique, and incomplete durotomy may lead to difficulty passing thin, flexible catheters or </w:t>
      </w:r>
      <w:proofErr w:type="spellStart"/>
      <w:r w:rsidRPr="00C006C7">
        <w:rPr>
          <w:color w:val="auto"/>
        </w:rPr>
        <w:t>malpositioning</w:t>
      </w:r>
      <w:proofErr w:type="spellEnd"/>
      <w:r w:rsidRPr="00C006C7">
        <w:rPr>
          <w:color w:val="auto"/>
        </w:rPr>
        <w:t xml:space="preserve"> of the cath</w:t>
      </w:r>
      <w:r w:rsidR="00A16203" w:rsidRPr="00C006C7">
        <w:rPr>
          <w:color w:val="auto"/>
        </w:rPr>
        <w:t>eters.</w:t>
      </w:r>
    </w:p>
    <w:p w14:paraId="69853DA5" w14:textId="77777777" w:rsidR="004878DA" w:rsidRDefault="004878DA" w:rsidP="003F7EF1">
      <w:pPr>
        <w:widowControl/>
        <w:rPr>
          <w:b/>
          <w:color w:val="auto"/>
          <w:highlight w:val="yellow"/>
        </w:rPr>
      </w:pPr>
    </w:p>
    <w:p w14:paraId="59BECCE0" w14:textId="5B3DC3EF" w:rsidR="00A81B79" w:rsidRPr="00C006C7" w:rsidRDefault="00A81B79" w:rsidP="003F7EF1">
      <w:pPr>
        <w:widowControl/>
        <w:rPr>
          <w:b/>
          <w:color w:val="auto"/>
          <w:highlight w:val="yellow"/>
        </w:rPr>
      </w:pPr>
      <w:r w:rsidRPr="00C006C7">
        <w:rPr>
          <w:b/>
          <w:color w:val="auto"/>
          <w:highlight w:val="yellow"/>
        </w:rPr>
        <w:t>5. Insert</w:t>
      </w:r>
      <w:r w:rsidR="006D527F">
        <w:rPr>
          <w:b/>
          <w:color w:val="auto"/>
          <w:highlight w:val="yellow"/>
        </w:rPr>
        <w:t>ing</w:t>
      </w:r>
      <w:r w:rsidRPr="00C006C7">
        <w:rPr>
          <w:b/>
          <w:color w:val="auto"/>
          <w:highlight w:val="yellow"/>
        </w:rPr>
        <w:t xml:space="preserve"> </w:t>
      </w:r>
      <w:r w:rsidR="0047138D">
        <w:rPr>
          <w:b/>
          <w:color w:val="auto"/>
          <w:highlight w:val="yellow"/>
        </w:rPr>
        <w:t xml:space="preserve">the </w:t>
      </w:r>
      <w:r w:rsidR="006D527F">
        <w:rPr>
          <w:b/>
          <w:color w:val="auto"/>
          <w:highlight w:val="yellow"/>
        </w:rPr>
        <w:t>C</w:t>
      </w:r>
      <w:r w:rsidRPr="00C006C7">
        <w:rPr>
          <w:b/>
          <w:color w:val="auto"/>
          <w:highlight w:val="yellow"/>
        </w:rPr>
        <w:t xml:space="preserve">ranial </w:t>
      </w:r>
      <w:r w:rsidR="006D527F">
        <w:rPr>
          <w:b/>
          <w:color w:val="auto"/>
          <w:highlight w:val="yellow"/>
        </w:rPr>
        <w:t>B</w:t>
      </w:r>
      <w:r w:rsidRPr="00C006C7">
        <w:rPr>
          <w:b/>
          <w:color w:val="auto"/>
          <w:highlight w:val="yellow"/>
        </w:rPr>
        <w:t>olt</w:t>
      </w:r>
    </w:p>
    <w:p w14:paraId="5F9DA10E" w14:textId="77777777" w:rsidR="004878DA" w:rsidRDefault="004878DA" w:rsidP="003F7EF1">
      <w:pPr>
        <w:widowControl/>
        <w:rPr>
          <w:color w:val="auto"/>
          <w:highlight w:val="yellow"/>
        </w:rPr>
      </w:pPr>
    </w:p>
    <w:p w14:paraId="0E2C4B6D" w14:textId="41727920" w:rsidR="00A81B79" w:rsidRPr="00C006C7" w:rsidRDefault="00A81B79" w:rsidP="003F7EF1">
      <w:pPr>
        <w:widowControl/>
        <w:rPr>
          <w:color w:val="auto"/>
          <w:highlight w:val="yellow"/>
        </w:rPr>
      </w:pPr>
      <w:r w:rsidRPr="00C006C7">
        <w:rPr>
          <w:color w:val="auto"/>
          <w:highlight w:val="yellow"/>
        </w:rPr>
        <w:t xml:space="preserve">5.1 Holding the bolt by the plastic wings, thread through the burr hole using a firm, clockwise twisting motion. </w:t>
      </w:r>
      <w:r w:rsidR="00B66EC7" w:rsidRPr="00C006C7">
        <w:rPr>
          <w:color w:val="auto"/>
          <w:highlight w:val="yellow"/>
        </w:rPr>
        <w:t xml:space="preserve">Be </w:t>
      </w:r>
      <w:r w:rsidRPr="00C006C7">
        <w:rPr>
          <w:color w:val="auto"/>
          <w:highlight w:val="yellow"/>
        </w:rPr>
        <w:t>careful not to overtighten, which can compress the adjacent skin and soft tissues.</w:t>
      </w:r>
    </w:p>
    <w:p w14:paraId="3EDAE522" w14:textId="77777777" w:rsidR="004878DA" w:rsidRDefault="004878DA" w:rsidP="003F7EF1">
      <w:pPr>
        <w:widowControl/>
        <w:rPr>
          <w:color w:val="auto"/>
          <w:highlight w:val="yellow"/>
        </w:rPr>
      </w:pPr>
    </w:p>
    <w:p w14:paraId="148586A3" w14:textId="7E5BA83C" w:rsidR="00A81B79" w:rsidRPr="00C006C7" w:rsidRDefault="00DE76CB" w:rsidP="003F7EF1">
      <w:pPr>
        <w:widowControl/>
        <w:rPr>
          <w:color w:val="auto"/>
          <w:highlight w:val="yellow"/>
        </w:rPr>
      </w:pPr>
      <w:r>
        <w:rPr>
          <w:color w:val="auto"/>
          <w:highlight w:val="yellow"/>
        </w:rPr>
        <w:t>NOTE:</w:t>
      </w:r>
      <w:r w:rsidR="00A81B79" w:rsidRPr="00C006C7">
        <w:rPr>
          <w:color w:val="auto"/>
          <w:highlight w:val="yellow"/>
        </w:rPr>
        <w:t xml:space="preserve"> </w:t>
      </w:r>
      <w:r w:rsidR="001E16DC" w:rsidRPr="00C006C7">
        <w:rPr>
          <w:color w:val="auto"/>
          <w:highlight w:val="yellow"/>
        </w:rPr>
        <w:t>C</w:t>
      </w:r>
      <w:r w:rsidR="00A81B79" w:rsidRPr="00C006C7">
        <w:rPr>
          <w:color w:val="auto"/>
          <w:highlight w:val="yellow"/>
        </w:rPr>
        <w:t xml:space="preserve">erebrospinal fluid </w:t>
      </w:r>
      <w:r w:rsidR="001E16DC" w:rsidRPr="00C006C7">
        <w:rPr>
          <w:color w:val="auto"/>
          <w:highlight w:val="yellow"/>
        </w:rPr>
        <w:t xml:space="preserve">may </w:t>
      </w:r>
      <w:r w:rsidR="00A81B79" w:rsidRPr="00C006C7">
        <w:rPr>
          <w:color w:val="auto"/>
          <w:highlight w:val="yellow"/>
        </w:rPr>
        <w:t xml:space="preserve">rise from the lumens of the bolt, particularly if there is increased intracranial pressure. </w:t>
      </w:r>
    </w:p>
    <w:p w14:paraId="41DB69E6" w14:textId="77777777" w:rsidR="004878DA" w:rsidRDefault="004878DA" w:rsidP="003F7EF1">
      <w:pPr>
        <w:widowControl/>
        <w:rPr>
          <w:color w:val="auto"/>
          <w:highlight w:val="yellow"/>
        </w:rPr>
      </w:pPr>
    </w:p>
    <w:p w14:paraId="60914A39" w14:textId="1645D066" w:rsidR="00A81B79" w:rsidRPr="00C006C7" w:rsidRDefault="00A81B79" w:rsidP="003F7EF1">
      <w:pPr>
        <w:widowControl/>
        <w:rPr>
          <w:color w:val="auto"/>
          <w:highlight w:val="yellow"/>
        </w:rPr>
      </w:pPr>
      <w:r w:rsidRPr="00C006C7">
        <w:rPr>
          <w:color w:val="auto"/>
          <w:highlight w:val="yellow"/>
        </w:rPr>
        <w:t>5.</w:t>
      </w:r>
      <w:r w:rsidR="00737E4B">
        <w:rPr>
          <w:color w:val="auto"/>
          <w:highlight w:val="yellow"/>
        </w:rPr>
        <w:t>2</w:t>
      </w:r>
      <w:r w:rsidRPr="00C006C7">
        <w:rPr>
          <w:color w:val="auto"/>
          <w:highlight w:val="yellow"/>
        </w:rPr>
        <w:t xml:space="preserve"> Insert each pre-measured </w:t>
      </w:r>
      <w:r w:rsidR="00711C6A" w:rsidRPr="00C006C7">
        <w:rPr>
          <w:color w:val="auto"/>
          <w:highlight w:val="yellow"/>
        </w:rPr>
        <w:t>probe</w:t>
      </w:r>
      <w:r w:rsidRPr="00C006C7">
        <w:rPr>
          <w:color w:val="auto"/>
          <w:highlight w:val="yellow"/>
        </w:rPr>
        <w:t xml:space="preserve"> until the locking nut meets the lumen.</w:t>
      </w:r>
    </w:p>
    <w:p w14:paraId="69EC92FE" w14:textId="77777777" w:rsidR="004878DA" w:rsidRDefault="004878DA" w:rsidP="003F7EF1">
      <w:pPr>
        <w:widowControl/>
        <w:rPr>
          <w:color w:val="auto"/>
          <w:highlight w:val="yellow"/>
        </w:rPr>
      </w:pPr>
    </w:p>
    <w:p w14:paraId="7CF7C32D" w14:textId="1E9AE59F" w:rsidR="00A81B79" w:rsidRPr="00C006C7" w:rsidRDefault="0081342F" w:rsidP="003F7EF1">
      <w:pPr>
        <w:widowControl/>
        <w:rPr>
          <w:color w:val="auto"/>
          <w:highlight w:val="yellow"/>
        </w:rPr>
      </w:pPr>
      <w:r>
        <w:rPr>
          <w:color w:val="auto"/>
          <w:highlight w:val="yellow"/>
        </w:rPr>
        <w:t>5.2.1</w:t>
      </w:r>
      <w:r w:rsidR="00A81B79" w:rsidRPr="00C006C7">
        <w:rPr>
          <w:color w:val="auto"/>
          <w:highlight w:val="yellow"/>
        </w:rPr>
        <w:t xml:space="preserve"> The dura may provide resistance, particularly to thinner </w:t>
      </w:r>
      <w:r w:rsidR="00711C6A" w:rsidRPr="00C006C7">
        <w:rPr>
          <w:color w:val="auto"/>
          <w:highlight w:val="yellow"/>
        </w:rPr>
        <w:t>probe</w:t>
      </w:r>
      <w:r w:rsidR="00A81B79" w:rsidRPr="00C006C7">
        <w:rPr>
          <w:color w:val="auto"/>
          <w:highlight w:val="yellow"/>
        </w:rPr>
        <w:t xml:space="preserve">s. Insert the thinnest </w:t>
      </w:r>
      <w:r w:rsidR="00711C6A" w:rsidRPr="00C006C7">
        <w:rPr>
          <w:color w:val="auto"/>
          <w:highlight w:val="yellow"/>
        </w:rPr>
        <w:t>probe</w:t>
      </w:r>
      <w:r w:rsidR="00A81B79" w:rsidRPr="00C006C7">
        <w:rPr>
          <w:color w:val="auto"/>
          <w:highlight w:val="yellow"/>
        </w:rPr>
        <w:t xml:space="preserve"> first</w:t>
      </w:r>
      <w:r>
        <w:rPr>
          <w:color w:val="auto"/>
          <w:highlight w:val="yellow"/>
        </w:rPr>
        <w:t xml:space="preserve">, which </w:t>
      </w:r>
      <w:r w:rsidR="00A81B79" w:rsidRPr="00C006C7">
        <w:rPr>
          <w:color w:val="auto"/>
          <w:highlight w:val="yellow"/>
        </w:rPr>
        <w:t>may help avoid pass resistance.</w:t>
      </w:r>
    </w:p>
    <w:p w14:paraId="30158DFF" w14:textId="77777777" w:rsidR="004878DA" w:rsidRDefault="004878DA" w:rsidP="003F7EF1">
      <w:pPr>
        <w:widowControl/>
        <w:rPr>
          <w:color w:val="auto"/>
          <w:highlight w:val="yellow"/>
        </w:rPr>
      </w:pPr>
    </w:p>
    <w:p w14:paraId="1359AB29" w14:textId="203BAB3D" w:rsidR="00A81B79" w:rsidRPr="00C006C7" w:rsidRDefault="00A81B79" w:rsidP="003F7EF1">
      <w:pPr>
        <w:widowControl/>
        <w:rPr>
          <w:color w:val="auto"/>
          <w:highlight w:val="yellow"/>
        </w:rPr>
      </w:pPr>
      <w:r w:rsidRPr="00C006C7">
        <w:rPr>
          <w:color w:val="auto"/>
          <w:highlight w:val="yellow"/>
        </w:rPr>
        <w:t>5.</w:t>
      </w:r>
      <w:r w:rsidR="002F6EFD">
        <w:rPr>
          <w:color w:val="auto"/>
          <w:highlight w:val="yellow"/>
        </w:rPr>
        <w:t>2</w:t>
      </w:r>
      <w:r w:rsidRPr="00C006C7">
        <w:rPr>
          <w:color w:val="auto"/>
          <w:highlight w:val="yellow"/>
        </w:rPr>
        <w:t xml:space="preserve">.2 Insert the depth electrode with the stylet in place. Once placed and tightened on the lumen, gently loosen the locking nut from the </w:t>
      </w:r>
      <w:r w:rsidR="00711C6A" w:rsidRPr="00C006C7">
        <w:rPr>
          <w:color w:val="auto"/>
          <w:highlight w:val="yellow"/>
        </w:rPr>
        <w:t>probe</w:t>
      </w:r>
      <w:r w:rsidRPr="00C006C7">
        <w:rPr>
          <w:color w:val="auto"/>
          <w:highlight w:val="yellow"/>
        </w:rPr>
        <w:t xml:space="preserve"> just enough to remove the stylet, then re-tighten.</w:t>
      </w:r>
    </w:p>
    <w:p w14:paraId="35C1CD4C" w14:textId="77777777" w:rsidR="004878DA" w:rsidRDefault="004878DA" w:rsidP="003F7EF1">
      <w:pPr>
        <w:widowControl/>
        <w:rPr>
          <w:b/>
          <w:color w:val="auto"/>
          <w:highlight w:val="yellow"/>
        </w:rPr>
      </w:pPr>
    </w:p>
    <w:p w14:paraId="2194642A" w14:textId="1E6D9BDE" w:rsidR="00E25A3D" w:rsidRDefault="00E25A3D" w:rsidP="00E25A3D">
      <w:pPr>
        <w:widowControl/>
        <w:rPr>
          <w:color w:val="auto"/>
          <w:highlight w:val="yellow"/>
        </w:rPr>
      </w:pPr>
      <w:r>
        <w:rPr>
          <w:color w:val="auto"/>
          <w:highlight w:val="yellow"/>
        </w:rPr>
        <w:t>NOTE:</w:t>
      </w:r>
      <w:r w:rsidRPr="00C006C7">
        <w:rPr>
          <w:color w:val="auto"/>
          <w:highlight w:val="yellow"/>
        </w:rPr>
        <w:t xml:space="preserve"> Once all probes are locked onto the lumens through which they pass, the sterile part of the procedure is complete.</w:t>
      </w:r>
    </w:p>
    <w:p w14:paraId="6E0167A4" w14:textId="77777777" w:rsidR="00E75254" w:rsidRPr="00C006C7" w:rsidRDefault="00E75254" w:rsidP="00E25A3D">
      <w:pPr>
        <w:widowControl/>
        <w:rPr>
          <w:color w:val="auto"/>
          <w:highlight w:val="yellow"/>
        </w:rPr>
      </w:pPr>
    </w:p>
    <w:p w14:paraId="4994EEC0" w14:textId="4ECAE62F" w:rsidR="00A81B79" w:rsidRPr="00C006C7" w:rsidRDefault="00A81B79" w:rsidP="003F7EF1">
      <w:pPr>
        <w:widowControl/>
        <w:rPr>
          <w:b/>
          <w:color w:val="auto"/>
          <w:highlight w:val="yellow"/>
        </w:rPr>
      </w:pPr>
      <w:r w:rsidRPr="00C006C7">
        <w:rPr>
          <w:b/>
          <w:color w:val="auto"/>
          <w:highlight w:val="yellow"/>
        </w:rPr>
        <w:t xml:space="preserve">6. Securing </w:t>
      </w:r>
      <w:r w:rsidR="0047138D">
        <w:rPr>
          <w:b/>
          <w:color w:val="auto"/>
          <w:highlight w:val="yellow"/>
        </w:rPr>
        <w:t xml:space="preserve">the </w:t>
      </w:r>
      <w:r w:rsidR="00C224D6">
        <w:rPr>
          <w:b/>
          <w:color w:val="auto"/>
          <w:highlight w:val="yellow"/>
        </w:rPr>
        <w:t>P</w:t>
      </w:r>
      <w:r w:rsidR="00711C6A" w:rsidRPr="00C006C7">
        <w:rPr>
          <w:b/>
          <w:color w:val="auto"/>
          <w:highlight w:val="yellow"/>
        </w:rPr>
        <w:t>robe</w:t>
      </w:r>
      <w:r w:rsidRPr="00C006C7">
        <w:rPr>
          <w:b/>
          <w:color w:val="auto"/>
          <w:highlight w:val="yellow"/>
        </w:rPr>
        <w:t>s</w:t>
      </w:r>
    </w:p>
    <w:p w14:paraId="5E006DF3" w14:textId="77777777" w:rsidR="004878DA" w:rsidRDefault="004878DA" w:rsidP="003F7EF1">
      <w:pPr>
        <w:widowControl/>
        <w:rPr>
          <w:color w:val="auto"/>
          <w:highlight w:val="yellow"/>
        </w:rPr>
      </w:pPr>
    </w:p>
    <w:p w14:paraId="700EC9A1" w14:textId="6D83D257" w:rsidR="00A81B79" w:rsidRPr="00C006C7" w:rsidRDefault="00A81B79" w:rsidP="003F7EF1">
      <w:pPr>
        <w:widowControl/>
        <w:rPr>
          <w:color w:val="auto"/>
          <w:highlight w:val="yellow"/>
        </w:rPr>
      </w:pPr>
      <w:r w:rsidRPr="001229CF">
        <w:rPr>
          <w:color w:val="auto"/>
          <w:highlight w:val="yellow"/>
        </w:rPr>
        <w:t>6.</w:t>
      </w:r>
      <w:r w:rsidR="000626D7" w:rsidRPr="001229CF">
        <w:rPr>
          <w:color w:val="auto"/>
          <w:highlight w:val="yellow"/>
        </w:rPr>
        <w:t>1</w:t>
      </w:r>
      <w:r w:rsidRPr="001229CF">
        <w:rPr>
          <w:color w:val="auto"/>
          <w:highlight w:val="yellow"/>
        </w:rPr>
        <w:t xml:space="preserve"> Have available personnel connect the </w:t>
      </w:r>
      <w:r w:rsidR="001229CF" w:rsidRPr="001229CF">
        <w:rPr>
          <w:color w:val="auto"/>
          <w:highlight w:val="yellow"/>
        </w:rPr>
        <w:t>ICP/PbtO2 probe</w:t>
      </w:r>
      <w:r w:rsidRPr="001229CF">
        <w:rPr>
          <w:color w:val="auto"/>
          <w:highlight w:val="yellow"/>
        </w:rPr>
        <w:t xml:space="preserve"> to the bedside monitor to assess the </w:t>
      </w:r>
      <w:r w:rsidRPr="00C006C7">
        <w:rPr>
          <w:color w:val="auto"/>
          <w:highlight w:val="yellow"/>
        </w:rPr>
        <w:t>intracranial pressure and brain tissue oxygen.</w:t>
      </w:r>
    </w:p>
    <w:p w14:paraId="27181EB7" w14:textId="77777777" w:rsidR="004878DA" w:rsidRDefault="004878DA" w:rsidP="003F7EF1">
      <w:pPr>
        <w:widowControl/>
        <w:rPr>
          <w:color w:val="auto"/>
          <w:highlight w:val="yellow"/>
        </w:rPr>
      </w:pPr>
    </w:p>
    <w:p w14:paraId="5228BCA8" w14:textId="05622095" w:rsidR="00A81B79" w:rsidRPr="00C006C7" w:rsidRDefault="00A81B79" w:rsidP="003F7EF1">
      <w:pPr>
        <w:widowControl/>
        <w:rPr>
          <w:color w:val="auto"/>
        </w:rPr>
      </w:pPr>
      <w:r w:rsidRPr="00C006C7">
        <w:rPr>
          <w:color w:val="auto"/>
          <w:highlight w:val="yellow"/>
        </w:rPr>
        <w:t>6.</w:t>
      </w:r>
      <w:r w:rsidR="00D01FCC">
        <w:rPr>
          <w:color w:val="auto"/>
          <w:highlight w:val="yellow"/>
        </w:rPr>
        <w:t>2</w:t>
      </w:r>
      <w:r w:rsidRPr="00C006C7">
        <w:rPr>
          <w:color w:val="auto"/>
          <w:highlight w:val="yellow"/>
        </w:rPr>
        <w:t xml:space="preserve"> Using silk or other durable </w:t>
      </w:r>
      <w:r w:rsidR="00A16203" w:rsidRPr="00C006C7">
        <w:rPr>
          <w:color w:val="auto"/>
          <w:highlight w:val="yellow"/>
        </w:rPr>
        <w:t>tape</w:t>
      </w:r>
      <w:r w:rsidRPr="00C006C7">
        <w:rPr>
          <w:color w:val="auto"/>
          <w:highlight w:val="yellow"/>
        </w:rPr>
        <w:t xml:space="preserve">, gently loop each </w:t>
      </w:r>
      <w:r w:rsidR="00711C6A" w:rsidRPr="00C006C7">
        <w:rPr>
          <w:color w:val="auto"/>
          <w:highlight w:val="yellow"/>
        </w:rPr>
        <w:t>probe</w:t>
      </w:r>
      <w:r w:rsidRPr="00C006C7">
        <w:rPr>
          <w:color w:val="auto"/>
          <w:highlight w:val="yellow"/>
        </w:rPr>
        <w:t xml:space="preserve"> and tape it to its lumen. This creates strain resistance. Use caution not to create a “kink” in the </w:t>
      </w:r>
      <w:r w:rsidR="00711C6A" w:rsidRPr="00C006C7">
        <w:rPr>
          <w:color w:val="auto"/>
          <w:highlight w:val="yellow"/>
        </w:rPr>
        <w:t>probe</w:t>
      </w:r>
      <w:r w:rsidRPr="00C006C7">
        <w:rPr>
          <w:color w:val="auto"/>
          <w:highlight w:val="yellow"/>
        </w:rPr>
        <w:t>s, as they have thin components that can break.</w:t>
      </w:r>
    </w:p>
    <w:p w14:paraId="152BD8F2" w14:textId="77777777" w:rsidR="004878DA" w:rsidRDefault="004878DA" w:rsidP="003F7EF1">
      <w:pPr>
        <w:widowControl/>
        <w:rPr>
          <w:color w:val="auto"/>
        </w:rPr>
      </w:pPr>
    </w:p>
    <w:p w14:paraId="4BD779C8" w14:textId="293B8C77" w:rsidR="00A81B79" w:rsidRPr="00C006C7" w:rsidRDefault="00A81B79" w:rsidP="003F7EF1">
      <w:pPr>
        <w:widowControl/>
        <w:rPr>
          <w:color w:val="auto"/>
        </w:rPr>
      </w:pPr>
      <w:r w:rsidRPr="00C006C7">
        <w:rPr>
          <w:color w:val="auto"/>
        </w:rPr>
        <w:lastRenderedPageBreak/>
        <w:t>6.</w:t>
      </w:r>
      <w:r w:rsidR="00760366">
        <w:rPr>
          <w:color w:val="auto"/>
        </w:rPr>
        <w:t>3</w:t>
      </w:r>
      <w:r w:rsidRPr="00C006C7">
        <w:rPr>
          <w:color w:val="auto"/>
        </w:rPr>
        <w:t xml:space="preserve"> Optional</w:t>
      </w:r>
      <w:r w:rsidR="00760366">
        <w:rPr>
          <w:color w:val="auto"/>
        </w:rPr>
        <w:t>ly,</w:t>
      </w:r>
      <w:r w:rsidRPr="00C006C7">
        <w:rPr>
          <w:color w:val="auto"/>
        </w:rPr>
        <w:t xml:space="preserve"> </w:t>
      </w:r>
      <w:r w:rsidR="00760366">
        <w:rPr>
          <w:color w:val="auto"/>
        </w:rPr>
        <w:t>u</w:t>
      </w:r>
      <w:r w:rsidRPr="00C006C7">
        <w:rPr>
          <w:color w:val="auto"/>
        </w:rPr>
        <w:t xml:space="preserve">se a large </w:t>
      </w:r>
      <w:r w:rsidR="00355B80" w:rsidRPr="00C006C7">
        <w:rPr>
          <w:color w:val="auto"/>
        </w:rPr>
        <w:t>6”</w:t>
      </w:r>
      <w:r w:rsidR="00AA4633">
        <w:rPr>
          <w:color w:val="auto"/>
        </w:rPr>
        <w:t xml:space="preserve"> </w:t>
      </w:r>
      <w:r w:rsidR="00355B80" w:rsidRPr="00C006C7">
        <w:rPr>
          <w:color w:val="auto"/>
        </w:rPr>
        <w:t>x</w:t>
      </w:r>
      <w:r w:rsidR="00AA4633">
        <w:rPr>
          <w:color w:val="auto"/>
        </w:rPr>
        <w:t xml:space="preserve"> </w:t>
      </w:r>
      <w:r w:rsidR="00355B80" w:rsidRPr="00C006C7">
        <w:rPr>
          <w:color w:val="auto"/>
        </w:rPr>
        <w:t xml:space="preserve">2” </w:t>
      </w:r>
      <w:proofErr w:type="spellStart"/>
      <w:r w:rsidR="00355B80" w:rsidRPr="00C006C7">
        <w:rPr>
          <w:color w:val="auto"/>
        </w:rPr>
        <w:t>tegaderm</w:t>
      </w:r>
      <w:proofErr w:type="spellEnd"/>
      <w:r w:rsidR="00355B80" w:rsidRPr="00C006C7">
        <w:rPr>
          <w:color w:val="auto"/>
        </w:rPr>
        <w:t xml:space="preserve"> </w:t>
      </w:r>
      <w:r w:rsidR="00A16203" w:rsidRPr="00C006C7">
        <w:rPr>
          <w:color w:val="auto"/>
        </w:rPr>
        <w:t xml:space="preserve">or a thin strip of </w:t>
      </w:r>
      <w:r w:rsidR="00B41C31" w:rsidRPr="00B41C31">
        <w:rPr>
          <w:color w:val="auto"/>
        </w:rPr>
        <w:t>occlusive petrolatum gauze</w:t>
      </w:r>
      <w:r w:rsidR="0040110D">
        <w:rPr>
          <w:color w:val="auto"/>
        </w:rPr>
        <w:t xml:space="preserve"> </w:t>
      </w:r>
      <w:r w:rsidR="00E1497A" w:rsidRPr="00C006C7">
        <w:rPr>
          <w:color w:val="auto"/>
        </w:rPr>
        <w:t>to wrap the base of the bolt, reducing the exposure of the skin-to-burr-hole interface</w:t>
      </w:r>
      <w:r w:rsidR="00A16203" w:rsidRPr="00C006C7">
        <w:rPr>
          <w:color w:val="auto"/>
        </w:rPr>
        <w:t xml:space="preserve">. </w:t>
      </w:r>
      <w:r w:rsidR="00F815AF">
        <w:rPr>
          <w:color w:val="auto"/>
        </w:rPr>
        <w:t xml:space="preserve">The </w:t>
      </w:r>
      <w:r w:rsidR="00F815AF" w:rsidRPr="00B41C31">
        <w:rPr>
          <w:color w:val="auto"/>
        </w:rPr>
        <w:t xml:space="preserve">occlusive petrolatum gauze </w:t>
      </w:r>
      <w:r w:rsidR="00A16203" w:rsidRPr="00C006C7">
        <w:rPr>
          <w:color w:val="auto"/>
        </w:rPr>
        <w:t>also provides bacteriostatic function.</w:t>
      </w:r>
    </w:p>
    <w:p w14:paraId="10EF641A" w14:textId="77777777" w:rsidR="004878DA" w:rsidRDefault="004878DA" w:rsidP="003F7EF1">
      <w:pPr>
        <w:widowControl/>
        <w:rPr>
          <w:color w:val="auto"/>
        </w:rPr>
      </w:pPr>
    </w:p>
    <w:p w14:paraId="610DCA1A" w14:textId="5E2EA096" w:rsidR="00E1497A" w:rsidRPr="00C006C7" w:rsidRDefault="00E1497A" w:rsidP="003F7EF1">
      <w:pPr>
        <w:widowControl/>
        <w:rPr>
          <w:color w:val="auto"/>
        </w:rPr>
      </w:pPr>
      <w:r w:rsidRPr="00C006C7">
        <w:rPr>
          <w:color w:val="auto"/>
        </w:rPr>
        <w:t>6.</w:t>
      </w:r>
      <w:r w:rsidR="00E0183C">
        <w:rPr>
          <w:color w:val="auto"/>
        </w:rPr>
        <w:t>4</w:t>
      </w:r>
      <w:r w:rsidRPr="00C006C7">
        <w:rPr>
          <w:color w:val="auto"/>
        </w:rPr>
        <w:t xml:space="preserve"> Prior to transport, use a </w:t>
      </w:r>
      <w:r w:rsidR="00FE0D95" w:rsidRPr="00FE0D95">
        <w:rPr>
          <w:color w:val="auto"/>
        </w:rPr>
        <w:t>woven gauze</w:t>
      </w:r>
      <w:r w:rsidR="00A64AB9">
        <w:rPr>
          <w:color w:val="auto"/>
        </w:rPr>
        <w:t xml:space="preserve"> </w:t>
      </w:r>
      <w:r w:rsidRPr="00C006C7">
        <w:rPr>
          <w:color w:val="auto"/>
        </w:rPr>
        <w:t xml:space="preserve">to wrap the entire bolt, encompassing each of the unplugged </w:t>
      </w:r>
      <w:r w:rsidR="00711C6A" w:rsidRPr="00C006C7">
        <w:rPr>
          <w:color w:val="auto"/>
        </w:rPr>
        <w:t>probe</w:t>
      </w:r>
      <w:r w:rsidRPr="00C006C7">
        <w:rPr>
          <w:color w:val="auto"/>
        </w:rPr>
        <w:t xml:space="preserve">s within the roll, and tape the end with silk tape. This ensures that the loose ends of unplugged </w:t>
      </w:r>
      <w:r w:rsidR="00711C6A" w:rsidRPr="00C006C7">
        <w:rPr>
          <w:color w:val="auto"/>
        </w:rPr>
        <w:t>probe</w:t>
      </w:r>
      <w:r w:rsidRPr="00C006C7">
        <w:rPr>
          <w:color w:val="auto"/>
        </w:rPr>
        <w:t xml:space="preserve">s are not accidentally pulled during movement to and from operative or radiological beds. </w:t>
      </w:r>
    </w:p>
    <w:p w14:paraId="52101A3B" w14:textId="77777777" w:rsidR="004878DA" w:rsidRDefault="004878DA" w:rsidP="003F7EF1">
      <w:pPr>
        <w:widowControl/>
        <w:rPr>
          <w:b/>
          <w:color w:val="auto"/>
        </w:rPr>
      </w:pPr>
    </w:p>
    <w:p w14:paraId="37BA1989" w14:textId="438BC22D" w:rsidR="00E1497A" w:rsidRPr="00C006C7" w:rsidRDefault="00E1497A" w:rsidP="003F7EF1">
      <w:pPr>
        <w:widowControl/>
        <w:rPr>
          <w:b/>
          <w:color w:val="auto"/>
        </w:rPr>
      </w:pPr>
      <w:r w:rsidRPr="00C006C7">
        <w:rPr>
          <w:b/>
          <w:color w:val="auto"/>
        </w:rPr>
        <w:t xml:space="preserve">7. </w:t>
      </w:r>
      <w:r w:rsidR="00936EE5" w:rsidRPr="00C006C7">
        <w:rPr>
          <w:b/>
          <w:color w:val="auto"/>
        </w:rPr>
        <w:t>Verifying</w:t>
      </w:r>
      <w:r w:rsidRPr="00C006C7">
        <w:rPr>
          <w:b/>
          <w:color w:val="auto"/>
        </w:rPr>
        <w:t xml:space="preserve"> </w:t>
      </w:r>
      <w:r w:rsidR="004E71C0">
        <w:rPr>
          <w:b/>
          <w:color w:val="auto"/>
        </w:rPr>
        <w:t>P</w:t>
      </w:r>
      <w:r w:rsidR="00711C6A" w:rsidRPr="00C006C7">
        <w:rPr>
          <w:b/>
          <w:color w:val="auto"/>
        </w:rPr>
        <w:t>robe</w:t>
      </w:r>
      <w:r w:rsidRPr="00C006C7">
        <w:rPr>
          <w:b/>
          <w:color w:val="auto"/>
        </w:rPr>
        <w:t xml:space="preserve"> </w:t>
      </w:r>
      <w:r w:rsidR="004E71C0">
        <w:rPr>
          <w:b/>
          <w:color w:val="auto"/>
        </w:rPr>
        <w:t>D</w:t>
      </w:r>
      <w:r w:rsidRPr="00C006C7">
        <w:rPr>
          <w:b/>
          <w:color w:val="auto"/>
        </w:rPr>
        <w:t>ata</w:t>
      </w:r>
    </w:p>
    <w:p w14:paraId="594476E8" w14:textId="77777777" w:rsidR="004878DA" w:rsidRDefault="004878DA" w:rsidP="003F7EF1">
      <w:pPr>
        <w:widowControl/>
        <w:rPr>
          <w:color w:val="auto"/>
        </w:rPr>
      </w:pPr>
    </w:p>
    <w:p w14:paraId="7EE218CD" w14:textId="07FAF407" w:rsidR="00E1497A" w:rsidRPr="00C006C7" w:rsidRDefault="00E1497A" w:rsidP="003F7EF1">
      <w:pPr>
        <w:widowControl/>
        <w:rPr>
          <w:color w:val="auto"/>
        </w:rPr>
      </w:pPr>
      <w:r w:rsidRPr="00C006C7">
        <w:rPr>
          <w:color w:val="auto"/>
        </w:rPr>
        <w:t xml:space="preserve">7.1 Once an initial ICP is recorded, if it is clinically appropriate, order a </w:t>
      </w:r>
      <w:proofErr w:type="spellStart"/>
      <w:r w:rsidRPr="00C006C7">
        <w:rPr>
          <w:color w:val="auto"/>
        </w:rPr>
        <w:t>noncontrast</w:t>
      </w:r>
      <w:proofErr w:type="spellEnd"/>
      <w:r w:rsidRPr="00C006C7">
        <w:rPr>
          <w:color w:val="auto"/>
        </w:rPr>
        <w:t xml:space="preserve"> head </w:t>
      </w:r>
      <w:r w:rsidR="00307BE0" w:rsidRPr="00307BE0">
        <w:rPr>
          <w:color w:val="auto"/>
        </w:rPr>
        <w:t>computed tomography</w:t>
      </w:r>
      <w:r w:rsidR="00307BE0">
        <w:rPr>
          <w:color w:val="auto"/>
        </w:rPr>
        <w:t xml:space="preserve"> (</w:t>
      </w:r>
      <w:r w:rsidRPr="00C006C7">
        <w:rPr>
          <w:color w:val="auto"/>
        </w:rPr>
        <w:t>CT</w:t>
      </w:r>
      <w:r w:rsidR="00307BE0">
        <w:rPr>
          <w:color w:val="auto"/>
        </w:rPr>
        <w:t>)</w:t>
      </w:r>
      <w:r w:rsidRPr="00C006C7">
        <w:rPr>
          <w:color w:val="auto"/>
        </w:rPr>
        <w:t xml:space="preserve"> to verify the position of the bolt and the </w:t>
      </w:r>
      <w:r w:rsidR="00711C6A" w:rsidRPr="00C006C7">
        <w:rPr>
          <w:color w:val="auto"/>
        </w:rPr>
        <w:t>probe</w:t>
      </w:r>
      <w:r w:rsidRPr="00C006C7">
        <w:rPr>
          <w:color w:val="auto"/>
        </w:rPr>
        <w:t>s, which should sit within the frontal subcortical white matter. This will also expose any adverse events such as subdural or intraparenchymal hemorrhage that rarely occur during placement.</w:t>
      </w:r>
    </w:p>
    <w:p w14:paraId="62CB8EB6" w14:textId="77777777" w:rsidR="004878DA" w:rsidRDefault="004878DA" w:rsidP="003F7EF1">
      <w:pPr>
        <w:widowControl/>
        <w:rPr>
          <w:color w:val="auto"/>
        </w:rPr>
      </w:pPr>
    </w:p>
    <w:p w14:paraId="75628CA9" w14:textId="639E6EAC" w:rsidR="00E1497A" w:rsidRPr="00C006C7" w:rsidRDefault="00E1497A" w:rsidP="003F7EF1">
      <w:pPr>
        <w:widowControl/>
        <w:rPr>
          <w:color w:val="auto"/>
        </w:rPr>
      </w:pPr>
      <w:r w:rsidRPr="00C006C7">
        <w:rPr>
          <w:color w:val="auto"/>
        </w:rPr>
        <w:t xml:space="preserve">7.2 After verifying </w:t>
      </w:r>
      <w:r w:rsidR="00492CCE">
        <w:rPr>
          <w:color w:val="auto"/>
        </w:rPr>
        <w:t xml:space="preserve">the </w:t>
      </w:r>
      <w:r w:rsidRPr="00C006C7">
        <w:rPr>
          <w:color w:val="auto"/>
        </w:rPr>
        <w:t xml:space="preserve">position of the </w:t>
      </w:r>
      <w:r w:rsidR="00711C6A" w:rsidRPr="00C006C7">
        <w:rPr>
          <w:color w:val="auto"/>
        </w:rPr>
        <w:t>probe</w:t>
      </w:r>
      <w:r w:rsidRPr="00C006C7">
        <w:rPr>
          <w:color w:val="auto"/>
        </w:rPr>
        <w:t xml:space="preserve">s, </w:t>
      </w:r>
      <w:r w:rsidR="00C746E7" w:rsidRPr="00C006C7">
        <w:rPr>
          <w:color w:val="auto"/>
        </w:rPr>
        <w:t xml:space="preserve">plug </w:t>
      </w:r>
      <w:r w:rsidRPr="00C006C7">
        <w:rPr>
          <w:color w:val="auto"/>
        </w:rPr>
        <w:t xml:space="preserve">all </w:t>
      </w:r>
      <w:r w:rsidR="00711C6A" w:rsidRPr="00C006C7">
        <w:rPr>
          <w:color w:val="auto"/>
        </w:rPr>
        <w:t>probe</w:t>
      </w:r>
      <w:r w:rsidRPr="00C006C7">
        <w:rPr>
          <w:color w:val="auto"/>
        </w:rPr>
        <w:t xml:space="preserve">s into local data recording system (equipment will vary). </w:t>
      </w:r>
      <w:r w:rsidR="00492CCE">
        <w:rPr>
          <w:color w:val="auto"/>
        </w:rPr>
        <w:t>Perform</w:t>
      </w:r>
      <w:r w:rsidRPr="00C006C7">
        <w:rPr>
          <w:color w:val="auto"/>
        </w:rPr>
        <w:t xml:space="preserve"> some simple data verification steps that can be used for each modality to ensure the signal is recording as planned:</w:t>
      </w:r>
    </w:p>
    <w:p w14:paraId="01398DE2" w14:textId="77777777" w:rsidR="004878DA" w:rsidRDefault="004878DA" w:rsidP="003F7EF1">
      <w:pPr>
        <w:widowControl/>
        <w:rPr>
          <w:color w:val="auto"/>
        </w:rPr>
      </w:pPr>
    </w:p>
    <w:p w14:paraId="78E00AA5" w14:textId="15C8E63A" w:rsidR="00E1497A" w:rsidRPr="00C006C7" w:rsidRDefault="00E1497A" w:rsidP="003F7EF1">
      <w:pPr>
        <w:widowControl/>
        <w:rPr>
          <w:color w:val="auto"/>
        </w:rPr>
      </w:pPr>
      <w:r w:rsidRPr="00C006C7">
        <w:rPr>
          <w:color w:val="auto"/>
        </w:rPr>
        <w:t>7.</w:t>
      </w:r>
      <w:r w:rsidR="00A16203" w:rsidRPr="00C006C7">
        <w:rPr>
          <w:color w:val="auto"/>
        </w:rPr>
        <w:t>2</w:t>
      </w:r>
      <w:r w:rsidRPr="00C006C7">
        <w:rPr>
          <w:color w:val="auto"/>
        </w:rPr>
        <w:t xml:space="preserve">.1 </w:t>
      </w:r>
      <w:r w:rsidR="004B1BC6">
        <w:rPr>
          <w:color w:val="auto"/>
        </w:rPr>
        <w:t>For i</w:t>
      </w:r>
      <w:r w:rsidRPr="00C006C7">
        <w:rPr>
          <w:color w:val="auto"/>
        </w:rPr>
        <w:t>ntracranial pressure</w:t>
      </w:r>
      <w:r w:rsidR="004B1BC6">
        <w:rPr>
          <w:color w:val="auto"/>
        </w:rPr>
        <w:t>,</w:t>
      </w:r>
      <w:r w:rsidRPr="00C006C7">
        <w:rPr>
          <w:color w:val="auto"/>
        </w:rPr>
        <w:t xml:space="preserve"> </w:t>
      </w:r>
      <w:r w:rsidR="004B1BC6">
        <w:rPr>
          <w:color w:val="auto"/>
        </w:rPr>
        <w:t>v</w:t>
      </w:r>
      <w:r w:rsidR="00D07691" w:rsidRPr="00C006C7">
        <w:rPr>
          <w:color w:val="auto"/>
        </w:rPr>
        <w:t xml:space="preserve">erify that a pulsatile waveform is present. </w:t>
      </w:r>
      <w:r w:rsidR="00050C6E">
        <w:rPr>
          <w:color w:val="auto"/>
        </w:rPr>
        <w:t>The ICP</w:t>
      </w:r>
      <w:r w:rsidRPr="00C006C7">
        <w:rPr>
          <w:color w:val="auto"/>
        </w:rPr>
        <w:t xml:space="preserve"> data </w:t>
      </w:r>
      <w:r w:rsidR="00050C6E">
        <w:rPr>
          <w:color w:val="auto"/>
        </w:rPr>
        <w:t xml:space="preserve">measured by </w:t>
      </w:r>
      <w:r w:rsidR="00050C6E" w:rsidRPr="00050C6E">
        <w:rPr>
          <w:color w:val="auto"/>
        </w:rPr>
        <w:t xml:space="preserve">the ICP/PbtO2 probe </w:t>
      </w:r>
      <w:r w:rsidRPr="00C006C7">
        <w:rPr>
          <w:color w:val="auto"/>
        </w:rPr>
        <w:t>generate</w:t>
      </w:r>
      <w:r w:rsidR="00D07691" w:rsidRPr="00C006C7">
        <w:rPr>
          <w:color w:val="auto"/>
        </w:rPr>
        <w:t>s</w:t>
      </w:r>
      <w:r w:rsidRPr="00C006C7">
        <w:rPr>
          <w:color w:val="auto"/>
        </w:rPr>
        <w:t xml:space="preserve"> a waveform visible on </w:t>
      </w:r>
      <w:r w:rsidR="006F7722" w:rsidRPr="00C006C7">
        <w:rPr>
          <w:color w:val="auto"/>
        </w:rPr>
        <w:t xml:space="preserve">the local </w:t>
      </w:r>
      <w:r w:rsidRPr="00C006C7">
        <w:rPr>
          <w:color w:val="auto"/>
        </w:rPr>
        <w:t>recording system</w:t>
      </w:r>
      <w:r w:rsidR="00D07691" w:rsidRPr="00C006C7">
        <w:rPr>
          <w:color w:val="auto"/>
        </w:rPr>
        <w:t>.</w:t>
      </w:r>
    </w:p>
    <w:p w14:paraId="0D1804B1" w14:textId="77777777" w:rsidR="004878DA" w:rsidRDefault="004878DA" w:rsidP="003F7EF1">
      <w:pPr>
        <w:widowControl/>
        <w:rPr>
          <w:color w:val="auto"/>
        </w:rPr>
      </w:pPr>
    </w:p>
    <w:p w14:paraId="107BCA4E" w14:textId="6EB523BF" w:rsidR="00D07691" w:rsidRPr="00C006C7" w:rsidRDefault="00E1497A" w:rsidP="003F7EF1">
      <w:pPr>
        <w:widowControl/>
        <w:rPr>
          <w:color w:val="auto"/>
        </w:rPr>
      </w:pPr>
      <w:r w:rsidRPr="00C006C7">
        <w:rPr>
          <w:color w:val="auto"/>
        </w:rPr>
        <w:t>7.</w:t>
      </w:r>
      <w:r w:rsidR="00A16203" w:rsidRPr="00C006C7">
        <w:rPr>
          <w:color w:val="auto"/>
        </w:rPr>
        <w:t>2</w:t>
      </w:r>
      <w:r w:rsidRPr="00C006C7">
        <w:rPr>
          <w:color w:val="auto"/>
        </w:rPr>
        <w:t xml:space="preserve">.2 </w:t>
      </w:r>
      <w:r w:rsidR="00C05995">
        <w:rPr>
          <w:color w:val="auto"/>
        </w:rPr>
        <w:t>For b</w:t>
      </w:r>
      <w:r w:rsidRPr="00C006C7">
        <w:rPr>
          <w:color w:val="auto"/>
        </w:rPr>
        <w:t>rain tissue oxygen</w:t>
      </w:r>
      <w:r w:rsidR="00C05995">
        <w:rPr>
          <w:color w:val="auto"/>
        </w:rPr>
        <w:t>,</w:t>
      </w:r>
      <w:r w:rsidRPr="00C006C7">
        <w:rPr>
          <w:color w:val="auto"/>
        </w:rPr>
        <w:t xml:space="preserve"> </w:t>
      </w:r>
      <w:r w:rsidR="00C05995">
        <w:rPr>
          <w:color w:val="auto"/>
        </w:rPr>
        <w:t>f</w:t>
      </w:r>
      <w:r w:rsidRPr="00C006C7">
        <w:rPr>
          <w:color w:val="auto"/>
        </w:rPr>
        <w:t xml:space="preserve">irst examine the temperature of the brain and verify that the temperature is </w:t>
      </w:r>
      <w:proofErr w:type="gramStart"/>
      <w:r w:rsidRPr="00C006C7">
        <w:rPr>
          <w:color w:val="auto"/>
        </w:rPr>
        <w:t>similar to</w:t>
      </w:r>
      <w:proofErr w:type="gramEnd"/>
      <w:r w:rsidRPr="00C006C7">
        <w:rPr>
          <w:color w:val="auto"/>
        </w:rPr>
        <w:t xml:space="preserve"> what would be expected for core body temperature measured at another site (bladder, esophageal). Second, verify the responsiveness of the monitor by transiently increasing the </w:t>
      </w:r>
      <w:r w:rsidR="00B83B62">
        <w:rPr>
          <w:color w:val="auto"/>
        </w:rPr>
        <w:t>f</w:t>
      </w:r>
      <w:r w:rsidR="00ED5E72" w:rsidRPr="00ED5E72">
        <w:rPr>
          <w:color w:val="auto"/>
        </w:rPr>
        <w:t>raction of inspired oxygen</w:t>
      </w:r>
      <w:r w:rsidR="00ED5E72">
        <w:rPr>
          <w:color w:val="auto"/>
        </w:rPr>
        <w:t xml:space="preserve"> (</w:t>
      </w:r>
      <w:r w:rsidRPr="00C006C7">
        <w:rPr>
          <w:color w:val="auto"/>
        </w:rPr>
        <w:t>FiO2</w:t>
      </w:r>
      <w:r w:rsidR="00ED5E72">
        <w:rPr>
          <w:color w:val="auto"/>
        </w:rPr>
        <w:t>)</w:t>
      </w:r>
      <w:r w:rsidRPr="00C006C7">
        <w:rPr>
          <w:color w:val="auto"/>
        </w:rPr>
        <w:t xml:space="preserve"> of the patient to 1.0 (100%). </w:t>
      </w:r>
    </w:p>
    <w:p w14:paraId="3C1D687F" w14:textId="77777777" w:rsidR="004878DA" w:rsidRDefault="004878DA" w:rsidP="003F7EF1">
      <w:pPr>
        <w:widowControl/>
        <w:rPr>
          <w:color w:val="auto"/>
        </w:rPr>
      </w:pPr>
    </w:p>
    <w:p w14:paraId="72B5DDB5" w14:textId="467831FB" w:rsidR="00E1497A" w:rsidRPr="00C006C7" w:rsidRDefault="00D07691" w:rsidP="003F7EF1">
      <w:pPr>
        <w:widowControl/>
        <w:rPr>
          <w:color w:val="auto"/>
        </w:rPr>
      </w:pPr>
      <w:r w:rsidRPr="00C006C7">
        <w:rPr>
          <w:color w:val="auto"/>
        </w:rPr>
        <w:t>N</w:t>
      </w:r>
      <w:r w:rsidR="00516B1D">
        <w:rPr>
          <w:color w:val="auto"/>
        </w:rPr>
        <w:t>OTE</w:t>
      </w:r>
      <w:r w:rsidRPr="00C006C7">
        <w:rPr>
          <w:color w:val="auto"/>
        </w:rPr>
        <w:t xml:space="preserve">: </w:t>
      </w:r>
      <w:r w:rsidR="00E1497A" w:rsidRPr="00C006C7">
        <w:rPr>
          <w:color w:val="auto"/>
        </w:rPr>
        <w:t xml:space="preserve">Within 15 min, the PbtO2 should increase by at least 10 mmHg. If not, the diffusion of dissolved oxygen is being impeded either by a small hematoma (check CT scan from step 7.1) or local microtrauma induced by placement of the </w:t>
      </w:r>
      <w:r w:rsidR="00711C6A" w:rsidRPr="00C006C7">
        <w:rPr>
          <w:color w:val="auto"/>
        </w:rPr>
        <w:t>probe</w:t>
      </w:r>
      <w:r w:rsidR="00E1497A" w:rsidRPr="00C006C7">
        <w:rPr>
          <w:color w:val="auto"/>
        </w:rPr>
        <w:t xml:space="preserve"> itself. Consider loosening the locking nut slightly and turning the </w:t>
      </w:r>
      <w:r w:rsidR="00711C6A" w:rsidRPr="00C006C7">
        <w:rPr>
          <w:color w:val="auto"/>
        </w:rPr>
        <w:t>probe</w:t>
      </w:r>
      <w:r w:rsidR="00E1497A" w:rsidRPr="00C006C7">
        <w:rPr>
          <w:color w:val="auto"/>
        </w:rPr>
        <w:t xml:space="preserve"> clockwise 90</w:t>
      </w:r>
      <w:r w:rsidR="00E34DDC">
        <w:rPr>
          <w:color w:val="auto"/>
        </w:rPr>
        <w:t>°</w:t>
      </w:r>
      <w:r w:rsidR="00E1497A" w:rsidRPr="00C006C7">
        <w:rPr>
          <w:color w:val="auto"/>
        </w:rPr>
        <w:t xml:space="preserve"> and re-tightening the locking nut in case there is a small amount of clotted blood accumulated on the oxygen entry surface of the </w:t>
      </w:r>
      <w:r w:rsidR="00711C6A" w:rsidRPr="00C006C7">
        <w:rPr>
          <w:color w:val="auto"/>
        </w:rPr>
        <w:t>probe</w:t>
      </w:r>
      <w:r w:rsidR="00E1497A" w:rsidRPr="00C006C7">
        <w:rPr>
          <w:color w:val="auto"/>
        </w:rPr>
        <w:t>.</w:t>
      </w:r>
    </w:p>
    <w:p w14:paraId="6AA2BFEB" w14:textId="77777777" w:rsidR="004878DA" w:rsidRDefault="004878DA" w:rsidP="003F7EF1">
      <w:pPr>
        <w:widowControl/>
        <w:rPr>
          <w:color w:val="auto"/>
        </w:rPr>
      </w:pPr>
    </w:p>
    <w:p w14:paraId="7DB8F833" w14:textId="1F13027E" w:rsidR="00D07691" w:rsidRPr="00C006C7" w:rsidRDefault="00E1497A" w:rsidP="003F7EF1">
      <w:pPr>
        <w:widowControl/>
        <w:rPr>
          <w:color w:val="auto"/>
        </w:rPr>
      </w:pPr>
      <w:r w:rsidRPr="00C006C7">
        <w:rPr>
          <w:color w:val="auto"/>
        </w:rPr>
        <w:t>7.</w:t>
      </w:r>
      <w:r w:rsidR="00A16203" w:rsidRPr="00C006C7">
        <w:rPr>
          <w:color w:val="auto"/>
        </w:rPr>
        <w:t>2</w:t>
      </w:r>
      <w:r w:rsidRPr="00C006C7">
        <w:rPr>
          <w:color w:val="auto"/>
        </w:rPr>
        <w:t>.</w:t>
      </w:r>
      <w:r w:rsidR="00A16203" w:rsidRPr="00C006C7">
        <w:rPr>
          <w:color w:val="auto"/>
        </w:rPr>
        <w:t>3</w:t>
      </w:r>
      <w:r w:rsidRPr="00C006C7">
        <w:rPr>
          <w:color w:val="auto"/>
        </w:rPr>
        <w:t xml:space="preserve"> </w:t>
      </w:r>
      <w:r w:rsidR="00E34DDC">
        <w:rPr>
          <w:color w:val="auto"/>
        </w:rPr>
        <w:t>For c</w:t>
      </w:r>
      <w:r w:rsidRPr="00C006C7">
        <w:rPr>
          <w:color w:val="auto"/>
        </w:rPr>
        <w:t>erebral blood flow</w:t>
      </w:r>
      <w:r w:rsidR="00E34DDC">
        <w:rPr>
          <w:color w:val="auto"/>
        </w:rPr>
        <w:t>,</w:t>
      </w:r>
      <w:r w:rsidR="00EB702E" w:rsidRPr="00C006C7">
        <w:rPr>
          <w:color w:val="auto"/>
        </w:rPr>
        <w:t xml:space="preserve"> </w:t>
      </w:r>
      <w:r w:rsidR="00E34DDC">
        <w:rPr>
          <w:color w:val="auto"/>
        </w:rPr>
        <w:t>f</w:t>
      </w:r>
      <w:r w:rsidR="00D07691" w:rsidRPr="00C006C7">
        <w:rPr>
          <w:color w:val="auto"/>
        </w:rPr>
        <w:t>irst wait for t</w:t>
      </w:r>
      <w:r w:rsidRPr="00C006C7">
        <w:rPr>
          <w:color w:val="auto"/>
        </w:rPr>
        <w:t>he initial measurement</w:t>
      </w:r>
      <w:r w:rsidR="00D07691" w:rsidRPr="00C006C7">
        <w:rPr>
          <w:color w:val="auto"/>
        </w:rPr>
        <w:t>, which</w:t>
      </w:r>
      <w:r w:rsidRPr="00C006C7">
        <w:rPr>
          <w:color w:val="auto"/>
        </w:rPr>
        <w:t xml:space="preserve"> may take up to 6 min for the </w:t>
      </w:r>
      <w:r w:rsidR="00711C6A" w:rsidRPr="00C006C7">
        <w:rPr>
          <w:color w:val="auto"/>
        </w:rPr>
        <w:t>probe</w:t>
      </w:r>
      <w:r w:rsidRPr="00C006C7">
        <w:rPr>
          <w:color w:val="auto"/>
        </w:rPr>
        <w:t xml:space="preserve"> to establish a stable thermal field. </w:t>
      </w:r>
    </w:p>
    <w:p w14:paraId="3EA34F93" w14:textId="77777777" w:rsidR="004878DA" w:rsidRDefault="004878DA" w:rsidP="003F7EF1">
      <w:pPr>
        <w:widowControl/>
        <w:rPr>
          <w:color w:val="auto"/>
        </w:rPr>
      </w:pPr>
    </w:p>
    <w:p w14:paraId="53362FF4" w14:textId="1A6DF10A" w:rsidR="00810096" w:rsidRDefault="00A16203" w:rsidP="003F7EF1">
      <w:pPr>
        <w:widowControl/>
        <w:rPr>
          <w:color w:val="auto"/>
        </w:rPr>
      </w:pPr>
      <w:r w:rsidRPr="00C006C7">
        <w:rPr>
          <w:color w:val="auto"/>
        </w:rPr>
        <w:t>7.2.3</w:t>
      </w:r>
      <w:r w:rsidR="00D07691" w:rsidRPr="00C006C7">
        <w:rPr>
          <w:color w:val="auto"/>
        </w:rPr>
        <w:t>.1 Ensure that the blood flow probe temperature is within 0.7</w:t>
      </w:r>
      <w:r w:rsidR="00942536">
        <w:rPr>
          <w:color w:val="auto"/>
        </w:rPr>
        <w:t xml:space="preserve"> °</w:t>
      </w:r>
      <w:r w:rsidR="00D07691" w:rsidRPr="00C006C7">
        <w:rPr>
          <w:color w:val="auto"/>
        </w:rPr>
        <w:t xml:space="preserve">C of the brain tissue temperature. </w:t>
      </w:r>
    </w:p>
    <w:p w14:paraId="140E3C4A" w14:textId="77777777" w:rsidR="00810096" w:rsidRDefault="00810096" w:rsidP="003F7EF1">
      <w:pPr>
        <w:widowControl/>
        <w:rPr>
          <w:color w:val="auto"/>
        </w:rPr>
      </w:pPr>
    </w:p>
    <w:p w14:paraId="26398621" w14:textId="273A8E0D" w:rsidR="00D07691" w:rsidRPr="00C006C7" w:rsidRDefault="00D07691" w:rsidP="003F7EF1">
      <w:pPr>
        <w:widowControl/>
        <w:rPr>
          <w:color w:val="auto"/>
        </w:rPr>
      </w:pPr>
      <w:r w:rsidRPr="00C006C7">
        <w:rPr>
          <w:color w:val="auto"/>
        </w:rPr>
        <w:t>N</w:t>
      </w:r>
      <w:r w:rsidR="00810096">
        <w:rPr>
          <w:color w:val="auto"/>
        </w:rPr>
        <w:t>OTE</w:t>
      </w:r>
      <w:r w:rsidRPr="00C006C7">
        <w:rPr>
          <w:color w:val="auto"/>
        </w:rPr>
        <w:t xml:space="preserve">: </w:t>
      </w:r>
      <w:r w:rsidR="00E1497A" w:rsidRPr="00C006C7">
        <w:rPr>
          <w:color w:val="auto"/>
        </w:rPr>
        <w:t xml:space="preserve">If lower, the blood flow </w:t>
      </w:r>
      <w:r w:rsidR="00711C6A" w:rsidRPr="00C006C7">
        <w:rPr>
          <w:color w:val="auto"/>
        </w:rPr>
        <w:t>probe</w:t>
      </w:r>
      <w:r w:rsidR="00E1497A" w:rsidRPr="00C006C7">
        <w:rPr>
          <w:color w:val="auto"/>
        </w:rPr>
        <w:t xml:space="preserve"> is likely too shallow and will need to be advanced. </w:t>
      </w:r>
    </w:p>
    <w:p w14:paraId="0D5A08E7" w14:textId="77777777" w:rsidR="004878DA" w:rsidRDefault="004878DA" w:rsidP="003F7EF1">
      <w:pPr>
        <w:widowControl/>
        <w:rPr>
          <w:color w:val="auto"/>
        </w:rPr>
      </w:pPr>
    </w:p>
    <w:p w14:paraId="5555795E" w14:textId="4AB99FCE" w:rsidR="00942536" w:rsidRDefault="00A16203" w:rsidP="003F7EF1">
      <w:pPr>
        <w:widowControl/>
        <w:rPr>
          <w:color w:val="auto"/>
        </w:rPr>
      </w:pPr>
      <w:r w:rsidRPr="00C006C7">
        <w:rPr>
          <w:color w:val="auto"/>
        </w:rPr>
        <w:t>7.2.3</w:t>
      </w:r>
      <w:r w:rsidR="00D07691" w:rsidRPr="00C006C7">
        <w:rPr>
          <w:color w:val="auto"/>
        </w:rPr>
        <w:t>.2 Ensure that the</w:t>
      </w:r>
      <w:r w:rsidR="00E1497A" w:rsidRPr="00C006C7">
        <w:rPr>
          <w:color w:val="auto"/>
        </w:rPr>
        <w:t xml:space="preserve"> </w:t>
      </w:r>
      <w:r w:rsidR="00942536" w:rsidRPr="00C006C7">
        <w:rPr>
          <w:color w:val="auto"/>
        </w:rPr>
        <w:t xml:space="preserve">probe placement assistant </w:t>
      </w:r>
      <w:r w:rsidR="00E1497A" w:rsidRPr="00C006C7">
        <w:rPr>
          <w:color w:val="auto"/>
        </w:rPr>
        <w:t>(PPA) number</w:t>
      </w:r>
      <w:r w:rsidR="00D07691" w:rsidRPr="00C006C7">
        <w:rPr>
          <w:color w:val="auto"/>
        </w:rPr>
        <w:t>, which</w:t>
      </w:r>
      <w:r w:rsidR="00E1497A" w:rsidRPr="00C006C7">
        <w:rPr>
          <w:color w:val="auto"/>
        </w:rPr>
        <w:t xml:space="preserve"> is simultaneously generated</w:t>
      </w:r>
      <w:r w:rsidR="00D07691" w:rsidRPr="00C006C7">
        <w:rPr>
          <w:color w:val="auto"/>
        </w:rPr>
        <w:t xml:space="preserve"> with blood flow probe temperature in 7.2.</w:t>
      </w:r>
      <w:r w:rsidR="00120FD4">
        <w:rPr>
          <w:color w:val="auto"/>
        </w:rPr>
        <w:t>3.</w:t>
      </w:r>
      <w:r w:rsidR="00D07691" w:rsidRPr="00C006C7">
        <w:rPr>
          <w:color w:val="auto"/>
        </w:rPr>
        <w:t>1., reads &lt; 2</w:t>
      </w:r>
      <w:r w:rsidR="00E1497A" w:rsidRPr="00C006C7">
        <w:rPr>
          <w:color w:val="auto"/>
        </w:rPr>
        <w:t xml:space="preserve">. </w:t>
      </w:r>
    </w:p>
    <w:p w14:paraId="28C085F9" w14:textId="77777777" w:rsidR="00942536" w:rsidRDefault="00942536" w:rsidP="003F7EF1">
      <w:pPr>
        <w:widowControl/>
        <w:rPr>
          <w:color w:val="auto"/>
        </w:rPr>
      </w:pPr>
    </w:p>
    <w:p w14:paraId="014618A9" w14:textId="3C67ACF9" w:rsidR="00E1497A" w:rsidRPr="00C006C7" w:rsidRDefault="00D07691" w:rsidP="003F7EF1">
      <w:pPr>
        <w:widowControl/>
        <w:rPr>
          <w:color w:val="auto"/>
        </w:rPr>
      </w:pPr>
      <w:r w:rsidRPr="00C006C7">
        <w:rPr>
          <w:color w:val="auto"/>
        </w:rPr>
        <w:t>N</w:t>
      </w:r>
      <w:r w:rsidR="00942536">
        <w:rPr>
          <w:color w:val="auto"/>
        </w:rPr>
        <w:t>OTE</w:t>
      </w:r>
      <w:r w:rsidRPr="00C006C7">
        <w:rPr>
          <w:color w:val="auto"/>
        </w:rPr>
        <w:t xml:space="preserve">: </w:t>
      </w:r>
      <w:r w:rsidR="00E1497A" w:rsidRPr="00C006C7">
        <w:rPr>
          <w:color w:val="auto"/>
        </w:rPr>
        <w:t xml:space="preserve">This measurement is performed by a mechanical probe which senses displacement of the </w:t>
      </w:r>
      <w:r w:rsidR="00711C6A" w:rsidRPr="00C006C7">
        <w:rPr>
          <w:color w:val="auto"/>
        </w:rPr>
        <w:t>probe</w:t>
      </w:r>
      <w:r w:rsidR="00E1497A" w:rsidRPr="00C006C7">
        <w:rPr>
          <w:color w:val="auto"/>
        </w:rPr>
        <w:t xml:space="preserve"> related to </w:t>
      </w:r>
      <w:proofErr w:type="spellStart"/>
      <w:r w:rsidR="00E1497A" w:rsidRPr="00C006C7">
        <w:rPr>
          <w:color w:val="auto"/>
        </w:rPr>
        <w:t>pulsatility</w:t>
      </w:r>
      <w:proofErr w:type="spellEnd"/>
      <w:r w:rsidR="00E1497A" w:rsidRPr="00C006C7">
        <w:rPr>
          <w:color w:val="auto"/>
        </w:rPr>
        <w:t xml:space="preserve">, and values range from 0.0 (stable thermal field) to 10.0 (nearby pulsatile blood vessel render the thermal field too unstable to generate </w:t>
      </w:r>
      <w:proofErr w:type="spellStart"/>
      <w:r w:rsidR="00E1497A" w:rsidRPr="00C006C7">
        <w:rPr>
          <w:color w:val="auto"/>
        </w:rPr>
        <w:t>rCBF</w:t>
      </w:r>
      <w:proofErr w:type="spellEnd"/>
      <w:r w:rsidR="00E1497A" w:rsidRPr="00C006C7">
        <w:rPr>
          <w:color w:val="auto"/>
        </w:rPr>
        <w:t xml:space="preserve">). If the PPA is &gt; 2, </w:t>
      </w:r>
      <w:r w:rsidR="00313053" w:rsidRPr="00C006C7">
        <w:rPr>
          <w:color w:val="auto"/>
        </w:rPr>
        <w:t xml:space="preserve">consider pulling the </w:t>
      </w:r>
      <w:r w:rsidR="00711C6A" w:rsidRPr="00C006C7">
        <w:rPr>
          <w:color w:val="auto"/>
        </w:rPr>
        <w:t>probe</w:t>
      </w:r>
      <w:r w:rsidR="00313053" w:rsidRPr="00C006C7">
        <w:rPr>
          <w:color w:val="auto"/>
        </w:rPr>
        <w:t xml:space="preserve"> back by 0.25</w:t>
      </w:r>
      <w:r w:rsidR="007B5151">
        <w:rPr>
          <w:color w:val="auto"/>
        </w:rPr>
        <w:t xml:space="preserve"> </w:t>
      </w:r>
      <w:r w:rsidR="00313053" w:rsidRPr="00C006C7">
        <w:rPr>
          <w:color w:val="auto"/>
        </w:rPr>
        <w:t>-</w:t>
      </w:r>
      <w:r w:rsidR="007B5151">
        <w:rPr>
          <w:color w:val="auto"/>
        </w:rPr>
        <w:t xml:space="preserve"> </w:t>
      </w:r>
      <w:r w:rsidR="00313053" w:rsidRPr="00C006C7">
        <w:rPr>
          <w:color w:val="auto"/>
        </w:rPr>
        <w:t>0.5 cm.</w:t>
      </w:r>
    </w:p>
    <w:p w14:paraId="7000FCE4" w14:textId="77777777" w:rsidR="004878DA" w:rsidRDefault="004878DA" w:rsidP="003F7EF1">
      <w:pPr>
        <w:widowControl/>
        <w:rPr>
          <w:color w:val="auto"/>
        </w:rPr>
      </w:pPr>
    </w:p>
    <w:p w14:paraId="4C19B203" w14:textId="66FEEC8E" w:rsidR="00D07691" w:rsidRPr="00C006C7" w:rsidRDefault="00313053" w:rsidP="003F7EF1">
      <w:pPr>
        <w:widowControl/>
        <w:rPr>
          <w:color w:val="auto"/>
        </w:rPr>
      </w:pPr>
      <w:r w:rsidRPr="00C006C7">
        <w:rPr>
          <w:color w:val="auto"/>
        </w:rPr>
        <w:t>7.</w:t>
      </w:r>
      <w:r w:rsidR="00A16203" w:rsidRPr="00C006C7">
        <w:rPr>
          <w:color w:val="auto"/>
        </w:rPr>
        <w:t>2</w:t>
      </w:r>
      <w:r w:rsidRPr="00C006C7">
        <w:rPr>
          <w:color w:val="auto"/>
        </w:rPr>
        <w:t>.</w:t>
      </w:r>
      <w:r w:rsidR="00A16203" w:rsidRPr="00C006C7">
        <w:rPr>
          <w:color w:val="auto"/>
        </w:rPr>
        <w:t>4</w:t>
      </w:r>
      <w:r w:rsidRPr="00C006C7">
        <w:rPr>
          <w:color w:val="auto"/>
        </w:rPr>
        <w:t xml:space="preserve"> </w:t>
      </w:r>
      <w:r w:rsidR="00A10F23">
        <w:rPr>
          <w:color w:val="auto"/>
        </w:rPr>
        <w:t>For d</w:t>
      </w:r>
      <w:r w:rsidRPr="00C006C7">
        <w:rPr>
          <w:color w:val="auto"/>
        </w:rPr>
        <w:t xml:space="preserve">epth </w:t>
      </w:r>
      <w:r w:rsidR="008213D7" w:rsidRPr="00C006C7">
        <w:rPr>
          <w:color w:val="auto"/>
        </w:rPr>
        <w:t xml:space="preserve">electroencephalography </w:t>
      </w:r>
      <w:r w:rsidR="008213D7">
        <w:rPr>
          <w:color w:val="auto"/>
        </w:rPr>
        <w:t>(</w:t>
      </w:r>
      <w:r w:rsidRPr="00C006C7">
        <w:rPr>
          <w:color w:val="auto"/>
        </w:rPr>
        <w:t>EEG</w:t>
      </w:r>
      <w:r w:rsidR="008213D7">
        <w:rPr>
          <w:color w:val="auto"/>
        </w:rPr>
        <w:t>)</w:t>
      </w:r>
      <w:r w:rsidR="00A10F23">
        <w:rPr>
          <w:color w:val="auto"/>
        </w:rPr>
        <w:t>,</w:t>
      </w:r>
      <w:r w:rsidRPr="00C006C7">
        <w:rPr>
          <w:color w:val="auto"/>
        </w:rPr>
        <w:t xml:space="preserve"> </w:t>
      </w:r>
      <w:r w:rsidR="00A10F23">
        <w:rPr>
          <w:color w:val="auto"/>
        </w:rPr>
        <w:t>v</w:t>
      </w:r>
      <w:r w:rsidR="00D07691" w:rsidRPr="00C006C7">
        <w:rPr>
          <w:color w:val="auto"/>
        </w:rPr>
        <w:t xml:space="preserve">isually inspect the signal. </w:t>
      </w:r>
    </w:p>
    <w:p w14:paraId="1F170395" w14:textId="77777777" w:rsidR="004878DA" w:rsidRDefault="004878DA" w:rsidP="003F7EF1">
      <w:pPr>
        <w:widowControl/>
        <w:rPr>
          <w:color w:val="auto"/>
        </w:rPr>
      </w:pPr>
    </w:p>
    <w:p w14:paraId="78FA0224" w14:textId="0972B23D" w:rsidR="00313053" w:rsidRPr="00C006C7" w:rsidRDefault="008C3DB2" w:rsidP="003F7EF1">
      <w:pPr>
        <w:widowControl/>
        <w:rPr>
          <w:color w:val="auto"/>
        </w:rPr>
      </w:pPr>
      <w:r w:rsidRPr="00C006C7">
        <w:rPr>
          <w:color w:val="auto"/>
        </w:rPr>
        <w:t>NOTE</w:t>
      </w:r>
      <w:r w:rsidR="00D07691" w:rsidRPr="00C006C7">
        <w:rPr>
          <w:color w:val="auto"/>
        </w:rPr>
        <w:t xml:space="preserve">: The depth electrodes require a ground electrode and reference electrode. A local electrodiagnostic technologist will be able to assist in placing these electrodes. Correctly recorded EEG should demonstrate a mixture of frequencies at a 15 µV/mm scale with a dynamic range </w:t>
      </w:r>
      <w:r>
        <w:rPr>
          <w:color w:val="auto"/>
        </w:rPr>
        <w:t xml:space="preserve">± </w:t>
      </w:r>
      <w:r w:rsidR="00D07691" w:rsidRPr="00C006C7">
        <w:rPr>
          <w:color w:val="auto"/>
        </w:rPr>
        <w:t>200</w:t>
      </w:r>
      <w:r>
        <w:rPr>
          <w:color w:val="auto"/>
        </w:rPr>
        <w:t xml:space="preserve"> </w:t>
      </w:r>
      <w:r w:rsidR="00D07691" w:rsidRPr="00C006C7">
        <w:rPr>
          <w:color w:val="auto"/>
        </w:rPr>
        <w:t>-</w:t>
      </w:r>
      <w:r>
        <w:rPr>
          <w:color w:val="auto"/>
        </w:rPr>
        <w:t xml:space="preserve"> </w:t>
      </w:r>
      <w:r w:rsidR="00D07691" w:rsidRPr="00C006C7">
        <w:rPr>
          <w:color w:val="auto"/>
        </w:rPr>
        <w:t xml:space="preserve">400 µV at a high-pass filter of 0.5 Hz and a low-pass filter of 50 Hz. If this is not seen, it may be worth verifying the placement of the reference or the ground. </w:t>
      </w:r>
    </w:p>
    <w:p w14:paraId="5BCBFCE4" w14:textId="77777777" w:rsidR="004878DA" w:rsidRDefault="004878DA" w:rsidP="003F7EF1">
      <w:pPr>
        <w:widowControl/>
        <w:rPr>
          <w:b/>
          <w:color w:val="auto"/>
        </w:rPr>
      </w:pPr>
    </w:p>
    <w:p w14:paraId="5EBEBFF5" w14:textId="2602FDB6" w:rsidR="00275014" w:rsidRPr="00C006C7" w:rsidRDefault="00275014" w:rsidP="003F7EF1">
      <w:pPr>
        <w:widowControl/>
        <w:rPr>
          <w:b/>
          <w:color w:val="auto"/>
        </w:rPr>
      </w:pPr>
      <w:r w:rsidRPr="00C006C7">
        <w:rPr>
          <w:b/>
          <w:color w:val="auto"/>
        </w:rPr>
        <w:t>8. Patient Care</w:t>
      </w:r>
    </w:p>
    <w:p w14:paraId="36C30F1E" w14:textId="77777777" w:rsidR="004878DA" w:rsidRDefault="004878DA" w:rsidP="003F7EF1">
      <w:pPr>
        <w:widowControl/>
        <w:rPr>
          <w:color w:val="auto"/>
        </w:rPr>
      </w:pPr>
    </w:p>
    <w:p w14:paraId="075A8C5D" w14:textId="7DF5BCFE" w:rsidR="00275014" w:rsidRPr="00C006C7" w:rsidRDefault="00492CCE" w:rsidP="003F7EF1">
      <w:pPr>
        <w:widowControl/>
        <w:rPr>
          <w:color w:val="auto"/>
        </w:rPr>
      </w:pPr>
      <w:r>
        <w:rPr>
          <w:color w:val="auto"/>
        </w:rPr>
        <w:t>NOTE:</w:t>
      </w:r>
      <w:r w:rsidR="00275014" w:rsidRPr="00C006C7">
        <w:rPr>
          <w:color w:val="auto"/>
        </w:rPr>
        <w:t xml:space="preserve"> Following the procedure, no further pain control is </w:t>
      </w:r>
      <w:proofErr w:type="gramStart"/>
      <w:r w:rsidR="00275014" w:rsidRPr="00C006C7">
        <w:rPr>
          <w:color w:val="auto"/>
        </w:rPr>
        <w:t>necessary</w:t>
      </w:r>
      <w:proofErr w:type="gramEnd"/>
      <w:r w:rsidR="00275014" w:rsidRPr="00C006C7">
        <w:rPr>
          <w:color w:val="auto"/>
        </w:rPr>
        <w:t xml:space="preserve"> and no prophylactic antibiotics are required.</w:t>
      </w:r>
    </w:p>
    <w:p w14:paraId="406320D0" w14:textId="77777777" w:rsidR="004878DA" w:rsidRDefault="004878DA" w:rsidP="003F7EF1">
      <w:pPr>
        <w:widowControl/>
        <w:rPr>
          <w:color w:val="auto"/>
        </w:rPr>
      </w:pPr>
    </w:p>
    <w:p w14:paraId="0D05BF75" w14:textId="4A7DF9A6" w:rsidR="00275014" w:rsidRPr="00C006C7" w:rsidRDefault="00275014" w:rsidP="003F7EF1">
      <w:pPr>
        <w:widowControl/>
        <w:rPr>
          <w:color w:val="auto"/>
        </w:rPr>
      </w:pPr>
      <w:r w:rsidRPr="00C006C7">
        <w:rPr>
          <w:color w:val="auto"/>
        </w:rPr>
        <w:t>8.</w:t>
      </w:r>
      <w:r w:rsidR="001F454F">
        <w:rPr>
          <w:color w:val="auto"/>
        </w:rPr>
        <w:t>1</w:t>
      </w:r>
      <w:r w:rsidRPr="00C006C7">
        <w:rPr>
          <w:color w:val="auto"/>
        </w:rPr>
        <w:t xml:space="preserve"> At the end of the clinical monitoring period, remove the bolt by first removing each of the probes individually. Then, twist the bolt counterclockwise until it comes loose from the skull and can be removed. </w:t>
      </w:r>
    </w:p>
    <w:p w14:paraId="4C6F30BF" w14:textId="77777777" w:rsidR="004878DA" w:rsidRDefault="004878DA" w:rsidP="003F7EF1">
      <w:pPr>
        <w:widowControl/>
        <w:rPr>
          <w:color w:val="auto"/>
        </w:rPr>
      </w:pPr>
    </w:p>
    <w:p w14:paraId="2BE17492" w14:textId="50958186" w:rsidR="00275014" w:rsidRPr="00C006C7" w:rsidRDefault="00275014" w:rsidP="003F7EF1">
      <w:pPr>
        <w:widowControl/>
        <w:rPr>
          <w:color w:val="auto"/>
        </w:rPr>
      </w:pPr>
      <w:r w:rsidRPr="00C006C7">
        <w:rPr>
          <w:color w:val="auto"/>
        </w:rPr>
        <w:t>8.</w:t>
      </w:r>
      <w:r w:rsidR="001F454F">
        <w:rPr>
          <w:color w:val="auto"/>
        </w:rPr>
        <w:t>2</w:t>
      </w:r>
      <w:r w:rsidRPr="00C006C7">
        <w:rPr>
          <w:color w:val="auto"/>
        </w:rPr>
        <w:t xml:space="preserve"> Use sterile technique to suture the skin opening and monitor for any cerebrospinal fluid leakage, bleeding, or swelling at the site. </w:t>
      </w:r>
    </w:p>
    <w:p w14:paraId="1C4DEE5A" w14:textId="77777777" w:rsidR="004878DA" w:rsidRDefault="004878DA" w:rsidP="003F7EF1">
      <w:pPr>
        <w:pStyle w:val="NormalWeb"/>
        <w:widowControl/>
        <w:spacing w:before="0" w:beforeAutospacing="0" w:after="0" w:afterAutospacing="0"/>
        <w:rPr>
          <w:b/>
          <w:color w:val="auto"/>
        </w:rPr>
      </w:pPr>
    </w:p>
    <w:p w14:paraId="3E79FCA8" w14:textId="5B425F46" w:rsidR="006305D7" w:rsidRPr="00C006C7" w:rsidRDefault="006305D7" w:rsidP="003F7EF1">
      <w:pPr>
        <w:pStyle w:val="NormalWeb"/>
        <w:widowControl/>
        <w:spacing w:before="0" w:beforeAutospacing="0" w:after="0" w:afterAutospacing="0"/>
        <w:rPr>
          <w:color w:val="auto"/>
        </w:rPr>
      </w:pPr>
      <w:r w:rsidRPr="00C006C7">
        <w:rPr>
          <w:b/>
          <w:color w:val="auto"/>
        </w:rPr>
        <w:t>REPRESENTATIVE RESULTS</w:t>
      </w:r>
      <w:r w:rsidR="00D90343" w:rsidRPr="00C006C7">
        <w:rPr>
          <w:b/>
          <w:color w:val="auto"/>
        </w:rPr>
        <w:t>:</w:t>
      </w:r>
      <w:r w:rsidRPr="00C006C7">
        <w:rPr>
          <w:b/>
          <w:bCs/>
          <w:color w:val="auto"/>
        </w:rPr>
        <w:t xml:space="preserve"> </w:t>
      </w:r>
    </w:p>
    <w:p w14:paraId="5248675A" w14:textId="62832998" w:rsidR="00383B0D" w:rsidRPr="00C006C7" w:rsidRDefault="004D69C6" w:rsidP="003F7EF1">
      <w:pPr>
        <w:widowControl/>
        <w:rPr>
          <w:color w:val="auto"/>
        </w:rPr>
      </w:pPr>
      <w:r w:rsidRPr="00C006C7">
        <w:rPr>
          <w:color w:val="auto"/>
        </w:rPr>
        <w:t>E</w:t>
      </w:r>
      <w:r w:rsidR="008D5622" w:rsidRPr="00C006C7">
        <w:rPr>
          <w:color w:val="auto"/>
        </w:rPr>
        <w:t>xperience in using this approach</w:t>
      </w:r>
      <w:r w:rsidR="00DF7ECF" w:rsidRPr="00C006C7">
        <w:rPr>
          <w:color w:val="auto"/>
        </w:rPr>
        <w:t xml:space="preserve"> in </w:t>
      </w:r>
      <w:r w:rsidR="00DA6A0F" w:rsidRPr="00C006C7">
        <w:rPr>
          <w:color w:val="auto"/>
        </w:rPr>
        <w:t>43 patients with severe TBI</w:t>
      </w:r>
      <w:r w:rsidR="008D5622" w:rsidRPr="00C006C7">
        <w:rPr>
          <w:color w:val="auto"/>
        </w:rPr>
        <w:t xml:space="preserve"> was recently published</w:t>
      </w:r>
      <w:r w:rsidR="001B5BDE" w:rsidRPr="00C006C7">
        <w:rPr>
          <w:color w:val="auto"/>
          <w:vertAlign w:val="superscript"/>
        </w:rPr>
        <w:t>17</w:t>
      </w:r>
      <w:r w:rsidR="008D5622" w:rsidRPr="00C006C7">
        <w:rPr>
          <w:color w:val="auto"/>
        </w:rPr>
        <w:t>. Patient selection limits t</w:t>
      </w:r>
      <w:r w:rsidR="00DA6A0F" w:rsidRPr="00C006C7">
        <w:rPr>
          <w:color w:val="auto"/>
        </w:rPr>
        <w:t xml:space="preserve">he number of </w:t>
      </w:r>
      <w:r w:rsidRPr="00C006C7">
        <w:rPr>
          <w:color w:val="auto"/>
        </w:rPr>
        <w:t>those</w:t>
      </w:r>
      <w:r w:rsidR="00DA6A0F" w:rsidRPr="00C006C7">
        <w:rPr>
          <w:color w:val="auto"/>
        </w:rPr>
        <w:t xml:space="preserve"> </w:t>
      </w:r>
      <w:proofErr w:type="gramStart"/>
      <w:r w:rsidR="00F706DD" w:rsidRPr="00C006C7">
        <w:rPr>
          <w:color w:val="auto"/>
        </w:rPr>
        <w:t>eligible</w:t>
      </w:r>
      <w:r w:rsidR="00137E16">
        <w:rPr>
          <w:color w:val="auto"/>
        </w:rPr>
        <w:t>,</w:t>
      </w:r>
      <w:r w:rsidR="00F706DD" w:rsidRPr="00C006C7">
        <w:rPr>
          <w:color w:val="auto"/>
        </w:rPr>
        <w:t xml:space="preserve"> but</w:t>
      </w:r>
      <w:proofErr w:type="gramEnd"/>
      <w:r w:rsidR="00DF7ECF" w:rsidRPr="00C006C7">
        <w:rPr>
          <w:color w:val="auto"/>
        </w:rPr>
        <w:t xml:space="preserve"> f</w:t>
      </w:r>
      <w:r w:rsidR="008D5622" w:rsidRPr="00C006C7">
        <w:rPr>
          <w:color w:val="auto"/>
        </w:rPr>
        <w:t xml:space="preserve">ocusing on only those with </w:t>
      </w:r>
      <w:r w:rsidR="00F706DD">
        <w:rPr>
          <w:color w:val="auto"/>
        </w:rPr>
        <w:t>TBI</w:t>
      </w:r>
      <w:r w:rsidR="008D5622" w:rsidRPr="00C006C7">
        <w:rPr>
          <w:color w:val="auto"/>
        </w:rPr>
        <w:t xml:space="preserve"> at a level I trauma center led to approximately 2 patients per month. This number is predicated on hospital volume and ma</w:t>
      </w:r>
      <w:r w:rsidR="00DF7ECF" w:rsidRPr="00C006C7">
        <w:rPr>
          <w:color w:val="auto"/>
        </w:rPr>
        <w:t>y increase if</w:t>
      </w:r>
      <w:r w:rsidR="008D5622" w:rsidRPr="00C006C7">
        <w:rPr>
          <w:color w:val="auto"/>
        </w:rPr>
        <w:t xml:space="preserve"> additional acute brain injuries are considered</w:t>
      </w:r>
      <w:r w:rsidR="00DF7ECF" w:rsidRPr="00C006C7">
        <w:rPr>
          <w:color w:val="auto"/>
        </w:rPr>
        <w:t xml:space="preserve"> for monitoring,</w:t>
      </w:r>
      <w:r w:rsidR="008D5622" w:rsidRPr="00C006C7">
        <w:rPr>
          <w:color w:val="auto"/>
        </w:rPr>
        <w:t xml:space="preserve"> such as those with hemorrhagic stroke. </w:t>
      </w:r>
    </w:p>
    <w:p w14:paraId="51972DE9" w14:textId="77777777" w:rsidR="004878DA" w:rsidRDefault="004878DA" w:rsidP="003F7EF1">
      <w:pPr>
        <w:widowControl/>
        <w:rPr>
          <w:color w:val="auto"/>
        </w:rPr>
      </w:pPr>
    </w:p>
    <w:p w14:paraId="2D3F820A" w14:textId="7F049E5B" w:rsidR="007A4DD6" w:rsidRPr="00C006C7" w:rsidRDefault="008D5622" w:rsidP="003F7EF1">
      <w:pPr>
        <w:widowControl/>
        <w:rPr>
          <w:color w:val="auto"/>
        </w:rPr>
      </w:pPr>
      <w:r w:rsidRPr="00C006C7">
        <w:rPr>
          <w:color w:val="auto"/>
        </w:rPr>
        <w:t>Placement may take place either in patients with non-surgical severe injuries or in those who have undergone surgery</w:t>
      </w:r>
      <w:r w:rsidR="00383B0D" w:rsidRPr="00C006C7">
        <w:rPr>
          <w:color w:val="auto"/>
        </w:rPr>
        <w:t xml:space="preserve">, depending on the preferences at </w:t>
      </w:r>
      <w:r w:rsidR="004D69C6" w:rsidRPr="00C006C7">
        <w:rPr>
          <w:color w:val="auto"/>
        </w:rPr>
        <w:t>an individual</w:t>
      </w:r>
      <w:r w:rsidR="00383B0D" w:rsidRPr="00C006C7">
        <w:rPr>
          <w:color w:val="auto"/>
        </w:rPr>
        <w:t xml:space="preserve"> </w:t>
      </w:r>
      <w:r w:rsidR="00EF3391" w:rsidRPr="00C006C7">
        <w:rPr>
          <w:color w:val="auto"/>
        </w:rPr>
        <w:t>institution</w:t>
      </w:r>
      <w:r w:rsidR="00DA6A0F" w:rsidRPr="00C006C7">
        <w:rPr>
          <w:color w:val="auto"/>
        </w:rPr>
        <w:t xml:space="preserve"> (</w:t>
      </w:r>
      <w:r w:rsidR="00C006C7" w:rsidRPr="00C006C7">
        <w:rPr>
          <w:b/>
          <w:color w:val="auto"/>
        </w:rPr>
        <w:t>Figure 1</w:t>
      </w:r>
      <w:r w:rsidR="00DA6A0F" w:rsidRPr="00C006C7">
        <w:rPr>
          <w:color w:val="auto"/>
        </w:rPr>
        <w:t>)</w:t>
      </w:r>
      <w:r w:rsidRPr="00C006C7">
        <w:rPr>
          <w:color w:val="auto"/>
        </w:rPr>
        <w:t xml:space="preserve">. This technique </w:t>
      </w:r>
      <w:r w:rsidR="00DF7ECF" w:rsidRPr="00C006C7">
        <w:rPr>
          <w:color w:val="auto"/>
        </w:rPr>
        <w:t xml:space="preserve">has been </w:t>
      </w:r>
      <w:r w:rsidRPr="00C006C7">
        <w:rPr>
          <w:color w:val="auto"/>
        </w:rPr>
        <w:t xml:space="preserve">performed within a median of 12.5 h (interquartile range </w:t>
      </w:r>
      <w:r w:rsidR="00466231">
        <w:rPr>
          <w:color w:val="auto"/>
        </w:rPr>
        <w:t xml:space="preserve">[IQR] </w:t>
      </w:r>
      <w:r w:rsidRPr="00C006C7">
        <w:rPr>
          <w:color w:val="auto"/>
        </w:rPr>
        <w:t>9.0</w:t>
      </w:r>
      <w:r w:rsidR="00B9716B">
        <w:rPr>
          <w:color w:val="auto"/>
        </w:rPr>
        <w:t xml:space="preserve"> </w:t>
      </w:r>
      <w:r w:rsidRPr="00C006C7">
        <w:rPr>
          <w:color w:val="auto"/>
        </w:rPr>
        <w:t>-</w:t>
      </w:r>
      <w:r w:rsidR="00B9716B">
        <w:rPr>
          <w:color w:val="auto"/>
        </w:rPr>
        <w:t xml:space="preserve"> </w:t>
      </w:r>
      <w:r w:rsidRPr="00C006C7">
        <w:rPr>
          <w:color w:val="auto"/>
        </w:rPr>
        <w:t xml:space="preserve">21.4 h) of injury and </w:t>
      </w:r>
      <w:r w:rsidR="00711C6A" w:rsidRPr="00C006C7">
        <w:rPr>
          <w:color w:val="auto"/>
        </w:rPr>
        <w:t>probe</w:t>
      </w:r>
      <w:r w:rsidR="00383B0D" w:rsidRPr="00C006C7">
        <w:rPr>
          <w:color w:val="auto"/>
        </w:rPr>
        <w:t xml:space="preserve">s </w:t>
      </w:r>
      <w:r w:rsidR="00DF7ECF" w:rsidRPr="00C006C7">
        <w:rPr>
          <w:color w:val="auto"/>
        </w:rPr>
        <w:t>have been</w:t>
      </w:r>
      <w:r w:rsidR="00383B0D" w:rsidRPr="00C006C7">
        <w:rPr>
          <w:color w:val="auto"/>
        </w:rPr>
        <w:t xml:space="preserve"> left </w:t>
      </w:r>
      <w:r w:rsidR="00C006C7" w:rsidRPr="00C006C7">
        <w:rPr>
          <w:i/>
          <w:color w:val="auto"/>
        </w:rPr>
        <w:t>in situ</w:t>
      </w:r>
      <w:r w:rsidR="00383B0D" w:rsidRPr="00C006C7">
        <w:rPr>
          <w:color w:val="auto"/>
        </w:rPr>
        <w:t xml:space="preserve"> for a median of 97.1 h (IQR 46.9</w:t>
      </w:r>
      <w:r w:rsidR="003F4775">
        <w:rPr>
          <w:color w:val="auto"/>
        </w:rPr>
        <w:t xml:space="preserve"> </w:t>
      </w:r>
      <w:r w:rsidR="00383B0D" w:rsidRPr="00C006C7">
        <w:rPr>
          <w:color w:val="auto"/>
        </w:rPr>
        <w:t>-</w:t>
      </w:r>
      <w:r w:rsidR="003F4775">
        <w:rPr>
          <w:color w:val="auto"/>
        </w:rPr>
        <w:t xml:space="preserve"> </w:t>
      </w:r>
      <w:r w:rsidR="00383B0D" w:rsidRPr="00C006C7">
        <w:rPr>
          <w:color w:val="auto"/>
        </w:rPr>
        <w:t>124.6 h)</w:t>
      </w:r>
      <w:r w:rsidR="001B5BDE" w:rsidRPr="00C006C7">
        <w:rPr>
          <w:color w:val="auto"/>
          <w:vertAlign w:val="superscript"/>
        </w:rPr>
        <w:t>17</w:t>
      </w:r>
      <w:r w:rsidR="00383B0D" w:rsidRPr="00C006C7">
        <w:rPr>
          <w:color w:val="auto"/>
        </w:rPr>
        <w:t xml:space="preserve">. Placement is typically within the non-dominant frontal lobe unless there is a contraindication. </w:t>
      </w:r>
      <w:r w:rsidR="001E16DC" w:rsidRPr="00E5105A">
        <w:rPr>
          <w:color w:val="auto"/>
        </w:rPr>
        <w:t>T</w:t>
      </w:r>
      <w:r w:rsidR="00383B0D" w:rsidRPr="00E5105A">
        <w:rPr>
          <w:color w:val="auto"/>
        </w:rPr>
        <w:t xml:space="preserve">hree-quarters of bolts placed in dominant frontal lobe </w:t>
      </w:r>
      <w:r w:rsidR="00DF7ECF" w:rsidRPr="00E5105A">
        <w:rPr>
          <w:color w:val="auto"/>
        </w:rPr>
        <w:t>were</w:t>
      </w:r>
      <w:r w:rsidR="00383B0D" w:rsidRPr="00E5105A">
        <w:rPr>
          <w:color w:val="auto"/>
        </w:rPr>
        <w:t xml:space="preserve"> placed contralateral to prior</w:t>
      </w:r>
      <w:r w:rsidR="00383B0D" w:rsidRPr="00C006C7">
        <w:rPr>
          <w:color w:val="auto"/>
        </w:rPr>
        <w:t xml:space="preserve"> craniectomy. Nonetheless, in </w:t>
      </w:r>
      <w:r w:rsidR="006920B2">
        <w:rPr>
          <w:color w:val="auto"/>
        </w:rPr>
        <w:t>TBI</w:t>
      </w:r>
      <w:r w:rsidR="00383B0D" w:rsidRPr="00C006C7">
        <w:rPr>
          <w:color w:val="auto"/>
        </w:rPr>
        <w:t xml:space="preserve">, this strategy </w:t>
      </w:r>
      <w:r w:rsidR="00DF7ECF" w:rsidRPr="00C006C7">
        <w:rPr>
          <w:color w:val="auto"/>
        </w:rPr>
        <w:t>led</w:t>
      </w:r>
      <w:r w:rsidR="00383B0D" w:rsidRPr="00C006C7">
        <w:rPr>
          <w:color w:val="auto"/>
        </w:rPr>
        <w:t xml:space="preserve"> to placement within an injur</w:t>
      </w:r>
      <w:r w:rsidR="00FD6938" w:rsidRPr="00C006C7">
        <w:rPr>
          <w:color w:val="auto"/>
        </w:rPr>
        <w:t>ed</w:t>
      </w:r>
      <w:r w:rsidR="00383B0D" w:rsidRPr="00C006C7">
        <w:rPr>
          <w:color w:val="auto"/>
        </w:rPr>
        <w:t xml:space="preserve"> lobe </w:t>
      </w:r>
      <w:proofErr w:type="gramStart"/>
      <w:r w:rsidR="00383B0D" w:rsidRPr="00C006C7">
        <w:rPr>
          <w:color w:val="auto"/>
        </w:rPr>
        <w:t>the majority of</w:t>
      </w:r>
      <w:proofErr w:type="gramEnd"/>
      <w:r w:rsidR="00383B0D" w:rsidRPr="00C006C7">
        <w:rPr>
          <w:color w:val="auto"/>
        </w:rPr>
        <w:t xml:space="preserve"> the time. </w:t>
      </w:r>
      <w:r w:rsidR="00DA6A0F" w:rsidRPr="00C006C7">
        <w:rPr>
          <w:color w:val="auto"/>
        </w:rPr>
        <w:t xml:space="preserve">Misplacement </w:t>
      </w:r>
      <w:r w:rsidR="00DF7ECF" w:rsidRPr="00C006C7">
        <w:rPr>
          <w:color w:val="auto"/>
        </w:rPr>
        <w:t>was</w:t>
      </w:r>
      <w:r w:rsidR="00DA6A0F" w:rsidRPr="00C006C7">
        <w:rPr>
          <w:color w:val="auto"/>
        </w:rPr>
        <w:t xml:space="preserve"> rare using </w:t>
      </w:r>
      <w:r w:rsidR="006F7722" w:rsidRPr="00C006C7">
        <w:rPr>
          <w:color w:val="auto"/>
        </w:rPr>
        <w:t>this</w:t>
      </w:r>
      <w:r w:rsidR="00DA6A0F" w:rsidRPr="00C006C7">
        <w:rPr>
          <w:color w:val="auto"/>
        </w:rPr>
        <w:t xml:space="preserve"> technique, occurring in only 6/42 (14.3%) of patients; </w:t>
      </w:r>
      <w:r w:rsidR="00DF7ECF" w:rsidRPr="00C006C7">
        <w:rPr>
          <w:color w:val="auto"/>
        </w:rPr>
        <w:t xml:space="preserve">device </w:t>
      </w:r>
      <w:r w:rsidR="00DA6A0F" w:rsidRPr="00C006C7">
        <w:rPr>
          <w:color w:val="auto"/>
        </w:rPr>
        <w:t xml:space="preserve">measurements </w:t>
      </w:r>
      <w:r w:rsidR="00DF7ECF" w:rsidRPr="00C006C7">
        <w:rPr>
          <w:color w:val="auto"/>
        </w:rPr>
        <w:t xml:space="preserve">were rarely </w:t>
      </w:r>
      <w:r w:rsidR="00DA6A0F" w:rsidRPr="00C006C7">
        <w:rPr>
          <w:color w:val="auto"/>
        </w:rPr>
        <w:t>affected</w:t>
      </w:r>
      <w:r w:rsidR="001B5BDE" w:rsidRPr="00C006C7">
        <w:rPr>
          <w:color w:val="auto"/>
          <w:vertAlign w:val="superscript"/>
        </w:rPr>
        <w:t>17</w:t>
      </w:r>
      <w:r w:rsidR="00DA6A0F" w:rsidRPr="00C006C7">
        <w:rPr>
          <w:color w:val="auto"/>
        </w:rPr>
        <w:t xml:space="preserve">. </w:t>
      </w:r>
    </w:p>
    <w:p w14:paraId="05C1F4FE" w14:textId="77777777" w:rsidR="004878DA" w:rsidRDefault="004878DA" w:rsidP="003F7EF1">
      <w:pPr>
        <w:widowControl/>
        <w:rPr>
          <w:color w:val="auto"/>
        </w:rPr>
      </w:pPr>
    </w:p>
    <w:p w14:paraId="0350236B" w14:textId="18FC7822" w:rsidR="00383B0D" w:rsidRPr="00C006C7" w:rsidRDefault="00383B0D" w:rsidP="003F7EF1">
      <w:pPr>
        <w:widowControl/>
        <w:rPr>
          <w:color w:val="auto"/>
        </w:rPr>
      </w:pPr>
      <w:r w:rsidRPr="00C006C7">
        <w:rPr>
          <w:color w:val="auto"/>
        </w:rPr>
        <w:lastRenderedPageBreak/>
        <w:t xml:space="preserve">Bedside placement resulted in no adverse events at the time of bolt insertion. On follow up CT, </w:t>
      </w:r>
      <w:r w:rsidR="001E16DC" w:rsidRPr="00C006C7">
        <w:rPr>
          <w:color w:val="auto"/>
        </w:rPr>
        <w:t>s</w:t>
      </w:r>
      <w:r w:rsidRPr="00C006C7">
        <w:rPr>
          <w:color w:val="auto"/>
        </w:rPr>
        <w:t>mall region</w:t>
      </w:r>
      <w:r w:rsidR="001E16DC" w:rsidRPr="00C006C7">
        <w:rPr>
          <w:color w:val="auto"/>
        </w:rPr>
        <w:t>s</w:t>
      </w:r>
      <w:r w:rsidRPr="00C006C7">
        <w:rPr>
          <w:color w:val="auto"/>
        </w:rPr>
        <w:t xml:space="preserve"> of peri-</w:t>
      </w:r>
      <w:r w:rsidR="00711C6A" w:rsidRPr="00C006C7">
        <w:rPr>
          <w:color w:val="auto"/>
        </w:rPr>
        <w:t>probe</w:t>
      </w:r>
      <w:r w:rsidRPr="00C006C7">
        <w:rPr>
          <w:color w:val="auto"/>
        </w:rPr>
        <w:t xml:space="preserve"> hematoma, pneumocephalus, or bone chips were found in 40.5%</w:t>
      </w:r>
      <w:r w:rsidR="009B4731" w:rsidRPr="009B4731">
        <w:rPr>
          <w:color w:val="auto"/>
        </w:rPr>
        <w:t xml:space="preserve"> </w:t>
      </w:r>
      <w:r w:rsidR="009B4731" w:rsidRPr="00C006C7">
        <w:rPr>
          <w:color w:val="auto"/>
        </w:rPr>
        <w:t>of patients</w:t>
      </w:r>
      <w:r w:rsidR="001B5BDE" w:rsidRPr="00C006C7">
        <w:rPr>
          <w:color w:val="auto"/>
          <w:vertAlign w:val="superscript"/>
        </w:rPr>
        <w:t>17</w:t>
      </w:r>
      <w:r w:rsidRPr="00C006C7">
        <w:rPr>
          <w:color w:val="auto"/>
        </w:rPr>
        <w:t xml:space="preserve">. However, mirroring the experience of other </w:t>
      </w:r>
      <w:r w:rsidR="00EF3391" w:rsidRPr="00C006C7">
        <w:rPr>
          <w:color w:val="auto"/>
        </w:rPr>
        <w:t>institution</w:t>
      </w:r>
      <w:r w:rsidRPr="00C006C7">
        <w:rPr>
          <w:color w:val="auto"/>
        </w:rPr>
        <w:t>s</w:t>
      </w:r>
      <w:r w:rsidR="001B5BDE" w:rsidRPr="00C006C7">
        <w:rPr>
          <w:color w:val="auto"/>
          <w:vertAlign w:val="superscript"/>
        </w:rPr>
        <w:t>18</w:t>
      </w:r>
      <w:r w:rsidRPr="00C006C7">
        <w:rPr>
          <w:color w:val="auto"/>
        </w:rPr>
        <w:t xml:space="preserve"> that perform similar monitoring, only one expanding hematoma </w:t>
      </w:r>
      <w:proofErr w:type="gramStart"/>
      <w:r w:rsidR="001E16DC" w:rsidRPr="00C006C7">
        <w:rPr>
          <w:color w:val="auto"/>
        </w:rPr>
        <w:t xml:space="preserve">was </w:t>
      </w:r>
      <w:r w:rsidRPr="00C006C7">
        <w:rPr>
          <w:color w:val="auto"/>
        </w:rPr>
        <w:t>considered to be</w:t>
      </w:r>
      <w:proofErr w:type="gramEnd"/>
      <w:r w:rsidRPr="00C006C7">
        <w:rPr>
          <w:color w:val="auto"/>
        </w:rPr>
        <w:t xml:space="preserve"> a major hemorrhage</w:t>
      </w:r>
      <w:r w:rsidR="004D69C6" w:rsidRPr="00C006C7">
        <w:rPr>
          <w:color w:val="auto"/>
        </w:rPr>
        <w:t>.</w:t>
      </w:r>
      <w:r w:rsidRPr="00C006C7">
        <w:rPr>
          <w:color w:val="auto"/>
        </w:rPr>
        <w:t xml:space="preserve"> </w:t>
      </w:r>
      <w:r w:rsidR="004D69C6" w:rsidRPr="00C006C7">
        <w:rPr>
          <w:color w:val="auto"/>
        </w:rPr>
        <w:t>In this case, n</w:t>
      </w:r>
      <w:r w:rsidRPr="00C006C7">
        <w:rPr>
          <w:color w:val="auto"/>
        </w:rPr>
        <w:t xml:space="preserve">o surgical or medical intervention was </w:t>
      </w:r>
      <w:r w:rsidR="00E0122F" w:rsidRPr="00C006C7">
        <w:rPr>
          <w:color w:val="auto"/>
        </w:rPr>
        <w:t>recommended,</w:t>
      </w:r>
      <w:r w:rsidRPr="00C006C7">
        <w:rPr>
          <w:color w:val="auto"/>
        </w:rPr>
        <w:t xml:space="preserve"> and the patient outco</w:t>
      </w:r>
      <w:r w:rsidR="001B5BDE" w:rsidRPr="00C006C7">
        <w:rPr>
          <w:color w:val="auto"/>
        </w:rPr>
        <w:t>me was felt not to be impacted. Across two cohorts including patients with TBI and subarachnoid hemorrhage, the overall rate of significant hemorrhage is 1.9%</w:t>
      </w:r>
      <w:r w:rsidR="001B5BDE" w:rsidRPr="00C006C7">
        <w:rPr>
          <w:color w:val="auto"/>
          <w:vertAlign w:val="superscript"/>
        </w:rPr>
        <w:t>17,18</w:t>
      </w:r>
      <w:r w:rsidR="001B5BDE" w:rsidRPr="00C006C7">
        <w:rPr>
          <w:color w:val="auto"/>
        </w:rPr>
        <w:t xml:space="preserve">. </w:t>
      </w:r>
    </w:p>
    <w:p w14:paraId="5FA7DC7C" w14:textId="77777777" w:rsidR="004878DA" w:rsidRDefault="004878DA" w:rsidP="003F7EF1">
      <w:pPr>
        <w:widowControl/>
        <w:rPr>
          <w:color w:val="auto"/>
        </w:rPr>
      </w:pPr>
    </w:p>
    <w:p w14:paraId="309969BC" w14:textId="32264DAF" w:rsidR="00383B0D" w:rsidRPr="00C006C7" w:rsidRDefault="00383B0D" w:rsidP="003F7EF1">
      <w:pPr>
        <w:widowControl/>
        <w:rPr>
          <w:color w:val="auto"/>
        </w:rPr>
      </w:pPr>
      <w:r w:rsidRPr="00C006C7">
        <w:rPr>
          <w:color w:val="auto"/>
        </w:rPr>
        <w:t xml:space="preserve">Once devices are in place, device dislodgement </w:t>
      </w:r>
      <w:r w:rsidR="00DF7ECF" w:rsidRPr="00C006C7">
        <w:rPr>
          <w:color w:val="auto"/>
        </w:rPr>
        <w:t xml:space="preserve">may occur and has </w:t>
      </w:r>
      <w:proofErr w:type="gramStart"/>
      <w:r w:rsidR="00DF7ECF" w:rsidRPr="00C006C7">
        <w:rPr>
          <w:color w:val="auto"/>
        </w:rPr>
        <w:t>been described as being</w:t>
      </w:r>
      <w:proofErr w:type="gramEnd"/>
      <w:r w:rsidR="00DF7ECF" w:rsidRPr="00C006C7">
        <w:rPr>
          <w:color w:val="auto"/>
        </w:rPr>
        <w:t xml:space="preserve"> </w:t>
      </w:r>
      <w:r w:rsidRPr="00C006C7">
        <w:rPr>
          <w:color w:val="auto"/>
        </w:rPr>
        <w:t xml:space="preserve">related to the size of the </w:t>
      </w:r>
      <w:r w:rsidR="00711C6A" w:rsidRPr="00C006C7">
        <w:rPr>
          <w:color w:val="auto"/>
        </w:rPr>
        <w:t>probe</w:t>
      </w:r>
      <w:r w:rsidRPr="00C006C7">
        <w:rPr>
          <w:color w:val="auto"/>
        </w:rPr>
        <w:t xml:space="preserve">s, length of time they remain </w:t>
      </w:r>
      <w:r w:rsidR="00C006C7" w:rsidRPr="00C006C7">
        <w:rPr>
          <w:i/>
          <w:color w:val="auto"/>
        </w:rPr>
        <w:t>in situ</w:t>
      </w:r>
      <w:r w:rsidRPr="00C006C7">
        <w:rPr>
          <w:color w:val="auto"/>
        </w:rPr>
        <w:t>, and relative complexity of moving, transferring, and car</w:t>
      </w:r>
      <w:r w:rsidR="00DF7ECF" w:rsidRPr="00C006C7">
        <w:rPr>
          <w:color w:val="auto"/>
        </w:rPr>
        <w:t>ing for this patient population</w:t>
      </w:r>
      <w:r w:rsidRPr="00C006C7">
        <w:rPr>
          <w:color w:val="auto"/>
        </w:rPr>
        <w:t xml:space="preserve">. </w:t>
      </w:r>
      <w:r w:rsidR="001E16DC" w:rsidRPr="00C006C7">
        <w:rPr>
          <w:color w:val="auto"/>
        </w:rPr>
        <w:t>M</w:t>
      </w:r>
      <w:r w:rsidRPr="00C006C7">
        <w:rPr>
          <w:color w:val="auto"/>
        </w:rPr>
        <w:t xml:space="preserve">ore than half of patients experienced dislodgement of at least one </w:t>
      </w:r>
      <w:r w:rsidR="00711C6A" w:rsidRPr="00C006C7">
        <w:rPr>
          <w:color w:val="auto"/>
        </w:rPr>
        <w:t>probe</w:t>
      </w:r>
      <w:r w:rsidRPr="00C006C7">
        <w:rPr>
          <w:color w:val="auto"/>
        </w:rPr>
        <w:t xml:space="preserve"> before the end of their recording period, mostly commonly the </w:t>
      </w:r>
      <w:proofErr w:type="spellStart"/>
      <w:r w:rsidRPr="00C006C7">
        <w:rPr>
          <w:color w:val="auto"/>
        </w:rPr>
        <w:t>rCBF</w:t>
      </w:r>
      <w:proofErr w:type="spellEnd"/>
      <w:r w:rsidRPr="00C006C7">
        <w:rPr>
          <w:color w:val="auto"/>
        </w:rPr>
        <w:t xml:space="preserve"> </w:t>
      </w:r>
      <w:r w:rsidR="00711C6A" w:rsidRPr="00C006C7">
        <w:rPr>
          <w:color w:val="auto"/>
        </w:rPr>
        <w:t>probe</w:t>
      </w:r>
      <w:r w:rsidRPr="00C006C7">
        <w:rPr>
          <w:color w:val="auto"/>
        </w:rPr>
        <w:t>. Limiting transportation may mitigate this risk: the number of trips that patients took appeared to be associated with devices becoming dislodged or no longer functioning (Wilcoxon rank sum test, p</w:t>
      </w:r>
      <w:r w:rsidR="00E0254F">
        <w:rPr>
          <w:color w:val="auto"/>
        </w:rPr>
        <w:t xml:space="preserve"> </w:t>
      </w:r>
      <w:r w:rsidRPr="00C006C7">
        <w:rPr>
          <w:color w:val="auto"/>
        </w:rPr>
        <w:t>=</w:t>
      </w:r>
      <w:r w:rsidR="00E0254F">
        <w:rPr>
          <w:color w:val="auto"/>
        </w:rPr>
        <w:t xml:space="preserve"> </w:t>
      </w:r>
      <w:r w:rsidRPr="00C006C7">
        <w:rPr>
          <w:color w:val="auto"/>
        </w:rPr>
        <w:t>0.03)</w:t>
      </w:r>
      <w:r w:rsidR="001B5BDE" w:rsidRPr="00C006C7">
        <w:rPr>
          <w:color w:val="auto"/>
          <w:vertAlign w:val="superscript"/>
        </w:rPr>
        <w:t>17</w:t>
      </w:r>
      <w:r w:rsidRPr="00C006C7">
        <w:rPr>
          <w:color w:val="auto"/>
        </w:rPr>
        <w:t xml:space="preserve">. Nonetheless, </w:t>
      </w:r>
      <w:r w:rsidR="006F7722" w:rsidRPr="00C006C7">
        <w:rPr>
          <w:color w:val="auto"/>
        </w:rPr>
        <w:t xml:space="preserve">this technique </w:t>
      </w:r>
      <w:r w:rsidR="00DF7ECF" w:rsidRPr="00C006C7">
        <w:rPr>
          <w:color w:val="auto"/>
        </w:rPr>
        <w:t xml:space="preserve">has </w:t>
      </w:r>
      <w:r w:rsidR="006F7722" w:rsidRPr="00C006C7">
        <w:rPr>
          <w:color w:val="auto"/>
        </w:rPr>
        <w:t>result</w:t>
      </w:r>
      <w:r w:rsidR="00DF7ECF" w:rsidRPr="00C006C7">
        <w:rPr>
          <w:color w:val="auto"/>
        </w:rPr>
        <w:t>ed</w:t>
      </w:r>
      <w:r w:rsidRPr="00C006C7">
        <w:rPr>
          <w:color w:val="auto"/>
        </w:rPr>
        <w:t xml:space="preserve"> in </w:t>
      </w:r>
      <w:r w:rsidR="006F7722" w:rsidRPr="00C006C7">
        <w:rPr>
          <w:color w:val="auto"/>
        </w:rPr>
        <w:t>measurement</w:t>
      </w:r>
      <w:r w:rsidR="00DF7ECF" w:rsidRPr="00C006C7">
        <w:rPr>
          <w:color w:val="auto"/>
        </w:rPr>
        <w:t>s</w:t>
      </w:r>
      <w:r w:rsidR="006F7722" w:rsidRPr="00C006C7">
        <w:rPr>
          <w:color w:val="auto"/>
        </w:rPr>
        <w:t xml:space="preserve"> of all </w:t>
      </w:r>
      <w:r w:rsidR="004070D7" w:rsidRPr="00C006C7">
        <w:rPr>
          <w:color w:val="auto"/>
        </w:rPr>
        <w:t xml:space="preserve">modalities </w:t>
      </w:r>
      <w:r w:rsidR="006F7722" w:rsidRPr="00C006C7">
        <w:rPr>
          <w:color w:val="auto"/>
        </w:rPr>
        <w:t>in more than 90% of placements</w:t>
      </w:r>
      <w:r w:rsidR="004070D7" w:rsidRPr="00C006C7">
        <w:rPr>
          <w:color w:val="auto"/>
        </w:rPr>
        <w:t xml:space="preserve"> and </w:t>
      </w:r>
      <w:r w:rsidR="001B5BDE" w:rsidRPr="00C006C7">
        <w:rPr>
          <w:color w:val="auto"/>
        </w:rPr>
        <w:t>most probes remain in place and generate continuous data for &gt; 90% of the recording period.</w:t>
      </w:r>
      <w:r w:rsidR="00EB702E" w:rsidRPr="00C006C7">
        <w:rPr>
          <w:color w:val="auto"/>
        </w:rPr>
        <w:t xml:space="preserve"> </w:t>
      </w:r>
    </w:p>
    <w:p w14:paraId="7F5815FC" w14:textId="3133E33C" w:rsidR="004A71E4" w:rsidRPr="00C006C7" w:rsidRDefault="004A71E4" w:rsidP="003F7EF1">
      <w:pPr>
        <w:widowControl/>
        <w:rPr>
          <w:color w:val="auto"/>
        </w:rPr>
      </w:pPr>
    </w:p>
    <w:p w14:paraId="3C9083F6" w14:textId="32D2DB54" w:rsidR="00B32616" w:rsidRPr="00C006C7" w:rsidRDefault="00B32616" w:rsidP="003F7EF1">
      <w:pPr>
        <w:widowControl/>
        <w:rPr>
          <w:bCs/>
          <w:color w:val="auto"/>
        </w:rPr>
      </w:pPr>
      <w:r w:rsidRPr="00C006C7">
        <w:rPr>
          <w:b/>
          <w:color w:val="auto"/>
        </w:rPr>
        <w:t xml:space="preserve">FIGURE </w:t>
      </w:r>
      <w:r w:rsidR="0013621E" w:rsidRPr="00C006C7">
        <w:rPr>
          <w:b/>
          <w:color w:val="auto"/>
        </w:rPr>
        <w:t xml:space="preserve">AND TABLE </w:t>
      </w:r>
      <w:r w:rsidRPr="00C006C7">
        <w:rPr>
          <w:b/>
          <w:color w:val="auto"/>
        </w:rPr>
        <w:t>LEGENDS:</w:t>
      </w:r>
    </w:p>
    <w:p w14:paraId="1E456AD7" w14:textId="77777777" w:rsidR="004878DA" w:rsidRDefault="004878DA" w:rsidP="003F7EF1">
      <w:pPr>
        <w:widowControl/>
        <w:rPr>
          <w:b/>
          <w:color w:val="auto"/>
        </w:rPr>
      </w:pPr>
    </w:p>
    <w:p w14:paraId="2566A53B" w14:textId="3653E8C0" w:rsidR="00DA6A0F" w:rsidRPr="00734273" w:rsidRDefault="00C006C7" w:rsidP="003F7EF1">
      <w:pPr>
        <w:widowControl/>
        <w:rPr>
          <w:b/>
          <w:color w:val="auto"/>
        </w:rPr>
      </w:pPr>
      <w:r w:rsidRPr="00C006C7">
        <w:rPr>
          <w:b/>
          <w:color w:val="auto"/>
        </w:rPr>
        <w:t>Figure 1</w:t>
      </w:r>
      <w:r w:rsidR="00DA6A0F" w:rsidRPr="00C006C7">
        <w:rPr>
          <w:b/>
          <w:color w:val="auto"/>
        </w:rPr>
        <w:t xml:space="preserve">: Clinical and </w:t>
      </w:r>
      <w:r w:rsidR="00836A25" w:rsidRPr="00C006C7">
        <w:rPr>
          <w:b/>
          <w:color w:val="auto"/>
        </w:rPr>
        <w:t>radiologic placement of multimodality monitoring probes</w:t>
      </w:r>
      <w:r w:rsidR="00836A25">
        <w:rPr>
          <w:b/>
          <w:color w:val="auto"/>
        </w:rPr>
        <w:t>.</w:t>
      </w:r>
      <w:r w:rsidR="00836A25" w:rsidRPr="00734273">
        <w:rPr>
          <w:color w:val="auto"/>
        </w:rPr>
        <w:t xml:space="preserve"> </w:t>
      </w:r>
      <w:r w:rsidR="00734273">
        <w:rPr>
          <w:color w:val="auto"/>
        </w:rPr>
        <w:t>(</w:t>
      </w:r>
      <w:r w:rsidR="00DA6A0F" w:rsidRPr="00734273">
        <w:rPr>
          <w:b/>
          <w:color w:val="auto"/>
        </w:rPr>
        <w:t>A</w:t>
      </w:r>
      <w:r w:rsidR="00DA6A0F" w:rsidRPr="00C006C7">
        <w:rPr>
          <w:color w:val="auto"/>
        </w:rPr>
        <w:t xml:space="preserve">) Appearance of bolt with three </w:t>
      </w:r>
      <w:r w:rsidR="00711C6A" w:rsidRPr="00C006C7">
        <w:rPr>
          <w:color w:val="auto"/>
        </w:rPr>
        <w:t>probe</w:t>
      </w:r>
      <w:r w:rsidR="00DA6A0F" w:rsidRPr="00C006C7">
        <w:rPr>
          <w:color w:val="auto"/>
        </w:rPr>
        <w:t xml:space="preserve">s, as labelled prior to securing the </w:t>
      </w:r>
      <w:r w:rsidR="00711C6A" w:rsidRPr="00C006C7">
        <w:rPr>
          <w:color w:val="auto"/>
        </w:rPr>
        <w:t>probe</w:t>
      </w:r>
      <w:r w:rsidR="00DA6A0F" w:rsidRPr="00C006C7">
        <w:rPr>
          <w:color w:val="auto"/>
        </w:rPr>
        <w:t xml:space="preserve">s or wrapping for transport. </w:t>
      </w:r>
      <w:r w:rsidR="00734273">
        <w:rPr>
          <w:color w:val="auto"/>
        </w:rPr>
        <w:t>(</w:t>
      </w:r>
      <w:r w:rsidR="00DA6A0F" w:rsidRPr="004B3036">
        <w:rPr>
          <w:b/>
          <w:color w:val="auto"/>
        </w:rPr>
        <w:t>B</w:t>
      </w:r>
      <w:r w:rsidR="00DA6A0F" w:rsidRPr="00C006C7">
        <w:rPr>
          <w:color w:val="auto"/>
        </w:rPr>
        <w:t xml:space="preserve">) Scout CT images (coronal and sagittal, respectively) demonstrating the trajectory of the </w:t>
      </w:r>
      <w:r w:rsidR="00711C6A" w:rsidRPr="00C006C7">
        <w:rPr>
          <w:color w:val="auto"/>
        </w:rPr>
        <w:t>probe</w:t>
      </w:r>
      <w:r w:rsidR="00DA6A0F" w:rsidRPr="00C006C7">
        <w:rPr>
          <w:color w:val="auto"/>
        </w:rPr>
        <w:t xml:space="preserve">s approximately 1.5 cm (Depth) and 2-3 cm (ICP/PbtO2, </w:t>
      </w:r>
      <w:proofErr w:type="spellStart"/>
      <w:r w:rsidR="00DA6A0F" w:rsidRPr="00C006C7">
        <w:rPr>
          <w:color w:val="auto"/>
        </w:rPr>
        <w:t>rCBF</w:t>
      </w:r>
      <w:proofErr w:type="spellEnd"/>
      <w:r w:rsidR="00DA6A0F" w:rsidRPr="00C006C7">
        <w:rPr>
          <w:color w:val="auto"/>
        </w:rPr>
        <w:t xml:space="preserve">) below the inner table of the skull. </w:t>
      </w:r>
      <w:r w:rsidR="004B3036">
        <w:rPr>
          <w:color w:val="auto"/>
        </w:rPr>
        <w:t>(</w:t>
      </w:r>
      <w:r w:rsidR="00DA6A0F" w:rsidRPr="004B3036">
        <w:rPr>
          <w:b/>
          <w:color w:val="auto"/>
        </w:rPr>
        <w:t>C</w:t>
      </w:r>
      <w:r w:rsidR="00DA6A0F" w:rsidRPr="00C006C7">
        <w:rPr>
          <w:color w:val="auto"/>
        </w:rPr>
        <w:t xml:space="preserve">) Axial CT after non-surgical severe TBI with excellent placement. Notice with standard windowing that the relatively dense </w:t>
      </w:r>
      <w:r w:rsidR="00711C6A" w:rsidRPr="00C006C7">
        <w:rPr>
          <w:color w:val="auto"/>
        </w:rPr>
        <w:t>probe</w:t>
      </w:r>
      <w:r w:rsidR="00DA6A0F" w:rsidRPr="00C006C7">
        <w:rPr>
          <w:color w:val="auto"/>
        </w:rPr>
        <w:t>s may obscure subtle peri-</w:t>
      </w:r>
      <w:r w:rsidR="00711C6A" w:rsidRPr="00C006C7">
        <w:rPr>
          <w:color w:val="auto"/>
        </w:rPr>
        <w:t>probe</w:t>
      </w:r>
      <w:r w:rsidR="00DA6A0F" w:rsidRPr="00C006C7">
        <w:rPr>
          <w:color w:val="auto"/>
        </w:rPr>
        <w:t xml:space="preserve"> hematoma. </w:t>
      </w:r>
      <w:r w:rsidR="004B3036">
        <w:rPr>
          <w:color w:val="auto"/>
        </w:rPr>
        <w:t>(</w:t>
      </w:r>
      <w:r w:rsidR="00DA6A0F" w:rsidRPr="004B3036">
        <w:rPr>
          <w:b/>
          <w:color w:val="auto"/>
        </w:rPr>
        <w:t>D</w:t>
      </w:r>
      <w:r w:rsidR="00DA6A0F" w:rsidRPr="00C006C7">
        <w:rPr>
          <w:color w:val="auto"/>
        </w:rPr>
        <w:t xml:space="preserve">) Axial CT after surgical severe TBI demonstrating the placement of the bolt and </w:t>
      </w:r>
      <w:r w:rsidR="00711C6A" w:rsidRPr="00C006C7">
        <w:rPr>
          <w:color w:val="auto"/>
        </w:rPr>
        <w:t>probe</w:t>
      </w:r>
      <w:r w:rsidR="00DA6A0F" w:rsidRPr="00C006C7">
        <w:rPr>
          <w:color w:val="auto"/>
        </w:rPr>
        <w:t xml:space="preserve">s contralateral to the hemicraniectomy site. </w:t>
      </w:r>
      <w:r w:rsidR="00836A25">
        <w:rPr>
          <w:color w:val="auto"/>
        </w:rPr>
        <w:t>(</w:t>
      </w:r>
      <w:r w:rsidR="00DA6A0F" w:rsidRPr="00836A25">
        <w:rPr>
          <w:b/>
          <w:color w:val="auto"/>
        </w:rPr>
        <w:t>E</w:t>
      </w:r>
      <w:r w:rsidR="00DA6A0F" w:rsidRPr="00C006C7">
        <w:rPr>
          <w:color w:val="auto"/>
        </w:rPr>
        <w:t xml:space="preserve">) Incorrect (deep) placement of the </w:t>
      </w:r>
      <w:r w:rsidR="00711C6A" w:rsidRPr="00C006C7">
        <w:rPr>
          <w:color w:val="auto"/>
        </w:rPr>
        <w:t>probe</w:t>
      </w:r>
      <w:r w:rsidR="00DA6A0F" w:rsidRPr="00C006C7">
        <w:rPr>
          <w:color w:val="auto"/>
        </w:rPr>
        <w:t>s after non-surgical severe TBI. Note</w:t>
      </w:r>
      <w:r w:rsidR="00836A25">
        <w:rPr>
          <w:color w:val="auto"/>
        </w:rPr>
        <w:t xml:space="preserve"> that</w:t>
      </w:r>
      <w:r w:rsidR="00DA6A0F" w:rsidRPr="00C006C7">
        <w:rPr>
          <w:color w:val="auto"/>
        </w:rPr>
        <w:t xml:space="preserve"> the </w:t>
      </w:r>
      <w:r w:rsidR="00711C6A" w:rsidRPr="00C006C7">
        <w:rPr>
          <w:color w:val="auto"/>
        </w:rPr>
        <w:t>probe</w:t>
      </w:r>
      <w:r w:rsidR="00DA6A0F" w:rsidRPr="00C006C7">
        <w:rPr>
          <w:color w:val="auto"/>
        </w:rPr>
        <w:t xml:space="preserve">s are approaching the frontal horn of the lateral ventricle, indicating they are &gt; 3 cm below the inner table of the skull. This placement may affect measurements obtained by the </w:t>
      </w:r>
      <w:r w:rsidR="00711C6A" w:rsidRPr="00C006C7">
        <w:rPr>
          <w:color w:val="auto"/>
        </w:rPr>
        <w:t>probe</w:t>
      </w:r>
      <w:r w:rsidR="00DA6A0F" w:rsidRPr="00C006C7">
        <w:rPr>
          <w:color w:val="auto"/>
        </w:rPr>
        <w:t xml:space="preserve">s, although shallow, rather than deep, placement is more liable to create problems with </w:t>
      </w:r>
      <w:proofErr w:type="spellStart"/>
      <w:r w:rsidR="00DA6A0F" w:rsidRPr="00C006C7">
        <w:rPr>
          <w:color w:val="auto"/>
        </w:rPr>
        <w:t>rCBF</w:t>
      </w:r>
      <w:proofErr w:type="spellEnd"/>
      <w:r w:rsidR="00DA6A0F" w:rsidRPr="00C006C7">
        <w:rPr>
          <w:color w:val="auto"/>
        </w:rPr>
        <w:t xml:space="preserve"> and PbtO2 measurements.</w:t>
      </w:r>
    </w:p>
    <w:p w14:paraId="64CD5DDD" w14:textId="77777777" w:rsidR="004878DA" w:rsidRDefault="004878DA" w:rsidP="004878DA">
      <w:pPr>
        <w:widowControl/>
        <w:rPr>
          <w:b/>
          <w:color w:val="auto"/>
        </w:rPr>
      </w:pPr>
    </w:p>
    <w:p w14:paraId="75D75F23" w14:textId="74245048" w:rsidR="004878DA" w:rsidRPr="002811FA" w:rsidRDefault="004878DA" w:rsidP="004878DA">
      <w:pPr>
        <w:widowControl/>
        <w:rPr>
          <w:b/>
          <w:color w:val="auto"/>
        </w:rPr>
      </w:pPr>
      <w:r w:rsidRPr="00C006C7">
        <w:rPr>
          <w:b/>
          <w:color w:val="auto"/>
        </w:rPr>
        <w:t>Table 1: Intracranial probes</w:t>
      </w:r>
      <w:r w:rsidR="0046423D">
        <w:rPr>
          <w:b/>
          <w:color w:val="auto"/>
        </w:rPr>
        <w:t>.</w:t>
      </w:r>
      <w:r w:rsidR="002811FA">
        <w:rPr>
          <w:b/>
          <w:color w:val="auto"/>
        </w:rPr>
        <w:t xml:space="preserve"> </w:t>
      </w:r>
      <w:r w:rsidRPr="00C006C7">
        <w:rPr>
          <w:color w:val="auto"/>
        </w:rPr>
        <w:t xml:space="preserve">The names of the probes used in this </w:t>
      </w:r>
      <w:r w:rsidR="00731F1F">
        <w:rPr>
          <w:color w:val="auto"/>
        </w:rPr>
        <w:t>article</w:t>
      </w:r>
      <w:r w:rsidRPr="00C006C7">
        <w:rPr>
          <w:color w:val="auto"/>
        </w:rPr>
        <w:t xml:space="preserve"> and their measurements</w:t>
      </w:r>
      <w:r w:rsidR="005B1CE5">
        <w:rPr>
          <w:color w:val="auto"/>
        </w:rPr>
        <w:t xml:space="preserve"> and sampling resolution</w:t>
      </w:r>
      <w:r w:rsidRPr="00C006C7">
        <w:rPr>
          <w:color w:val="auto"/>
        </w:rPr>
        <w:t xml:space="preserve">. Please note that this is a representative list of probes that may be used for multimodality monitoring but does not represent an exhaustive list of the potential modalities that may be commercially available. EEG = electroencephalography; ICP = intracranial pressure; ICT = intracranial temperature; PbtO2 = brain tissue oxygen; </w:t>
      </w:r>
      <w:proofErr w:type="spellStart"/>
      <w:r w:rsidRPr="00C006C7">
        <w:rPr>
          <w:color w:val="auto"/>
        </w:rPr>
        <w:t>rCBF</w:t>
      </w:r>
      <w:proofErr w:type="spellEnd"/>
      <w:r w:rsidRPr="00C006C7">
        <w:rPr>
          <w:color w:val="auto"/>
        </w:rPr>
        <w:t xml:space="preserve"> = regional cerebral blood flow</w:t>
      </w:r>
      <w:r>
        <w:rPr>
          <w:color w:val="auto"/>
        </w:rPr>
        <w:t>.</w:t>
      </w:r>
    </w:p>
    <w:p w14:paraId="5F182472" w14:textId="77777777" w:rsidR="004878DA" w:rsidRPr="00C006C7" w:rsidRDefault="004878DA" w:rsidP="004878DA">
      <w:pPr>
        <w:widowControl/>
        <w:rPr>
          <w:color w:val="auto"/>
        </w:rPr>
      </w:pPr>
    </w:p>
    <w:p w14:paraId="64B8CF78" w14:textId="12801A1B" w:rsidR="006305D7" w:rsidRPr="00C006C7" w:rsidRDefault="006305D7" w:rsidP="003F7EF1">
      <w:pPr>
        <w:widowControl/>
        <w:rPr>
          <w:bCs/>
          <w:color w:val="auto"/>
        </w:rPr>
      </w:pPr>
      <w:r w:rsidRPr="00C006C7">
        <w:rPr>
          <w:b/>
          <w:color w:val="auto"/>
        </w:rPr>
        <w:t>DISCUSSION</w:t>
      </w:r>
      <w:r w:rsidRPr="00C006C7">
        <w:rPr>
          <w:b/>
          <w:bCs/>
          <w:color w:val="auto"/>
        </w:rPr>
        <w:t xml:space="preserve">: </w:t>
      </w:r>
    </w:p>
    <w:p w14:paraId="02798E01" w14:textId="18B898C6" w:rsidR="003E0B4E" w:rsidRPr="00A85816" w:rsidRDefault="001E16DC" w:rsidP="003F7EF1">
      <w:pPr>
        <w:widowControl/>
        <w:rPr>
          <w:bCs/>
          <w:color w:val="auto"/>
        </w:rPr>
      </w:pPr>
      <w:r w:rsidRPr="00C006C7">
        <w:rPr>
          <w:bCs/>
          <w:color w:val="auto"/>
        </w:rPr>
        <w:t xml:space="preserve">This </w:t>
      </w:r>
      <w:r w:rsidR="005D72FE">
        <w:rPr>
          <w:bCs/>
          <w:color w:val="auto"/>
        </w:rPr>
        <w:t>article</w:t>
      </w:r>
      <w:r w:rsidR="003E0B4E" w:rsidRPr="00C006C7">
        <w:rPr>
          <w:bCs/>
          <w:color w:val="auto"/>
        </w:rPr>
        <w:t xml:space="preserve"> </w:t>
      </w:r>
      <w:r w:rsidR="004D69C6" w:rsidRPr="00C006C7">
        <w:rPr>
          <w:bCs/>
          <w:color w:val="auto"/>
        </w:rPr>
        <w:t>provide</w:t>
      </w:r>
      <w:r w:rsidRPr="00C006C7">
        <w:rPr>
          <w:bCs/>
          <w:color w:val="auto"/>
        </w:rPr>
        <w:t>s</w:t>
      </w:r>
      <w:r w:rsidR="004D69C6" w:rsidRPr="00C006C7">
        <w:rPr>
          <w:bCs/>
          <w:color w:val="auto"/>
        </w:rPr>
        <w:t xml:space="preserve"> the practical elements of a method for </w:t>
      </w:r>
      <w:r w:rsidR="003E0B4E" w:rsidRPr="00C006C7">
        <w:rPr>
          <w:bCs/>
          <w:color w:val="auto"/>
        </w:rPr>
        <w:t xml:space="preserve">introducing multiple </w:t>
      </w:r>
      <w:r w:rsidR="00711C6A" w:rsidRPr="00C006C7">
        <w:rPr>
          <w:bCs/>
          <w:color w:val="auto"/>
        </w:rPr>
        <w:t>probe</w:t>
      </w:r>
      <w:r w:rsidR="003E0B4E" w:rsidRPr="00C006C7">
        <w:rPr>
          <w:bCs/>
          <w:color w:val="auto"/>
        </w:rPr>
        <w:t xml:space="preserve">s into the brain follow acute brain injury </w:t>
      </w:r>
      <w:proofErr w:type="gramStart"/>
      <w:r w:rsidR="003E0B4E" w:rsidRPr="00C006C7">
        <w:rPr>
          <w:bCs/>
          <w:color w:val="auto"/>
        </w:rPr>
        <w:t>in order to</w:t>
      </w:r>
      <w:proofErr w:type="gramEnd"/>
      <w:r w:rsidR="003E0B4E" w:rsidRPr="00C006C7">
        <w:rPr>
          <w:bCs/>
          <w:color w:val="auto"/>
        </w:rPr>
        <w:t xml:space="preserve"> facilitate a multimodal approach to understanding the physiology underlying secondary brain injury. The existing Brain Trauma Foundation guidelines </w:t>
      </w:r>
      <w:r w:rsidR="003E0B4E" w:rsidRPr="00C006C7">
        <w:rPr>
          <w:bCs/>
          <w:color w:val="auto"/>
        </w:rPr>
        <w:lastRenderedPageBreak/>
        <w:t>suggest the use of intracranial pressure monitoring in specific patients after trauma (Level IIb)</w:t>
      </w:r>
      <w:r w:rsidR="00BD64A9" w:rsidRPr="00C006C7">
        <w:rPr>
          <w:color w:val="auto"/>
          <w:vertAlign w:val="superscript"/>
        </w:rPr>
        <w:t>3</w:t>
      </w:r>
      <w:r w:rsidR="003E0B4E" w:rsidRPr="00C006C7">
        <w:rPr>
          <w:bCs/>
          <w:color w:val="auto"/>
        </w:rPr>
        <w:t>, although there is evidence to suggest that this is variably practiced even at high-volume level I trauma centers</w:t>
      </w:r>
      <w:r w:rsidR="006F7692" w:rsidRPr="00C006C7">
        <w:rPr>
          <w:color w:val="auto"/>
          <w:vertAlign w:val="superscript"/>
        </w:rPr>
        <w:t>19,20</w:t>
      </w:r>
      <w:r w:rsidR="003E0B4E" w:rsidRPr="00C006C7">
        <w:rPr>
          <w:bCs/>
          <w:color w:val="auto"/>
        </w:rPr>
        <w:t xml:space="preserve">. This may be in part due to the differences between techniques (ventricular drainage </w:t>
      </w:r>
      <w:r w:rsidR="00C006C7" w:rsidRPr="00C006C7">
        <w:rPr>
          <w:bCs/>
          <w:i/>
          <w:color w:val="auto"/>
        </w:rPr>
        <w:t>vs.</w:t>
      </w:r>
      <w:r w:rsidR="003E0B4E" w:rsidRPr="00C006C7">
        <w:rPr>
          <w:bCs/>
          <w:color w:val="auto"/>
        </w:rPr>
        <w:t xml:space="preserve"> parenchymal probes), anatomy (the presence of midline shift or slit-like ventricles), and practitioner preference. </w:t>
      </w:r>
      <w:r w:rsidR="006F7692" w:rsidRPr="00C006C7">
        <w:rPr>
          <w:bCs/>
          <w:color w:val="auto"/>
        </w:rPr>
        <w:t>In any case</w:t>
      </w:r>
      <w:r w:rsidR="003E0B4E" w:rsidRPr="00C006C7">
        <w:rPr>
          <w:bCs/>
          <w:color w:val="auto"/>
        </w:rPr>
        <w:t xml:space="preserve">, evidence is mounting that the measurement of ICP </w:t>
      </w:r>
      <w:r w:rsidR="003E0B4E" w:rsidRPr="00A85816">
        <w:rPr>
          <w:bCs/>
          <w:color w:val="auto"/>
        </w:rPr>
        <w:t xml:space="preserve">alone may be inadequate for the detection and mitigation of secondary brain injuries. </w:t>
      </w:r>
    </w:p>
    <w:p w14:paraId="2DE2118F" w14:textId="77777777" w:rsidR="00CA0A14" w:rsidRDefault="00CA0A14" w:rsidP="003F7EF1">
      <w:pPr>
        <w:widowControl/>
        <w:rPr>
          <w:bCs/>
          <w:color w:val="auto"/>
        </w:rPr>
      </w:pPr>
    </w:p>
    <w:p w14:paraId="05688170" w14:textId="4000DF7B" w:rsidR="004D69C6" w:rsidRPr="00C006C7" w:rsidRDefault="006F7692" w:rsidP="003F7EF1">
      <w:pPr>
        <w:widowControl/>
        <w:rPr>
          <w:bCs/>
          <w:color w:val="auto"/>
        </w:rPr>
      </w:pPr>
      <w:r w:rsidRPr="00C006C7">
        <w:rPr>
          <w:bCs/>
          <w:color w:val="auto"/>
        </w:rPr>
        <w:t>The i</w:t>
      </w:r>
      <w:r w:rsidR="004D69C6" w:rsidRPr="00C006C7">
        <w:rPr>
          <w:bCs/>
          <w:color w:val="auto"/>
        </w:rPr>
        <w:t xml:space="preserve">nsertion </w:t>
      </w:r>
      <w:r w:rsidR="003E0B4E" w:rsidRPr="00C006C7">
        <w:rPr>
          <w:bCs/>
          <w:color w:val="auto"/>
        </w:rPr>
        <w:t xml:space="preserve">of </w:t>
      </w:r>
      <w:r w:rsidRPr="00C006C7">
        <w:rPr>
          <w:bCs/>
          <w:color w:val="auto"/>
        </w:rPr>
        <w:t xml:space="preserve">multiple </w:t>
      </w:r>
      <w:r w:rsidR="003E0B4E" w:rsidRPr="00C006C7">
        <w:rPr>
          <w:bCs/>
          <w:color w:val="auto"/>
        </w:rPr>
        <w:t>probes through a bolt provides a reliable way to monitor patients for the length of time required for critical care</w:t>
      </w:r>
      <w:r w:rsidR="004D69C6" w:rsidRPr="00C006C7">
        <w:rPr>
          <w:bCs/>
          <w:color w:val="auto"/>
        </w:rPr>
        <w:t>, and while dislodgement or discontinuation occurred frequently, this was in part related to patient transport</w:t>
      </w:r>
      <w:r w:rsidR="00215852" w:rsidRPr="00C006C7">
        <w:rPr>
          <w:bCs/>
          <w:color w:val="auto"/>
        </w:rPr>
        <w:t>at</w:t>
      </w:r>
      <w:r w:rsidR="004D69C6" w:rsidRPr="00C006C7">
        <w:rPr>
          <w:bCs/>
          <w:color w:val="auto"/>
        </w:rPr>
        <w:t xml:space="preserve">ion. </w:t>
      </w:r>
      <w:r w:rsidRPr="00C006C7">
        <w:rPr>
          <w:bCs/>
          <w:color w:val="auto"/>
        </w:rPr>
        <w:t>After</w:t>
      </w:r>
      <w:r w:rsidR="001E16DC" w:rsidRPr="00C006C7">
        <w:rPr>
          <w:bCs/>
          <w:color w:val="auto"/>
        </w:rPr>
        <w:t xml:space="preserve"> </w:t>
      </w:r>
      <w:r w:rsidRPr="00C006C7">
        <w:rPr>
          <w:bCs/>
          <w:color w:val="auto"/>
        </w:rPr>
        <w:t xml:space="preserve">initial experience, </w:t>
      </w:r>
      <w:r w:rsidR="004D69C6" w:rsidRPr="00C006C7">
        <w:rPr>
          <w:bCs/>
          <w:color w:val="auto"/>
        </w:rPr>
        <w:t>additional safeguards include</w:t>
      </w:r>
      <w:r w:rsidRPr="00C006C7">
        <w:rPr>
          <w:bCs/>
          <w:color w:val="auto"/>
        </w:rPr>
        <w:t>d</w:t>
      </w:r>
      <w:r w:rsidR="004D69C6" w:rsidRPr="00C006C7">
        <w:rPr>
          <w:bCs/>
          <w:color w:val="auto"/>
        </w:rPr>
        <w:t xml:space="preserve"> </w:t>
      </w:r>
      <w:r w:rsidRPr="00C006C7">
        <w:rPr>
          <w:bCs/>
          <w:color w:val="auto"/>
        </w:rPr>
        <w:t>i</w:t>
      </w:r>
      <w:r w:rsidR="004D69C6" w:rsidRPr="00C006C7">
        <w:rPr>
          <w:bCs/>
          <w:color w:val="auto"/>
        </w:rPr>
        <w:t>n the current protocol</w:t>
      </w:r>
      <w:r w:rsidR="001E16DC" w:rsidRPr="00C006C7">
        <w:rPr>
          <w:bCs/>
          <w:color w:val="auto"/>
        </w:rPr>
        <w:t xml:space="preserve"> were implemented</w:t>
      </w:r>
      <w:r w:rsidRPr="00C006C7">
        <w:rPr>
          <w:bCs/>
          <w:color w:val="auto"/>
        </w:rPr>
        <w:t>,</w:t>
      </w:r>
      <w:r w:rsidR="004D69C6" w:rsidRPr="00C006C7">
        <w:rPr>
          <w:bCs/>
          <w:color w:val="auto"/>
        </w:rPr>
        <w:t xml:space="preserve"> </w:t>
      </w:r>
      <w:r w:rsidRPr="00C006C7">
        <w:rPr>
          <w:bCs/>
          <w:color w:val="auto"/>
        </w:rPr>
        <w:t>such as</w:t>
      </w:r>
      <w:r w:rsidR="004D69C6" w:rsidRPr="00C006C7">
        <w:rPr>
          <w:bCs/>
          <w:color w:val="auto"/>
        </w:rPr>
        <w:t xml:space="preserve"> strain relief measures</w:t>
      </w:r>
      <w:r w:rsidR="003E0B4E" w:rsidRPr="00C006C7">
        <w:rPr>
          <w:bCs/>
          <w:color w:val="auto"/>
        </w:rPr>
        <w:t xml:space="preserve">. </w:t>
      </w:r>
      <w:r w:rsidRPr="00C006C7">
        <w:rPr>
          <w:bCs/>
          <w:color w:val="auto"/>
        </w:rPr>
        <w:t>By way of</w:t>
      </w:r>
      <w:r w:rsidR="004D69C6" w:rsidRPr="00C006C7">
        <w:rPr>
          <w:bCs/>
          <w:color w:val="auto"/>
        </w:rPr>
        <w:t xml:space="preserve"> contrast, tunneled </w:t>
      </w:r>
      <w:r w:rsidR="00711C6A" w:rsidRPr="00C006C7">
        <w:rPr>
          <w:bCs/>
          <w:color w:val="auto"/>
        </w:rPr>
        <w:t>probe</w:t>
      </w:r>
      <w:r w:rsidR="004D69C6" w:rsidRPr="00C006C7">
        <w:rPr>
          <w:bCs/>
          <w:color w:val="auto"/>
        </w:rPr>
        <w:t>s may be more susceptible to traction and dislodgement</w:t>
      </w:r>
      <w:r w:rsidRPr="00C006C7">
        <w:rPr>
          <w:bCs/>
          <w:color w:val="auto"/>
        </w:rPr>
        <w:t xml:space="preserve"> because</w:t>
      </w:r>
      <w:r w:rsidR="004D69C6" w:rsidRPr="00C006C7">
        <w:rPr>
          <w:bCs/>
          <w:color w:val="auto"/>
        </w:rPr>
        <w:t xml:space="preserve"> the length of the </w:t>
      </w:r>
      <w:r w:rsidR="00711C6A" w:rsidRPr="00C006C7">
        <w:rPr>
          <w:bCs/>
          <w:color w:val="auto"/>
        </w:rPr>
        <w:t>probe</w:t>
      </w:r>
      <w:r w:rsidR="004D69C6" w:rsidRPr="00C006C7">
        <w:rPr>
          <w:bCs/>
          <w:color w:val="auto"/>
        </w:rPr>
        <w:t>s does not allow</w:t>
      </w:r>
      <w:r w:rsidRPr="00C006C7">
        <w:rPr>
          <w:bCs/>
          <w:color w:val="auto"/>
        </w:rPr>
        <w:t xml:space="preserve"> for</w:t>
      </w:r>
      <w:r w:rsidR="004D69C6" w:rsidRPr="00C006C7">
        <w:rPr>
          <w:bCs/>
          <w:color w:val="auto"/>
        </w:rPr>
        <w:t xml:space="preserve"> the </w:t>
      </w:r>
      <w:proofErr w:type="spellStart"/>
      <w:r w:rsidR="004D69C6" w:rsidRPr="00C006C7">
        <w:rPr>
          <w:bCs/>
          <w:color w:val="auto"/>
        </w:rPr>
        <w:t>subgaleal</w:t>
      </w:r>
      <w:proofErr w:type="spellEnd"/>
      <w:r w:rsidR="004D69C6" w:rsidRPr="00C006C7">
        <w:rPr>
          <w:bCs/>
          <w:color w:val="auto"/>
        </w:rPr>
        <w:t xml:space="preserve"> fixation </w:t>
      </w:r>
      <w:r w:rsidRPr="00C006C7">
        <w:rPr>
          <w:bCs/>
          <w:color w:val="auto"/>
        </w:rPr>
        <w:t xml:space="preserve">used to keep EVDs </w:t>
      </w:r>
      <w:r w:rsidR="00C006C7" w:rsidRPr="00C006C7">
        <w:rPr>
          <w:bCs/>
          <w:i/>
          <w:color w:val="auto"/>
        </w:rPr>
        <w:t>in situ</w:t>
      </w:r>
      <w:r w:rsidRPr="00C006C7">
        <w:rPr>
          <w:bCs/>
          <w:color w:val="auto"/>
        </w:rPr>
        <w:t>.</w:t>
      </w:r>
      <w:r w:rsidR="0030184C" w:rsidRPr="00C006C7">
        <w:rPr>
          <w:bCs/>
          <w:color w:val="auto"/>
        </w:rPr>
        <w:t xml:space="preserve"> Some have argued that tunneled </w:t>
      </w:r>
      <w:r w:rsidR="00711C6A" w:rsidRPr="00C006C7">
        <w:rPr>
          <w:bCs/>
          <w:color w:val="auto"/>
        </w:rPr>
        <w:t>probe</w:t>
      </w:r>
      <w:r w:rsidR="0030184C" w:rsidRPr="00C006C7">
        <w:rPr>
          <w:bCs/>
          <w:color w:val="auto"/>
        </w:rPr>
        <w:t>s may be beneficial and can be adequate</w:t>
      </w:r>
      <w:r w:rsidR="00A16203" w:rsidRPr="00C006C7">
        <w:rPr>
          <w:bCs/>
          <w:color w:val="auto"/>
        </w:rPr>
        <w:t>ly</w:t>
      </w:r>
      <w:r w:rsidR="0030184C" w:rsidRPr="00C006C7">
        <w:rPr>
          <w:bCs/>
          <w:color w:val="auto"/>
        </w:rPr>
        <w:t xml:space="preserve"> secured</w:t>
      </w:r>
      <w:r w:rsidR="00EB702E" w:rsidRPr="00C006C7">
        <w:rPr>
          <w:bCs/>
          <w:color w:val="auto"/>
        </w:rPr>
        <w:t xml:space="preserve"> </w:t>
      </w:r>
      <w:proofErr w:type="gramStart"/>
      <w:r w:rsidR="0030184C" w:rsidRPr="00C006C7">
        <w:rPr>
          <w:bCs/>
          <w:color w:val="auto"/>
        </w:rPr>
        <w:t>in order to</w:t>
      </w:r>
      <w:proofErr w:type="gramEnd"/>
      <w:r w:rsidR="0030184C" w:rsidRPr="00C006C7">
        <w:rPr>
          <w:bCs/>
          <w:color w:val="auto"/>
        </w:rPr>
        <w:t xml:space="preserve"> avoid </w:t>
      </w:r>
      <w:r w:rsidR="00B22774">
        <w:rPr>
          <w:bCs/>
          <w:color w:val="auto"/>
        </w:rPr>
        <w:t>magnetic resonance imaging (</w:t>
      </w:r>
      <w:r w:rsidR="0030184C" w:rsidRPr="00C006C7">
        <w:rPr>
          <w:bCs/>
          <w:color w:val="auto"/>
        </w:rPr>
        <w:t>MRI</w:t>
      </w:r>
      <w:r w:rsidR="00B22774">
        <w:rPr>
          <w:bCs/>
          <w:color w:val="auto"/>
        </w:rPr>
        <w:t>)</w:t>
      </w:r>
      <w:r w:rsidR="0030184C" w:rsidRPr="00C006C7">
        <w:rPr>
          <w:bCs/>
          <w:color w:val="auto"/>
        </w:rPr>
        <w:t xml:space="preserve"> incompatibility and artifacts, but many probes are not MRI compatible regardless of fixation</w:t>
      </w:r>
      <w:r w:rsidR="0030184C" w:rsidRPr="00C006C7">
        <w:rPr>
          <w:color w:val="auto"/>
          <w:vertAlign w:val="superscript"/>
        </w:rPr>
        <w:t>21</w:t>
      </w:r>
      <w:r w:rsidR="0030184C" w:rsidRPr="00C006C7">
        <w:rPr>
          <w:bCs/>
          <w:color w:val="auto"/>
        </w:rPr>
        <w:t>.</w:t>
      </w:r>
      <w:r w:rsidR="00BE5511" w:rsidRPr="00C006C7">
        <w:rPr>
          <w:bCs/>
          <w:color w:val="auto"/>
        </w:rPr>
        <w:t xml:space="preserve"> Importantly, the use of multimodality monitoring is designed to provide time-resolute data during the acute period in which many patients are unstable to travel to MRI. Patients described here underwent monitoring within a median of 12.5 h and were monitored for a median of 4 days after trauma, which allowed for advanced imaging within a reasonable time frame.</w:t>
      </w:r>
    </w:p>
    <w:p w14:paraId="162C9033" w14:textId="77777777" w:rsidR="00CA0A14" w:rsidRDefault="00CA0A14" w:rsidP="003F7EF1">
      <w:pPr>
        <w:widowControl/>
        <w:rPr>
          <w:bCs/>
          <w:color w:val="auto"/>
        </w:rPr>
      </w:pPr>
    </w:p>
    <w:p w14:paraId="52D5385E" w14:textId="4E3303FB" w:rsidR="003E0B4E" w:rsidRPr="00C006C7" w:rsidRDefault="003E0B4E" w:rsidP="003F7EF1">
      <w:pPr>
        <w:widowControl/>
        <w:rPr>
          <w:bCs/>
          <w:color w:val="auto"/>
        </w:rPr>
      </w:pPr>
      <w:r w:rsidRPr="00C006C7">
        <w:rPr>
          <w:bCs/>
          <w:color w:val="auto"/>
        </w:rPr>
        <w:t>The use of a sing</w:t>
      </w:r>
      <w:r w:rsidR="004D69C6" w:rsidRPr="00C006C7">
        <w:rPr>
          <w:bCs/>
          <w:color w:val="auto"/>
        </w:rPr>
        <w:t>le cranial access point reduces</w:t>
      </w:r>
      <w:r w:rsidRPr="00C006C7">
        <w:rPr>
          <w:bCs/>
          <w:color w:val="auto"/>
        </w:rPr>
        <w:t xml:space="preserve"> pro</w:t>
      </w:r>
      <w:r w:rsidR="004D69C6" w:rsidRPr="00C006C7">
        <w:rPr>
          <w:bCs/>
          <w:color w:val="auto"/>
        </w:rPr>
        <w:t xml:space="preserve">cedural risk, and strict patient </w:t>
      </w:r>
      <w:r w:rsidR="006F7692" w:rsidRPr="00C006C7">
        <w:rPr>
          <w:bCs/>
          <w:color w:val="auto"/>
        </w:rPr>
        <w:t>entry criteria</w:t>
      </w:r>
      <w:r w:rsidR="004D69C6" w:rsidRPr="00C006C7">
        <w:rPr>
          <w:bCs/>
          <w:color w:val="auto"/>
        </w:rPr>
        <w:t xml:space="preserve"> limits the potential for medication- or coagulopathy-related complications. </w:t>
      </w:r>
      <w:r w:rsidR="001E16DC" w:rsidRPr="00C006C7">
        <w:rPr>
          <w:bCs/>
          <w:color w:val="auto"/>
        </w:rPr>
        <w:t xml:space="preserve">The </w:t>
      </w:r>
      <w:r w:rsidR="004D69C6" w:rsidRPr="00C006C7">
        <w:rPr>
          <w:bCs/>
          <w:color w:val="auto"/>
        </w:rPr>
        <w:t>rates of minor hemorrhage</w:t>
      </w:r>
      <w:r w:rsidR="001E16DC" w:rsidRPr="00C006C7">
        <w:rPr>
          <w:bCs/>
          <w:color w:val="auto"/>
        </w:rPr>
        <w:t xml:space="preserve"> reported here</w:t>
      </w:r>
      <w:r w:rsidR="004D69C6" w:rsidRPr="00C006C7">
        <w:rPr>
          <w:bCs/>
          <w:color w:val="auto"/>
        </w:rPr>
        <w:t xml:space="preserve"> were in line with the </w:t>
      </w:r>
      <w:r w:rsidR="006F7692" w:rsidRPr="00C006C7">
        <w:rPr>
          <w:bCs/>
          <w:color w:val="auto"/>
        </w:rPr>
        <w:t>documented</w:t>
      </w:r>
      <w:r w:rsidR="004D69C6" w:rsidRPr="00C006C7">
        <w:rPr>
          <w:bCs/>
          <w:color w:val="auto"/>
        </w:rPr>
        <w:t xml:space="preserve"> incidence of peri-</w:t>
      </w:r>
      <w:r w:rsidR="00711C6A" w:rsidRPr="00C006C7">
        <w:rPr>
          <w:bCs/>
          <w:color w:val="auto"/>
        </w:rPr>
        <w:t>probe</w:t>
      </w:r>
      <w:r w:rsidR="004D69C6" w:rsidRPr="00C006C7">
        <w:rPr>
          <w:bCs/>
          <w:color w:val="auto"/>
        </w:rPr>
        <w:t xml:space="preserve"> hemorrhages in the EVD literature</w:t>
      </w:r>
      <w:r w:rsidR="0030184C" w:rsidRPr="00C006C7">
        <w:rPr>
          <w:color w:val="auto"/>
          <w:vertAlign w:val="superscript"/>
        </w:rPr>
        <w:t>22, 23</w:t>
      </w:r>
      <w:r w:rsidR="004D69C6" w:rsidRPr="00C006C7">
        <w:rPr>
          <w:bCs/>
          <w:color w:val="auto"/>
        </w:rPr>
        <w:t xml:space="preserve">, although these are not uniformly reported. The rates of significant hemorrhage using </w:t>
      </w:r>
      <w:r w:rsidR="006F7692" w:rsidRPr="00C006C7">
        <w:rPr>
          <w:bCs/>
          <w:color w:val="auto"/>
        </w:rPr>
        <w:t>the</w:t>
      </w:r>
      <w:r w:rsidR="004D69C6" w:rsidRPr="00C006C7">
        <w:rPr>
          <w:bCs/>
          <w:color w:val="auto"/>
        </w:rPr>
        <w:t xml:space="preserve"> method </w:t>
      </w:r>
      <w:r w:rsidR="006F7692" w:rsidRPr="00C006C7">
        <w:rPr>
          <w:bCs/>
          <w:color w:val="auto"/>
        </w:rPr>
        <w:t xml:space="preserve">described here </w:t>
      </w:r>
      <w:r w:rsidR="004D69C6" w:rsidRPr="0098140B">
        <w:rPr>
          <w:bCs/>
          <w:color w:val="auto"/>
        </w:rPr>
        <w:t>are lower</w:t>
      </w:r>
      <w:r w:rsidR="004D69C6" w:rsidRPr="00C006C7">
        <w:rPr>
          <w:bCs/>
          <w:color w:val="auto"/>
        </w:rPr>
        <w:t xml:space="preserve"> than those reported in the EVD literature and only slightly higher than the rates of significant hemorrhage associated with single </w:t>
      </w:r>
      <w:r w:rsidR="00936EE5" w:rsidRPr="00C006C7">
        <w:rPr>
          <w:bCs/>
          <w:color w:val="auto"/>
        </w:rPr>
        <w:t>intraparenchymal</w:t>
      </w:r>
      <w:r w:rsidR="004D69C6" w:rsidRPr="00C006C7">
        <w:rPr>
          <w:bCs/>
          <w:color w:val="auto"/>
        </w:rPr>
        <w:t xml:space="preserve"> monitors.</w:t>
      </w:r>
      <w:r w:rsidR="008D0276" w:rsidRPr="00C006C7">
        <w:rPr>
          <w:bCs/>
          <w:color w:val="auto"/>
        </w:rPr>
        <w:t xml:space="preserve"> In addition to a relatively low overall operative risk, the use of </w:t>
      </w:r>
      <w:r w:rsidR="008D0276" w:rsidRPr="0098140B">
        <w:rPr>
          <w:bCs/>
          <w:color w:val="auto"/>
        </w:rPr>
        <w:t>a single, standardized burr hole is a bedside procedure, which allows this technique to be carried</w:t>
      </w:r>
      <w:r w:rsidR="008D0276" w:rsidRPr="00C006C7">
        <w:rPr>
          <w:bCs/>
          <w:color w:val="auto"/>
        </w:rPr>
        <w:t xml:space="preserve"> out in critically ill patients too unstable to move to an operative suite and by practitioners with bedside procedural privileges, such as </w:t>
      </w:r>
      <w:r w:rsidR="006F7692" w:rsidRPr="00C006C7">
        <w:rPr>
          <w:bCs/>
          <w:color w:val="auto"/>
        </w:rPr>
        <w:t xml:space="preserve">neurosurgery house staff or </w:t>
      </w:r>
      <w:proofErr w:type="spellStart"/>
      <w:r w:rsidR="008D0276" w:rsidRPr="00C006C7">
        <w:rPr>
          <w:bCs/>
          <w:color w:val="auto"/>
        </w:rPr>
        <w:t>neurointensiv</w:t>
      </w:r>
      <w:r w:rsidR="00936EE5" w:rsidRPr="00C006C7">
        <w:rPr>
          <w:bCs/>
          <w:color w:val="auto"/>
        </w:rPr>
        <w:t>i</w:t>
      </w:r>
      <w:r w:rsidR="008D0276" w:rsidRPr="00C006C7">
        <w:rPr>
          <w:bCs/>
          <w:color w:val="auto"/>
        </w:rPr>
        <w:t>sts</w:t>
      </w:r>
      <w:proofErr w:type="spellEnd"/>
      <w:r w:rsidR="008D0276" w:rsidRPr="00C006C7">
        <w:rPr>
          <w:bCs/>
          <w:color w:val="auto"/>
        </w:rPr>
        <w:t xml:space="preserve">. </w:t>
      </w:r>
    </w:p>
    <w:p w14:paraId="2D1223F0" w14:textId="77777777" w:rsidR="00CA0A14" w:rsidRDefault="00CA0A14" w:rsidP="003F7EF1">
      <w:pPr>
        <w:widowControl/>
        <w:rPr>
          <w:bCs/>
          <w:color w:val="auto"/>
        </w:rPr>
      </w:pPr>
    </w:p>
    <w:p w14:paraId="66C66DE9" w14:textId="482926F7" w:rsidR="004D69C6" w:rsidRPr="00C006C7" w:rsidRDefault="004D69C6" w:rsidP="003F7EF1">
      <w:pPr>
        <w:widowControl/>
        <w:rPr>
          <w:bCs/>
          <w:color w:val="auto"/>
        </w:rPr>
      </w:pPr>
      <w:r w:rsidRPr="00C006C7">
        <w:rPr>
          <w:bCs/>
          <w:color w:val="auto"/>
        </w:rPr>
        <w:t xml:space="preserve">There are several limitations that arise using a single burr hole placed at Kocher’s point for neuromonitoring. First, the size of the burr hole and the use of a bolt preclude the placement of additional monitors, such as strip electrodes used as the gold standard for the detection of spreading depolarizations according to recommendation from the </w:t>
      </w:r>
      <w:r w:rsidR="009C5226" w:rsidRPr="00184DAC">
        <w:rPr>
          <w:bCs/>
          <w:color w:val="auto"/>
        </w:rPr>
        <w:t>co-operative studies on brain injury depolarizations</w:t>
      </w:r>
      <w:r w:rsidR="00184DAC" w:rsidRPr="00184DAC">
        <w:rPr>
          <w:bCs/>
          <w:color w:val="auto"/>
        </w:rPr>
        <w:t xml:space="preserve"> </w:t>
      </w:r>
      <w:r w:rsidR="00184DAC">
        <w:rPr>
          <w:bCs/>
          <w:color w:val="auto"/>
        </w:rPr>
        <w:t>(</w:t>
      </w:r>
      <w:r w:rsidRPr="00C006C7">
        <w:rPr>
          <w:bCs/>
          <w:color w:val="auto"/>
        </w:rPr>
        <w:t>COSBID</w:t>
      </w:r>
      <w:r w:rsidR="00184DAC">
        <w:rPr>
          <w:bCs/>
          <w:color w:val="auto"/>
        </w:rPr>
        <w:t>)</w:t>
      </w:r>
      <w:r w:rsidRPr="00C006C7">
        <w:rPr>
          <w:bCs/>
          <w:color w:val="auto"/>
        </w:rPr>
        <w:t xml:space="preserve"> collaborative</w:t>
      </w:r>
      <w:r w:rsidR="0030184C" w:rsidRPr="00C006C7">
        <w:rPr>
          <w:color w:val="auto"/>
          <w:vertAlign w:val="superscript"/>
        </w:rPr>
        <w:t>24</w:t>
      </w:r>
      <w:r w:rsidRPr="00C006C7">
        <w:rPr>
          <w:bCs/>
          <w:color w:val="auto"/>
        </w:rPr>
        <w:t xml:space="preserve">. Second, the spatial resolution of intraparenchymal monitoring may not be adequate to detect the signatures of secondary brain injury that occur remote from the probes. While </w:t>
      </w:r>
      <w:proofErr w:type="gramStart"/>
      <w:r w:rsidRPr="00C006C7">
        <w:rPr>
          <w:bCs/>
          <w:color w:val="auto"/>
        </w:rPr>
        <w:t>the majority of</w:t>
      </w:r>
      <w:proofErr w:type="gramEnd"/>
      <w:r w:rsidRPr="00C006C7">
        <w:rPr>
          <w:bCs/>
          <w:color w:val="auto"/>
        </w:rPr>
        <w:t xml:space="preserve"> the time monitors were placed near injured cortex, </w:t>
      </w:r>
      <w:r w:rsidR="008D0276" w:rsidRPr="00C006C7">
        <w:rPr>
          <w:bCs/>
          <w:color w:val="auto"/>
        </w:rPr>
        <w:t>this approach</w:t>
      </w:r>
      <w:r w:rsidRPr="00C006C7">
        <w:rPr>
          <w:bCs/>
          <w:color w:val="auto"/>
        </w:rPr>
        <w:t xml:space="preserve"> is limited to </w:t>
      </w:r>
      <w:r w:rsidR="006F7692" w:rsidRPr="00C006C7">
        <w:rPr>
          <w:bCs/>
          <w:color w:val="auto"/>
        </w:rPr>
        <w:t xml:space="preserve">frontal lobe </w:t>
      </w:r>
      <w:r w:rsidR="008D0276" w:rsidRPr="00C006C7">
        <w:rPr>
          <w:bCs/>
          <w:color w:val="auto"/>
        </w:rPr>
        <w:t>monitoring</w:t>
      </w:r>
      <w:r w:rsidRPr="00C006C7">
        <w:rPr>
          <w:bCs/>
          <w:color w:val="auto"/>
        </w:rPr>
        <w:t xml:space="preserve">, </w:t>
      </w:r>
      <w:r w:rsidR="006F7692" w:rsidRPr="00C006C7">
        <w:rPr>
          <w:bCs/>
          <w:color w:val="auto"/>
        </w:rPr>
        <w:t xml:space="preserve">which may miss </w:t>
      </w:r>
      <w:r w:rsidRPr="00C006C7">
        <w:rPr>
          <w:bCs/>
          <w:color w:val="auto"/>
        </w:rPr>
        <w:t>lesion development or evolution</w:t>
      </w:r>
      <w:r w:rsidR="008D0276" w:rsidRPr="00C006C7">
        <w:rPr>
          <w:bCs/>
          <w:color w:val="auto"/>
        </w:rPr>
        <w:t>, for instance,</w:t>
      </w:r>
      <w:r w:rsidRPr="00C006C7">
        <w:rPr>
          <w:bCs/>
          <w:color w:val="auto"/>
        </w:rPr>
        <w:t xml:space="preserve"> in temporal or parietal cortex.</w:t>
      </w:r>
      <w:r w:rsidR="00695D8C" w:rsidRPr="00C006C7">
        <w:rPr>
          <w:bCs/>
          <w:color w:val="auto"/>
        </w:rPr>
        <w:t xml:space="preserve"> Although this approach does not provide a global assessment of brain tissue, the </w:t>
      </w:r>
      <w:r w:rsidR="00982398" w:rsidRPr="00C006C7">
        <w:rPr>
          <w:bCs/>
          <w:color w:val="auto"/>
        </w:rPr>
        <w:t>ability to continuously monitor a vulnerable brain region provides the advantage of real-time patient care decision</w:t>
      </w:r>
      <w:r w:rsidR="0021400D" w:rsidRPr="00C006C7">
        <w:rPr>
          <w:bCs/>
          <w:color w:val="auto"/>
        </w:rPr>
        <w:t xml:space="preserve"> making.</w:t>
      </w:r>
    </w:p>
    <w:p w14:paraId="33A7F655" w14:textId="77777777" w:rsidR="00CA0A14" w:rsidRDefault="00CA0A14" w:rsidP="003F7EF1">
      <w:pPr>
        <w:widowControl/>
        <w:rPr>
          <w:bCs/>
          <w:color w:val="auto"/>
        </w:rPr>
      </w:pPr>
    </w:p>
    <w:p w14:paraId="73C48C7C" w14:textId="36E2BE36" w:rsidR="008D0276" w:rsidRPr="00C006C7" w:rsidRDefault="008D0276" w:rsidP="003F7EF1">
      <w:pPr>
        <w:widowControl/>
        <w:rPr>
          <w:bCs/>
          <w:color w:val="auto"/>
        </w:rPr>
      </w:pPr>
      <w:r w:rsidRPr="00C006C7">
        <w:rPr>
          <w:bCs/>
          <w:color w:val="auto"/>
        </w:rPr>
        <w:lastRenderedPageBreak/>
        <w:t xml:space="preserve">The method presented here is flexible in allowing for multiple </w:t>
      </w:r>
      <w:r w:rsidR="00711C6A" w:rsidRPr="00C006C7">
        <w:rPr>
          <w:bCs/>
          <w:color w:val="auto"/>
        </w:rPr>
        <w:t>probe</w:t>
      </w:r>
      <w:r w:rsidRPr="00C006C7">
        <w:rPr>
          <w:bCs/>
          <w:color w:val="auto"/>
        </w:rPr>
        <w:t xml:space="preserve">s based on the equipment available to local sites. For instance, </w:t>
      </w:r>
      <w:r w:rsidR="00711C6A" w:rsidRPr="00C006C7">
        <w:rPr>
          <w:bCs/>
          <w:color w:val="auto"/>
        </w:rPr>
        <w:t>probe</w:t>
      </w:r>
      <w:r w:rsidRPr="00C006C7">
        <w:rPr>
          <w:bCs/>
          <w:color w:val="auto"/>
        </w:rPr>
        <w:t xml:space="preserve">s that measure </w:t>
      </w:r>
      <w:proofErr w:type="spellStart"/>
      <w:r w:rsidRPr="00C006C7">
        <w:rPr>
          <w:bCs/>
          <w:color w:val="auto"/>
        </w:rPr>
        <w:t>microdialysis</w:t>
      </w:r>
      <w:proofErr w:type="spellEnd"/>
      <w:r w:rsidRPr="00C006C7">
        <w:rPr>
          <w:bCs/>
          <w:color w:val="auto"/>
        </w:rPr>
        <w:t xml:space="preserve"> may be added to the fourth port available </w:t>
      </w:r>
      <w:r w:rsidR="00C006C7" w:rsidRPr="00C006C7">
        <w:rPr>
          <w:bCs/>
          <w:i/>
          <w:color w:val="auto"/>
        </w:rPr>
        <w:t>via</w:t>
      </w:r>
      <w:r w:rsidRPr="00C006C7">
        <w:rPr>
          <w:bCs/>
          <w:color w:val="auto"/>
        </w:rPr>
        <w:t xml:space="preserve"> the bolt without </w:t>
      </w:r>
      <w:r w:rsidR="006F7692" w:rsidRPr="00C006C7">
        <w:rPr>
          <w:bCs/>
          <w:color w:val="auto"/>
        </w:rPr>
        <w:t xml:space="preserve">substantially </w:t>
      </w:r>
      <w:r w:rsidRPr="00C006C7">
        <w:rPr>
          <w:bCs/>
          <w:color w:val="auto"/>
        </w:rPr>
        <w:t>modifying the existing protocol. Similarly, probes may be excluded if necessary</w:t>
      </w:r>
      <w:r w:rsidR="0030184C" w:rsidRPr="00C006C7">
        <w:rPr>
          <w:bCs/>
          <w:color w:val="auto"/>
        </w:rPr>
        <w:t xml:space="preserve">. </w:t>
      </w:r>
    </w:p>
    <w:p w14:paraId="738DCD71" w14:textId="77777777" w:rsidR="00CA0A14" w:rsidRDefault="00CA0A14" w:rsidP="003F7EF1">
      <w:pPr>
        <w:widowControl/>
        <w:rPr>
          <w:bCs/>
          <w:color w:val="auto"/>
        </w:rPr>
      </w:pPr>
    </w:p>
    <w:p w14:paraId="00F86150" w14:textId="77777777" w:rsidR="00CA0A14" w:rsidRDefault="008D0276" w:rsidP="003F7EF1">
      <w:pPr>
        <w:widowControl/>
        <w:rPr>
          <w:bCs/>
          <w:color w:val="auto"/>
        </w:rPr>
      </w:pPr>
      <w:r w:rsidRPr="00C006C7">
        <w:rPr>
          <w:bCs/>
          <w:color w:val="auto"/>
        </w:rPr>
        <w:t xml:space="preserve">In conclusion, a </w:t>
      </w:r>
      <w:r w:rsidR="001E16DC" w:rsidRPr="00C006C7">
        <w:rPr>
          <w:bCs/>
          <w:color w:val="auto"/>
        </w:rPr>
        <w:t xml:space="preserve">technique for </w:t>
      </w:r>
      <w:r w:rsidRPr="00C006C7">
        <w:rPr>
          <w:bCs/>
          <w:color w:val="auto"/>
        </w:rPr>
        <w:t>multimodal monitoring after acute brain injury</w:t>
      </w:r>
      <w:r w:rsidR="001E16DC" w:rsidRPr="00C006C7">
        <w:rPr>
          <w:bCs/>
          <w:color w:val="auto"/>
        </w:rPr>
        <w:t xml:space="preserve"> using a single bedside burr hole is described</w:t>
      </w:r>
      <w:r w:rsidRPr="00C006C7">
        <w:rPr>
          <w:bCs/>
          <w:color w:val="auto"/>
        </w:rPr>
        <w:t xml:space="preserve">. This technique is flexible, provides reliable, clinically-actionable data that can be used by neurosurgeons and </w:t>
      </w:r>
      <w:proofErr w:type="spellStart"/>
      <w:r w:rsidRPr="00C006C7">
        <w:rPr>
          <w:bCs/>
          <w:color w:val="auto"/>
        </w:rPr>
        <w:t>neurointensivists</w:t>
      </w:r>
      <w:proofErr w:type="spellEnd"/>
      <w:r w:rsidRPr="00C006C7">
        <w:rPr>
          <w:bCs/>
          <w:color w:val="auto"/>
        </w:rPr>
        <w:t xml:space="preserve"> at the bedside within hours of injury.</w:t>
      </w:r>
    </w:p>
    <w:p w14:paraId="672DF9F2" w14:textId="44A820A0" w:rsidR="008D0276" w:rsidRPr="00C006C7" w:rsidRDefault="008D0276" w:rsidP="003F7EF1">
      <w:pPr>
        <w:widowControl/>
        <w:rPr>
          <w:bCs/>
          <w:color w:val="auto"/>
        </w:rPr>
      </w:pPr>
      <w:r w:rsidRPr="00C006C7">
        <w:rPr>
          <w:bCs/>
          <w:color w:val="auto"/>
        </w:rPr>
        <w:t xml:space="preserve"> </w:t>
      </w:r>
    </w:p>
    <w:p w14:paraId="1734505F" w14:textId="49701A8C" w:rsidR="00AA03DF" w:rsidRPr="00C006C7" w:rsidRDefault="00AA03DF" w:rsidP="003F7EF1">
      <w:pPr>
        <w:pStyle w:val="NormalWeb"/>
        <w:widowControl/>
        <w:spacing w:before="0" w:beforeAutospacing="0" w:after="0" w:afterAutospacing="0"/>
        <w:rPr>
          <w:color w:val="auto"/>
        </w:rPr>
      </w:pPr>
      <w:r w:rsidRPr="00C006C7">
        <w:rPr>
          <w:b/>
          <w:bCs/>
          <w:color w:val="auto"/>
        </w:rPr>
        <w:t>ACKNOWLEDGMENTS:</w:t>
      </w:r>
      <w:r w:rsidR="00EB702E" w:rsidRPr="00C006C7">
        <w:rPr>
          <w:b/>
          <w:bCs/>
          <w:color w:val="auto"/>
        </w:rPr>
        <w:t xml:space="preserve"> </w:t>
      </w:r>
    </w:p>
    <w:p w14:paraId="246DCD94" w14:textId="7B76C2A0" w:rsidR="007A4DD6" w:rsidRDefault="008705E5" w:rsidP="003F7EF1">
      <w:pPr>
        <w:widowControl/>
        <w:rPr>
          <w:color w:val="auto"/>
        </w:rPr>
      </w:pPr>
      <w:r w:rsidRPr="00C006C7">
        <w:rPr>
          <w:color w:val="auto"/>
        </w:rPr>
        <w:t xml:space="preserve">The authors wish to acknowledge the leadership of Dr. Norberto </w:t>
      </w:r>
      <w:proofErr w:type="spellStart"/>
      <w:r w:rsidRPr="00C006C7">
        <w:rPr>
          <w:color w:val="auto"/>
        </w:rPr>
        <w:t>Andaluz</w:t>
      </w:r>
      <w:proofErr w:type="spellEnd"/>
      <w:r w:rsidRPr="00C006C7">
        <w:rPr>
          <w:color w:val="auto"/>
        </w:rPr>
        <w:t xml:space="preserve"> (University of Louisville) for his role in </w:t>
      </w:r>
      <w:r w:rsidR="006F7722" w:rsidRPr="00C006C7">
        <w:rPr>
          <w:color w:val="auto"/>
        </w:rPr>
        <w:t>spearheading this technique. We also wish to acknowledge the hard work of the neurosurgical residents who refined the technique and the neurocritical care nursing staff who have embraced this new technique for the benefit of their patients.</w:t>
      </w:r>
    </w:p>
    <w:p w14:paraId="16157F6B" w14:textId="77777777" w:rsidR="00CA0A14" w:rsidRPr="00C006C7" w:rsidRDefault="00CA0A14" w:rsidP="003F7EF1">
      <w:pPr>
        <w:widowControl/>
        <w:rPr>
          <w:color w:val="auto"/>
        </w:rPr>
      </w:pPr>
    </w:p>
    <w:p w14:paraId="5D52ED8B" w14:textId="1467F69E" w:rsidR="00AA03DF" w:rsidRPr="00C006C7" w:rsidRDefault="00AA03DF" w:rsidP="003F7EF1">
      <w:pPr>
        <w:pStyle w:val="NormalWeb"/>
        <w:widowControl/>
        <w:spacing w:before="0" w:beforeAutospacing="0" w:after="0" w:afterAutospacing="0"/>
        <w:rPr>
          <w:color w:val="auto"/>
        </w:rPr>
      </w:pPr>
      <w:r w:rsidRPr="00C006C7">
        <w:rPr>
          <w:b/>
          <w:color w:val="auto"/>
        </w:rPr>
        <w:t>DISCLOSURES</w:t>
      </w:r>
      <w:r w:rsidRPr="00C006C7">
        <w:rPr>
          <w:b/>
          <w:bCs/>
          <w:color w:val="auto"/>
        </w:rPr>
        <w:t xml:space="preserve">: </w:t>
      </w:r>
    </w:p>
    <w:p w14:paraId="4E0C3135" w14:textId="2FE75E65" w:rsidR="007A4DD6" w:rsidRDefault="006F7722" w:rsidP="003F7EF1">
      <w:pPr>
        <w:widowControl/>
        <w:rPr>
          <w:color w:val="auto"/>
        </w:rPr>
      </w:pPr>
      <w:r w:rsidRPr="00C006C7">
        <w:rPr>
          <w:color w:val="auto"/>
        </w:rPr>
        <w:t xml:space="preserve">This work was supported in part by the National Institute </w:t>
      </w:r>
      <w:r w:rsidR="00CA0A14" w:rsidRPr="00C006C7">
        <w:rPr>
          <w:color w:val="auto"/>
        </w:rPr>
        <w:t>of</w:t>
      </w:r>
      <w:r w:rsidRPr="00C006C7">
        <w:rPr>
          <w:color w:val="auto"/>
        </w:rPr>
        <w:t xml:space="preserve"> Neurological Disorders </w:t>
      </w:r>
      <w:r w:rsidR="00C96D3C" w:rsidRPr="00C006C7">
        <w:rPr>
          <w:color w:val="auto"/>
        </w:rPr>
        <w:t>and</w:t>
      </w:r>
      <w:r w:rsidRPr="00C006C7">
        <w:rPr>
          <w:color w:val="auto"/>
        </w:rPr>
        <w:t xml:space="preserve"> Stroke of the National Institutes of Health under Award Number K23NS101123 (BF). The content is solely the responsibility of the authors and does not necessarily represent the official views of th</w:t>
      </w:r>
      <w:r w:rsidR="00936EE5" w:rsidRPr="00C006C7">
        <w:rPr>
          <w:color w:val="auto"/>
        </w:rPr>
        <w:t>e National Institutes of Health (</w:t>
      </w:r>
      <w:r w:rsidRPr="00C006C7">
        <w:rPr>
          <w:color w:val="auto"/>
        </w:rPr>
        <w:t>NIH/NINDS</w:t>
      </w:r>
      <w:r w:rsidR="00936EE5" w:rsidRPr="00C006C7">
        <w:rPr>
          <w:color w:val="auto"/>
        </w:rPr>
        <w:t>)</w:t>
      </w:r>
      <w:r w:rsidRPr="00C006C7">
        <w:rPr>
          <w:color w:val="auto"/>
        </w:rPr>
        <w:t>.</w:t>
      </w:r>
    </w:p>
    <w:p w14:paraId="56F0DC40" w14:textId="77777777" w:rsidR="00CA0A14" w:rsidRPr="00C006C7" w:rsidRDefault="00CA0A14" w:rsidP="003F7EF1">
      <w:pPr>
        <w:widowControl/>
        <w:rPr>
          <w:color w:val="auto"/>
        </w:rPr>
      </w:pPr>
    </w:p>
    <w:p w14:paraId="315B4FAD" w14:textId="39FF0BC0" w:rsidR="00B32616" w:rsidRPr="00C006C7" w:rsidRDefault="009726EE" w:rsidP="003F7EF1">
      <w:pPr>
        <w:widowControl/>
        <w:rPr>
          <w:b/>
          <w:color w:val="auto"/>
        </w:rPr>
      </w:pPr>
      <w:r w:rsidRPr="00C006C7">
        <w:rPr>
          <w:b/>
          <w:bCs/>
          <w:color w:val="auto"/>
        </w:rPr>
        <w:t>REFERENCES</w:t>
      </w:r>
      <w:r w:rsidR="00D04760" w:rsidRPr="00C006C7">
        <w:rPr>
          <w:b/>
          <w:bCs/>
          <w:color w:val="auto"/>
        </w:rPr>
        <w:t>:</w:t>
      </w:r>
      <w:r w:rsidRPr="00C006C7">
        <w:rPr>
          <w:color w:val="auto"/>
        </w:rPr>
        <w:t xml:space="preserve"> </w:t>
      </w:r>
    </w:p>
    <w:p w14:paraId="7A570452" w14:textId="2716A6B0" w:rsidR="0030184C" w:rsidRPr="00C006C7" w:rsidRDefault="0030184C" w:rsidP="003F7EF1">
      <w:pPr>
        <w:pStyle w:val="Bibliography"/>
        <w:widowControl/>
        <w:rPr>
          <w:color w:val="auto"/>
        </w:rPr>
      </w:pPr>
      <w:r w:rsidRPr="00C006C7">
        <w:rPr>
          <w:color w:val="auto"/>
        </w:rPr>
        <w:t>1.</w:t>
      </w:r>
      <w:r w:rsidRPr="00C006C7">
        <w:rPr>
          <w:color w:val="auto"/>
        </w:rPr>
        <w:tab/>
        <w:t>Jones, P.A.</w:t>
      </w:r>
      <w:r w:rsidR="00C006C7" w:rsidRPr="00C006C7">
        <w:rPr>
          <w:i/>
          <w:color w:val="auto"/>
        </w:rPr>
        <w:t xml:space="preserve"> et al</w:t>
      </w:r>
      <w:r w:rsidR="00951294">
        <w:rPr>
          <w:i/>
          <w:color w:val="auto"/>
        </w:rPr>
        <w:t>.</w:t>
      </w:r>
      <w:r w:rsidRPr="00C006C7">
        <w:rPr>
          <w:color w:val="auto"/>
        </w:rPr>
        <w:t xml:space="preserve"> Measuring the burden of secondary insults in head-injured patients during intensive care. </w:t>
      </w:r>
      <w:r w:rsidRPr="00C006C7">
        <w:rPr>
          <w:i/>
          <w:iCs/>
          <w:color w:val="auto"/>
        </w:rPr>
        <w:t>Journal of Neurosurgical Anesthesiology</w:t>
      </w:r>
      <w:r w:rsidRPr="00C006C7">
        <w:rPr>
          <w:color w:val="auto"/>
        </w:rPr>
        <w:t xml:space="preserve">. </w:t>
      </w:r>
      <w:r w:rsidRPr="00C006C7">
        <w:rPr>
          <w:b/>
          <w:bCs/>
          <w:color w:val="auto"/>
        </w:rPr>
        <w:t>6</w:t>
      </w:r>
      <w:r w:rsidRPr="00C006C7">
        <w:rPr>
          <w:color w:val="auto"/>
        </w:rPr>
        <w:t xml:space="preserve"> (1), 4</w:t>
      </w:r>
      <w:r w:rsidR="00F37A96">
        <w:rPr>
          <w:color w:val="auto"/>
        </w:rPr>
        <w:t>-</w:t>
      </w:r>
      <w:r w:rsidRPr="00C006C7">
        <w:rPr>
          <w:color w:val="auto"/>
        </w:rPr>
        <w:t>14 (1994).</w:t>
      </w:r>
    </w:p>
    <w:p w14:paraId="774DAEA1" w14:textId="1AF46BEB" w:rsidR="0030184C" w:rsidRPr="00C006C7" w:rsidRDefault="0030184C" w:rsidP="003F7EF1">
      <w:pPr>
        <w:pStyle w:val="Bibliography"/>
        <w:widowControl/>
        <w:rPr>
          <w:color w:val="auto"/>
        </w:rPr>
      </w:pPr>
      <w:r w:rsidRPr="00C006C7">
        <w:rPr>
          <w:color w:val="auto"/>
        </w:rPr>
        <w:t>2.</w:t>
      </w:r>
      <w:r w:rsidRPr="00C006C7">
        <w:rPr>
          <w:color w:val="auto"/>
        </w:rPr>
        <w:tab/>
      </w:r>
      <w:proofErr w:type="spellStart"/>
      <w:r w:rsidRPr="00C006C7">
        <w:rPr>
          <w:color w:val="auto"/>
        </w:rPr>
        <w:t>Juul</w:t>
      </w:r>
      <w:proofErr w:type="spellEnd"/>
      <w:r w:rsidRPr="00C006C7">
        <w:rPr>
          <w:color w:val="auto"/>
        </w:rPr>
        <w:t xml:space="preserve">, N., Morris, G.F., Marshall, S.B., Marshall, L.F. Intracranial hypertension and cerebral perfusion pressure: influence on neurological deterioration and outcome in severe head injury. The Executive Committee of the International </w:t>
      </w:r>
      <w:proofErr w:type="spellStart"/>
      <w:r w:rsidRPr="00C006C7">
        <w:rPr>
          <w:color w:val="auto"/>
        </w:rPr>
        <w:t>Selfotel</w:t>
      </w:r>
      <w:proofErr w:type="spellEnd"/>
      <w:r w:rsidRPr="00C006C7">
        <w:rPr>
          <w:color w:val="auto"/>
        </w:rPr>
        <w:t xml:space="preserve"> Trial. </w:t>
      </w:r>
      <w:r w:rsidRPr="00C006C7">
        <w:rPr>
          <w:i/>
          <w:iCs/>
          <w:color w:val="auto"/>
        </w:rPr>
        <w:t>Journal of Neurosurgery</w:t>
      </w:r>
      <w:r w:rsidRPr="00C006C7">
        <w:rPr>
          <w:color w:val="auto"/>
        </w:rPr>
        <w:t xml:space="preserve">. </w:t>
      </w:r>
      <w:r w:rsidRPr="00C006C7">
        <w:rPr>
          <w:b/>
          <w:bCs/>
          <w:color w:val="auto"/>
        </w:rPr>
        <w:t>92</w:t>
      </w:r>
      <w:r w:rsidRPr="00C006C7">
        <w:rPr>
          <w:color w:val="auto"/>
        </w:rPr>
        <w:t xml:space="preserve"> (1), 1</w:t>
      </w:r>
      <w:r w:rsidR="00F37A96">
        <w:rPr>
          <w:color w:val="auto"/>
        </w:rPr>
        <w:t>-</w:t>
      </w:r>
      <w:r w:rsidRPr="00C006C7">
        <w:rPr>
          <w:color w:val="auto"/>
        </w:rPr>
        <w:t>6</w:t>
      </w:r>
      <w:r w:rsidR="00F37A96">
        <w:rPr>
          <w:color w:val="auto"/>
        </w:rPr>
        <w:t xml:space="preserve"> </w:t>
      </w:r>
      <w:r w:rsidRPr="00C006C7">
        <w:rPr>
          <w:color w:val="auto"/>
        </w:rPr>
        <w:t>(2000).</w:t>
      </w:r>
    </w:p>
    <w:p w14:paraId="7A31459B" w14:textId="5AA0E868" w:rsidR="0030184C" w:rsidRPr="00C006C7" w:rsidRDefault="0030184C" w:rsidP="003F7EF1">
      <w:pPr>
        <w:pStyle w:val="Bibliography"/>
        <w:widowControl/>
        <w:rPr>
          <w:color w:val="auto"/>
        </w:rPr>
      </w:pPr>
      <w:r w:rsidRPr="00C006C7">
        <w:rPr>
          <w:color w:val="auto"/>
        </w:rPr>
        <w:t>3.</w:t>
      </w:r>
      <w:r w:rsidRPr="00C006C7">
        <w:rPr>
          <w:color w:val="auto"/>
        </w:rPr>
        <w:tab/>
        <w:t>Carney, N.</w:t>
      </w:r>
      <w:r w:rsidR="00C006C7" w:rsidRPr="00C006C7">
        <w:rPr>
          <w:i/>
          <w:color w:val="auto"/>
        </w:rPr>
        <w:t xml:space="preserve"> et al</w:t>
      </w:r>
      <w:r w:rsidR="00951294">
        <w:rPr>
          <w:i/>
          <w:color w:val="auto"/>
        </w:rPr>
        <w:t>.</w:t>
      </w:r>
      <w:r w:rsidRPr="00C006C7">
        <w:rPr>
          <w:color w:val="auto"/>
        </w:rPr>
        <w:t xml:space="preserve"> Guidelines for the Management of Severe Traumatic Brain Injury, Fourth Edition. </w:t>
      </w:r>
      <w:r w:rsidRPr="00C006C7">
        <w:rPr>
          <w:i/>
          <w:iCs/>
          <w:color w:val="auto"/>
        </w:rPr>
        <w:t>Neurosurgery</w:t>
      </w:r>
      <w:r w:rsidRPr="00C006C7">
        <w:rPr>
          <w:color w:val="auto"/>
        </w:rPr>
        <w:t xml:space="preserve">. </w:t>
      </w:r>
      <w:r w:rsidRPr="00C006C7">
        <w:rPr>
          <w:b/>
          <w:bCs/>
          <w:color w:val="auto"/>
        </w:rPr>
        <w:t>80</w:t>
      </w:r>
      <w:r w:rsidRPr="00C006C7">
        <w:rPr>
          <w:color w:val="auto"/>
        </w:rPr>
        <w:t xml:space="preserve"> (1), 6</w:t>
      </w:r>
      <w:r w:rsidR="00F37A96">
        <w:rPr>
          <w:color w:val="auto"/>
        </w:rPr>
        <w:t>-</w:t>
      </w:r>
      <w:r w:rsidRPr="00C006C7">
        <w:rPr>
          <w:color w:val="auto"/>
        </w:rPr>
        <w:t>15 (2017).</w:t>
      </w:r>
    </w:p>
    <w:p w14:paraId="4F483389" w14:textId="372D1CD3" w:rsidR="0030184C" w:rsidRPr="00C006C7" w:rsidRDefault="0030184C" w:rsidP="003F7EF1">
      <w:pPr>
        <w:pStyle w:val="Bibliography"/>
        <w:widowControl/>
        <w:rPr>
          <w:color w:val="auto"/>
        </w:rPr>
      </w:pPr>
      <w:r w:rsidRPr="00C006C7">
        <w:rPr>
          <w:color w:val="auto"/>
        </w:rPr>
        <w:t>4.</w:t>
      </w:r>
      <w:r w:rsidRPr="00C006C7">
        <w:rPr>
          <w:color w:val="auto"/>
        </w:rPr>
        <w:tab/>
        <w:t xml:space="preserve">Hawthorne, C., Piper, I. Monitoring of intracranial pressure in patients with traumatic brain injury. </w:t>
      </w:r>
      <w:r w:rsidRPr="00C006C7">
        <w:rPr>
          <w:i/>
          <w:iCs/>
          <w:color w:val="auto"/>
        </w:rPr>
        <w:t>Frontiers in Neurology</w:t>
      </w:r>
      <w:r w:rsidRPr="00C006C7">
        <w:rPr>
          <w:color w:val="auto"/>
        </w:rPr>
        <w:t xml:space="preserve">. </w:t>
      </w:r>
      <w:r w:rsidRPr="00C006C7">
        <w:rPr>
          <w:b/>
          <w:bCs/>
          <w:color w:val="auto"/>
        </w:rPr>
        <w:t>5</w:t>
      </w:r>
      <w:r w:rsidRPr="00C006C7">
        <w:rPr>
          <w:color w:val="auto"/>
        </w:rPr>
        <w:t>, 121 (2014).</w:t>
      </w:r>
    </w:p>
    <w:p w14:paraId="1FEDDBB9" w14:textId="32FF5133" w:rsidR="0030184C" w:rsidRPr="00C006C7" w:rsidRDefault="0030184C" w:rsidP="003F7EF1">
      <w:pPr>
        <w:pStyle w:val="Bibliography"/>
        <w:widowControl/>
        <w:rPr>
          <w:color w:val="auto"/>
        </w:rPr>
      </w:pPr>
      <w:r w:rsidRPr="00C006C7">
        <w:rPr>
          <w:color w:val="auto"/>
        </w:rPr>
        <w:t>5.</w:t>
      </w:r>
      <w:r w:rsidRPr="00C006C7">
        <w:rPr>
          <w:color w:val="auto"/>
        </w:rPr>
        <w:tab/>
      </w:r>
      <w:proofErr w:type="spellStart"/>
      <w:r w:rsidRPr="00C006C7">
        <w:rPr>
          <w:color w:val="auto"/>
        </w:rPr>
        <w:t>Binz</w:t>
      </w:r>
      <w:proofErr w:type="spellEnd"/>
      <w:r w:rsidRPr="00C006C7">
        <w:rPr>
          <w:color w:val="auto"/>
        </w:rPr>
        <w:t xml:space="preserve">, D.D., Toussaint, L.G., Friedman, J.A. Hemorrhagic complications of ventriculostomy placement: a meta-analysis. </w:t>
      </w:r>
      <w:r w:rsidRPr="00C006C7">
        <w:rPr>
          <w:i/>
          <w:iCs/>
          <w:color w:val="auto"/>
        </w:rPr>
        <w:t>Neurocritical Care</w:t>
      </w:r>
      <w:r w:rsidRPr="00C006C7">
        <w:rPr>
          <w:color w:val="auto"/>
        </w:rPr>
        <w:t xml:space="preserve">. </w:t>
      </w:r>
      <w:r w:rsidRPr="00C006C7">
        <w:rPr>
          <w:b/>
          <w:bCs/>
          <w:color w:val="auto"/>
        </w:rPr>
        <w:t>10</w:t>
      </w:r>
      <w:r w:rsidRPr="00C006C7">
        <w:rPr>
          <w:color w:val="auto"/>
        </w:rPr>
        <w:t xml:space="preserve"> (2), 253</w:t>
      </w:r>
      <w:r w:rsidR="00F37A96">
        <w:rPr>
          <w:color w:val="auto"/>
        </w:rPr>
        <w:t>-</w:t>
      </w:r>
      <w:r w:rsidRPr="00C006C7">
        <w:rPr>
          <w:color w:val="auto"/>
        </w:rPr>
        <w:t>256 (2009).</w:t>
      </w:r>
    </w:p>
    <w:p w14:paraId="03131098" w14:textId="5E8D86C2" w:rsidR="0030184C" w:rsidRPr="00C006C7" w:rsidRDefault="0030184C" w:rsidP="003F7EF1">
      <w:pPr>
        <w:pStyle w:val="Bibliography"/>
        <w:widowControl/>
        <w:rPr>
          <w:color w:val="auto"/>
        </w:rPr>
      </w:pPr>
      <w:r w:rsidRPr="00C006C7">
        <w:rPr>
          <w:color w:val="auto"/>
        </w:rPr>
        <w:t>6.</w:t>
      </w:r>
      <w:r w:rsidRPr="00C006C7">
        <w:rPr>
          <w:color w:val="auto"/>
        </w:rPr>
        <w:tab/>
        <w:t xml:space="preserve">Bauer, D.F., </w:t>
      </w:r>
      <w:proofErr w:type="spellStart"/>
      <w:r w:rsidRPr="00C006C7">
        <w:rPr>
          <w:color w:val="auto"/>
        </w:rPr>
        <w:t>Razdan</w:t>
      </w:r>
      <w:proofErr w:type="spellEnd"/>
      <w:r w:rsidRPr="00C006C7">
        <w:rPr>
          <w:color w:val="auto"/>
        </w:rPr>
        <w:t xml:space="preserve">, S.N., </w:t>
      </w:r>
      <w:proofErr w:type="spellStart"/>
      <w:r w:rsidRPr="00C006C7">
        <w:rPr>
          <w:color w:val="auto"/>
        </w:rPr>
        <w:t>Bartolucci</w:t>
      </w:r>
      <w:proofErr w:type="spellEnd"/>
      <w:r w:rsidRPr="00C006C7">
        <w:rPr>
          <w:color w:val="auto"/>
        </w:rPr>
        <w:t xml:space="preserve">, A.A., </w:t>
      </w:r>
      <w:proofErr w:type="spellStart"/>
      <w:r w:rsidRPr="00C006C7">
        <w:rPr>
          <w:color w:val="auto"/>
        </w:rPr>
        <w:t>Markert</w:t>
      </w:r>
      <w:proofErr w:type="spellEnd"/>
      <w:r w:rsidRPr="00C006C7">
        <w:rPr>
          <w:color w:val="auto"/>
        </w:rPr>
        <w:t xml:space="preserve">, J.M. Meta-analysis of hemorrhagic complications from ventriculostomy placement by neurosurgeons. </w:t>
      </w:r>
      <w:r w:rsidRPr="00C006C7">
        <w:rPr>
          <w:i/>
          <w:iCs/>
          <w:color w:val="auto"/>
        </w:rPr>
        <w:t>Neurosurgery</w:t>
      </w:r>
      <w:r w:rsidRPr="00C006C7">
        <w:rPr>
          <w:color w:val="auto"/>
        </w:rPr>
        <w:t xml:space="preserve">. </w:t>
      </w:r>
      <w:r w:rsidRPr="00C006C7">
        <w:rPr>
          <w:b/>
          <w:bCs/>
          <w:color w:val="auto"/>
        </w:rPr>
        <w:t>69</w:t>
      </w:r>
      <w:r w:rsidRPr="00C006C7">
        <w:rPr>
          <w:color w:val="auto"/>
        </w:rPr>
        <w:t xml:space="preserve"> (2), 255</w:t>
      </w:r>
      <w:r w:rsidR="00F37A96">
        <w:rPr>
          <w:color w:val="auto"/>
        </w:rPr>
        <w:t>-</w:t>
      </w:r>
      <w:r w:rsidRPr="00C006C7">
        <w:rPr>
          <w:color w:val="auto"/>
        </w:rPr>
        <w:t>260 (2011).</w:t>
      </w:r>
    </w:p>
    <w:p w14:paraId="0D70362B" w14:textId="218F3976" w:rsidR="0030184C" w:rsidRPr="00C006C7" w:rsidRDefault="0030184C" w:rsidP="003F7EF1">
      <w:pPr>
        <w:pStyle w:val="Bibliography"/>
        <w:widowControl/>
        <w:rPr>
          <w:color w:val="auto"/>
        </w:rPr>
      </w:pPr>
      <w:r w:rsidRPr="00C006C7">
        <w:rPr>
          <w:color w:val="auto"/>
        </w:rPr>
        <w:t>7.</w:t>
      </w:r>
      <w:r w:rsidRPr="00C006C7">
        <w:rPr>
          <w:color w:val="auto"/>
        </w:rPr>
        <w:tab/>
      </w:r>
      <w:proofErr w:type="spellStart"/>
      <w:r w:rsidRPr="00C006C7">
        <w:rPr>
          <w:color w:val="auto"/>
        </w:rPr>
        <w:t>Poca</w:t>
      </w:r>
      <w:proofErr w:type="spellEnd"/>
      <w:r w:rsidRPr="00C006C7">
        <w:rPr>
          <w:color w:val="auto"/>
        </w:rPr>
        <w:t xml:space="preserve">, M.-A., </w:t>
      </w:r>
      <w:proofErr w:type="spellStart"/>
      <w:r w:rsidRPr="00C006C7">
        <w:rPr>
          <w:color w:val="auto"/>
        </w:rPr>
        <w:t>Sahuquillo</w:t>
      </w:r>
      <w:proofErr w:type="spellEnd"/>
      <w:r w:rsidRPr="00C006C7">
        <w:rPr>
          <w:color w:val="auto"/>
        </w:rPr>
        <w:t xml:space="preserve">, J., </w:t>
      </w:r>
      <w:proofErr w:type="spellStart"/>
      <w:r w:rsidRPr="00C006C7">
        <w:rPr>
          <w:color w:val="auto"/>
        </w:rPr>
        <w:t>Arribas</w:t>
      </w:r>
      <w:proofErr w:type="spellEnd"/>
      <w:r w:rsidRPr="00C006C7">
        <w:rPr>
          <w:color w:val="auto"/>
        </w:rPr>
        <w:t xml:space="preserve">, M., </w:t>
      </w:r>
      <w:proofErr w:type="spellStart"/>
      <w:r w:rsidRPr="00C006C7">
        <w:rPr>
          <w:color w:val="auto"/>
        </w:rPr>
        <w:t>Báguena</w:t>
      </w:r>
      <w:proofErr w:type="spellEnd"/>
      <w:r w:rsidRPr="00C006C7">
        <w:rPr>
          <w:color w:val="auto"/>
        </w:rPr>
        <w:t xml:space="preserve">, M., </w:t>
      </w:r>
      <w:proofErr w:type="spellStart"/>
      <w:r w:rsidRPr="00C006C7">
        <w:rPr>
          <w:color w:val="auto"/>
        </w:rPr>
        <w:t>Amorós</w:t>
      </w:r>
      <w:proofErr w:type="spellEnd"/>
      <w:r w:rsidRPr="00C006C7">
        <w:rPr>
          <w:color w:val="auto"/>
        </w:rPr>
        <w:t xml:space="preserve">, S., Rubio, E. Fiberoptic intraparenchymal brain pressure monitoring with the Camino V420 monitor: reflections on our experience in 163 severely head-injured patients. </w:t>
      </w:r>
      <w:r w:rsidRPr="00C006C7">
        <w:rPr>
          <w:i/>
          <w:iCs/>
          <w:color w:val="auto"/>
        </w:rPr>
        <w:t>Journal of Neurotrauma</w:t>
      </w:r>
      <w:r w:rsidRPr="00C006C7">
        <w:rPr>
          <w:color w:val="auto"/>
        </w:rPr>
        <w:t xml:space="preserve">. </w:t>
      </w:r>
      <w:r w:rsidRPr="00C006C7">
        <w:rPr>
          <w:b/>
          <w:bCs/>
          <w:color w:val="auto"/>
        </w:rPr>
        <w:t>19</w:t>
      </w:r>
      <w:r w:rsidRPr="00C006C7">
        <w:rPr>
          <w:color w:val="auto"/>
        </w:rPr>
        <w:t xml:space="preserve"> (4), 439</w:t>
      </w:r>
      <w:r w:rsidR="00F37A96">
        <w:rPr>
          <w:color w:val="auto"/>
        </w:rPr>
        <w:t>-</w:t>
      </w:r>
      <w:r w:rsidRPr="00C006C7">
        <w:rPr>
          <w:color w:val="auto"/>
        </w:rPr>
        <w:t>448 (2002).</w:t>
      </w:r>
    </w:p>
    <w:p w14:paraId="24DAC3C7" w14:textId="423F9F57" w:rsidR="0030184C" w:rsidRPr="00C006C7" w:rsidRDefault="0030184C" w:rsidP="003F7EF1">
      <w:pPr>
        <w:pStyle w:val="Bibliography"/>
        <w:widowControl/>
        <w:rPr>
          <w:color w:val="auto"/>
        </w:rPr>
      </w:pPr>
      <w:r w:rsidRPr="00C006C7">
        <w:rPr>
          <w:color w:val="auto"/>
        </w:rPr>
        <w:lastRenderedPageBreak/>
        <w:t>8.</w:t>
      </w:r>
      <w:r w:rsidRPr="00C006C7">
        <w:rPr>
          <w:color w:val="auto"/>
        </w:rPr>
        <w:tab/>
        <w:t xml:space="preserve">Koskinen, L.-O.D., Grayson, D., </w:t>
      </w:r>
      <w:proofErr w:type="spellStart"/>
      <w:r w:rsidRPr="00C006C7">
        <w:rPr>
          <w:color w:val="auto"/>
        </w:rPr>
        <w:t>Olivecrona</w:t>
      </w:r>
      <w:proofErr w:type="spellEnd"/>
      <w:r w:rsidRPr="00C006C7">
        <w:rPr>
          <w:color w:val="auto"/>
        </w:rPr>
        <w:t xml:space="preserve">, M. The complications and the position of the Codman </w:t>
      </w:r>
      <w:proofErr w:type="spellStart"/>
      <w:r w:rsidRPr="00C006C7">
        <w:rPr>
          <w:color w:val="auto"/>
        </w:rPr>
        <w:t>MicroSensor</w:t>
      </w:r>
      <w:r w:rsidRPr="00C006C7">
        <w:rPr>
          <w:color w:val="auto"/>
          <w:vertAlign w:val="superscript"/>
        </w:rPr>
        <w:t>TM</w:t>
      </w:r>
      <w:proofErr w:type="spellEnd"/>
      <w:r w:rsidRPr="00C006C7">
        <w:rPr>
          <w:color w:val="auto"/>
        </w:rPr>
        <w:t xml:space="preserve"> ICP device: an analysis of 549 patients and 650 Sensors. </w:t>
      </w:r>
      <w:r w:rsidRPr="00C006C7">
        <w:rPr>
          <w:i/>
          <w:iCs/>
          <w:color w:val="auto"/>
        </w:rPr>
        <w:t xml:space="preserve">Acta </w:t>
      </w:r>
      <w:proofErr w:type="spellStart"/>
      <w:r w:rsidRPr="00C006C7">
        <w:rPr>
          <w:i/>
          <w:iCs/>
          <w:color w:val="auto"/>
        </w:rPr>
        <w:t>Neurochirurgica</w:t>
      </w:r>
      <w:proofErr w:type="spellEnd"/>
      <w:r w:rsidRPr="00C006C7">
        <w:rPr>
          <w:color w:val="auto"/>
        </w:rPr>
        <w:t xml:space="preserve">. </w:t>
      </w:r>
      <w:r w:rsidRPr="00C006C7">
        <w:rPr>
          <w:b/>
          <w:bCs/>
          <w:color w:val="auto"/>
        </w:rPr>
        <w:t>155</w:t>
      </w:r>
      <w:r w:rsidRPr="00C006C7">
        <w:rPr>
          <w:color w:val="auto"/>
        </w:rPr>
        <w:t xml:space="preserve"> (11)</w:t>
      </w:r>
      <w:r w:rsidR="003E7757">
        <w:rPr>
          <w:color w:val="auto"/>
        </w:rPr>
        <w:t>,</w:t>
      </w:r>
      <w:r w:rsidRPr="00C006C7">
        <w:rPr>
          <w:color w:val="auto"/>
        </w:rPr>
        <w:t xml:space="preserve"> 2141</w:t>
      </w:r>
      <w:r w:rsidR="00F37A96">
        <w:rPr>
          <w:color w:val="auto"/>
        </w:rPr>
        <w:t>-</w:t>
      </w:r>
      <w:r w:rsidRPr="00C006C7">
        <w:rPr>
          <w:color w:val="auto"/>
        </w:rPr>
        <w:t>2148 (2013).</w:t>
      </w:r>
    </w:p>
    <w:p w14:paraId="77955D97" w14:textId="2B175D89" w:rsidR="0030184C" w:rsidRPr="00C006C7" w:rsidRDefault="0030184C" w:rsidP="003F7EF1">
      <w:pPr>
        <w:pStyle w:val="Bibliography"/>
        <w:widowControl/>
        <w:rPr>
          <w:color w:val="auto"/>
        </w:rPr>
      </w:pPr>
      <w:r w:rsidRPr="00C006C7">
        <w:rPr>
          <w:color w:val="auto"/>
        </w:rPr>
        <w:t>9.</w:t>
      </w:r>
      <w:r w:rsidRPr="00C006C7">
        <w:rPr>
          <w:color w:val="auto"/>
        </w:rPr>
        <w:tab/>
        <w:t>Badri, S.</w:t>
      </w:r>
      <w:r w:rsidR="00C006C7" w:rsidRPr="00C006C7">
        <w:rPr>
          <w:i/>
          <w:color w:val="auto"/>
        </w:rPr>
        <w:t xml:space="preserve"> et al</w:t>
      </w:r>
      <w:r w:rsidR="00951294">
        <w:rPr>
          <w:i/>
          <w:color w:val="auto"/>
        </w:rPr>
        <w:t>.</w:t>
      </w:r>
      <w:r w:rsidRPr="00C006C7">
        <w:rPr>
          <w:color w:val="auto"/>
        </w:rPr>
        <w:t xml:space="preserve"> Mortality and long-term functional outcome associated with intracranial pressure after traumatic brain injury. </w:t>
      </w:r>
      <w:r w:rsidRPr="00C006C7">
        <w:rPr>
          <w:i/>
          <w:iCs/>
          <w:color w:val="auto"/>
        </w:rPr>
        <w:t>Intensive Care Medicine</w:t>
      </w:r>
      <w:r w:rsidRPr="00C006C7">
        <w:rPr>
          <w:color w:val="auto"/>
        </w:rPr>
        <w:t xml:space="preserve">. </w:t>
      </w:r>
      <w:r w:rsidRPr="00C006C7">
        <w:rPr>
          <w:b/>
          <w:bCs/>
          <w:color w:val="auto"/>
        </w:rPr>
        <w:t>38</w:t>
      </w:r>
      <w:r w:rsidRPr="00C006C7">
        <w:rPr>
          <w:color w:val="auto"/>
        </w:rPr>
        <w:t xml:space="preserve"> (11), 1800</w:t>
      </w:r>
      <w:r w:rsidR="00F37A96">
        <w:rPr>
          <w:color w:val="auto"/>
        </w:rPr>
        <w:t>-</w:t>
      </w:r>
      <w:r w:rsidRPr="00C006C7">
        <w:rPr>
          <w:color w:val="auto"/>
        </w:rPr>
        <w:t>1809 (2012).</w:t>
      </w:r>
    </w:p>
    <w:p w14:paraId="383461D1" w14:textId="7026E56F" w:rsidR="0030184C" w:rsidRPr="00C006C7" w:rsidRDefault="0030184C" w:rsidP="003F7EF1">
      <w:pPr>
        <w:pStyle w:val="Bibliography"/>
        <w:widowControl/>
        <w:rPr>
          <w:color w:val="auto"/>
        </w:rPr>
      </w:pPr>
      <w:r w:rsidRPr="00C006C7">
        <w:rPr>
          <w:color w:val="auto"/>
        </w:rPr>
        <w:t>10.</w:t>
      </w:r>
      <w:r w:rsidRPr="00C006C7">
        <w:rPr>
          <w:color w:val="auto"/>
        </w:rPr>
        <w:tab/>
        <w:t>Yuan, Q.</w:t>
      </w:r>
      <w:r w:rsidR="00C006C7" w:rsidRPr="00C006C7">
        <w:rPr>
          <w:i/>
          <w:color w:val="auto"/>
        </w:rPr>
        <w:t xml:space="preserve"> et al</w:t>
      </w:r>
      <w:r w:rsidR="00951294">
        <w:rPr>
          <w:i/>
          <w:color w:val="auto"/>
        </w:rPr>
        <w:t>.</w:t>
      </w:r>
      <w:r w:rsidRPr="00C006C7">
        <w:rPr>
          <w:color w:val="auto"/>
        </w:rPr>
        <w:t xml:space="preserve"> Impact of intracranial pressure monitoring on mortality in patients with traumatic brain injury: a systematic review and meta-analysis. </w:t>
      </w:r>
      <w:r w:rsidRPr="00C006C7">
        <w:rPr>
          <w:i/>
          <w:iCs/>
          <w:color w:val="auto"/>
        </w:rPr>
        <w:t>Journal of Neurosurgery</w:t>
      </w:r>
      <w:r w:rsidRPr="00C006C7">
        <w:rPr>
          <w:color w:val="auto"/>
        </w:rPr>
        <w:t xml:space="preserve">. </w:t>
      </w:r>
      <w:r w:rsidRPr="00C006C7">
        <w:rPr>
          <w:b/>
          <w:bCs/>
          <w:color w:val="auto"/>
        </w:rPr>
        <w:t>122</w:t>
      </w:r>
      <w:r w:rsidRPr="00C006C7">
        <w:rPr>
          <w:color w:val="auto"/>
        </w:rPr>
        <w:t xml:space="preserve"> (3), 574</w:t>
      </w:r>
      <w:r w:rsidR="00F37A96">
        <w:rPr>
          <w:color w:val="auto"/>
        </w:rPr>
        <w:t>-</w:t>
      </w:r>
      <w:r w:rsidRPr="00C006C7">
        <w:rPr>
          <w:color w:val="auto"/>
        </w:rPr>
        <w:t>587 (2015).</w:t>
      </w:r>
    </w:p>
    <w:p w14:paraId="4C99616C" w14:textId="27E32E28" w:rsidR="0030184C" w:rsidRPr="00C006C7" w:rsidRDefault="0030184C" w:rsidP="003F7EF1">
      <w:pPr>
        <w:pStyle w:val="Bibliography"/>
        <w:widowControl/>
        <w:rPr>
          <w:color w:val="auto"/>
        </w:rPr>
      </w:pPr>
      <w:r w:rsidRPr="00C006C7">
        <w:rPr>
          <w:color w:val="auto"/>
        </w:rPr>
        <w:t>11.</w:t>
      </w:r>
      <w:r w:rsidRPr="00C006C7">
        <w:rPr>
          <w:color w:val="auto"/>
        </w:rPr>
        <w:tab/>
        <w:t>Shen, L.</w:t>
      </w:r>
      <w:r w:rsidR="00C006C7" w:rsidRPr="00C006C7">
        <w:rPr>
          <w:i/>
          <w:color w:val="auto"/>
        </w:rPr>
        <w:t xml:space="preserve"> et al</w:t>
      </w:r>
      <w:r w:rsidR="00951294">
        <w:rPr>
          <w:i/>
          <w:color w:val="auto"/>
        </w:rPr>
        <w:t>.</w:t>
      </w:r>
      <w:r w:rsidRPr="00C006C7">
        <w:rPr>
          <w:color w:val="auto"/>
        </w:rPr>
        <w:t xml:space="preserve"> Effects of Intracranial Pressure Monitoring on Mortality in Patients with Severe Traumatic Brain Injury: A Meta-Analysis. </w:t>
      </w:r>
      <w:proofErr w:type="spellStart"/>
      <w:r w:rsidRPr="00C006C7">
        <w:rPr>
          <w:i/>
          <w:iCs/>
          <w:color w:val="auto"/>
        </w:rPr>
        <w:t>PloS</w:t>
      </w:r>
      <w:proofErr w:type="spellEnd"/>
      <w:r w:rsidRPr="00C006C7">
        <w:rPr>
          <w:i/>
          <w:iCs/>
          <w:color w:val="auto"/>
        </w:rPr>
        <w:t xml:space="preserve"> One</w:t>
      </w:r>
      <w:r w:rsidRPr="00C006C7">
        <w:rPr>
          <w:color w:val="auto"/>
        </w:rPr>
        <w:t xml:space="preserve">. </w:t>
      </w:r>
      <w:r w:rsidRPr="00C006C7">
        <w:rPr>
          <w:b/>
          <w:bCs/>
          <w:color w:val="auto"/>
        </w:rPr>
        <w:t>11</w:t>
      </w:r>
      <w:r w:rsidRPr="00C006C7">
        <w:rPr>
          <w:color w:val="auto"/>
        </w:rPr>
        <w:t xml:space="preserve"> (12), e0168901 (2016).</w:t>
      </w:r>
    </w:p>
    <w:p w14:paraId="333B458D" w14:textId="5F3896F5" w:rsidR="0030184C" w:rsidRPr="00C006C7" w:rsidRDefault="0030184C" w:rsidP="003F7EF1">
      <w:pPr>
        <w:pStyle w:val="Bibliography"/>
        <w:widowControl/>
        <w:rPr>
          <w:color w:val="auto"/>
        </w:rPr>
      </w:pPr>
      <w:r w:rsidRPr="00C006C7">
        <w:rPr>
          <w:color w:val="auto"/>
        </w:rPr>
        <w:t>12.</w:t>
      </w:r>
      <w:r w:rsidRPr="00C006C7">
        <w:rPr>
          <w:color w:val="auto"/>
        </w:rPr>
        <w:tab/>
      </w:r>
      <w:proofErr w:type="spellStart"/>
      <w:r w:rsidRPr="00C006C7">
        <w:rPr>
          <w:color w:val="auto"/>
        </w:rPr>
        <w:t>Chesnut</w:t>
      </w:r>
      <w:proofErr w:type="spellEnd"/>
      <w:r w:rsidRPr="00C006C7">
        <w:rPr>
          <w:color w:val="auto"/>
        </w:rPr>
        <w:t>, R.M.</w:t>
      </w:r>
      <w:r w:rsidR="00C006C7" w:rsidRPr="00C006C7">
        <w:rPr>
          <w:i/>
          <w:color w:val="auto"/>
        </w:rPr>
        <w:t xml:space="preserve"> et al</w:t>
      </w:r>
      <w:r w:rsidR="00951294">
        <w:rPr>
          <w:i/>
          <w:color w:val="auto"/>
        </w:rPr>
        <w:t>.</w:t>
      </w:r>
      <w:r w:rsidRPr="00C006C7">
        <w:rPr>
          <w:color w:val="auto"/>
        </w:rPr>
        <w:t xml:space="preserve"> A trial of intracranial-pressure monitoring in traumatic brain injury. </w:t>
      </w:r>
      <w:r w:rsidRPr="00C006C7">
        <w:rPr>
          <w:i/>
          <w:iCs/>
          <w:color w:val="auto"/>
        </w:rPr>
        <w:t>The New England Journal of Medicine</w:t>
      </w:r>
      <w:r w:rsidRPr="00C006C7">
        <w:rPr>
          <w:color w:val="auto"/>
        </w:rPr>
        <w:t xml:space="preserve">. </w:t>
      </w:r>
      <w:r w:rsidRPr="00C006C7">
        <w:rPr>
          <w:b/>
          <w:bCs/>
          <w:color w:val="auto"/>
        </w:rPr>
        <w:t>367</w:t>
      </w:r>
      <w:r w:rsidRPr="00C006C7">
        <w:rPr>
          <w:color w:val="auto"/>
        </w:rPr>
        <w:t xml:space="preserve"> (26), 2471</w:t>
      </w:r>
      <w:r w:rsidR="00F37A96">
        <w:rPr>
          <w:color w:val="auto"/>
        </w:rPr>
        <w:t>-</w:t>
      </w:r>
      <w:r w:rsidRPr="00C006C7">
        <w:rPr>
          <w:color w:val="auto"/>
        </w:rPr>
        <w:t>2481 (2012).</w:t>
      </w:r>
    </w:p>
    <w:p w14:paraId="03E7F97C" w14:textId="035BE63C" w:rsidR="0030184C" w:rsidRPr="00C006C7" w:rsidRDefault="0030184C" w:rsidP="003F7EF1">
      <w:pPr>
        <w:pStyle w:val="Bibliography"/>
        <w:widowControl/>
        <w:rPr>
          <w:color w:val="auto"/>
        </w:rPr>
      </w:pPr>
      <w:r w:rsidRPr="00C006C7">
        <w:rPr>
          <w:color w:val="auto"/>
        </w:rPr>
        <w:t>13.</w:t>
      </w:r>
      <w:r w:rsidRPr="00C006C7">
        <w:rPr>
          <w:color w:val="auto"/>
        </w:rPr>
        <w:tab/>
        <w:t>Aries, M.J.H.</w:t>
      </w:r>
      <w:r w:rsidR="00C006C7" w:rsidRPr="00C006C7">
        <w:rPr>
          <w:i/>
          <w:color w:val="auto"/>
        </w:rPr>
        <w:t xml:space="preserve"> et al</w:t>
      </w:r>
      <w:r w:rsidR="00951294">
        <w:rPr>
          <w:i/>
          <w:color w:val="auto"/>
        </w:rPr>
        <w:t>.</w:t>
      </w:r>
      <w:r w:rsidRPr="00C006C7">
        <w:rPr>
          <w:color w:val="auto"/>
        </w:rPr>
        <w:t xml:space="preserve"> Continuous determination of optimal cerebral perfusion pressure in traumatic brain injury: </w:t>
      </w:r>
      <w:r w:rsidRPr="00C006C7">
        <w:rPr>
          <w:i/>
          <w:iCs/>
          <w:color w:val="auto"/>
        </w:rPr>
        <w:t>Critical Care Medicine</w:t>
      </w:r>
      <w:r w:rsidRPr="00C006C7">
        <w:rPr>
          <w:color w:val="auto"/>
        </w:rPr>
        <w:t xml:space="preserve">. </w:t>
      </w:r>
      <w:r w:rsidRPr="00C006C7">
        <w:rPr>
          <w:b/>
          <w:bCs/>
          <w:color w:val="auto"/>
        </w:rPr>
        <w:t>40</w:t>
      </w:r>
      <w:r w:rsidRPr="00C006C7">
        <w:rPr>
          <w:color w:val="auto"/>
        </w:rPr>
        <w:t xml:space="preserve"> (8), 2456</w:t>
      </w:r>
      <w:r w:rsidR="00F37A96">
        <w:rPr>
          <w:color w:val="auto"/>
        </w:rPr>
        <w:t>-</w:t>
      </w:r>
      <w:r w:rsidRPr="00C006C7">
        <w:rPr>
          <w:color w:val="auto"/>
        </w:rPr>
        <w:t>2463 (2012).</w:t>
      </w:r>
    </w:p>
    <w:p w14:paraId="755AB38E" w14:textId="7B2C17CC" w:rsidR="0030184C" w:rsidRPr="00C006C7" w:rsidRDefault="0030184C" w:rsidP="003F7EF1">
      <w:pPr>
        <w:pStyle w:val="Bibliography"/>
        <w:widowControl/>
        <w:rPr>
          <w:color w:val="auto"/>
        </w:rPr>
      </w:pPr>
      <w:r w:rsidRPr="00C006C7">
        <w:rPr>
          <w:color w:val="auto"/>
        </w:rPr>
        <w:t>14.</w:t>
      </w:r>
      <w:r w:rsidRPr="00C006C7">
        <w:rPr>
          <w:color w:val="auto"/>
        </w:rPr>
        <w:tab/>
        <w:t>Vespa, P.</w:t>
      </w:r>
      <w:r w:rsidR="00C006C7" w:rsidRPr="00C006C7">
        <w:rPr>
          <w:i/>
          <w:color w:val="auto"/>
        </w:rPr>
        <w:t xml:space="preserve"> et al</w:t>
      </w:r>
      <w:r w:rsidR="00951294">
        <w:rPr>
          <w:i/>
          <w:color w:val="auto"/>
        </w:rPr>
        <w:t>.</w:t>
      </w:r>
      <w:r w:rsidRPr="00C006C7">
        <w:rPr>
          <w:color w:val="auto"/>
        </w:rPr>
        <w:t xml:space="preserve"> Metabolic crisis occurs with seizures and periodic discharges after brain trauma. </w:t>
      </w:r>
      <w:r w:rsidRPr="00C006C7">
        <w:rPr>
          <w:i/>
          <w:iCs/>
          <w:color w:val="auto"/>
        </w:rPr>
        <w:t>Annals of Neurology</w:t>
      </w:r>
      <w:r w:rsidRPr="00C006C7">
        <w:rPr>
          <w:color w:val="auto"/>
        </w:rPr>
        <w:t xml:space="preserve">. </w:t>
      </w:r>
      <w:r w:rsidRPr="00C006C7">
        <w:rPr>
          <w:b/>
          <w:bCs/>
          <w:color w:val="auto"/>
        </w:rPr>
        <w:t>79</w:t>
      </w:r>
      <w:r w:rsidRPr="00C006C7">
        <w:rPr>
          <w:color w:val="auto"/>
        </w:rPr>
        <w:t xml:space="preserve"> (4), 579</w:t>
      </w:r>
      <w:r w:rsidR="00F37A96">
        <w:rPr>
          <w:color w:val="auto"/>
        </w:rPr>
        <w:t>-</w:t>
      </w:r>
      <w:r w:rsidRPr="00C006C7">
        <w:rPr>
          <w:color w:val="auto"/>
        </w:rPr>
        <w:t>590 (2016).</w:t>
      </w:r>
    </w:p>
    <w:p w14:paraId="33A7408E" w14:textId="53E26FFC" w:rsidR="0030184C" w:rsidRPr="00C006C7" w:rsidRDefault="0030184C" w:rsidP="003F7EF1">
      <w:pPr>
        <w:pStyle w:val="Bibliography"/>
        <w:widowControl/>
        <w:rPr>
          <w:color w:val="auto"/>
        </w:rPr>
      </w:pPr>
      <w:r w:rsidRPr="00C006C7">
        <w:rPr>
          <w:color w:val="auto"/>
        </w:rPr>
        <w:t>15.</w:t>
      </w:r>
      <w:r w:rsidRPr="00C006C7">
        <w:rPr>
          <w:color w:val="auto"/>
        </w:rPr>
        <w:tab/>
      </w:r>
      <w:proofErr w:type="spellStart"/>
      <w:r w:rsidRPr="00C006C7">
        <w:rPr>
          <w:color w:val="auto"/>
        </w:rPr>
        <w:t>Hartings</w:t>
      </w:r>
      <w:proofErr w:type="spellEnd"/>
      <w:r w:rsidRPr="00C006C7">
        <w:rPr>
          <w:color w:val="auto"/>
        </w:rPr>
        <w:t>, J.A.</w:t>
      </w:r>
      <w:r w:rsidR="00C006C7" w:rsidRPr="00C006C7">
        <w:rPr>
          <w:i/>
          <w:color w:val="auto"/>
        </w:rPr>
        <w:t xml:space="preserve"> et al</w:t>
      </w:r>
      <w:r w:rsidR="00951294">
        <w:rPr>
          <w:i/>
          <w:color w:val="auto"/>
        </w:rPr>
        <w:t>.</w:t>
      </w:r>
      <w:r w:rsidRPr="00C006C7">
        <w:rPr>
          <w:color w:val="auto"/>
        </w:rPr>
        <w:t xml:space="preserve"> Spreading </w:t>
      </w:r>
      <w:proofErr w:type="spellStart"/>
      <w:r w:rsidRPr="00C006C7">
        <w:rPr>
          <w:color w:val="auto"/>
        </w:rPr>
        <w:t>depolarisations</w:t>
      </w:r>
      <w:proofErr w:type="spellEnd"/>
      <w:r w:rsidRPr="00C006C7">
        <w:rPr>
          <w:color w:val="auto"/>
        </w:rPr>
        <w:t xml:space="preserve"> and outcome after traumatic brain injury: a prospective observational study. </w:t>
      </w:r>
      <w:r w:rsidRPr="00C006C7">
        <w:rPr>
          <w:i/>
          <w:iCs/>
          <w:color w:val="auto"/>
        </w:rPr>
        <w:t>The Lancet. Neurology</w:t>
      </w:r>
      <w:r w:rsidRPr="00C006C7">
        <w:rPr>
          <w:color w:val="auto"/>
        </w:rPr>
        <w:t xml:space="preserve">. </w:t>
      </w:r>
      <w:r w:rsidRPr="00C006C7">
        <w:rPr>
          <w:b/>
          <w:bCs/>
          <w:color w:val="auto"/>
        </w:rPr>
        <w:t>10</w:t>
      </w:r>
      <w:r w:rsidRPr="00C006C7">
        <w:rPr>
          <w:color w:val="auto"/>
        </w:rPr>
        <w:t xml:space="preserve"> (12), 1058</w:t>
      </w:r>
      <w:r w:rsidR="00F37A96">
        <w:rPr>
          <w:color w:val="auto"/>
        </w:rPr>
        <w:t>-</w:t>
      </w:r>
      <w:r w:rsidRPr="00C006C7">
        <w:rPr>
          <w:color w:val="auto"/>
        </w:rPr>
        <w:t>1064 (2011).</w:t>
      </w:r>
    </w:p>
    <w:p w14:paraId="326445B4" w14:textId="7018211C" w:rsidR="0030184C" w:rsidRPr="00C006C7" w:rsidRDefault="0030184C" w:rsidP="003F7EF1">
      <w:pPr>
        <w:pStyle w:val="Bibliography"/>
        <w:widowControl/>
        <w:rPr>
          <w:color w:val="auto"/>
        </w:rPr>
      </w:pPr>
      <w:r w:rsidRPr="00C006C7">
        <w:rPr>
          <w:color w:val="auto"/>
        </w:rPr>
        <w:t>16.</w:t>
      </w:r>
      <w:r w:rsidRPr="00C006C7">
        <w:rPr>
          <w:color w:val="auto"/>
        </w:rPr>
        <w:tab/>
        <w:t>Okonkwo, D.O.</w:t>
      </w:r>
      <w:r w:rsidR="00C006C7" w:rsidRPr="00C006C7">
        <w:rPr>
          <w:i/>
          <w:color w:val="auto"/>
        </w:rPr>
        <w:t xml:space="preserve"> et al</w:t>
      </w:r>
      <w:r w:rsidR="00951294">
        <w:rPr>
          <w:i/>
          <w:color w:val="auto"/>
        </w:rPr>
        <w:t>.</w:t>
      </w:r>
      <w:r w:rsidRPr="00C006C7">
        <w:rPr>
          <w:color w:val="auto"/>
        </w:rPr>
        <w:t xml:space="preserve"> Brain Oxygen Optimization in Severe Traumatic Brain Injury Phase-II: A Phase II Randomized Trial. </w:t>
      </w:r>
      <w:r w:rsidRPr="00C006C7">
        <w:rPr>
          <w:i/>
          <w:iCs/>
          <w:color w:val="auto"/>
        </w:rPr>
        <w:t>Critical Care Medicine</w:t>
      </w:r>
      <w:r w:rsidRPr="00C006C7">
        <w:rPr>
          <w:color w:val="auto"/>
        </w:rPr>
        <w:t xml:space="preserve">. </w:t>
      </w:r>
      <w:r w:rsidRPr="00C006C7">
        <w:rPr>
          <w:b/>
          <w:bCs/>
          <w:color w:val="auto"/>
        </w:rPr>
        <w:t>45</w:t>
      </w:r>
      <w:r w:rsidRPr="00C006C7">
        <w:rPr>
          <w:color w:val="auto"/>
        </w:rPr>
        <w:t xml:space="preserve"> (11), 1907</w:t>
      </w:r>
      <w:r w:rsidR="00F37A96">
        <w:rPr>
          <w:color w:val="auto"/>
        </w:rPr>
        <w:t>-</w:t>
      </w:r>
      <w:r w:rsidRPr="00C006C7">
        <w:rPr>
          <w:color w:val="auto"/>
        </w:rPr>
        <w:t>1914 (2017).</w:t>
      </w:r>
    </w:p>
    <w:p w14:paraId="4BD2D41F" w14:textId="5397786D" w:rsidR="0030184C" w:rsidRPr="00C006C7" w:rsidRDefault="0030184C" w:rsidP="003F7EF1">
      <w:pPr>
        <w:pStyle w:val="Bibliography"/>
        <w:widowControl/>
        <w:rPr>
          <w:color w:val="auto"/>
        </w:rPr>
      </w:pPr>
      <w:r w:rsidRPr="00C006C7">
        <w:rPr>
          <w:color w:val="auto"/>
        </w:rPr>
        <w:t>17.</w:t>
      </w:r>
      <w:r w:rsidRPr="00C006C7">
        <w:rPr>
          <w:color w:val="auto"/>
        </w:rPr>
        <w:tab/>
        <w:t xml:space="preserve">Foreman, B., Ngwenya, L.B., Stoddard, E., </w:t>
      </w:r>
      <w:proofErr w:type="spellStart"/>
      <w:r w:rsidRPr="00C006C7">
        <w:rPr>
          <w:color w:val="auto"/>
        </w:rPr>
        <w:t>Hinzman</w:t>
      </w:r>
      <w:proofErr w:type="spellEnd"/>
      <w:r w:rsidRPr="00C006C7">
        <w:rPr>
          <w:color w:val="auto"/>
        </w:rPr>
        <w:t xml:space="preserve">, J.M., </w:t>
      </w:r>
      <w:proofErr w:type="spellStart"/>
      <w:r w:rsidRPr="00C006C7">
        <w:rPr>
          <w:color w:val="auto"/>
        </w:rPr>
        <w:t>Andaluz</w:t>
      </w:r>
      <w:proofErr w:type="spellEnd"/>
      <w:r w:rsidRPr="00C006C7">
        <w:rPr>
          <w:color w:val="auto"/>
        </w:rPr>
        <w:t xml:space="preserve">, N., </w:t>
      </w:r>
      <w:proofErr w:type="spellStart"/>
      <w:r w:rsidRPr="00C006C7">
        <w:rPr>
          <w:color w:val="auto"/>
        </w:rPr>
        <w:t>Hartings</w:t>
      </w:r>
      <w:proofErr w:type="spellEnd"/>
      <w:r w:rsidRPr="00C006C7">
        <w:rPr>
          <w:color w:val="auto"/>
        </w:rPr>
        <w:t xml:space="preserve">, J.A. Safety and Reliability of Bedside, Single Burr Hole Technique for Intracranial Multimodality Monitoring in Severe Traumatic Brain Injury. </w:t>
      </w:r>
      <w:r w:rsidRPr="00C006C7">
        <w:rPr>
          <w:i/>
          <w:iCs/>
          <w:color w:val="auto"/>
        </w:rPr>
        <w:t>Neurocritical Care</w:t>
      </w:r>
      <w:r w:rsidRPr="00C006C7">
        <w:rPr>
          <w:color w:val="auto"/>
        </w:rPr>
        <w:t xml:space="preserve">. </w:t>
      </w:r>
      <w:proofErr w:type="spellStart"/>
      <w:r w:rsidRPr="00C006C7">
        <w:rPr>
          <w:color w:val="auto"/>
        </w:rPr>
        <w:t>doi</w:t>
      </w:r>
      <w:proofErr w:type="spellEnd"/>
      <w:r w:rsidRPr="00C006C7">
        <w:rPr>
          <w:color w:val="auto"/>
        </w:rPr>
        <w:t>: 10.1007/s12028-018-0551-7 (2018).</w:t>
      </w:r>
    </w:p>
    <w:p w14:paraId="722078E8" w14:textId="283E5CC6" w:rsidR="0030184C" w:rsidRPr="00C006C7" w:rsidRDefault="0030184C" w:rsidP="003F7EF1">
      <w:pPr>
        <w:pStyle w:val="Bibliography"/>
        <w:widowControl/>
        <w:rPr>
          <w:color w:val="auto"/>
        </w:rPr>
      </w:pPr>
      <w:r w:rsidRPr="00C006C7">
        <w:rPr>
          <w:color w:val="auto"/>
        </w:rPr>
        <w:t>18.</w:t>
      </w:r>
      <w:r w:rsidRPr="00C006C7">
        <w:rPr>
          <w:color w:val="auto"/>
        </w:rPr>
        <w:tab/>
        <w:t>Stuart, R.M.</w:t>
      </w:r>
      <w:r w:rsidR="00C006C7" w:rsidRPr="00C006C7">
        <w:rPr>
          <w:i/>
          <w:color w:val="auto"/>
        </w:rPr>
        <w:t xml:space="preserve"> et al</w:t>
      </w:r>
      <w:r w:rsidR="00951294">
        <w:rPr>
          <w:i/>
          <w:color w:val="auto"/>
        </w:rPr>
        <w:t>.</w:t>
      </w:r>
      <w:r w:rsidRPr="00C006C7">
        <w:rPr>
          <w:color w:val="auto"/>
        </w:rPr>
        <w:t xml:space="preserve"> Intracranial multimodal monitoring for acute brain injury: a single institution review of current practices. </w:t>
      </w:r>
      <w:r w:rsidRPr="00C006C7">
        <w:rPr>
          <w:i/>
          <w:iCs/>
          <w:color w:val="auto"/>
        </w:rPr>
        <w:t>Neurocritical Care</w:t>
      </w:r>
      <w:r w:rsidRPr="00C006C7">
        <w:rPr>
          <w:color w:val="auto"/>
        </w:rPr>
        <w:t xml:space="preserve">. </w:t>
      </w:r>
      <w:r w:rsidRPr="00C006C7">
        <w:rPr>
          <w:b/>
          <w:bCs/>
          <w:color w:val="auto"/>
        </w:rPr>
        <w:t>12</w:t>
      </w:r>
      <w:r w:rsidRPr="00C006C7">
        <w:rPr>
          <w:color w:val="auto"/>
        </w:rPr>
        <w:t xml:space="preserve"> (2), 188</w:t>
      </w:r>
      <w:r w:rsidR="00F37A96">
        <w:rPr>
          <w:color w:val="auto"/>
        </w:rPr>
        <w:t>-</w:t>
      </w:r>
      <w:r w:rsidRPr="00C006C7">
        <w:rPr>
          <w:color w:val="auto"/>
        </w:rPr>
        <w:t>198 (2010).</w:t>
      </w:r>
    </w:p>
    <w:p w14:paraId="62CB5FB4" w14:textId="35D93EBF" w:rsidR="0030184C" w:rsidRPr="00C006C7" w:rsidRDefault="0030184C" w:rsidP="003F7EF1">
      <w:pPr>
        <w:pStyle w:val="Bibliography"/>
        <w:widowControl/>
        <w:rPr>
          <w:color w:val="auto"/>
        </w:rPr>
      </w:pPr>
      <w:r w:rsidRPr="00C006C7">
        <w:rPr>
          <w:color w:val="auto"/>
        </w:rPr>
        <w:t>19.</w:t>
      </w:r>
      <w:r w:rsidRPr="00C006C7">
        <w:rPr>
          <w:color w:val="auto"/>
        </w:rPr>
        <w:tab/>
      </w:r>
      <w:proofErr w:type="spellStart"/>
      <w:r w:rsidRPr="00C006C7">
        <w:rPr>
          <w:color w:val="auto"/>
        </w:rPr>
        <w:t>Talving</w:t>
      </w:r>
      <w:proofErr w:type="spellEnd"/>
      <w:r w:rsidRPr="00C006C7">
        <w:rPr>
          <w:color w:val="auto"/>
        </w:rPr>
        <w:t>, P.</w:t>
      </w:r>
      <w:r w:rsidR="00C006C7" w:rsidRPr="00C006C7">
        <w:rPr>
          <w:i/>
          <w:color w:val="auto"/>
        </w:rPr>
        <w:t xml:space="preserve"> et al</w:t>
      </w:r>
      <w:r w:rsidR="00951294">
        <w:rPr>
          <w:i/>
          <w:color w:val="auto"/>
        </w:rPr>
        <w:t>.</w:t>
      </w:r>
      <w:r w:rsidRPr="00C006C7">
        <w:rPr>
          <w:color w:val="auto"/>
        </w:rPr>
        <w:t xml:space="preserve"> Intracranial pressure monitoring in severe head injury: compliance with Brain Trauma Foundation guidelines and effect on outcomes: a prospective study. </w:t>
      </w:r>
      <w:r w:rsidRPr="00C006C7">
        <w:rPr>
          <w:i/>
          <w:iCs/>
          <w:color w:val="auto"/>
        </w:rPr>
        <w:t>Journal of Neurosurgery</w:t>
      </w:r>
      <w:r w:rsidRPr="00C006C7">
        <w:rPr>
          <w:color w:val="auto"/>
        </w:rPr>
        <w:t xml:space="preserve">. </w:t>
      </w:r>
      <w:r w:rsidRPr="00C006C7">
        <w:rPr>
          <w:b/>
          <w:bCs/>
          <w:color w:val="auto"/>
        </w:rPr>
        <w:t>119</w:t>
      </w:r>
      <w:r w:rsidRPr="00C006C7">
        <w:rPr>
          <w:color w:val="auto"/>
        </w:rPr>
        <w:t xml:space="preserve"> (5), 1248</w:t>
      </w:r>
      <w:r w:rsidR="00F37A96">
        <w:rPr>
          <w:color w:val="auto"/>
        </w:rPr>
        <w:t>-</w:t>
      </w:r>
      <w:r w:rsidRPr="00C006C7">
        <w:rPr>
          <w:color w:val="auto"/>
        </w:rPr>
        <w:t>1254 (2013).</w:t>
      </w:r>
    </w:p>
    <w:p w14:paraId="2F236D4F" w14:textId="77FCB20A" w:rsidR="0030184C" w:rsidRPr="00C006C7" w:rsidRDefault="0030184C" w:rsidP="003F7EF1">
      <w:pPr>
        <w:pStyle w:val="Bibliography"/>
        <w:widowControl/>
        <w:rPr>
          <w:color w:val="auto"/>
        </w:rPr>
      </w:pPr>
      <w:r w:rsidRPr="00C006C7">
        <w:rPr>
          <w:color w:val="auto"/>
        </w:rPr>
        <w:t>20.</w:t>
      </w:r>
      <w:r w:rsidRPr="00C006C7">
        <w:rPr>
          <w:color w:val="auto"/>
        </w:rPr>
        <w:tab/>
      </w:r>
      <w:proofErr w:type="spellStart"/>
      <w:r w:rsidRPr="00C006C7">
        <w:rPr>
          <w:color w:val="auto"/>
        </w:rPr>
        <w:t>Aiolfi</w:t>
      </w:r>
      <w:proofErr w:type="spellEnd"/>
      <w:r w:rsidRPr="00C006C7">
        <w:rPr>
          <w:color w:val="auto"/>
        </w:rPr>
        <w:t xml:space="preserve">, A., Benjamin, E., Khor, D., Inaba, K., Lam, L., </w:t>
      </w:r>
      <w:proofErr w:type="spellStart"/>
      <w:r w:rsidRPr="00C006C7">
        <w:rPr>
          <w:color w:val="auto"/>
        </w:rPr>
        <w:t>Demetriades</w:t>
      </w:r>
      <w:proofErr w:type="spellEnd"/>
      <w:r w:rsidRPr="00C006C7">
        <w:rPr>
          <w:color w:val="auto"/>
        </w:rPr>
        <w:t xml:space="preserve">, D. Brain Trauma Foundation Guidelines for Intracranial Pressure Monitoring: Compliance and Effect on Outcome. </w:t>
      </w:r>
      <w:r w:rsidRPr="00C006C7">
        <w:rPr>
          <w:i/>
          <w:iCs/>
          <w:color w:val="auto"/>
        </w:rPr>
        <w:t>World Journal of Surgery</w:t>
      </w:r>
      <w:r w:rsidRPr="00C006C7">
        <w:rPr>
          <w:color w:val="auto"/>
        </w:rPr>
        <w:t xml:space="preserve">. </w:t>
      </w:r>
      <w:r w:rsidRPr="00C006C7">
        <w:rPr>
          <w:b/>
          <w:bCs/>
          <w:color w:val="auto"/>
        </w:rPr>
        <w:t>41</w:t>
      </w:r>
      <w:r w:rsidRPr="00C006C7">
        <w:rPr>
          <w:color w:val="auto"/>
        </w:rPr>
        <w:t xml:space="preserve"> (6), 1543</w:t>
      </w:r>
      <w:r w:rsidR="00F37A96">
        <w:rPr>
          <w:color w:val="auto"/>
        </w:rPr>
        <w:t>-</w:t>
      </w:r>
      <w:r w:rsidRPr="00C006C7">
        <w:rPr>
          <w:color w:val="auto"/>
        </w:rPr>
        <w:t>1549 (2017).</w:t>
      </w:r>
    </w:p>
    <w:p w14:paraId="7D253F45" w14:textId="3DB48379" w:rsidR="0030184C" w:rsidRPr="00C006C7" w:rsidRDefault="0030184C" w:rsidP="003F7EF1">
      <w:pPr>
        <w:pStyle w:val="Bibliography"/>
        <w:widowControl/>
        <w:rPr>
          <w:color w:val="auto"/>
        </w:rPr>
      </w:pPr>
      <w:r w:rsidRPr="00C006C7">
        <w:rPr>
          <w:color w:val="auto"/>
        </w:rPr>
        <w:t>21.</w:t>
      </w:r>
      <w:r w:rsidRPr="00C006C7">
        <w:rPr>
          <w:color w:val="auto"/>
        </w:rPr>
        <w:tab/>
      </w:r>
      <w:proofErr w:type="spellStart"/>
      <w:r w:rsidRPr="00C006C7">
        <w:rPr>
          <w:color w:val="auto"/>
        </w:rPr>
        <w:t>Pinggera</w:t>
      </w:r>
      <w:proofErr w:type="spellEnd"/>
      <w:r w:rsidRPr="00C006C7">
        <w:rPr>
          <w:color w:val="auto"/>
        </w:rPr>
        <w:t xml:space="preserve">, D., Petr, O., </w:t>
      </w:r>
      <w:proofErr w:type="spellStart"/>
      <w:r w:rsidRPr="00C006C7">
        <w:rPr>
          <w:color w:val="auto"/>
        </w:rPr>
        <w:t>Putzer</w:t>
      </w:r>
      <w:proofErr w:type="spellEnd"/>
      <w:r w:rsidRPr="00C006C7">
        <w:rPr>
          <w:color w:val="auto"/>
        </w:rPr>
        <w:t xml:space="preserve">, G., </w:t>
      </w:r>
      <w:proofErr w:type="spellStart"/>
      <w:r w:rsidRPr="00C006C7">
        <w:rPr>
          <w:color w:val="auto"/>
        </w:rPr>
        <w:t>Thomé</w:t>
      </w:r>
      <w:proofErr w:type="spellEnd"/>
      <w:r w:rsidRPr="00C006C7">
        <w:rPr>
          <w:color w:val="auto"/>
        </w:rPr>
        <w:t xml:space="preserve">, C. How I do it/Technical note: Adjustable and Rigid Fixation of Brain Tissue Oxygenation Probe (LICOX) in Neurosurgery - from bench to bedside. </w:t>
      </w:r>
      <w:r w:rsidRPr="00C006C7">
        <w:rPr>
          <w:i/>
          <w:iCs/>
          <w:color w:val="auto"/>
        </w:rPr>
        <w:t>World Neurosurgery</w:t>
      </w:r>
      <w:r w:rsidRPr="00C006C7">
        <w:rPr>
          <w:color w:val="auto"/>
        </w:rPr>
        <w:t xml:space="preserve">. </w:t>
      </w:r>
      <w:r w:rsidR="00C71C78" w:rsidRPr="007A65F6">
        <w:rPr>
          <w:b/>
          <w:color w:val="auto"/>
        </w:rPr>
        <w:t>117</w:t>
      </w:r>
      <w:r w:rsidR="00C71C78">
        <w:rPr>
          <w:color w:val="auto"/>
        </w:rPr>
        <w:t xml:space="preserve">, </w:t>
      </w:r>
      <w:r w:rsidR="00C71C78" w:rsidRPr="00C71C78">
        <w:rPr>
          <w:color w:val="auto"/>
        </w:rPr>
        <w:t>62-64</w:t>
      </w:r>
      <w:r w:rsidRPr="00C006C7">
        <w:rPr>
          <w:color w:val="auto"/>
        </w:rPr>
        <w:t xml:space="preserve"> (2018).</w:t>
      </w:r>
    </w:p>
    <w:p w14:paraId="18F93686" w14:textId="044803B6" w:rsidR="0030184C" w:rsidRPr="00C006C7" w:rsidRDefault="0030184C" w:rsidP="003F7EF1">
      <w:pPr>
        <w:pStyle w:val="Bibliography"/>
        <w:widowControl/>
        <w:rPr>
          <w:color w:val="auto"/>
        </w:rPr>
      </w:pPr>
      <w:r w:rsidRPr="00C006C7">
        <w:rPr>
          <w:color w:val="auto"/>
        </w:rPr>
        <w:t>22.</w:t>
      </w:r>
      <w:r w:rsidRPr="00C006C7">
        <w:rPr>
          <w:color w:val="auto"/>
        </w:rPr>
        <w:tab/>
        <w:t xml:space="preserve">Gardner, P.A., </w:t>
      </w:r>
      <w:proofErr w:type="spellStart"/>
      <w:r w:rsidRPr="00C006C7">
        <w:rPr>
          <w:color w:val="auto"/>
        </w:rPr>
        <w:t>Engh</w:t>
      </w:r>
      <w:proofErr w:type="spellEnd"/>
      <w:r w:rsidRPr="00C006C7">
        <w:rPr>
          <w:color w:val="auto"/>
        </w:rPr>
        <w:t xml:space="preserve">, J., </w:t>
      </w:r>
      <w:proofErr w:type="spellStart"/>
      <w:r w:rsidRPr="00C006C7">
        <w:rPr>
          <w:color w:val="auto"/>
        </w:rPr>
        <w:t>Atteberry</w:t>
      </w:r>
      <w:proofErr w:type="spellEnd"/>
      <w:r w:rsidRPr="00C006C7">
        <w:rPr>
          <w:color w:val="auto"/>
        </w:rPr>
        <w:t xml:space="preserve">, D., </w:t>
      </w:r>
      <w:proofErr w:type="spellStart"/>
      <w:r w:rsidRPr="00C006C7">
        <w:rPr>
          <w:color w:val="auto"/>
        </w:rPr>
        <w:t>Moossy</w:t>
      </w:r>
      <w:proofErr w:type="spellEnd"/>
      <w:r w:rsidRPr="00C006C7">
        <w:rPr>
          <w:color w:val="auto"/>
        </w:rPr>
        <w:t xml:space="preserve">, J.J. Hemorrhage rates after external ventricular drain placement. </w:t>
      </w:r>
      <w:r w:rsidRPr="00C006C7">
        <w:rPr>
          <w:i/>
          <w:iCs/>
          <w:color w:val="auto"/>
        </w:rPr>
        <w:t>Journal of Neurosurgery</w:t>
      </w:r>
      <w:r w:rsidRPr="00C006C7">
        <w:rPr>
          <w:color w:val="auto"/>
        </w:rPr>
        <w:t xml:space="preserve">. </w:t>
      </w:r>
      <w:r w:rsidRPr="00C006C7">
        <w:rPr>
          <w:b/>
          <w:bCs/>
          <w:color w:val="auto"/>
        </w:rPr>
        <w:t>110</w:t>
      </w:r>
      <w:r w:rsidRPr="00C006C7">
        <w:rPr>
          <w:color w:val="auto"/>
        </w:rPr>
        <w:t xml:space="preserve"> (5), 1021</w:t>
      </w:r>
      <w:r w:rsidR="00F37A96">
        <w:rPr>
          <w:color w:val="auto"/>
        </w:rPr>
        <w:t>-</w:t>
      </w:r>
      <w:r w:rsidRPr="00C006C7">
        <w:rPr>
          <w:color w:val="auto"/>
        </w:rPr>
        <w:t>1025 (2009).</w:t>
      </w:r>
    </w:p>
    <w:p w14:paraId="2BAD8148" w14:textId="74304097" w:rsidR="0030184C" w:rsidRPr="00C006C7" w:rsidRDefault="0030184C" w:rsidP="003F7EF1">
      <w:pPr>
        <w:pStyle w:val="Bibliography"/>
        <w:widowControl/>
        <w:rPr>
          <w:color w:val="auto"/>
        </w:rPr>
      </w:pPr>
      <w:r w:rsidRPr="00C006C7">
        <w:rPr>
          <w:color w:val="auto"/>
        </w:rPr>
        <w:t>23.</w:t>
      </w:r>
      <w:r w:rsidRPr="00C006C7">
        <w:rPr>
          <w:color w:val="auto"/>
        </w:rPr>
        <w:tab/>
      </w:r>
      <w:proofErr w:type="spellStart"/>
      <w:r w:rsidRPr="00C006C7">
        <w:rPr>
          <w:color w:val="auto"/>
        </w:rPr>
        <w:t>Maniker</w:t>
      </w:r>
      <w:proofErr w:type="spellEnd"/>
      <w:r w:rsidRPr="00C006C7">
        <w:rPr>
          <w:color w:val="auto"/>
        </w:rPr>
        <w:t xml:space="preserve">, A.H., </w:t>
      </w:r>
      <w:proofErr w:type="spellStart"/>
      <w:r w:rsidRPr="00C006C7">
        <w:rPr>
          <w:color w:val="auto"/>
        </w:rPr>
        <w:t>Vaynman</w:t>
      </w:r>
      <w:proofErr w:type="spellEnd"/>
      <w:r w:rsidRPr="00C006C7">
        <w:rPr>
          <w:color w:val="auto"/>
        </w:rPr>
        <w:t xml:space="preserve">, A.Y., Karimi, R.J., </w:t>
      </w:r>
      <w:proofErr w:type="spellStart"/>
      <w:r w:rsidRPr="00C006C7">
        <w:rPr>
          <w:color w:val="auto"/>
        </w:rPr>
        <w:t>Sabit</w:t>
      </w:r>
      <w:proofErr w:type="spellEnd"/>
      <w:r w:rsidRPr="00C006C7">
        <w:rPr>
          <w:color w:val="auto"/>
        </w:rPr>
        <w:t xml:space="preserve">, A.O., Holland, B. Hemorrhagic complications of external ventricular drainage. </w:t>
      </w:r>
      <w:r w:rsidRPr="00C006C7">
        <w:rPr>
          <w:i/>
          <w:iCs/>
          <w:color w:val="auto"/>
        </w:rPr>
        <w:t>Neurosurgery</w:t>
      </w:r>
      <w:r w:rsidRPr="00C006C7">
        <w:rPr>
          <w:color w:val="auto"/>
        </w:rPr>
        <w:t xml:space="preserve">. </w:t>
      </w:r>
      <w:r w:rsidRPr="00C006C7">
        <w:rPr>
          <w:b/>
          <w:bCs/>
          <w:color w:val="auto"/>
        </w:rPr>
        <w:t>59</w:t>
      </w:r>
      <w:r w:rsidRPr="00C006C7">
        <w:rPr>
          <w:color w:val="auto"/>
        </w:rPr>
        <w:t xml:space="preserve"> (4 Suppl 2), ONS419-424; discussion ONS424-425 (2006).</w:t>
      </w:r>
    </w:p>
    <w:p w14:paraId="3A456F63" w14:textId="1D13E8E1" w:rsidR="0030184C" w:rsidRPr="00C006C7" w:rsidRDefault="0030184C" w:rsidP="003F7EF1">
      <w:pPr>
        <w:pStyle w:val="Bibliography"/>
        <w:widowControl/>
        <w:rPr>
          <w:color w:val="auto"/>
        </w:rPr>
      </w:pPr>
      <w:r w:rsidRPr="00C006C7">
        <w:rPr>
          <w:color w:val="auto"/>
        </w:rPr>
        <w:t>24.</w:t>
      </w:r>
      <w:r w:rsidRPr="00C006C7">
        <w:rPr>
          <w:color w:val="auto"/>
        </w:rPr>
        <w:tab/>
        <w:t>Dreier, J.P.</w:t>
      </w:r>
      <w:r w:rsidR="00C006C7" w:rsidRPr="00C006C7">
        <w:rPr>
          <w:i/>
          <w:color w:val="auto"/>
        </w:rPr>
        <w:t xml:space="preserve"> et al</w:t>
      </w:r>
      <w:r w:rsidR="00951294">
        <w:rPr>
          <w:i/>
          <w:color w:val="auto"/>
        </w:rPr>
        <w:t>.</w:t>
      </w:r>
      <w:r w:rsidRPr="00C006C7">
        <w:rPr>
          <w:color w:val="auto"/>
        </w:rPr>
        <w:t xml:space="preserve"> Recording, analysis, and interpretation of spreading depolarizations in </w:t>
      </w:r>
      <w:proofErr w:type="spellStart"/>
      <w:r w:rsidRPr="00C006C7">
        <w:rPr>
          <w:color w:val="auto"/>
        </w:rPr>
        <w:t>neurointensive</w:t>
      </w:r>
      <w:proofErr w:type="spellEnd"/>
      <w:r w:rsidRPr="00C006C7">
        <w:rPr>
          <w:color w:val="auto"/>
        </w:rPr>
        <w:t xml:space="preserve"> care: Review and recommendations of the COSBID research group. </w:t>
      </w:r>
      <w:r w:rsidRPr="00C006C7">
        <w:rPr>
          <w:i/>
          <w:iCs/>
          <w:color w:val="auto"/>
        </w:rPr>
        <w:t>Journal of Cerebral Blood Flow and Metabolism: Official Journal of the International Society of Cerebral Blood Flow and Metabolism</w:t>
      </w:r>
      <w:r w:rsidRPr="00C006C7">
        <w:rPr>
          <w:color w:val="auto"/>
        </w:rPr>
        <w:t xml:space="preserve">. </w:t>
      </w:r>
      <w:r w:rsidRPr="00C006C7">
        <w:rPr>
          <w:b/>
          <w:bCs/>
          <w:color w:val="auto"/>
        </w:rPr>
        <w:t>37</w:t>
      </w:r>
      <w:r w:rsidRPr="00C006C7">
        <w:rPr>
          <w:color w:val="auto"/>
        </w:rPr>
        <w:t xml:space="preserve"> (5), 1595</w:t>
      </w:r>
      <w:r w:rsidR="00F37A96">
        <w:rPr>
          <w:color w:val="auto"/>
        </w:rPr>
        <w:t>-</w:t>
      </w:r>
      <w:r w:rsidRPr="00C006C7">
        <w:rPr>
          <w:color w:val="auto"/>
        </w:rPr>
        <w:t>1625</w:t>
      </w:r>
      <w:r w:rsidR="00A2110B">
        <w:rPr>
          <w:color w:val="auto"/>
        </w:rPr>
        <w:t xml:space="preserve"> </w:t>
      </w:r>
      <w:r w:rsidRPr="00C006C7">
        <w:rPr>
          <w:color w:val="auto"/>
        </w:rPr>
        <w:t>(2017).</w:t>
      </w:r>
    </w:p>
    <w:p w14:paraId="25C05F1D" w14:textId="06B1E728" w:rsidR="00D04760" w:rsidRPr="00C006C7" w:rsidRDefault="00D04760" w:rsidP="003F7EF1">
      <w:pPr>
        <w:widowControl/>
        <w:rPr>
          <w:b/>
          <w:color w:val="auto"/>
        </w:rPr>
      </w:pPr>
    </w:p>
    <w:sectPr w:rsidR="00D04760" w:rsidRPr="00C006C7" w:rsidSect="00C006C7">
      <w:headerReference w:type="default" r:id="rId12"/>
      <w:footerReference w:type="first" r:id="rId13"/>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697040" w14:textId="77777777" w:rsidR="007C2A50" w:rsidRDefault="007C2A50" w:rsidP="00621C4E">
      <w:r>
        <w:separator/>
      </w:r>
    </w:p>
  </w:endnote>
  <w:endnote w:type="continuationSeparator" w:id="0">
    <w:p w14:paraId="642B01DC" w14:textId="77777777" w:rsidR="007C2A50" w:rsidRDefault="007C2A50"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A85816" w:rsidRDefault="00A85816"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27CB8A" w14:textId="77777777" w:rsidR="007C2A50" w:rsidRDefault="007C2A50" w:rsidP="00621C4E">
      <w:r>
        <w:separator/>
      </w:r>
    </w:p>
  </w:footnote>
  <w:footnote w:type="continuationSeparator" w:id="0">
    <w:p w14:paraId="33BACB46" w14:textId="77777777" w:rsidR="007C2A50" w:rsidRDefault="007C2A50"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2DB9159" w:rsidR="00A85816" w:rsidRPr="006F06E4" w:rsidRDefault="00A85816" w:rsidP="00621C4E">
    <w:pPr>
      <w:pStyle w:val="Header"/>
      <w:rPr>
        <w:b/>
        <w:color w:val="1F497D"/>
        <w:sz w:val="28"/>
        <w:szCs w:val="28"/>
      </w:rPr>
    </w:pPr>
    <w:r w:rsidRPr="009A38A5">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0"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1"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4"/>
  </w:num>
  <w:num w:numId="3">
    <w:abstractNumId w:val="3"/>
  </w:num>
  <w:num w:numId="4">
    <w:abstractNumId w:val="12"/>
  </w:num>
  <w:num w:numId="5">
    <w:abstractNumId w:val="6"/>
  </w:num>
  <w:num w:numId="6">
    <w:abstractNumId w:val="11"/>
  </w:num>
  <w:num w:numId="7">
    <w:abstractNumId w:val="0"/>
  </w:num>
  <w:num w:numId="8">
    <w:abstractNumId w:val="7"/>
  </w:num>
  <w:num w:numId="9">
    <w:abstractNumId w:val="8"/>
  </w:num>
  <w:num w:numId="10">
    <w:abstractNumId w:val="13"/>
  </w:num>
  <w:num w:numId="11">
    <w:abstractNumId w:val="17"/>
  </w:num>
  <w:num w:numId="12">
    <w:abstractNumId w:val="1"/>
  </w:num>
  <w:num w:numId="13">
    <w:abstractNumId w:val="15"/>
  </w:num>
  <w:num w:numId="14">
    <w:abstractNumId w:val="20"/>
  </w:num>
  <w:num w:numId="15">
    <w:abstractNumId w:val="9"/>
  </w:num>
  <w:num w:numId="16">
    <w:abstractNumId w:val="5"/>
  </w:num>
  <w:num w:numId="17">
    <w:abstractNumId w:val="16"/>
  </w:num>
  <w:num w:numId="18">
    <w:abstractNumId w:val="10"/>
  </w:num>
  <w:num w:numId="19">
    <w:abstractNumId w:val="18"/>
  </w:num>
  <w:num w:numId="20">
    <w:abstractNumId w:val="2"/>
  </w:num>
  <w:num w:numId="21">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removePersonalInformation/>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56CB"/>
    <w:rsid w:val="00005815"/>
    <w:rsid w:val="00007DBC"/>
    <w:rsid w:val="00007EA1"/>
    <w:rsid w:val="000100F0"/>
    <w:rsid w:val="000107B7"/>
    <w:rsid w:val="00012FF9"/>
    <w:rsid w:val="00014314"/>
    <w:rsid w:val="00021434"/>
    <w:rsid w:val="00021774"/>
    <w:rsid w:val="00021DF3"/>
    <w:rsid w:val="00023869"/>
    <w:rsid w:val="000239F2"/>
    <w:rsid w:val="00024598"/>
    <w:rsid w:val="00027797"/>
    <w:rsid w:val="00032769"/>
    <w:rsid w:val="00037B58"/>
    <w:rsid w:val="000436F3"/>
    <w:rsid w:val="00047E52"/>
    <w:rsid w:val="00050C6E"/>
    <w:rsid w:val="00051B73"/>
    <w:rsid w:val="00054E8B"/>
    <w:rsid w:val="00060ABE"/>
    <w:rsid w:val="00061A50"/>
    <w:rsid w:val="000626D7"/>
    <w:rsid w:val="00064104"/>
    <w:rsid w:val="00066025"/>
    <w:rsid w:val="000701D1"/>
    <w:rsid w:val="00080A20"/>
    <w:rsid w:val="0008219C"/>
    <w:rsid w:val="00082796"/>
    <w:rsid w:val="00085E44"/>
    <w:rsid w:val="00087C0A"/>
    <w:rsid w:val="00092D06"/>
    <w:rsid w:val="00093BC4"/>
    <w:rsid w:val="00096C1C"/>
    <w:rsid w:val="00097929"/>
    <w:rsid w:val="000A1E80"/>
    <w:rsid w:val="000A3B70"/>
    <w:rsid w:val="000A5153"/>
    <w:rsid w:val="000B10AE"/>
    <w:rsid w:val="000B30BF"/>
    <w:rsid w:val="000B566B"/>
    <w:rsid w:val="000B662E"/>
    <w:rsid w:val="000B7294"/>
    <w:rsid w:val="000B75D0"/>
    <w:rsid w:val="000C162D"/>
    <w:rsid w:val="000C1CF8"/>
    <w:rsid w:val="000C49CF"/>
    <w:rsid w:val="000C52E9"/>
    <w:rsid w:val="000C5CDC"/>
    <w:rsid w:val="000C65DC"/>
    <w:rsid w:val="000C66F3"/>
    <w:rsid w:val="000C6900"/>
    <w:rsid w:val="000C6E3D"/>
    <w:rsid w:val="000D31E8"/>
    <w:rsid w:val="000D76E4"/>
    <w:rsid w:val="000E3816"/>
    <w:rsid w:val="000E4F77"/>
    <w:rsid w:val="000F265C"/>
    <w:rsid w:val="000F3AFA"/>
    <w:rsid w:val="000F5712"/>
    <w:rsid w:val="000F6611"/>
    <w:rsid w:val="000F6B58"/>
    <w:rsid w:val="000F7E22"/>
    <w:rsid w:val="00102C6F"/>
    <w:rsid w:val="00103367"/>
    <w:rsid w:val="001104F3"/>
    <w:rsid w:val="00112EEB"/>
    <w:rsid w:val="00117A72"/>
    <w:rsid w:val="00120FD4"/>
    <w:rsid w:val="001229CF"/>
    <w:rsid w:val="00123DDB"/>
    <w:rsid w:val="00123EA5"/>
    <w:rsid w:val="0012563A"/>
    <w:rsid w:val="001313A7"/>
    <w:rsid w:val="0013276F"/>
    <w:rsid w:val="0013621E"/>
    <w:rsid w:val="0013642E"/>
    <w:rsid w:val="00137E16"/>
    <w:rsid w:val="00152A23"/>
    <w:rsid w:val="00162CB7"/>
    <w:rsid w:val="00171E5B"/>
    <w:rsid w:val="00171F94"/>
    <w:rsid w:val="00175D4E"/>
    <w:rsid w:val="0017668A"/>
    <w:rsid w:val="001766FE"/>
    <w:rsid w:val="001771E7"/>
    <w:rsid w:val="00184DAC"/>
    <w:rsid w:val="001909F3"/>
    <w:rsid w:val="001911FF"/>
    <w:rsid w:val="00192006"/>
    <w:rsid w:val="00193180"/>
    <w:rsid w:val="00195F3E"/>
    <w:rsid w:val="001A7B64"/>
    <w:rsid w:val="001B1519"/>
    <w:rsid w:val="001B2BD3"/>
    <w:rsid w:val="001B2E2D"/>
    <w:rsid w:val="001B5BDE"/>
    <w:rsid w:val="001B5CD2"/>
    <w:rsid w:val="001B676B"/>
    <w:rsid w:val="001C0BEE"/>
    <w:rsid w:val="001C1E49"/>
    <w:rsid w:val="001C2A98"/>
    <w:rsid w:val="001D3D7D"/>
    <w:rsid w:val="001D3FFF"/>
    <w:rsid w:val="001D5E14"/>
    <w:rsid w:val="001D625F"/>
    <w:rsid w:val="001D7576"/>
    <w:rsid w:val="001E14A0"/>
    <w:rsid w:val="001E16DC"/>
    <w:rsid w:val="001E7376"/>
    <w:rsid w:val="001F225C"/>
    <w:rsid w:val="001F454F"/>
    <w:rsid w:val="00201CFA"/>
    <w:rsid w:val="0020220D"/>
    <w:rsid w:val="00202448"/>
    <w:rsid w:val="00202D15"/>
    <w:rsid w:val="00212EAE"/>
    <w:rsid w:val="0021400D"/>
    <w:rsid w:val="00214BEE"/>
    <w:rsid w:val="00215852"/>
    <w:rsid w:val="00215CFC"/>
    <w:rsid w:val="002205B8"/>
    <w:rsid w:val="00225720"/>
    <w:rsid w:val="002259E5"/>
    <w:rsid w:val="00226140"/>
    <w:rsid w:val="002274F3"/>
    <w:rsid w:val="0023094C"/>
    <w:rsid w:val="00234BE3"/>
    <w:rsid w:val="00235A90"/>
    <w:rsid w:val="00241E48"/>
    <w:rsid w:val="0024214E"/>
    <w:rsid w:val="00242623"/>
    <w:rsid w:val="002431B1"/>
    <w:rsid w:val="00243B17"/>
    <w:rsid w:val="00250558"/>
    <w:rsid w:val="00260652"/>
    <w:rsid w:val="00261F25"/>
    <w:rsid w:val="002648A9"/>
    <w:rsid w:val="0026536F"/>
    <w:rsid w:val="0026553C"/>
    <w:rsid w:val="00267DD5"/>
    <w:rsid w:val="00274A0A"/>
    <w:rsid w:val="00275014"/>
    <w:rsid w:val="00277593"/>
    <w:rsid w:val="00280918"/>
    <w:rsid w:val="002811FA"/>
    <w:rsid w:val="00282AF6"/>
    <w:rsid w:val="00287085"/>
    <w:rsid w:val="00290AF9"/>
    <w:rsid w:val="00293CB5"/>
    <w:rsid w:val="00295A5D"/>
    <w:rsid w:val="00296082"/>
    <w:rsid w:val="002967CF"/>
    <w:rsid w:val="00297788"/>
    <w:rsid w:val="002A484B"/>
    <w:rsid w:val="002A64A6"/>
    <w:rsid w:val="002B00F5"/>
    <w:rsid w:val="002C47D4"/>
    <w:rsid w:val="002C6B06"/>
    <w:rsid w:val="002D0F38"/>
    <w:rsid w:val="002D1F5F"/>
    <w:rsid w:val="002D77E3"/>
    <w:rsid w:val="002F2859"/>
    <w:rsid w:val="002F6E3C"/>
    <w:rsid w:val="002F6EFD"/>
    <w:rsid w:val="0030117D"/>
    <w:rsid w:val="0030184C"/>
    <w:rsid w:val="00301F30"/>
    <w:rsid w:val="00303C87"/>
    <w:rsid w:val="0030653E"/>
    <w:rsid w:val="0030726E"/>
    <w:rsid w:val="00307BE0"/>
    <w:rsid w:val="003108E5"/>
    <w:rsid w:val="0031194B"/>
    <w:rsid w:val="003120CB"/>
    <w:rsid w:val="00313053"/>
    <w:rsid w:val="00317D88"/>
    <w:rsid w:val="00320153"/>
    <w:rsid w:val="00320367"/>
    <w:rsid w:val="00322871"/>
    <w:rsid w:val="00322F71"/>
    <w:rsid w:val="00323148"/>
    <w:rsid w:val="00326FB3"/>
    <w:rsid w:val="0033106D"/>
    <w:rsid w:val="003316D4"/>
    <w:rsid w:val="00333822"/>
    <w:rsid w:val="00336715"/>
    <w:rsid w:val="00337D34"/>
    <w:rsid w:val="00340DFD"/>
    <w:rsid w:val="00344954"/>
    <w:rsid w:val="0035058B"/>
    <w:rsid w:val="00350CD7"/>
    <w:rsid w:val="00355B80"/>
    <w:rsid w:val="00356A4F"/>
    <w:rsid w:val="00360C17"/>
    <w:rsid w:val="003621C6"/>
    <w:rsid w:val="003622B8"/>
    <w:rsid w:val="00366B76"/>
    <w:rsid w:val="00373051"/>
    <w:rsid w:val="00373B8F"/>
    <w:rsid w:val="00376D95"/>
    <w:rsid w:val="00377FBB"/>
    <w:rsid w:val="00383B0D"/>
    <w:rsid w:val="00385140"/>
    <w:rsid w:val="003864AB"/>
    <w:rsid w:val="003A16FC"/>
    <w:rsid w:val="003A336F"/>
    <w:rsid w:val="003A4FCD"/>
    <w:rsid w:val="003B0944"/>
    <w:rsid w:val="003B1593"/>
    <w:rsid w:val="003B4381"/>
    <w:rsid w:val="003B79B8"/>
    <w:rsid w:val="003C1043"/>
    <w:rsid w:val="003C1A30"/>
    <w:rsid w:val="003C6779"/>
    <w:rsid w:val="003D2998"/>
    <w:rsid w:val="003D2D34"/>
    <w:rsid w:val="003D2F0A"/>
    <w:rsid w:val="003D3891"/>
    <w:rsid w:val="003D43C9"/>
    <w:rsid w:val="003D5D84"/>
    <w:rsid w:val="003E0B4E"/>
    <w:rsid w:val="003E0F4F"/>
    <w:rsid w:val="003E18AC"/>
    <w:rsid w:val="003E210B"/>
    <w:rsid w:val="003E2A12"/>
    <w:rsid w:val="003E3384"/>
    <w:rsid w:val="003E548E"/>
    <w:rsid w:val="003E7757"/>
    <w:rsid w:val="003F4775"/>
    <w:rsid w:val="003F7EF1"/>
    <w:rsid w:val="0040110D"/>
    <w:rsid w:val="004070D7"/>
    <w:rsid w:val="004148E1"/>
    <w:rsid w:val="00414CFA"/>
    <w:rsid w:val="004207A2"/>
    <w:rsid w:val="00420BE9"/>
    <w:rsid w:val="00423AD8"/>
    <w:rsid w:val="00424C85"/>
    <w:rsid w:val="004260BD"/>
    <w:rsid w:val="0043012F"/>
    <w:rsid w:val="00430F1F"/>
    <w:rsid w:val="004326EA"/>
    <w:rsid w:val="00433026"/>
    <w:rsid w:val="0044434C"/>
    <w:rsid w:val="0044456B"/>
    <w:rsid w:val="00447BD1"/>
    <w:rsid w:val="004507F3"/>
    <w:rsid w:val="00450AF4"/>
    <w:rsid w:val="00454BF7"/>
    <w:rsid w:val="0046423D"/>
    <w:rsid w:val="00466231"/>
    <w:rsid w:val="004671C7"/>
    <w:rsid w:val="0047138D"/>
    <w:rsid w:val="00472F4D"/>
    <w:rsid w:val="004730BF"/>
    <w:rsid w:val="00474DCB"/>
    <w:rsid w:val="0047535C"/>
    <w:rsid w:val="00485870"/>
    <w:rsid w:val="00485FE8"/>
    <w:rsid w:val="004878DA"/>
    <w:rsid w:val="00492CCE"/>
    <w:rsid w:val="00492EB5"/>
    <w:rsid w:val="00494F77"/>
    <w:rsid w:val="00497721"/>
    <w:rsid w:val="004A0229"/>
    <w:rsid w:val="004A35D2"/>
    <w:rsid w:val="004A71E4"/>
    <w:rsid w:val="004A7799"/>
    <w:rsid w:val="004B1BC6"/>
    <w:rsid w:val="004B2F00"/>
    <w:rsid w:val="004B3036"/>
    <w:rsid w:val="004B6E31"/>
    <w:rsid w:val="004C1D66"/>
    <w:rsid w:val="004C31D7"/>
    <w:rsid w:val="004C4AD2"/>
    <w:rsid w:val="004C6EDA"/>
    <w:rsid w:val="004D1F21"/>
    <w:rsid w:val="004D21FA"/>
    <w:rsid w:val="004D4ED0"/>
    <w:rsid w:val="004D59D8"/>
    <w:rsid w:val="004D5DA1"/>
    <w:rsid w:val="004D69C6"/>
    <w:rsid w:val="004E150F"/>
    <w:rsid w:val="004E1DCA"/>
    <w:rsid w:val="004E23A1"/>
    <w:rsid w:val="004E3489"/>
    <w:rsid w:val="004E358A"/>
    <w:rsid w:val="004E3AFA"/>
    <w:rsid w:val="004E6588"/>
    <w:rsid w:val="004E71C0"/>
    <w:rsid w:val="00502A0A"/>
    <w:rsid w:val="005040C3"/>
    <w:rsid w:val="00507C50"/>
    <w:rsid w:val="0051469D"/>
    <w:rsid w:val="00516B1D"/>
    <w:rsid w:val="00517C3A"/>
    <w:rsid w:val="00520536"/>
    <w:rsid w:val="00527BF4"/>
    <w:rsid w:val="005324BE"/>
    <w:rsid w:val="00534F6C"/>
    <w:rsid w:val="00535994"/>
    <w:rsid w:val="0053646D"/>
    <w:rsid w:val="00540AAD"/>
    <w:rsid w:val="00543EC1"/>
    <w:rsid w:val="00546458"/>
    <w:rsid w:val="00546DEC"/>
    <w:rsid w:val="0055087C"/>
    <w:rsid w:val="00553413"/>
    <w:rsid w:val="00560E31"/>
    <w:rsid w:val="00581B23"/>
    <w:rsid w:val="0058219C"/>
    <w:rsid w:val="005827B0"/>
    <w:rsid w:val="0058707F"/>
    <w:rsid w:val="005874EB"/>
    <w:rsid w:val="005931FE"/>
    <w:rsid w:val="005A27B5"/>
    <w:rsid w:val="005B0072"/>
    <w:rsid w:val="005B0732"/>
    <w:rsid w:val="005B149D"/>
    <w:rsid w:val="005B1CE5"/>
    <w:rsid w:val="005B38A0"/>
    <w:rsid w:val="005B44A5"/>
    <w:rsid w:val="005B491C"/>
    <w:rsid w:val="005B4DBF"/>
    <w:rsid w:val="005B5DE2"/>
    <w:rsid w:val="005B674C"/>
    <w:rsid w:val="005C7561"/>
    <w:rsid w:val="005D1E57"/>
    <w:rsid w:val="005D239F"/>
    <w:rsid w:val="005D2F57"/>
    <w:rsid w:val="005D34F6"/>
    <w:rsid w:val="005D445B"/>
    <w:rsid w:val="005D4F1A"/>
    <w:rsid w:val="005D72FE"/>
    <w:rsid w:val="005E1884"/>
    <w:rsid w:val="005F373A"/>
    <w:rsid w:val="005F45BB"/>
    <w:rsid w:val="005F4F87"/>
    <w:rsid w:val="005F6B0E"/>
    <w:rsid w:val="005F760E"/>
    <w:rsid w:val="005F7B1D"/>
    <w:rsid w:val="0060222A"/>
    <w:rsid w:val="00610C21"/>
    <w:rsid w:val="00611907"/>
    <w:rsid w:val="00613116"/>
    <w:rsid w:val="00614213"/>
    <w:rsid w:val="006202A6"/>
    <w:rsid w:val="0062054B"/>
    <w:rsid w:val="00621C4E"/>
    <w:rsid w:val="00624EAE"/>
    <w:rsid w:val="006305D7"/>
    <w:rsid w:val="00633A01"/>
    <w:rsid w:val="00633B97"/>
    <w:rsid w:val="006341F7"/>
    <w:rsid w:val="00635014"/>
    <w:rsid w:val="006369CE"/>
    <w:rsid w:val="006411CA"/>
    <w:rsid w:val="0064288F"/>
    <w:rsid w:val="006619C8"/>
    <w:rsid w:val="00671710"/>
    <w:rsid w:val="00673414"/>
    <w:rsid w:val="00675F3F"/>
    <w:rsid w:val="00676079"/>
    <w:rsid w:val="00676ECD"/>
    <w:rsid w:val="00677D0A"/>
    <w:rsid w:val="0068185F"/>
    <w:rsid w:val="006846B5"/>
    <w:rsid w:val="00687AB3"/>
    <w:rsid w:val="00687E98"/>
    <w:rsid w:val="006920B2"/>
    <w:rsid w:val="00695D8C"/>
    <w:rsid w:val="006A01CF"/>
    <w:rsid w:val="006A60DD"/>
    <w:rsid w:val="006B074C"/>
    <w:rsid w:val="006B3B84"/>
    <w:rsid w:val="006B4E7C"/>
    <w:rsid w:val="006B5D8C"/>
    <w:rsid w:val="006B72D4"/>
    <w:rsid w:val="006C11CC"/>
    <w:rsid w:val="006C1AEB"/>
    <w:rsid w:val="006C4648"/>
    <w:rsid w:val="006C57FE"/>
    <w:rsid w:val="006D527F"/>
    <w:rsid w:val="006E4B63"/>
    <w:rsid w:val="006F06E4"/>
    <w:rsid w:val="006F2A89"/>
    <w:rsid w:val="006F6579"/>
    <w:rsid w:val="006F7692"/>
    <w:rsid w:val="006F7722"/>
    <w:rsid w:val="006F7B41"/>
    <w:rsid w:val="00702B5D"/>
    <w:rsid w:val="00703ED2"/>
    <w:rsid w:val="00707B8D"/>
    <w:rsid w:val="00711C6A"/>
    <w:rsid w:val="00713636"/>
    <w:rsid w:val="00714B8C"/>
    <w:rsid w:val="0071675D"/>
    <w:rsid w:val="00731F1F"/>
    <w:rsid w:val="007326E5"/>
    <w:rsid w:val="00734273"/>
    <w:rsid w:val="00735CF5"/>
    <w:rsid w:val="00737E4B"/>
    <w:rsid w:val="0074063A"/>
    <w:rsid w:val="00742AA4"/>
    <w:rsid w:val="00743BA1"/>
    <w:rsid w:val="00745F1E"/>
    <w:rsid w:val="007515FE"/>
    <w:rsid w:val="00751775"/>
    <w:rsid w:val="007601D0"/>
    <w:rsid w:val="00760366"/>
    <w:rsid w:val="0076057F"/>
    <w:rsid w:val="0076109D"/>
    <w:rsid w:val="00767107"/>
    <w:rsid w:val="00773BFD"/>
    <w:rsid w:val="007743B3"/>
    <w:rsid w:val="00774490"/>
    <w:rsid w:val="007819FF"/>
    <w:rsid w:val="00784A4C"/>
    <w:rsid w:val="00784BC6"/>
    <w:rsid w:val="0078523D"/>
    <w:rsid w:val="007877D6"/>
    <w:rsid w:val="007931DF"/>
    <w:rsid w:val="00794FAA"/>
    <w:rsid w:val="00797E6D"/>
    <w:rsid w:val="007A0172"/>
    <w:rsid w:val="007A2511"/>
    <w:rsid w:val="007A260E"/>
    <w:rsid w:val="007A4D4C"/>
    <w:rsid w:val="007A4DD6"/>
    <w:rsid w:val="007A5CB9"/>
    <w:rsid w:val="007A5EDB"/>
    <w:rsid w:val="007A65F6"/>
    <w:rsid w:val="007B5151"/>
    <w:rsid w:val="007B6B07"/>
    <w:rsid w:val="007B6D43"/>
    <w:rsid w:val="007B749A"/>
    <w:rsid w:val="007B7C6E"/>
    <w:rsid w:val="007C2A50"/>
    <w:rsid w:val="007C64AC"/>
    <w:rsid w:val="007D44D7"/>
    <w:rsid w:val="007D621A"/>
    <w:rsid w:val="007D7D14"/>
    <w:rsid w:val="007E058A"/>
    <w:rsid w:val="007E2887"/>
    <w:rsid w:val="007E28B0"/>
    <w:rsid w:val="007E5278"/>
    <w:rsid w:val="007E749C"/>
    <w:rsid w:val="007F1B5C"/>
    <w:rsid w:val="00801257"/>
    <w:rsid w:val="00803B0A"/>
    <w:rsid w:val="00804DED"/>
    <w:rsid w:val="00805B96"/>
    <w:rsid w:val="00806126"/>
    <w:rsid w:val="00810096"/>
    <w:rsid w:val="008105BE"/>
    <w:rsid w:val="008115A5"/>
    <w:rsid w:val="00811D46"/>
    <w:rsid w:val="0081342F"/>
    <w:rsid w:val="0081415D"/>
    <w:rsid w:val="00820229"/>
    <w:rsid w:val="008213D7"/>
    <w:rsid w:val="00822448"/>
    <w:rsid w:val="00822ABE"/>
    <w:rsid w:val="008244D1"/>
    <w:rsid w:val="00827F51"/>
    <w:rsid w:val="0083104E"/>
    <w:rsid w:val="008343BE"/>
    <w:rsid w:val="00836A25"/>
    <w:rsid w:val="00840FB4"/>
    <w:rsid w:val="008410B2"/>
    <w:rsid w:val="008500A0"/>
    <w:rsid w:val="008524E5"/>
    <w:rsid w:val="0085351C"/>
    <w:rsid w:val="008549CA"/>
    <w:rsid w:val="00854F7B"/>
    <w:rsid w:val="008556C3"/>
    <w:rsid w:val="0085687C"/>
    <w:rsid w:val="008705E5"/>
    <w:rsid w:val="008706C5"/>
    <w:rsid w:val="00873707"/>
    <w:rsid w:val="00874B20"/>
    <w:rsid w:val="008763E1"/>
    <w:rsid w:val="0087775C"/>
    <w:rsid w:val="00877EC8"/>
    <w:rsid w:val="00880F36"/>
    <w:rsid w:val="00885530"/>
    <w:rsid w:val="008910D1"/>
    <w:rsid w:val="0089296C"/>
    <w:rsid w:val="00896ABD"/>
    <w:rsid w:val="008A3380"/>
    <w:rsid w:val="008A7A9C"/>
    <w:rsid w:val="008B5218"/>
    <w:rsid w:val="008B7102"/>
    <w:rsid w:val="008C3B7D"/>
    <w:rsid w:val="008C3DB2"/>
    <w:rsid w:val="008C7436"/>
    <w:rsid w:val="008C7EA2"/>
    <w:rsid w:val="008D0276"/>
    <w:rsid w:val="008D0F90"/>
    <w:rsid w:val="008D3715"/>
    <w:rsid w:val="008D5465"/>
    <w:rsid w:val="008D5622"/>
    <w:rsid w:val="008D7EB7"/>
    <w:rsid w:val="008E3684"/>
    <w:rsid w:val="008E57F5"/>
    <w:rsid w:val="008E7606"/>
    <w:rsid w:val="008F1DAA"/>
    <w:rsid w:val="008F3EBD"/>
    <w:rsid w:val="008F60B2"/>
    <w:rsid w:val="008F7C41"/>
    <w:rsid w:val="009031E2"/>
    <w:rsid w:val="0091276C"/>
    <w:rsid w:val="009165AC"/>
    <w:rsid w:val="0092053F"/>
    <w:rsid w:val="0092340A"/>
    <w:rsid w:val="009313D9"/>
    <w:rsid w:val="0093372B"/>
    <w:rsid w:val="00935B7F"/>
    <w:rsid w:val="00936EE5"/>
    <w:rsid w:val="00941293"/>
    <w:rsid w:val="00942536"/>
    <w:rsid w:val="00945E18"/>
    <w:rsid w:val="00946372"/>
    <w:rsid w:val="00950C17"/>
    <w:rsid w:val="00951294"/>
    <w:rsid w:val="00951FAF"/>
    <w:rsid w:val="00954740"/>
    <w:rsid w:val="00963ABC"/>
    <w:rsid w:val="00965D21"/>
    <w:rsid w:val="00967764"/>
    <w:rsid w:val="00970B0E"/>
    <w:rsid w:val="00970BB9"/>
    <w:rsid w:val="009726EE"/>
    <w:rsid w:val="00975573"/>
    <w:rsid w:val="0097560B"/>
    <w:rsid w:val="00976D03"/>
    <w:rsid w:val="00977B30"/>
    <w:rsid w:val="0098140B"/>
    <w:rsid w:val="00982398"/>
    <w:rsid w:val="00982F41"/>
    <w:rsid w:val="00983930"/>
    <w:rsid w:val="00985090"/>
    <w:rsid w:val="00987710"/>
    <w:rsid w:val="009904AB"/>
    <w:rsid w:val="00990932"/>
    <w:rsid w:val="00995688"/>
    <w:rsid w:val="009958A6"/>
    <w:rsid w:val="00996456"/>
    <w:rsid w:val="009A04F5"/>
    <w:rsid w:val="009A15EF"/>
    <w:rsid w:val="009A38A5"/>
    <w:rsid w:val="009B118B"/>
    <w:rsid w:val="009B1737"/>
    <w:rsid w:val="009B3D4B"/>
    <w:rsid w:val="009B4731"/>
    <w:rsid w:val="009B536D"/>
    <w:rsid w:val="009B5B99"/>
    <w:rsid w:val="009B6EFC"/>
    <w:rsid w:val="009B7A9D"/>
    <w:rsid w:val="009C2DF8"/>
    <w:rsid w:val="009C31BF"/>
    <w:rsid w:val="009C5226"/>
    <w:rsid w:val="009C68B7"/>
    <w:rsid w:val="009D0834"/>
    <w:rsid w:val="009D0A1E"/>
    <w:rsid w:val="009D2AE3"/>
    <w:rsid w:val="009D52BC"/>
    <w:rsid w:val="009D7D0A"/>
    <w:rsid w:val="009E09D9"/>
    <w:rsid w:val="009F01B1"/>
    <w:rsid w:val="009F0DBB"/>
    <w:rsid w:val="009F3887"/>
    <w:rsid w:val="009F732B"/>
    <w:rsid w:val="00A01FE0"/>
    <w:rsid w:val="00A10656"/>
    <w:rsid w:val="00A10F23"/>
    <w:rsid w:val="00A113C0"/>
    <w:rsid w:val="00A12FA6"/>
    <w:rsid w:val="00A1339B"/>
    <w:rsid w:val="00A14ABA"/>
    <w:rsid w:val="00A16203"/>
    <w:rsid w:val="00A17761"/>
    <w:rsid w:val="00A2110B"/>
    <w:rsid w:val="00A24CB6"/>
    <w:rsid w:val="00A26CD2"/>
    <w:rsid w:val="00A27667"/>
    <w:rsid w:val="00A31BAB"/>
    <w:rsid w:val="00A32979"/>
    <w:rsid w:val="00A34A67"/>
    <w:rsid w:val="00A37462"/>
    <w:rsid w:val="00A459E1"/>
    <w:rsid w:val="00A50E39"/>
    <w:rsid w:val="00A52296"/>
    <w:rsid w:val="00A55661"/>
    <w:rsid w:val="00A61B70"/>
    <w:rsid w:val="00A61FA8"/>
    <w:rsid w:val="00A637F4"/>
    <w:rsid w:val="00A64AB9"/>
    <w:rsid w:val="00A650AF"/>
    <w:rsid w:val="00A65485"/>
    <w:rsid w:val="00A66E05"/>
    <w:rsid w:val="00A70753"/>
    <w:rsid w:val="00A712D2"/>
    <w:rsid w:val="00A81B79"/>
    <w:rsid w:val="00A82C8A"/>
    <w:rsid w:val="00A8346B"/>
    <w:rsid w:val="00A852FF"/>
    <w:rsid w:val="00A85816"/>
    <w:rsid w:val="00A87337"/>
    <w:rsid w:val="00A875FA"/>
    <w:rsid w:val="00A90C97"/>
    <w:rsid w:val="00A960C8"/>
    <w:rsid w:val="00A96604"/>
    <w:rsid w:val="00AA03DF"/>
    <w:rsid w:val="00AA1B4F"/>
    <w:rsid w:val="00AA21D8"/>
    <w:rsid w:val="00AA4633"/>
    <w:rsid w:val="00AA54F3"/>
    <w:rsid w:val="00AA6B43"/>
    <w:rsid w:val="00AB367A"/>
    <w:rsid w:val="00AC01D1"/>
    <w:rsid w:val="00AC52A5"/>
    <w:rsid w:val="00AC6EFD"/>
    <w:rsid w:val="00AC7151"/>
    <w:rsid w:val="00AC73E1"/>
    <w:rsid w:val="00AD460A"/>
    <w:rsid w:val="00AD6A05"/>
    <w:rsid w:val="00AD7EE7"/>
    <w:rsid w:val="00AE272B"/>
    <w:rsid w:val="00AE3E3A"/>
    <w:rsid w:val="00AE77B4"/>
    <w:rsid w:val="00AE7C1A"/>
    <w:rsid w:val="00AE7DF8"/>
    <w:rsid w:val="00AF0D9C"/>
    <w:rsid w:val="00AF13AB"/>
    <w:rsid w:val="00AF1D36"/>
    <w:rsid w:val="00AF280B"/>
    <w:rsid w:val="00AF5F75"/>
    <w:rsid w:val="00AF6001"/>
    <w:rsid w:val="00B01A16"/>
    <w:rsid w:val="00B07F45"/>
    <w:rsid w:val="00B1021A"/>
    <w:rsid w:val="00B10226"/>
    <w:rsid w:val="00B1481A"/>
    <w:rsid w:val="00B1539D"/>
    <w:rsid w:val="00B15A1F"/>
    <w:rsid w:val="00B15FE9"/>
    <w:rsid w:val="00B212B5"/>
    <w:rsid w:val="00B2148A"/>
    <w:rsid w:val="00B220C2"/>
    <w:rsid w:val="00B22774"/>
    <w:rsid w:val="00B243D9"/>
    <w:rsid w:val="00B247E8"/>
    <w:rsid w:val="00B25B32"/>
    <w:rsid w:val="00B323E1"/>
    <w:rsid w:val="00B32616"/>
    <w:rsid w:val="00B36C42"/>
    <w:rsid w:val="00B36C54"/>
    <w:rsid w:val="00B41C31"/>
    <w:rsid w:val="00B42EA7"/>
    <w:rsid w:val="00B5337C"/>
    <w:rsid w:val="00B53FDE"/>
    <w:rsid w:val="00B56397"/>
    <w:rsid w:val="00B6027B"/>
    <w:rsid w:val="00B61398"/>
    <w:rsid w:val="00B65EDB"/>
    <w:rsid w:val="00B66EC7"/>
    <w:rsid w:val="00B67AFF"/>
    <w:rsid w:val="00B70B59"/>
    <w:rsid w:val="00B73657"/>
    <w:rsid w:val="00B77367"/>
    <w:rsid w:val="00B811B8"/>
    <w:rsid w:val="00B81925"/>
    <w:rsid w:val="00B83B62"/>
    <w:rsid w:val="00B9716B"/>
    <w:rsid w:val="00BA1735"/>
    <w:rsid w:val="00BA19FA"/>
    <w:rsid w:val="00BA4288"/>
    <w:rsid w:val="00BA5720"/>
    <w:rsid w:val="00BB4600"/>
    <w:rsid w:val="00BB48E5"/>
    <w:rsid w:val="00BB5607"/>
    <w:rsid w:val="00BB5ACA"/>
    <w:rsid w:val="00BB627F"/>
    <w:rsid w:val="00BC3823"/>
    <w:rsid w:val="00BC5841"/>
    <w:rsid w:val="00BD60B4"/>
    <w:rsid w:val="00BD64A9"/>
    <w:rsid w:val="00BD796B"/>
    <w:rsid w:val="00BE40C0"/>
    <w:rsid w:val="00BE5511"/>
    <w:rsid w:val="00BE5F4A"/>
    <w:rsid w:val="00BE7AEF"/>
    <w:rsid w:val="00BF09B0"/>
    <w:rsid w:val="00BF1544"/>
    <w:rsid w:val="00BF1B53"/>
    <w:rsid w:val="00BF246D"/>
    <w:rsid w:val="00C006C7"/>
    <w:rsid w:val="00C05995"/>
    <w:rsid w:val="00C06F06"/>
    <w:rsid w:val="00C20FAD"/>
    <w:rsid w:val="00C2204A"/>
    <w:rsid w:val="00C224D6"/>
    <w:rsid w:val="00C2375F"/>
    <w:rsid w:val="00C247CB"/>
    <w:rsid w:val="00C32E66"/>
    <w:rsid w:val="00C3355F"/>
    <w:rsid w:val="00C3569A"/>
    <w:rsid w:val="00C43F48"/>
    <w:rsid w:val="00C448FF"/>
    <w:rsid w:val="00C45E57"/>
    <w:rsid w:val="00C52F29"/>
    <w:rsid w:val="00C56CE6"/>
    <w:rsid w:val="00C5745F"/>
    <w:rsid w:val="00C60005"/>
    <w:rsid w:val="00C61A98"/>
    <w:rsid w:val="00C63201"/>
    <w:rsid w:val="00C64E62"/>
    <w:rsid w:val="00C651D5"/>
    <w:rsid w:val="00C65CCC"/>
    <w:rsid w:val="00C71C78"/>
    <w:rsid w:val="00C746E7"/>
    <w:rsid w:val="00C7618F"/>
    <w:rsid w:val="00C765A9"/>
    <w:rsid w:val="00C8162D"/>
    <w:rsid w:val="00C83A0B"/>
    <w:rsid w:val="00C842D0"/>
    <w:rsid w:val="00C84ED1"/>
    <w:rsid w:val="00C9038F"/>
    <w:rsid w:val="00C90C89"/>
    <w:rsid w:val="00C92AAB"/>
    <w:rsid w:val="00C958AF"/>
    <w:rsid w:val="00C96646"/>
    <w:rsid w:val="00C96D3C"/>
    <w:rsid w:val="00CA0A14"/>
    <w:rsid w:val="00CA2435"/>
    <w:rsid w:val="00CA4068"/>
    <w:rsid w:val="00CB37F8"/>
    <w:rsid w:val="00CB4CBF"/>
    <w:rsid w:val="00CB7DC3"/>
    <w:rsid w:val="00CD0E2F"/>
    <w:rsid w:val="00CD1D49"/>
    <w:rsid w:val="00CD2F20"/>
    <w:rsid w:val="00CD6B20"/>
    <w:rsid w:val="00CE1339"/>
    <w:rsid w:val="00CE61CC"/>
    <w:rsid w:val="00CE6E42"/>
    <w:rsid w:val="00CF1E64"/>
    <w:rsid w:val="00CF20B7"/>
    <w:rsid w:val="00CF6692"/>
    <w:rsid w:val="00CF7441"/>
    <w:rsid w:val="00D00D16"/>
    <w:rsid w:val="00D01FCC"/>
    <w:rsid w:val="00D03C6C"/>
    <w:rsid w:val="00D03F4A"/>
    <w:rsid w:val="00D04760"/>
    <w:rsid w:val="00D04A95"/>
    <w:rsid w:val="00D06288"/>
    <w:rsid w:val="00D068C7"/>
    <w:rsid w:val="00D07691"/>
    <w:rsid w:val="00D128A4"/>
    <w:rsid w:val="00D15131"/>
    <w:rsid w:val="00D16FA2"/>
    <w:rsid w:val="00D20954"/>
    <w:rsid w:val="00D21C39"/>
    <w:rsid w:val="00D21FC6"/>
    <w:rsid w:val="00D2221A"/>
    <w:rsid w:val="00D2243A"/>
    <w:rsid w:val="00D24E60"/>
    <w:rsid w:val="00D3225A"/>
    <w:rsid w:val="00D33393"/>
    <w:rsid w:val="00D33D36"/>
    <w:rsid w:val="00D34D94"/>
    <w:rsid w:val="00D409E2"/>
    <w:rsid w:val="00D427D7"/>
    <w:rsid w:val="00D44E62"/>
    <w:rsid w:val="00D51570"/>
    <w:rsid w:val="00D556AD"/>
    <w:rsid w:val="00D60381"/>
    <w:rsid w:val="00D616DE"/>
    <w:rsid w:val="00D62201"/>
    <w:rsid w:val="00D651D1"/>
    <w:rsid w:val="00D65957"/>
    <w:rsid w:val="00D717BB"/>
    <w:rsid w:val="00D7226B"/>
    <w:rsid w:val="00D72707"/>
    <w:rsid w:val="00D75A9C"/>
    <w:rsid w:val="00D90343"/>
    <w:rsid w:val="00D90871"/>
    <w:rsid w:val="00D9155F"/>
    <w:rsid w:val="00D9403F"/>
    <w:rsid w:val="00D959B4"/>
    <w:rsid w:val="00DA12B3"/>
    <w:rsid w:val="00DA44DE"/>
    <w:rsid w:val="00DA6A0F"/>
    <w:rsid w:val="00DB620A"/>
    <w:rsid w:val="00DC3832"/>
    <w:rsid w:val="00DC7A51"/>
    <w:rsid w:val="00DC7BAF"/>
    <w:rsid w:val="00DD3B1E"/>
    <w:rsid w:val="00DE5B5F"/>
    <w:rsid w:val="00DE76CB"/>
    <w:rsid w:val="00DE7B13"/>
    <w:rsid w:val="00DF7ECF"/>
    <w:rsid w:val="00E00696"/>
    <w:rsid w:val="00E0122F"/>
    <w:rsid w:val="00E0183C"/>
    <w:rsid w:val="00E0254F"/>
    <w:rsid w:val="00E03651"/>
    <w:rsid w:val="00E03808"/>
    <w:rsid w:val="00E060C2"/>
    <w:rsid w:val="00E06324"/>
    <w:rsid w:val="00E1118C"/>
    <w:rsid w:val="00E12FB0"/>
    <w:rsid w:val="00E14814"/>
    <w:rsid w:val="00E1497A"/>
    <w:rsid w:val="00E1591B"/>
    <w:rsid w:val="00E16A50"/>
    <w:rsid w:val="00E249D5"/>
    <w:rsid w:val="00E25A3D"/>
    <w:rsid w:val="00E26F73"/>
    <w:rsid w:val="00E33C68"/>
    <w:rsid w:val="00E34DDC"/>
    <w:rsid w:val="00E34EEB"/>
    <w:rsid w:val="00E3687C"/>
    <w:rsid w:val="00E44EB9"/>
    <w:rsid w:val="00E46358"/>
    <w:rsid w:val="00E46592"/>
    <w:rsid w:val="00E471DC"/>
    <w:rsid w:val="00E50709"/>
    <w:rsid w:val="00E50EB4"/>
    <w:rsid w:val="00E5105A"/>
    <w:rsid w:val="00E532FC"/>
    <w:rsid w:val="00E559B4"/>
    <w:rsid w:val="00E55BB0"/>
    <w:rsid w:val="00E609E5"/>
    <w:rsid w:val="00E60F27"/>
    <w:rsid w:val="00E61EEB"/>
    <w:rsid w:val="00E64D93"/>
    <w:rsid w:val="00E65EDB"/>
    <w:rsid w:val="00E66927"/>
    <w:rsid w:val="00E677B8"/>
    <w:rsid w:val="00E67FA1"/>
    <w:rsid w:val="00E7387D"/>
    <w:rsid w:val="00E73D53"/>
    <w:rsid w:val="00E75111"/>
    <w:rsid w:val="00E75254"/>
    <w:rsid w:val="00E75D29"/>
    <w:rsid w:val="00E75DA2"/>
    <w:rsid w:val="00E77296"/>
    <w:rsid w:val="00E93763"/>
    <w:rsid w:val="00E96C4C"/>
    <w:rsid w:val="00EA2AAE"/>
    <w:rsid w:val="00EA2EC0"/>
    <w:rsid w:val="00EA427A"/>
    <w:rsid w:val="00EA723B"/>
    <w:rsid w:val="00EB6350"/>
    <w:rsid w:val="00EB687A"/>
    <w:rsid w:val="00EB702E"/>
    <w:rsid w:val="00EC2F62"/>
    <w:rsid w:val="00EC62EB"/>
    <w:rsid w:val="00EC6C85"/>
    <w:rsid w:val="00EC6E9F"/>
    <w:rsid w:val="00ED44F0"/>
    <w:rsid w:val="00ED4B33"/>
    <w:rsid w:val="00ED5E72"/>
    <w:rsid w:val="00ED7DD6"/>
    <w:rsid w:val="00EE060B"/>
    <w:rsid w:val="00EE15A1"/>
    <w:rsid w:val="00EE2A7C"/>
    <w:rsid w:val="00EE2C42"/>
    <w:rsid w:val="00EE341B"/>
    <w:rsid w:val="00EE4453"/>
    <w:rsid w:val="00EE5FCE"/>
    <w:rsid w:val="00EE6BBD"/>
    <w:rsid w:val="00EE6E1E"/>
    <w:rsid w:val="00EE705F"/>
    <w:rsid w:val="00EF1462"/>
    <w:rsid w:val="00EF3391"/>
    <w:rsid w:val="00EF54FD"/>
    <w:rsid w:val="00F00684"/>
    <w:rsid w:val="00F13112"/>
    <w:rsid w:val="00F16FE6"/>
    <w:rsid w:val="00F238BD"/>
    <w:rsid w:val="00F24992"/>
    <w:rsid w:val="00F32F2F"/>
    <w:rsid w:val="00F3339F"/>
    <w:rsid w:val="00F33F3F"/>
    <w:rsid w:val="00F35BDD"/>
    <w:rsid w:val="00F37A96"/>
    <w:rsid w:val="00F403FD"/>
    <w:rsid w:val="00F41E72"/>
    <w:rsid w:val="00F45BDF"/>
    <w:rsid w:val="00F50300"/>
    <w:rsid w:val="00F528B8"/>
    <w:rsid w:val="00F56E39"/>
    <w:rsid w:val="00F600B4"/>
    <w:rsid w:val="00F623E9"/>
    <w:rsid w:val="00F63951"/>
    <w:rsid w:val="00F63C86"/>
    <w:rsid w:val="00F67ACE"/>
    <w:rsid w:val="00F706DD"/>
    <w:rsid w:val="00F75BB6"/>
    <w:rsid w:val="00F766BE"/>
    <w:rsid w:val="00F77EB9"/>
    <w:rsid w:val="00F80635"/>
    <w:rsid w:val="00F815AF"/>
    <w:rsid w:val="00F815D1"/>
    <w:rsid w:val="00F81E7E"/>
    <w:rsid w:val="00F81F0F"/>
    <w:rsid w:val="00F825F4"/>
    <w:rsid w:val="00F92AA1"/>
    <w:rsid w:val="00F932DE"/>
    <w:rsid w:val="00F95AF0"/>
    <w:rsid w:val="00F963DD"/>
    <w:rsid w:val="00F9641A"/>
    <w:rsid w:val="00F97004"/>
    <w:rsid w:val="00FA2045"/>
    <w:rsid w:val="00FA4BB2"/>
    <w:rsid w:val="00FA5E3C"/>
    <w:rsid w:val="00FA7A66"/>
    <w:rsid w:val="00FB1989"/>
    <w:rsid w:val="00FB1AA9"/>
    <w:rsid w:val="00FB4B5A"/>
    <w:rsid w:val="00FB5963"/>
    <w:rsid w:val="00FB5DAA"/>
    <w:rsid w:val="00FC04B9"/>
    <w:rsid w:val="00FC161A"/>
    <w:rsid w:val="00FC23D5"/>
    <w:rsid w:val="00FC3A0C"/>
    <w:rsid w:val="00FC4C1A"/>
    <w:rsid w:val="00FC6468"/>
    <w:rsid w:val="00FC6D49"/>
    <w:rsid w:val="00FD4922"/>
    <w:rsid w:val="00FD6110"/>
    <w:rsid w:val="00FD6461"/>
    <w:rsid w:val="00FD6938"/>
    <w:rsid w:val="00FE0281"/>
    <w:rsid w:val="00FE0D95"/>
    <w:rsid w:val="00FE7083"/>
    <w:rsid w:val="00FF019F"/>
    <w:rsid w:val="00FF1B2A"/>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paragraph" w:styleId="Bibliography">
    <w:name w:val="Bibliography"/>
    <w:basedOn w:val="Normal"/>
    <w:next w:val="Normal"/>
    <w:uiPriority w:val="37"/>
    <w:unhideWhenUsed/>
    <w:rsid w:val="00DA6A0F"/>
  </w:style>
  <w:style w:type="character" w:styleId="LineNumber">
    <w:name w:val="line number"/>
    <w:basedOn w:val="DefaultParagraphFont"/>
    <w:uiPriority w:val="99"/>
    <w:semiHidden/>
    <w:unhideWhenUsed/>
    <w:rsid w:val="00EB702E"/>
  </w:style>
  <w:style w:type="table" w:styleId="TableGrid">
    <w:name w:val="Table Grid"/>
    <w:basedOn w:val="TableNormal"/>
    <w:uiPriority w:val="59"/>
    <w:rsid w:val="00102C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330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655404244">
      <w:bodyDiv w:val="1"/>
      <w:marLeft w:val="0"/>
      <w:marRight w:val="0"/>
      <w:marTop w:val="0"/>
      <w:marBottom w:val="0"/>
      <w:divBdr>
        <w:top w:val="none" w:sz="0" w:space="0" w:color="auto"/>
        <w:left w:val="none" w:sz="0" w:space="0" w:color="auto"/>
        <w:bottom w:val="none" w:sz="0" w:space="0" w:color="auto"/>
        <w:right w:val="none" w:sz="0" w:space="0" w:color="auto"/>
      </w:divBdr>
    </w:div>
    <w:div w:id="181798999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remabo@ucmail.uc.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gwenyla@ucmail.uc.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orbesjh@ucmail.uc.edu" TargetMode="External"/><Relationship Id="rId4" Type="http://schemas.openxmlformats.org/officeDocument/2006/relationships/settings" Target="settings.xml"/><Relationship Id="rId9" Type="http://schemas.openxmlformats.org/officeDocument/2006/relationships/hyperlink" Target="mailto:cassdn@ucmail.uc.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C6DAF-D5A7-4F15-95FD-0282D51FE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4646</Words>
  <Characters>26488</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31072</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2018-10-14T17:16:00Z</dcterms:created>
  <dcterms:modified xsi:type="dcterms:W3CDTF">2018-10-16T15:16:00Z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ZOTERO_PREF_1">
    <vt:lpwstr>&lt;data data-version="3" zotero-version="5.0.55"&gt;&lt;session id="IkMLh71a"/&gt;&lt;style id="http://www.zotero.org/styles/journal-of-visualized-experiments" hasBibliography="1" bibliographyStyleHasBeenSet="1"/&gt;&lt;prefs&gt;&lt;pref name="fieldType" value="Field"/&gt;&lt;/prefs&gt;&lt;/d</vt:lpwstr>
  </property>
  <property fmtid="{D5CDD505-2E9C-101B-9397-08002B2CF9AE}" pid="9" name="ZOTERO_PREF_2">
    <vt:lpwstr>ata&gt;</vt:lpwstr>
  </property>
</Properties>
</file>