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Efficient Differentiation of Human Pluripotent Stem Cells into Liver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Kyle M. Loh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Amrita Palaria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Lay Teng 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Stem Cell Biology &amp; Regenerative Medicine, Stanford-UC Berkeley Siebel Stem Cell Institute, Stanford University School of Medicine, Stanford, CA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Developmental Biology, Stanford University School of Medicine, Stanford, CA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Kyle M. Loh: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kyleloh@stanford.edu</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Amrita Palaria: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apalaria@stanford.edu</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Lay Teng Ang: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layteng@stanford.edu</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Lay Teng Ang</w:t>
      </w:r>
    </w:p>
    <w:p>
      <w:pPr>
        <w:spacing w:before="0" w:after="0" w:line="24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layteng@stanford.edu</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pluripotent stem cell, efficient, differentiation, endoderm, liver, progenitor, hepatocyte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details a monolayer, serum-free method to efficiently generate hepatocyte-like cells from human pluripotent stem cells (hPSCs) in 18 days. This entails six steps as hPSCs sequentially differentiate into intermediate cell-types such as the primitive streak, definitive endoderm, posterior foregut and liver bud progenitors before forming hepatocyte-like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liver detoxifies harmful substances, secretes vital proteins, and executes key metabolic activities, thus sustaining life. Consequently, liver failure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which can be caused by chronic alcohol intake, hepatitis, acute poisoning, or other insults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is a severe condition that can culminate in bleeding, jaundice, coma, and eventually death. However, approaches to treat liver failure, as well as studies of liver function and disease, have been stymied in part by the lack of a plentiful supply of human liver cells. To this end, this protocol details the efficient differentiation of human pluripotent stem cells (hPSCs) into hepatocyte-like cells, guided by a developmental roadmap that describes how liver fate is specified across six consecutive differentiation steps. By manipulating developmental signaling pathways to promote liver differentiation and to explicitly suppress the formation of unwanted cell fates, this method efficiently generates populations of human liver bud progenitors and hepatocyte-like cells by days 6 and 18 of PSC differentiation, respectively. This is achieved through the temporally-precise control of developmental signaling pathways, exerted by small molecules and growth factors in a serum-free culture medium. Differentiation in this system occurs in monolayers and yields hepatocyte-like cells that express characteristic hepatocyte enzymes and have the ability to engraft a mouse model of chronic liver failure. The ability to efficiently generate large numbers of human liver cells in vitro has ramifications for treatment of liver failure, for drug screening, and for mechanistic studies of liver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efficiently differentiate human pluripotent stem cells (hPSCs) into enriched populations of liver bud progenitors and hepatocyte-like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Access to a ready supply of human liver progenitors and hepatocyte-like cells will accelerate efforts to investigate liver function and disease and could enable new cellular transplantation therapies for liver failure</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This has proven challenging in the past since hPSCs (which include embryonic and induced pluripotent stem cells) can differentiate into all the cell-types of the human body; consequently, it has been difficult to exclusively differentiate them into a pure population of a single cell-type, such as liver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precisely differentiate hPSCs into liver cells, first it is critical to understand not only how liver cells are specified but also how non-liver cell-types develop. Knowledge of how non-liver cells develop is important to logically suppress the formation of non-liver lineages during differentiation, thereby exclusively guiding hPSCs towards a liver fate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Second, it is essential to delineate the multiple developmental steps through which hPSCs differentiate towards a liver fate. It is known that hPSCs sequentially differentiate into multiple cell-types known as the primitive streak (APS), definitive endoderm (DE), posterior foregut (PFG) and liver bud progenitors (LB) before forming hepatocyte-like cells (HEP). Earlier work revealed the signals specifying liver fate and the signals that suppressed the formation of alternate non-liver cell-types (including bone, pancreatic, and intestinal progenitors) at each developmental lineage choice</w:t>
      </w:r>
      <w:r>
        <w:rPr>
          <w:rFonts w:ascii="Calibri" w:hAnsi="Calibri" w:cs="Calibri" w:eastAsia="Calibri"/>
          <w:color w:val="000000"/>
          <w:spacing w:val="0"/>
          <w:position w:val="0"/>
          <w:sz w:val="24"/>
          <w:shd w:fill="auto" w:val="clear"/>
          <w:vertAlign w:val="superscript"/>
        </w:rPr>
        <w:t xml:space="preserve">2,7,8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Collectively, these insights have given rise to a serum-free, monolayer method to differentiate hPSCs towards primitive streak, definitive endoderm, posterior foregut, liver bud progenitors and finally, hepatocyte-like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Overall the method involves the seeding of hPSCs in a monolayer at an appropriate density, preparing six cocktails of differentiation media (containing growth factors and small molecules that regulate various developmental signaling pathways), and sequentially adding these media to induce differentiation over the course of 18 days (d). During the process, no passaging of cells is needed. Of note, because this method explicitly includes signals that suppress the formation of non-liver cell-types, this differentiation approach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more efficiently generates liver progenitors and hepatocyte-like cells by comparison to extant differentiation methods</w:t>
      </w:r>
      <w:r>
        <w:rPr>
          <w:rFonts w:ascii="Calibri" w:hAnsi="Calibri" w:cs="Calibri" w:eastAsia="Calibri"/>
          <w:color w:val="000000"/>
          <w:spacing w:val="0"/>
          <w:position w:val="0"/>
          <w:sz w:val="24"/>
          <w:shd w:fill="auto" w:val="clear"/>
          <w:vertAlign w:val="superscript"/>
        </w:rPr>
        <w:t xml:space="preserve">2,9,10,11,12</w:t>
      </w:r>
      <w:r>
        <w:rPr>
          <w:rFonts w:ascii="Calibri" w:hAnsi="Calibri" w:cs="Calibri" w:eastAsia="Calibri"/>
          <w:color w:val="000000"/>
          <w:spacing w:val="0"/>
          <w:position w:val="0"/>
          <w:sz w:val="24"/>
          <w:shd w:fill="auto" w:val="clear"/>
        </w:rPr>
        <w:t xml:space="preserve">. Furthermore, the protocol described in this text enables the much faster generation of hepatocytes (~2-3 times faster) that ultimately express higher levels of hepatic transcription factors and enzymes than those produced by other protocols</w:t>
      </w:r>
      <w:r>
        <w:rPr>
          <w:rFonts w:ascii="Calibri" w:hAnsi="Calibri" w:cs="Calibri" w:eastAsia="Calibri"/>
          <w:color w:val="000000"/>
          <w:spacing w:val="0"/>
          <w:position w:val="0"/>
          <w:sz w:val="24"/>
          <w:shd w:fill="auto" w:val="clear"/>
          <w:vertAlign w:val="superscript"/>
        </w:rPr>
        <w:t xml:space="preserve">9,10,11,12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has certain advantages over current differentiation protocols. First, it entails monolayer differentiation of hPSCs, which is technically simpler compared to three-dimensional differentiation methods, such as those that rely on embryoid bodies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Second, this is a feeder-free and serum-free differentiation system, which enables more consistent and reproducible results compared to methods that use undefined media</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Third, this method exploits a recent advance whereby definitive endoderm cells (an early precursor to liver cells) can be efficiently and rapidly generated within 2 days of hPSC differentiation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thus enabling the subsequent production of hepatocytes with increased purity. Fourth, in side-by-side comparisons, the hepatocyte-like cells produced by this method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produce more albumin and express higher levels of hepatic transcription factors and enzymes compared to hepatocytes produced in other methods</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tab/>
      </w:r>
    </w:p>
    <w:p>
      <w:pPr>
        <w:spacing w:before="0" w:after="0" w:line="240"/>
        <w:ind w:right="0" w:left="0" w:firstLine="0"/>
        <w:jc w:val="both"/>
        <w:rPr>
          <w:rFonts w:ascii="Calibri" w:hAnsi="Calibri" w:cs="Calibri" w:eastAsia="Calibri"/>
          <w:b/>
          <w:color w:val="000000"/>
          <w:spacing w:val="0"/>
          <w:position w:val="0"/>
          <w:sz w:val="24"/>
          <w:shd w:fill="C0C0C0" w:val="clear"/>
        </w:rPr>
      </w:pPr>
    </w:p>
    <w:p>
      <w:pPr>
        <w:numPr>
          <w:ilvl w:val="0"/>
          <w:numId w:val="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differentiation media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FFFF00" w:val="clear"/>
        </w:rPr>
        <w:t xml:space="preserve">NOTE: Refer to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manufacturer information regarding the materials and reagents used.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numPr>
          <w:ilvl w:val="0"/>
          <w:numId w:val="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Preparation of base chemically defined media (CDM)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CDM2, CDM3, CDM4 and CDM5 are chemically defined media that are used as base media for differentiating hPSCs to liver cells at various stages.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make CDM2 or CDM3, prepare a stock solution containing polyvinyl alcohol (PVA). </w:t>
      </w:r>
      <w:r>
        <w:rPr>
          <w:rFonts w:ascii="Calibri" w:hAnsi="Calibri" w:cs="Calibri" w:eastAsia="Calibri"/>
          <w:color w:val="000000"/>
          <w:spacing w:val="0"/>
          <w:position w:val="0"/>
          <w:sz w:val="24"/>
          <w:shd w:fill="FFFF00" w:val="clear"/>
        </w:rPr>
        <w:t xml:space="preserve">Dissolve 0.5 g of PVA powder in 50 mL of Iscove’s Modified Dulbecco’s Medium (IMDM) to generate a 10 mg/mL PVA stock.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Since PVA does not dissolve easily, prepare the PVA/IMDM mixture in a conical flask with continuous stirring at 50 °C on a heating pad; stirring can be easily achieved using a magnetic stirrer.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After a homogenous solution of PVA is dissolved in IMDM, remove the PVA solution from the heating pad and allow it to cool down to room temperature.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sterile, 0.2 µm filter to filter the PVA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Prepare the CDM2 and CDM3 by combining the filtered PVA from step 1.1.1 and various commercially bought components as outlined in </w:t>
      </w:r>
      <w:r>
        <w:rPr>
          <w:rFonts w:ascii="Calibri" w:hAnsi="Calibri" w:cs="Calibri" w:eastAsia="Calibri"/>
          <w:b/>
          <w:color w:val="000000"/>
          <w:spacing w:val="0"/>
          <w:position w:val="0"/>
          <w:sz w:val="24"/>
          <w:shd w:fill="FFFF00" w:val="clear"/>
        </w:rPr>
        <w:t xml:space="preserve">Table 1 </w:t>
      </w:r>
      <w:r>
        <w:rPr>
          <w:rFonts w:ascii="Calibri" w:hAnsi="Calibri" w:cs="Calibri" w:eastAsia="Calibri"/>
          <w:color w:val="000000"/>
          <w:spacing w:val="0"/>
          <w:position w:val="0"/>
          <w:sz w:val="24"/>
          <w:shd w:fill="FFFF00" w:val="clear"/>
        </w:rPr>
        <w:t xml:space="preserve">and the</w:t>
      </w:r>
      <w:r>
        <w:rPr>
          <w:rFonts w:ascii="Calibri" w:hAnsi="Calibri" w:cs="Calibri" w:eastAsia="Calibri"/>
          <w:b/>
          <w:color w:val="000000"/>
          <w:spacing w:val="0"/>
          <w:position w:val="0"/>
          <w:sz w:val="24"/>
          <w:shd w:fill="FFFF00" w:val="clear"/>
        </w:rPr>
        <w:t xml:space="preserve"> Table of Materials</w:t>
      </w:r>
      <w:r>
        <w:rPr>
          <w:rFonts w:ascii="Calibri" w:hAnsi="Calibri" w:cs="Calibri" w:eastAsia="Calibri"/>
          <w:color w:val="000000"/>
          <w:spacing w:val="0"/>
          <w:position w:val="0"/>
          <w:sz w:val="24"/>
          <w:shd w:fill="FFFF00" w:val="clear"/>
        </w:rPr>
        <w:t xml:space="preserve">. Use sterile, 0.2 </w:t>
      </w:r>
      <w:r>
        <w:rPr>
          <w:rFonts w:ascii="Calibri" w:hAnsi="Calibri" w:cs="Calibri" w:eastAsia="Calibri"/>
          <w:color w:val="000000"/>
          <w:spacing w:val="0"/>
          <w:position w:val="0"/>
          <w:sz w:val="24"/>
          <w:shd w:fill="auto" w:val="clear"/>
        </w:rPr>
        <w:t xml:space="preserve">µm </w:t>
      </w:r>
      <w:r>
        <w:rPr>
          <w:rFonts w:ascii="Calibri" w:hAnsi="Calibri" w:cs="Calibri" w:eastAsia="Calibri"/>
          <w:color w:val="000000"/>
          <w:spacing w:val="0"/>
          <w:position w:val="0"/>
          <w:sz w:val="24"/>
          <w:shd w:fill="FFFF00" w:val="clear"/>
        </w:rPr>
        <w:t xml:space="preserve">filter units to filter all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 medium can be stored at 4 °C but for no longer than 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Prepare the remaining base media CDM4 and CDM5 following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Preparation of differentiation media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prepare stock solutions for the small molecules and growth factors, reconstitute them as per the manufacturers’ recommendations. For storage, aliquot into sterile tubes to reduce freeze-thaw cycles and keep at -20 °C or as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Composition of differentiation medium to be used at various differentiation stages is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in the following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prepare the differentiation medium, first thaw the frozen small molecules and/or growth factors at room temperature. Next, aliquot out the required amount of base medium. Last, prepare the final differentiation media by adding the specified small molecules and growth factors to the base medium at the appropriate concentrations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Freshly-prepared differentiation medium should ideally be used on the same day; otherwise it can be stored at 4 °C and used within three days.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pipette tip, mix the differentiation medium several times to ensure supplements are homogeneously distributed before adding the medium to cells (e.g., add 1 mL of differentiation medium to each well of a 12-well plate.)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b/>
          <w:color w:val="000000"/>
          <w:spacing w:val="0"/>
          <w:position w:val="0"/>
          <w:sz w:val="24"/>
          <w:shd w:fill="C0C0C0" w:val="clear"/>
        </w:rPr>
      </w:pPr>
      <w:r>
        <w:rPr>
          <w:rFonts w:ascii="Calibri" w:hAnsi="Calibri" w:cs="Calibri" w:eastAsia="Calibri"/>
          <w:b/>
          <w:color w:val="000000"/>
          <w:spacing w:val="0"/>
          <w:position w:val="0"/>
          <w:sz w:val="24"/>
          <w:shd w:fill="FFFF00" w:val="clear"/>
        </w:rPr>
        <w:t xml:space="preserve">Seed hPSCs onto plates at defined densities for differentiation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Coat cell culture plastics that will be used for seeding with hPSCs.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Thaw the matrix (e.g., Geltrex) at 4 °C overnight before the day of use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ab/>
        <w:tab/>
      </w: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The next day, dilute the matrix 1:100 by adding 500 </w:t>
      </w:r>
      <w:r>
        <w:rPr>
          <w:rFonts w:ascii="Calibri" w:hAnsi="Calibri" w:cs="Calibri" w:eastAsia="Calibri"/>
          <w:color w:val="000000"/>
          <w:spacing w:val="0"/>
          <w:position w:val="0"/>
          <w:sz w:val="24"/>
          <w:shd w:fill="FFFF00" w:val="clear"/>
        </w:rPr>
        <w:t xml:space="preserve">μL of the matrix into 50 mL of cold Dulbecco’s Modified Eagle’s Medium (DMEM)/F12.</w:t>
      </w:r>
      <w:r>
        <w:rPr>
          <w:rFonts w:ascii="Calibri" w:hAnsi="Calibri" w:cs="Calibri" w:eastAsia="Calibri"/>
          <w:color w:val="000000"/>
          <w:spacing w:val="0"/>
          <w:position w:val="0"/>
          <w:sz w:val="24"/>
          <w:shd w:fill="auto" w:val="clear"/>
        </w:rPr>
        <w:t xml:space="preserve"> Since the matrix is a hydrogel that irreversibly polymerizes upon exposure to room temperature, when working with the matrix, always keep the matrix tubes and media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matrix dissolved 1:100 in DMEM/F12 can be stored at 4 °C but should be used within 2 months.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coat a culture plate with the matrix, pipette the diluted matrix into the required number of wells using just enough volume of matrix solution to cover the surface of the well</w:t>
      </w:r>
      <w:r>
        <w:rPr>
          <w:rFonts w:ascii="Calibri" w:hAnsi="Calibri" w:cs="Calibri" w:eastAsia="Calibri"/>
          <w:color w:val="000000"/>
          <w:spacing w:val="0"/>
          <w:position w:val="0"/>
          <w:sz w:val="24"/>
          <w:shd w:fill="auto" w:val="clear"/>
        </w:rPr>
        <w:t xml:space="preserve"> (e.g., add 0.5 mL of matrix to one well of a 12-well plate or 1 mL to one well of a 6-well plate). If needed, shake the plate gently to make sure that the matrix solution has fully covered the bottom of the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Leave the matrix-coated plate in a 37 °C incubator for at least 60 min</w:t>
      </w:r>
      <w:r>
        <w:rPr>
          <w:rFonts w:ascii="Calibri" w:hAnsi="Calibri" w:cs="Calibri" w:eastAsia="Calibri"/>
          <w:color w:val="000000"/>
          <w:spacing w:val="0"/>
          <w:position w:val="0"/>
          <w:sz w:val="24"/>
          <w:shd w:fill="auto" w:val="clear"/>
        </w:rPr>
        <w:t xml:space="preserve">. At this temperature, the matrix polymerizes to form a thin film at the bottom of the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Matrix-coated plates can be kept in the 37 °C incubator and used within 3 days as long as the matrix has not dried 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Aspirate the remaining matrix solution from the coated wells immediately prior to seeding the wells with hPSCs.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Passaging and seeding the coated plates with hPSCs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seed matrix-coated culture plates with hPSCs prior to differentiation, grow undifferentiated hPSCs to &gt;70% confluency in commercially-available mTeSR1 medium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protocol. It is critical to passage hPSCs before they become fully confluent, as hPSCs may spontaneously differentiate at high confluence. </w:t>
      </w:r>
    </w:p>
    <w:p>
      <w:pPr>
        <w:widowControl w:val="false"/>
        <w:spacing w:before="0" w:after="0" w:line="240"/>
        <w:ind w:right="0" w:left="0" w:firstLine="0"/>
        <w:jc w:val="both"/>
        <w:rPr>
          <w:rFonts w:ascii="Calibri" w:hAnsi="Calibri" w:cs="Calibri" w:eastAsia="Calibri"/>
          <w:color w:val="000000"/>
          <w:spacing w:val="0"/>
          <w:position w:val="0"/>
          <w:sz w:val="24"/>
          <w:shd w:fill="C0C0C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seed hPSCs for differentiation, aspirate mTeSR1 from largely-confluent hPSC cultures plate and add commercially bought dissociation agent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dissociate the hPSCs, using just enough dissociation agent to cover the surface of the well or dish on which the cells are growing</w:t>
      </w:r>
      <w:r>
        <w:rPr>
          <w:rFonts w:ascii="Calibri" w:hAnsi="Calibri" w:cs="Calibri" w:eastAsia="Calibri"/>
          <w:color w:val="000000"/>
          <w:spacing w:val="0"/>
          <w:position w:val="0"/>
          <w:sz w:val="24"/>
          <w:shd w:fill="auto" w:val="clear"/>
        </w:rPr>
        <w:t xml:space="preserve"> (e.g., add 0.5 mL of the dissociation agent per well of a 12-well plate, 1 mL per well of a 6-well plate or 3 mL per 10 cm dish).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Incubate hPSCs in the dissociation agent at 37 °C for 5 min or until some colonies begin detaching</w:t>
      </w:r>
      <w:r>
        <w:rPr>
          <w:rFonts w:ascii="Calibri" w:hAnsi="Calibri" w:cs="Calibri" w:eastAsia="Calibri"/>
          <w:color w:val="000000"/>
          <w:spacing w:val="0"/>
          <w:position w:val="0"/>
          <w:sz w:val="24"/>
          <w:shd w:fill="auto" w:val="clear"/>
        </w:rPr>
        <w:t xml:space="preserve">. Gently tap the bottom of the well/plate several times; after several minutes of dissociation, most hPSC colonies should freely come into suspension.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dissociation agent contains enzymes that dissociate cells and it is important to leave hPSCs in the dissociation agent for as short of a timespan as possible.</w:t>
      </w:r>
    </w:p>
    <w:p>
      <w:pPr>
        <w:widowControl w:val="false"/>
        <w:spacing w:before="0" w:after="0" w:line="240"/>
        <w:ind w:right="0" w:left="0" w:firstLine="0"/>
        <w:jc w:val="both"/>
        <w:rPr>
          <w:rFonts w:ascii="Calibri" w:hAnsi="Calibri" w:cs="Calibri" w:eastAsia="Calibri"/>
          <w:color w:val="000000"/>
          <w:spacing w:val="0"/>
          <w:position w:val="0"/>
          <w:sz w:val="24"/>
          <w:shd w:fill="C0C0C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To dislodge dissociated hPSCs from the plate, add 2 mL/well of DMEM/F12 if working with a 6-well plate (or 1 mL/well if working with a 12-well plate) to dilute the dissociation agent. Use a 5 mL serological pipette to gently pipette up and down multiple times to wash off all cells from the surface of the well;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collect resuspended single cells in a 50 mL conical tube</w:t>
      </w:r>
      <w:r>
        <w:rPr>
          <w:rFonts w:ascii="Calibri" w:hAnsi="Calibri" w:cs="Calibri" w:eastAsia="Calibri"/>
          <w:color w:val="000000"/>
          <w:spacing w:val="0"/>
          <w:position w:val="0"/>
          <w:sz w:val="24"/>
          <w:shd w:fill="auto" w:val="clear"/>
        </w:rPr>
        <w:t xml:space="preserve">. Wash the plate a second time with the same volume of DMEM/F12 to ensure recovery of all hPSCs.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50 mL conical tube containing the cells, add DMEM/F12 to dilute the original volume of the dissociation agent by 1:5-1:10 (e.g., if the original volume of the dissociation agent was 1 mL, adjust the total volume of cell suspension to 10 mL with DMEM/F12 to dilute the dissociation agent at 1:10)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Centrifuge the collected hPSCs in a 50 mL conical tube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4 °C to pellet cells.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While waiting for the cells to pellet,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aspirate matrix from the plate in which the hPSCS will be seeded</w:t>
      </w:r>
      <w:r>
        <w:rPr>
          <w:rFonts w:ascii="Calibri" w:hAnsi="Calibri" w:cs="Calibri" w:eastAsia="Calibri"/>
          <w:color w:val="000000"/>
          <w:spacing w:val="0"/>
          <w:position w:val="0"/>
          <w:sz w:val="24"/>
          <w:shd w:fill="auto" w:val="clear"/>
        </w:rPr>
        <w:t xml:space="preserve">. Next, add sufficient amounts of mTesR1 media to recipient wells to cover them (e.g., add 0.5 mL mTeSR1 per well of a 12-well plate or 1 mL of mTeSR1 per well of a 6-well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After centrifuging hPSCs, carefully aspirate the supernatant, leaving the pelleted hPSCs at the bottom of the conical tube</w:t>
      </w:r>
      <w:r>
        <w:rPr>
          <w:rFonts w:ascii="Calibri" w:hAnsi="Calibri" w:cs="Calibri" w:eastAsia="Calibri"/>
          <w:color w:val="000000"/>
          <w:spacing w:val="0"/>
          <w:position w:val="0"/>
          <w:sz w:val="24"/>
          <w:shd w:fill="auto" w:val="clear"/>
        </w:rPr>
        <w:t xml:space="preserve">. The supernatant contains dissociation agent which will inhibit subsequent adhesion of hPSCs and thus, it is important to aspirate the large majority of the supernatant before proceeding.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Resuspend the cell pellet in mTeSR1 supplemented with 1 </w:t>
      </w:r>
      <w:r>
        <w:rPr>
          <w:rFonts w:ascii="Calibri" w:hAnsi="Calibri" w:cs="Calibri" w:eastAsia="Calibri"/>
          <w:color w:val="000000"/>
          <w:spacing w:val="0"/>
          <w:position w:val="0"/>
          <w:sz w:val="24"/>
          <w:shd w:fill="FFFF00" w:val="clear"/>
        </w:rPr>
        <w:t xml:space="preserve">μM of commercially-obtained thiazovivin (a pharmacological ROCK inhibitor). With a p1000 pipette, gently triturate 2-3 times to evenly resuspend the cell pellet into a single cell suspension.</w:t>
      </w:r>
      <w:r>
        <w:rPr>
          <w:rFonts w:ascii="Calibri" w:hAnsi="Calibri" w:cs="Calibri" w:eastAsia="Calibri"/>
          <w:color w:val="000000"/>
          <w:spacing w:val="0"/>
          <w:position w:val="0"/>
          <w:sz w:val="24"/>
          <w:shd w:fill="auto" w:val="clear"/>
        </w:rPr>
        <w:t xml:space="preserve"> Do not over-triturate the cell pellet as excessive mechanical force will damage hPSCs and lead to poor cell survival.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Thiazovivin at a low concentration is included at this step to enhance single cell survival and hence the subsequent seeding density of hPSCs.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After resuspension of the hPSCs, immediately pipette 10 </w:t>
      </w:r>
      <w:r>
        <w:rPr>
          <w:rFonts w:ascii="Calibri" w:hAnsi="Calibri" w:cs="Calibri" w:eastAsia="Calibri"/>
          <w:color w:val="000000"/>
          <w:spacing w:val="0"/>
          <w:position w:val="0"/>
          <w:sz w:val="24"/>
          <w:shd w:fill="FFFF00" w:val="clear"/>
        </w:rPr>
        <w:t xml:space="preserve">μL of the suspension into a hemocytometer and count the number of cells</w:t>
      </w:r>
      <w:r>
        <w:rPr>
          <w:rFonts w:ascii="Calibri" w:hAnsi="Calibri" w:cs="Calibri" w:eastAsia="Calibri"/>
          <w:color w:val="000000"/>
          <w:spacing w:val="0"/>
          <w:position w:val="0"/>
          <w:sz w:val="24"/>
          <w:shd w:fill="auto" w:val="clear"/>
        </w:rPr>
        <w:t xml:space="preserve">. It is important to pipette cells for counting as quickly as possible, as gravity will lead to hPSCs naturally settling into the bottom of the 50 mL tube, which will confound accurate cell counting.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Adjust the volume of the resuspended hPSCs with thiozavivin supplemented mTeSR1 to achieve the desired cell concentration for plating.</w:t>
      </w:r>
      <w:r>
        <w:rPr>
          <w:rFonts w:ascii="Calibri" w:hAnsi="Calibri" w:cs="Calibri" w:eastAsia="Calibri"/>
          <w:color w:val="000000"/>
          <w:spacing w:val="0"/>
          <w:position w:val="0"/>
          <w:sz w:val="24"/>
          <w:shd w:fill="auto" w:val="clear"/>
        </w:rPr>
        <w:t xml:space="preserve"> For example, seed 150,000-225,000 cells into each well of a 12-well plate, use 0.5 mL of the cell suspension thus achieving a total of 1 mL in each well (0.5 mL of media was added to the well in step 2.2.7). If larger wells are being used, scale up accordingly.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seed hPSCs at the indicated cell density, which will yield sparse hPSCs that are ready for subsequent differentiation. Overly-confluent hPSCs will not differentiate efificiently.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Shake the plate in a cross pattern (left, then right; forward, then backward) several times to make sure cells are evenly distributed across the plate/well. </w:t>
      </w:r>
      <w:r>
        <w:rPr>
          <w:rFonts w:ascii="Calibri" w:hAnsi="Calibri" w:cs="Calibri" w:eastAsia="Calibri"/>
          <w:color w:val="000000"/>
          <w:spacing w:val="0"/>
          <w:position w:val="0"/>
          <w:sz w:val="24"/>
          <w:shd w:fill="auto" w:val="clear"/>
        </w:rPr>
        <w:t xml:space="preserve">Do not swirl the plate in a circular motion, as the cells will settle in the center of the plate/well. Typically, hPSCs will begin adhering to the surface of the well within minutes or tens of minutes. Allow cells to grow for at least 24 hours before initiating differentiation.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Differentiation of hPSCs into endodermal cells and liver progenitors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hPSCs have been plated for at least 24 hours, as described in step 2.2.12, before proceeding with differentiation, check the morphology of cells under a phase-contrast microscope, with specific emphasis on the diameter of plated hPSC colonies.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Ideally, clumps will be small in size (less than or equal to 100 </w:t>
      </w:r>
      <w:r>
        <w:rPr>
          <w:rFonts w:ascii="Calibri" w:hAnsi="Calibri" w:cs="Calibri" w:eastAsia="Calibri"/>
          <w:color w:val="000000"/>
          <w:spacing w:val="0"/>
          <w:position w:val="0"/>
          <w:sz w:val="24"/>
          <w:shd w:fill="FFFF00" w:val="clear"/>
        </w:rPr>
        <w:t xml:space="preserve">μm in diameter) and readily spaced throughout the well. Large colonies of hPSCs greater than 100 μm in diameter are not usable for differentiation. Only small- or mid-sized clumps are acceptable for differentiation; differentiation signals will not act evenly throughout large hPSC colonies, leading to inefficient differentiation. </w:t>
      </w:r>
    </w:p>
    <w:p>
      <w:pPr>
        <w:spacing w:before="0" w:after="0" w:line="240"/>
        <w:ind w:right="0" w:left="0" w:firstLine="0"/>
        <w:jc w:val="both"/>
        <w:rPr>
          <w:rFonts w:ascii="Calibri" w:hAnsi="Calibri" w:cs="Calibri" w:eastAsia="Calibri"/>
          <w:color w:val="000000"/>
          <w:spacing w:val="0"/>
          <w:position w:val="0"/>
          <w:sz w:val="24"/>
          <w:shd w:fill="C0C0C0"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colony sizes are ideal in step 3.1, proceed to day 1 of differentiation, which entails differentiation of hPSCs into anterior primitive streak (APS).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Prepare day 1 APS differentiation medium by mixing all reagents outlined in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using CDM 2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and section 1.2) as the base medium</w:t>
      </w:r>
      <w:r>
        <w:rPr>
          <w:rFonts w:ascii="Calibri" w:hAnsi="Calibri" w:cs="Calibri" w:eastAsia="Calibri"/>
          <w:color w:val="000000"/>
          <w:spacing w:val="0"/>
          <w:position w:val="0"/>
          <w:sz w:val="24"/>
          <w:shd w:fill="auto" w:val="clear"/>
        </w:rPr>
        <w:t xml:space="preserve">. Pipet to mix several times to ensure even distribution of the components in the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Aspirate to remove the thiazovivin supplemented mTeSR1 from the plated hPSCs and briefly wash hPSCs with IMDM media.</w:t>
      </w:r>
      <w:r>
        <w:rPr>
          <w:rFonts w:ascii="Calibri" w:hAnsi="Calibri" w:cs="Calibri" w:eastAsia="Calibri"/>
          <w:color w:val="000000"/>
          <w:spacing w:val="0"/>
          <w:position w:val="0"/>
          <w:sz w:val="24"/>
          <w:shd w:fill="auto" w:val="clear"/>
        </w:rPr>
        <w:t xml:space="preserve"> Do not wash with phosphate buffered saline (PBS) instead of IMDM, as PBS lacks calcium ions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is thus toxic to hPSCs; it will disrupt cell morphology.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brief IMDM wash, add day 1 medium to the hPSCs. Record the time and place cells back into the 37 °C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Continue with the subsequent differentiation steps by preparing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adding the respective differentiation medium to the cells on the respective days (at 24 hour intervals) of differentiation around the same time of the 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Replace with fresh media daily, even if consecutive days of differentiation use the same differentiation media. Between media changes, wash cells once with IMDM media to remove dead cells and remnant of previous medium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differentiation progresses beyond the liver bud stage, cell numbers increase and hence, add more media to each well of the plate to ensure that the amount of differentiation factors and nutrients is not limiting. For example, add 1 mL differentiation medium to each well of 12-well initially on days 1 to 6 of differentiation but add 1.5 mL-2 mL of subsequent differentiation media on later days of differentiation (days 7 to 18 of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Characterization of endodermal cells and liver progenitors by immunostaining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blocking buffer: 10% donkey serum + 0.1% Triton X100 in deionized phosphate buffered saline (DPBS).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staining buffer: 1% donkey serum + 0.1% Triton X100 in DPBS.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medium from cells in 12-well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4% paraformaldehyde (in DPBS) for 15 min at room temperature to fix cells and then wash the cells twice with DPBS.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blocking buffer for 1 h at room temperature to block and permeabilize the fixed cells.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blocking solution and add primary antibody diluted in staining buffer.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dilution ratios of antibodies.)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Stain the cells overnight at 4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cells thrice with 0.1% Triton X100 in DPBS.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secondary antibody stain in the staining buffer for 1 h at room temperature.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dilutions of secondary antibodies.)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secondary antibody and add DAPI for 5 min at room temperature to conduct nuclear counterstain.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twice with 0.1% Triton X100 in DPBS to remove excess antibody and DAPI.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Conduct fluorescence microscopy with a Zeiss Observer D1. Alternatively, store plate in 4 °C until imaging is performed. For expected results,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b/>
          <w:color w:val="4472C4"/>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liver progenitors by Fluorescence Activated Cell-Sorting (FACS)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FACS to precisely quantify the percentage of AFP+ differentiated LB cells that emerge by day 6 of differentiation. Follow the same steps to quantify the percentage of ALB+ differentiated hepatocytes by day 18 of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Conjugate an anti-Afp antibody.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R-phycoerythrin to anti-Afp antibody at a concentration of (0.55 µg/µL) using R-phycoerythrin conjugation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antibodies are purified and are reconstituted in buffers that do not contain amines. Ensure that amount of antibody used in a labeling reaction must be less than the amount of PE (i.e., 60 µg of antibody with 100 µg of PE). Poor conjugation of antibodies may lead to unreliable outcomes.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 µL of modifier reagent for 10 µL of antibody to be labeled. Mix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R-PE mix (100 µL) and pipette the above mixture directly into the lyophilized R-PE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cap back and leave the vial standing for 3 h in the dark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incubating for 3 h or more, add 1 µL of quencher reagent for 10 µL of antibody used. The conjugate can be used after 30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Store conjugated antibody at 4 °C.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differentiated or undifferentiated hPSCs in 6-well format with DMEM/F12.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Briefly treat with dissociation agent (1 mL/well in a 6-well plate) for 5 min at room temperature until cells detach. Harvest and stain both undifferentiated hPSC and differentiated liver progenitor cells identically and analyze in parallel in the same experiment to ensure specificity of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Gently tap Petri dish to detach cells. Use a p1000 pipette to detach cells off the plate and collect cells in a 50 mL conical tube. Ensure that cells have mostly detached before proceeding with the next step. Subsequently, wash wells twice more with 1xDPBS buffer to collect residual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50mL conical tube, dilute dissociation agent in ~5 volumes of 1xDPBS buffer. Triturate rigorously 3-4 times with a p1000 pipette to ensure all cells are dissociated into single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imperative to generate single cells </w:t>
      </w:r>
      <w:r>
        <w:rPr>
          <w:rFonts w:ascii="Calibri" w:hAnsi="Calibri" w:cs="Calibri" w:eastAsia="Calibri"/>
          <w:b/>
          <w:color w:val="000000"/>
          <w:spacing w:val="0"/>
          <w:position w:val="0"/>
          <w:sz w:val="24"/>
          <w:shd w:fill="auto" w:val="clear"/>
        </w:rPr>
        <w:t xml:space="preserve">prior</w:t>
      </w:r>
      <w:r>
        <w:rPr>
          <w:rFonts w:ascii="Calibri" w:hAnsi="Calibri" w:cs="Calibri" w:eastAsia="Calibri"/>
          <w:color w:val="000000"/>
          <w:spacing w:val="0"/>
          <w:position w:val="0"/>
          <w:sz w:val="24"/>
          <w:shd w:fill="auto" w:val="clear"/>
        </w:rPr>
        <w:t xml:space="preserve"> to centrifugation or clumps subsequently cannot be dissociated with ease. However, do not over-triturate as this may damage cell integrity. Count the number of cells and use the recommended proportion of cells to antibody ratio, which has been previously optimized for minimal background and maximal signal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conical tube containing the cell suspension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°C.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supernatant with care not to disturb the cell pellet.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cell pellet thoroughly in fixation/perm buffer to generate a single-cell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suspension and fix on ice at 4 °C for 20 min. Note to transfer to a 2 mL microcentrifuge tube. Furthermore, usage of a 2 mL microcentrifuge tube at this step enables the cell pellet to deposit at the V-shaped-corner of the tube, minimizing cell loss during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each pellet with 1.8 mL of perm/wash buffer twice. Resuspend cell pellet thoroughly in perm/wash buffer by pipette mixing 6 times with a P1000 pipette. Then, centrifuge, remove supernatant and repeat the wash process with 1.8 mL of perm/wash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cell pellet in perm/wash buffer so that there will be 100 µL/individual stain and subsequently transfer the cell suspension into a 2 mL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imperative to generate a single-cell suspension at this step prior to antibody staining. Aggregates of cells will not be stained and thus will confound FACS analysis. Furthermore, usage of a 2 mL microcentrifuge tube at this step enables the cell pellet to deposit at the V-shaped-corner of the tube, minimizing cell loss during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resuspending cells in FACS buffer, aliquot them into individual 2 mL tubes (for both unstained control and antibody-stained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Stain with anti-AFP-PE 0.33 µL per 150,000 cells for 30 min at room temperature in the dark. For example, for a 100 µL individual stain, stain as follows: 0.33 µL of -AFP PE and 100 µL of perm/wash buffer. Resuspend cells with p200 pipette well to ensure even staining.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pipette-mix and do not vortex as this may reduce protein 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resuspend the cells twice in 1-2 mL of perm/wash buffer (1.9 mL/individual stain) and centrifuge at 800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°C. Wash cells with no less than 1-2 mL of perm/wash buffer to ensure sufficient washing.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pipette mix and do not vortex as this may reduce protein stability. After centrifuging, aspirate supernatant carefully to prevent cells from dislodging and remove as much supernatant as possible to minimize antibody carry-over and ensure a more complete wash.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each washed pellet in 300 L of perm/wash buffer and strain it through a 100 m filter into a FACS tube to strain out large clumps of cells prior to FACS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cells on a FACS Aria flow cytometry on the PE channel. Analyze a minimum of 10,000 events for each individual stain, and parse events by virtue of FSC-A/SSC-A analysis, select cell singlets by gating on FSC-W/FSC-H followed by SSC-H/SSC-W.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24 hours of APS differentiation, colonies will generally adopt a different morphology than undifferentiated colonies concomitant with a loss of the bright border that typically circumscribes hPSC colonies. Morphologically, primitive streak cells generally have ragged borders and are more spread and less compact than hPSCs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is evocative of an epithelial-to-mesenchymal transition as pluripotent epiblast cells differentiate and ingress into the primitive streak in vivo. If the colony size of the hPSCs prior to differentiation was too large, there will be an overtly-raised center that comprises undifferentiated cells. Cultures containing such large clumps should be discarded, as these undifferentiated colony centers will confound subsequent differentiation. If clumps of the correct size were plated, APS differentiation is highly reproducible and uniform, generating a 99.3±0.1% </w:t>
      </w:r>
      <w:r>
        <w:rPr>
          <w:rFonts w:ascii="Calibri" w:hAnsi="Calibri" w:cs="Calibri" w:eastAsia="Calibri"/>
          <w:i/>
          <w:color w:val="000000"/>
          <w:spacing w:val="0"/>
          <w:position w:val="0"/>
          <w:sz w:val="24"/>
          <w:shd w:fill="auto" w:val="clear"/>
        </w:rPr>
        <w:t xml:space="preserve">MIXL1-Gfp</w:t>
      </w:r>
      <w:r>
        <w:rPr>
          <w:rFonts w:ascii="Calibri" w:hAnsi="Calibri" w:cs="Calibri" w:eastAsia="Calibri"/>
          <w:color w:val="000000"/>
          <w:spacing w:val="0"/>
          <w:position w:val="0"/>
          <w:sz w:val="24"/>
          <w:shd w:fill="auto" w:val="clear"/>
        </w:rPr>
        <w:t xml:space="preserve">+ primitive streak population (MIXL1 is a primitive streak marker)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Note that some cell death is observed after 24 h of APS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By day 2 of differentiation, primitive streak cells have differentiated into day 2 definitive endoderm cells, the vast majority of which express SOX17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FOXA2. In dozens of independent experiments with 14 hESC and hiPSC lines (including H1, H7, H9, HES2, HES3, BJC1, BJC3, HUF1C4 and HUF58C4), this approach scalably, consistently and efficiently generated pure definitive endoderm populations (</w:t>
      </w:r>
      <w:r>
        <w:rPr>
          <w:rFonts w:ascii="Calibri" w:hAnsi="Calibri" w:cs="Calibri" w:eastAsia="Calibri"/>
          <w:color w:val="auto"/>
          <w:spacing w:val="0"/>
          <w:position w:val="0"/>
          <w:sz w:val="24"/>
          <w:shd w:fill="auto" w:val="clear"/>
        </w:rPr>
        <w:t xml:space="preserve">94.0% ± 3.1%)</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method to generate definitive endoderm from hPSCs yields higher percentages of CXCR4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PDGFRA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endodermal populations compared to other endoderm-forming approaches</w:t>
      </w:r>
      <w:r>
        <w:rPr>
          <w:rFonts w:ascii="Calibri" w:hAnsi="Calibri" w:cs="Calibri" w:eastAsia="Calibri"/>
          <w:color w:val="000000"/>
          <w:spacing w:val="0"/>
          <w:position w:val="0"/>
          <w:sz w:val="24"/>
          <w:shd w:fill="auto" w:val="clear"/>
          <w:vertAlign w:val="superscript"/>
        </w:rPr>
        <w:t xml:space="preserve">2,14</w:t>
      </w:r>
      <w:r>
        <w:rPr>
          <w:rFonts w:ascii="Calibri" w:hAnsi="Calibri" w:cs="Calibri" w:eastAsia="Calibri"/>
          <w:color w:val="000000"/>
          <w:spacing w:val="0"/>
          <w:position w:val="0"/>
          <w:sz w:val="24"/>
          <w:shd w:fill="auto" w:val="clear"/>
        </w:rPr>
        <w:t xml:space="preserve">. While some cell death is sometimes observed during this stage, </w:t>
      </w:r>
      <w:r>
        <w:rPr>
          <w:rFonts w:ascii="Calibri" w:hAnsi="Calibri" w:cs="Calibri" w:eastAsia="Calibri"/>
          <w:color w:val="auto"/>
          <w:spacing w:val="0"/>
          <w:position w:val="0"/>
          <w:sz w:val="24"/>
          <w:shd w:fill="auto" w:val="clear"/>
        </w:rPr>
        <w:t xml:space="preserve">most cells will remain adhered to the plate surface by end of day 2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day 3 of differentiation, endoderm has differentiated into foregut progenitors that appear polygonal in shape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Later, by 6 days of differentiation, the foregut progenitors differentiate into liver bud progenitors expressing AFP, TBX3, and HNF4A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Throughout 3 hPSC lines, this yielded an average 893.1% AFP+ LB population by FACS. </w:t>
      </w:r>
      <w:r>
        <w:rPr>
          <w:rFonts w:ascii="Calibri" w:hAnsi="Calibri" w:cs="Calibri" w:eastAsia="Calibri"/>
          <w:color w:val="auto"/>
          <w:spacing w:val="0"/>
          <w:position w:val="0"/>
          <w:sz w:val="24"/>
          <w:shd w:fill="auto" w:val="clear"/>
        </w:rPr>
        <w:t xml:space="preserve">Across three hESC lines (H1, H7, H9 hESCs), this method generates day 6 AFP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liver progenitors form at an efficiency of 89.0±3.1%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Finally, after 18 days of liver differentiation from hPSCs, ALBUMIN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hepatocyte-like cells appear. Morphologically, they appear epithelial, forming bright borders reminiscent of bile canaliculi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At this stage, the cytoplasm of the day 18 hPSC-derived hepatocytes appears darker than the nucleus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differentiation strategy and morphology of undifferentiated hPSCs, differentiating endoderm and hepatocyte-like cells.</w:t>
      </w:r>
      <w:r>
        <w:rPr>
          <w:rFonts w:ascii="Calibri" w:hAnsi="Calibri" w:cs="Calibri" w:eastAsia="Calibri"/>
          <w:color w:val="000000"/>
          <w:spacing w:val="0"/>
          <w:position w:val="0"/>
          <w:sz w:val="24"/>
          <w:shd w:fill="auto" w:val="clear"/>
        </w:rPr>
        <w:t xml:space="preserve"> Differentiation process and timeline were depicted. Abbreviations: d = day, hPSC = human pluripotent stem cells, APS = anterior primitive streak, DE = definitive endoderm, PFG = posterior foregut, LB = liver bud progenitors, HP = hepatocyte progenitors, HEP = hepatocyte like cells. Scale bar = 400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Percentage of day 1 MIXL1+ primitive streak, day 2 SOX17+ definitive (def) endoderm, day 6 AFP+ liver bud progenitors and ALB+ hepatocyte populations as shown by FACS.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Immunostaining analysis of day 6 liver progenitors. </w:t>
      </w:r>
      <w:r>
        <w:rPr>
          <w:rFonts w:ascii="Calibri" w:hAnsi="Calibri" w:cs="Calibri" w:eastAsia="Calibri"/>
          <w:color w:val="000000"/>
          <w:spacing w:val="0"/>
          <w:position w:val="0"/>
          <w:sz w:val="24"/>
          <w:shd w:fill="auto" w:val="clear"/>
        </w:rPr>
        <w:t xml:space="preserve">hPSC were first differentiated into liver bud progenitors, which were immunostained for liver bud transcription factors HNF4A (red), TBX3 (green) as well as cytoplasmic liver bud marker AFP (red). Nuclei were counterstained with DAPI (blue) to assess total cell number. Scale bar = 50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Cell seeding density of hPSCs.</w:t>
      </w:r>
      <w:r>
        <w:rPr>
          <w:rFonts w:ascii="Calibri" w:hAnsi="Calibri" w:cs="Calibri" w:eastAsia="Calibri"/>
          <w:color w:val="000000"/>
          <w:spacing w:val="0"/>
          <w:position w:val="0"/>
          <w:sz w:val="24"/>
          <w:shd w:fill="auto" w:val="clear"/>
        </w:rPr>
        <w:t xml:space="preserve"> Low (left) and appropriate (right) density of cells seeded. Scale bar = 1000 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Composition of chemically defined media CDM2, CDM3, CDM4, and CDM5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Composition of differentiation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Potential problems and their possible causes and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enables the generation of enriched populations of liver bud progenitors, and subsequently hepatocyte-like cells, from hPSCs. The ability to generate enriched populations of human liver cells is important for the practical utilization of such cells. Previous methods to generate hepatocytes from hPSCs yielded impure cell populations containing both liver and non-liver cells that, upon transplantation into rodents, yielded bone and cartilage in addition to liver tissue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Hence the explicit suppression of non-liver differentiation is critical to generate enriched liver populations that might be suitable for a variety of applications.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Notably, controlled plating of hPSCs at the very first step is essential for efficient downstream differentiation. It is important to accurately plate hPSCs at a certain density for differentiation, and to evenly distribute these hPSCs across the well or plate during the process of plating. For example, for each well of a 12-well plate, seed 150,000 to 225,000 hPSCs per well; overall, it is imperative to titrate the cell seeding density and to ultimately test the cell density that is appropriate for each cell line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If too many hPSCs are seeded per well, they will form large colonies, which will adversely affect differentiation efficiencies, as cells in the middle of large colonies are less accessible to differentiation signals compared to cells near the periphery; colonies of heterogeneous sizes also will present similar issues. If cell densities are too low, then there will not be sufficient material for differentiation and extensive cell death may be observed. The passaging and seeding method described above consistently generates hPSC clumps of suitable size for downstream differentiation.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this method is that the hepatocyte-like cells generated are not identical to adult hepatocytes, as the hPSC-derived cells still express immature liver marker AFP. Moreover, CYP3A4 enzymatic activity is approximately 55 times lower in these hPSC-derived hepatocyte-like cells compared to primary adult human hepatocytes. A coming challenge will be to mature these hPSC-derived hepatocyte-like cells into fully-fledged, adult-like cells. A second limitation is that efficient differentiation is extremely dependent on the starting density of cells and therefore, it is very important to seed at the recommended density and to evenly disperse them across the plate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produces liver bud progenitors and hepatocyte-like cells at 893.1% purity in at least 3 hPSC lines. Second, hepatocyte-like cells expressed liver enzymes, secreted human ALBUMIN and expressed higher levels of liver genes than cells generated using extant differentiation approaches. Finally, the resultant hepatocyte-like cells not only exhibit certain hepatocyte functions in vitro, but most importantly they can function to some extent in vivo, as they can engraft a mouse model of chronic liver injury and improve short-term survival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Bing Lim and Nora Ou for discussions and the Stanford Institute for Stem Cell Biology &amp; Regenerative Medicine for infrastructure support. This work was supported by the California Institute for Regenerative Medicine (DISC2-10679) and the Stanford-UC Berkeley Siebel Stem Cell Institute (to L.T.A. and K.M.L.) and the Stanford Beckman Center for Molecular and Genetic Medicine as well as the Anonymous, Baxter and DiGenova families (to K.M.L.).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Bernal, W., Wendon, J. Acute Liver Failure.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2525-2534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Ang, L.T. et al. A Roadmap for Human Liver Differentiation from Pluripotent Stem Cells.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2190-2205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Fisher, R.A., Strom, S.C. Human Hepatocyte Transplantation: Worldwide Results.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441-449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Dhawan, A. Clinical human hepatocyte transplantation: Current status and challenges. </w:t>
      </w:r>
      <w:r>
        <w:rPr>
          <w:rFonts w:ascii="Calibri" w:hAnsi="Calibri" w:cs="Calibri" w:eastAsia="Calibri"/>
          <w:i/>
          <w:color w:val="000000"/>
          <w:spacing w:val="0"/>
          <w:position w:val="0"/>
          <w:sz w:val="24"/>
          <w:shd w:fill="auto" w:val="clear"/>
        </w:rPr>
        <w:t xml:space="preserve">Liver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S39-S44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Salama, H. et al. Autologous Hematopoietic Stem Cell Transplantation in 48 Patients with End-Stage Chronic Liver Diseases. </w:t>
      </w:r>
      <w:r>
        <w:rPr>
          <w:rFonts w:ascii="Calibri" w:hAnsi="Calibri" w:cs="Calibri" w:eastAsia="Calibri"/>
          <w:i/>
          <w:color w:val="000000"/>
          <w:spacing w:val="0"/>
          <w:position w:val="0"/>
          <w:sz w:val="24"/>
          <w:shd w:fill="auto" w:val="clear"/>
        </w:rPr>
        <w:t xml:space="preserve">Cell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1475-1486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Tan, A.K.Y., Loh, K.M., Ang, L.T. Evaluating the regenerative potential and functionality of human liver cells in mice. </w:t>
      </w:r>
      <w:r>
        <w:rPr>
          <w:rFonts w:ascii="Calibri" w:hAnsi="Calibri" w:cs="Calibri" w:eastAsia="Calibri"/>
          <w:i/>
          <w:color w:val="000000"/>
          <w:spacing w:val="0"/>
          <w:position w:val="0"/>
          <w:sz w:val="24"/>
          <w:shd w:fill="auto" w:val="clear"/>
        </w:rPr>
        <w:t xml:space="preserve">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25-34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Loh, K.M. et al. Efficient Endoderm Induction from Human Pluripotent Stem Cells by Logically Directing Signals Controlling Lineage Bifurcations.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237-252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Loh, K.M. et al. Mapping the Pairwise Choices Leading from Pluripotency to Human Bone, Heart, and Other Mesoderm Cell Types.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451-467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Zhao, D. et al. Promotion of the efficient metabolic maturation of human pluripotent stem cell-derived hepatocytes by correcting specification defects.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157-161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Si Tayeb, K. et al. Highly efficient generation of human hepatocyte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like cells from induced pluripotent stem cells.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297-305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Carpentier, A. et al. Hepatic differentiation of human pluripotent stem cells in miniaturized format suitable for high-throughput screen.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640-650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Avior, Y. et al. Microbial-derived lithocholic acid and vitamin K2 drive the metabolic maturation of pluripotent stem cells-derived and fetal hepatocytes.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265-278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Ogawa, S. et al. Three-dimensional culture and cAMP signaling promote the maturation of human pluripotent stem cell-derived hepatocytes.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3285-3296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Rostovskaya, M., Bredenkamp, N., Smith, A. Towards consistent generation of pancreatic lineage progenitors from human pluripotent stem cells.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20140365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Haridass, D. et al. Repopulation Efficiencies of Adult Hepatocytes, Fetal Liver Progenitor Cells, and Embryonic Stem Cell-Derived Hepatic Cells in Albumin-Promoter-Enhancer Urokinase-Type Plasminogen Activator Mice.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1483-1492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num w:numId="2">
    <w:abstractNumId w:val="438"/>
  </w:num>
  <w:num w:numId="4">
    <w:abstractNumId w:val="432"/>
  </w:num>
  <w:num w:numId="6">
    <w:abstractNumId w:val="426"/>
  </w:num>
  <w:num w:numId="8">
    <w:abstractNumId w:val="420"/>
  </w:num>
  <w:num w:numId="10">
    <w:abstractNumId w:val="414"/>
  </w:num>
  <w:num w:numId="12">
    <w:abstractNumId w:val="408"/>
  </w:num>
  <w:num w:numId="14">
    <w:abstractNumId w:val="402"/>
  </w:num>
  <w:num w:numId="16">
    <w:abstractNumId w:val="396"/>
  </w:num>
  <w:num w:numId="18">
    <w:abstractNumId w:val="390"/>
  </w:num>
  <w:num w:numId="20">
    <w:abstractNumId w:val="384"/>
  </w:num>
  <w:num w:numId="22">
    <w:abstractNumId w:val="378"/>
  </w:num>
  <w:num w:numId="24">
    <w:abstractNumId w:val="372"/>
  </w:num>
  <w:num w:numId="26">
    <w:abstractNumId w:val="366"/>
  </w:num>
  <w:num w:numId="28">
    <w:abstractNumId w:val="360"/>
  </w:num>
  <w:num w:numId="30">
    <w:abstractNumId w:val="354"/>
  </w:num>
  <w:num w:numId="33">
    <w:abstractNumId w:val="348"/>
  </w:num>
  <w:num w:numId="35">
    <w:abstractNumId w:val="342"/>
  </w:num>
  <w:num w:numId="37">
    <w:abstractNumId w:val="336"/>
  </w:num>
  <w:num w:numId="39">
    <w:abstractNumId w:val="330"/>
  </w:num>
  <w:num w:numId="41">
    <w:abstractNumId w:val="324"/>
  </w:num>
  <w:num w:numId="43">
    <w:abstractNumId w:val="318"/>
  </w:num>
  <w:num w:numId="45">
    <w:abstractNumId w:val="312"/>
  </w:num>
  <w:num w:numId="47">
    <w:abstractNumId w:val="306"/>
  </w:num>
  <w:num w:numId="49">
    <w:abstractNumId w:val="300"/>
  </w:num>
  <w:num w:numId="51">
    <w:abstractNumId w:val="294"/>
  </w:num>
  <w:num w:numId="53">
    <w:abstractNumId w:val="288"/>
  </w:num>
  <w:num w:numId="55">
    <w:abstractNumId w:val="282"/>
  </w:num>
  <w:num w:numId="57">
    <w:abstractNumId w:val="276"/>
  </w:num>
  <w:num w:numId="59">
    <w:abstractNumId w:val="270"/>
  </w:num>
  <w:num w:numId="61">
    <w:abstractNumId w:val="264"/>
  </w:num>
  <w:num w:numId="64">
    <w:abstractNumId w:val="258"/>
  </w:num>
  <w:num w:numId="66">
    <w:abstractNumId w:val="252"/>
  </w:num>
  <w:num w:numId="68">
    <w:abstractNumId w:val="246"/>
  </w:num>
  <w:num w:numId="70">
    <w:abstractNumId w:val="240"/>
  </w:num>
  <w:num w:numId="72">
    <w:abstractNumId w:val="234"/>
  </w:num>
  <w:num w:numId="74">
    <w:abstractNumId w:val="228"/>
  </w:num>
  <w:num w:numId="76">
    <w:abstractNumId w:val="222"/>
  </w:num>
  <w:num w:numId="78">
    <w:abstractNumId w:val="216"/>
  </w:num>
  <w:num w:numId="80">
    <w:abstractNumId w:val="210"/>
  </w:num>
  <w:num w:numId="82">
    <w:abstractNumId w:val="204"/>
  </w:num>
  <w:num w:numId="84">
    <w:abstractNumId w:val="198"/>
  </w:num>
  <w:num w:numId="86">
    <w:abstractNumId w:val="192"/>
  </w:num>
  <w:num w:numId="88">
    <w:abstractNumId w:val="186"/>
  </w:num>
  <w:num w:numId="90">
    <w:abstractNumId w:val="180"/>
  </w:num>
  <w:num w:numId="92">
    <w:abstractNumId w:val="174"/>
  </w:num>
  <w:num w:numId="94">
    <w:abstractNumId w:val="168"/>
  </w:num>
  <w:num w:numId="96">
    <w:abstractNumId w:val="162"/>
  </w:num>
  <w:num w:numId="98">
    <w:abstractNumId w:val="156"/>
  </w:num>
  <w:num w:numId="100">
    <w:abstractNumId w:val="150"/>
  </w:num>
  <w:num w:numId="102">
    <w:abstractNumId w:val="144"/>
  </w:num>
  <w:num w:numId="104">
    <w:abstractNumId w:val="138"/>
  </w:num>
  <w:num w:numId="106">
    <w:abstractNumId w:val="132"/>
  </w:num>
  <w:num w:numId="108">
    <w:abstractNumId w:val="126"/>
  </w:num>
  <w:num w:numId="110">
    <w:abstractNumId w:val="120"/>
  </w:num>
  <w:num w:numId="112">
    <w:abstractNumId w:val="114"/>
  </w:num>
  <w:num w:numId="114">
    <w:abstractNumId w:val="108"/>
  </w:num>
  <w:num w:numId="116">
    <w:abstractNumId w:val="102"/>
  </w:num>
  <w:num w:numId="118">
    <w:abstractNumId w:val="96"/>
  </w:num>
  <w:num w:numId="120">
    <w:abstractNumId w:val="90"/>
  </w:num>
  <w:num w:numId="122">
    <w:abstractNumId w:val="84"/>
  </w:num>
  <w:num w:numId="124">
    <w:abstractNumId w:val="78"/>
  </w:num>
  <w:num w:numId="126">
    <w:abstractNumId w:val="72"/>
  </w:num>
  <w:num w:numId="128">
    <w:abstractNumId w:val="66"/>
  </w:num>
  <w:num w:numId="130">
    <w:abstractNumId w:val="60"/>
  </w:num>
  <w:num w:numId="132">
    <w:abstractNumId w:val="54"/>
  </w:num>
  <w:num w:numId="134">
    <w:abstractNumId w:val="48"/>
  </w:num>
  <w:num w:numId="136">
    <w:abstractNumId w:val="42"/>
  </w:num>
  <w:num w:numId="138">
    <w:abstractNumId w:val="36"/>
  </w:num>
  <w:num w:numId="140">
    <w:abstractNumId w:val="30"/>
  </w:num>
  <w:num w:numId="142">
    <w:abstractNumId w:val="24"/>
  </w:num>
  <w:num w:numId="144">
    <w:abstractNumId w:val="18"/>
  </w:num>
  <w:num w:numId="148">
    <w:abstractNumId w:val="12"/>
  </w:num>
  <w:num w:numId="150">
    <w:abstractNumId w:val="6"/>
  </w:num>
  <w:num w:numId="1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palaria@stanford.edu" Id="docRId1" Type="http://schemas.openxmlformats.org/officeDocument/2006/relationships/hyperlink" /><Relationship TargetMode="External" Target="mailto:layteng@stanford.edu" Id="docRId3" Type="http://schemas.openxmlformats.org/officeDocument/2006/relationships/hyperlink" /><Relationship Target="styles.xml" Id="docRId5" Type="http://schemas.openxmlformats.org/officeDocument/2006/relationships/styles" /><Relationship TargetMode="External" Target="mailto:kyleloh@stanford.edu" Id="docRId0" Type="http://schemas.openxmlformats.org/officeDocument/2006/relationships/hyperlink" /><Relationship TargetMode="External" Target="mailto:layteng@stanford.edu" Id="docRId2" Type="http://schemas.openxmlformats.org/officeDocument/2006/relationships/hyperlink" /><Relationship Target="numbering.xml" Id="docRId4" Type="http://schemas.openxmlformats.org/officeDocument/2006/relationships/numbering" /></Relationships>
</file>