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A691D75" w:rsidR="006305D7" w:rsidRPr="00A86898" w:rsidRDefault="006305D7" w:rsidP="005A4ED4">
      <w:pPr>
        <w:pStyle w:val="NormalWeb"/>
        <w:widowControl/>
        <w:spacing w:before="0" w:beforeAutospacing="0" w:after="0" w:afterAutospacing="0"/>
        <w:rPr>
          <w:color w:val="auto"/>
        </w:rPr>
      </w:pPr>
      <w:r w:rsidRPr="00A86898">
        <w:rPr>
          <w:b/>
          <w:bCs/>
          <w:color w:val="auto"/>
        </w:rPr>
        <w:t>TITLE:</w:t>
      </w:r>
    </w:p>
    <w:p w14:paraId="0C76090E" w14:textId="7F01FCA8" w:rsidR="007A4DD6" w:rsidRPr="00A86898" w:rsidRDefault="006D6A5C" w:rsidP="005A4ED4">
      <w:pPr>
        <w:widowControl/>
        <w:rPr>
          <w:color w:val="auto"/>
        </w:rPr>
      </w:pPr>
      <w:r w:rsidRPr="00A86898">
        <w:rPr>
          <w:color w:val="auto"/>
        </w:rPr>
        <w:t xml:space="preserve">Quantifying </w:t>
      </w:r>
      <w:r w:rsidR="00BD041B" w:rsidRPr="00A86898">
        <w:rPr>
          <w:color w:val="auto"/>
        </w:rPr>
        <w:t xml:space="preserve">the Heterogeneous Distribution of </w:t>
      </w:r>
      <w:r w:rsidR="00B8284D" w:rsidRPr="00A86898">
        <w:rPr>
          <w:color w:val="auto"/>
        </w:rPr>
        <w:t>a</w:t>
      </w:r>
      <w:r w:rsidR="00BD041B" w:rsidRPr="00A86898">
        <w:rPr>
          <w:color w:val="auto"/>
        </w:rPr>
        <w:t xml:space="preserve"> Synaptic Protein </w:t>
      </w:r>
      <w:r w:rsidR="00425A55" w:rsidRPr="00A86898">
        <w:rPr>
          <w:color w:val="auto"/>
        </w:rPr>
        <w:t>i</w:t>
      </w:r>
      <w:r w:rsidR="00BD041B" w:rsidRPr="00A86898">
        <w:rPr>
          <w:color w:val="auto"/>
        </w:rPr>
        <w:t xml:space="preserve">n </w:t>
      </w:r>
      <w:r w:rsidR="00425A55" w:rsidRPr="00A86898">
        <w:rPr>
          <w:color w:val="auto"/>
        </w:rPr>
        <w:t>t</w:t>
      </w:r>
      <w:r w:rsidR="00BD041B" w:rsidRPr="00A86898">
        <w:rPr>
          <w:color w:val="auto"/>
        </w:rPr>
        <w:t>he Mouse Brain Using Immunofluorescence</w:t>
      </w:r>
    </w:p>
    <w:p w14:paraId="2E300B21" w14:textId="77777777" w:rsidR="007A4DD6" w:rsidRPr="00A86898" w:rsidRDefault="007A4DD6" w:rsidP="005A4ED4">
      <w:pPr>
        <w:widowControl/>
        <w:rPr>
          <w:b/>
          <w:bCs/>
          <w:color w:val="auto"/>
        </w:rPr>
      </w:pPr>
    </w:p>
    <w:p w14:paraId="3D080DA3" w14:textId="5A86FC01" w:rsidR="006305D7" w:rsidRPr="00A86898" w:rsidRDefault="006305D7" w:rsidP="005A4ED4">
      <w:pPr>
        <w:widowControl/>
        <w:rPr>
          <w:color w:val="auto"/>
        </w:rPr>
      </w:pPr>
      <w:r w:rsidRPr="00A86898">
        <w:rPr>
          <w:b/>
          <w:bCs/>
          <w:color w:val="auto"/>
        </w:rPr>
        <w:t>AUTHORS</w:t>
      </w:r>
      <w:r w:rsidR="000B662E" w:rsidRPr="00A86898">
        <w:rPr>
          <w:b/>
          <w:bCs/>
          <w:color w:val="auto"/>
        </w:rPr>
        <w:t xml:space="preserve"> </w:t>
      </w:r>
      <w:r w:rsidR="0087168E" w:rsidRPr="00A86898">
        <w:rPr>
          <w:b/>
          <w:bCs/>
          <w:color w:val="auto"/>
        </w:rPr>
        <w:t>AND</w:t>
      </w:r>
      <w:r w:rsidR="000B662E" w:rsidRPr="00A86898">
        <w:rPr>
          <w:b/>
          <w:bCs/>
          <w:color w:val="auto"/>
        </w:rPr>
        <w:t xml:space="preserve"> AFFILIATIONS</w:t>
      </w:r>
      <w:r w:rsidRPr="00A86898">
        <w:rPr>
          <w:b/>
          <w:bCs/>
          <w:color w:val="auto"/>
        </w:rPr>
        <w:t xml:space="preserve">: </w:t>
      </w:r>
    </w:p>
    <w:p w14:paraId="32B171D0" w14:textId="6D87758C" w:rsidR="007A4DD6" w:rsidRPr="00A86898" w:rsidRDefault="00F31924" w:rsidP="005A4ED4">
      <w:pPr>
        <w:widowControl/>
        <w:rPr>
          <w:color w:val="auto"/>
          <w:vertAlign w:val="superscript"/>
        </w:rPr>
      </w:pPr>
      <w:r w:rsidRPr="00A86898">
        <w:rPr>
          <w:color w:val="auto"/>
        </w:rPr>
        <w:t xml:space="preserve">Rebecca </w:t>
      </w:r>
      <w:proofErr w:type="spellStart"/>
      <w:r w:rsidRPr="00A86898">
        <w:rPr>
          <w:color w:val="auto"/>
        </w:rPr>
        <w:t>Wallrafen</w:t>
      </w:r>
      <w:proofErr w:type="spellEnd"/>
      <w:r w:rsidRPr="00A86898">
        <w:rPr>
          <w:color w:val="auto"/>
        </w:rPr>
        <w:t xml:space="preserve">, </w:t>
      </w:r>
      <w:r w:rsidR="002D5BFA" w:rsidRPr="00A86898">
        <w:rPr>
          <w:color w:val="auto"/>
        </w:rPr>
        <w:t xml:space="preserve">Thomas Dresbach, </w:t>
      </w:r>
      <w:r w:rsidRPr="00A86898">
        <w:rPr>
          <w:color w:val="auto"/>
        </w:rPr>
        <w:t>Julio S</w:t>
      </w:r>
      <w:r w:rsidR="00CD2F58">
        <w:rPr>
          <w:color w:val="auto"/>
        </w:rPr>
        <w:t>.</w:t>
      </w:r>
      <w:r w:rsidRPr="00A86898">
        <w:rPr>
          <w:color w:val="auto"/>
        </w:rPr>
        <w:t xml:space="preserve"> </w:t>
      </w:r>
      <w:proofErr w:type="spellStart"/>
      <w:r w:rsidRPr="00A86898">
        <w:rPr>
          <w:color w:val="auto"/>
        </w:rPr>
        <w:t>Viotti</w:t>
      </w:r>
      <w:proofErr w:type="spellEnd"/>
    </w:p>
    <w:p w14:paraId="1722ADD0" w14:textId="77777777" w:rsidR="00086C50" w:rsidRPr="00A86898" w:rsidRDefault="00086C50" w:rsidP="005A4ED4">
      <w:pPr>
        <w:widowControl/>
        <w:rPr>
          <w:color w:val="auto"/>
        </w:rPr>
      </w:pPr>
    </w:p>
    <w:p w14:paraId="4BB1A336" w14:textId="4140035A" w:rsidR="00F31924" w:rsidRPr="00A86898" w:rsidRDefault="00F31924" w:rsidP="005A4ED4">
      <w:pPr>
        <w:widowControl/>
        <w:rPr>
          <w:color w:val="auto"/>
        </w:rPr>
      </w:pPr>
      <w:r w:rsidRPr="00A86898">
        <w:rPr>
          <w:color w:val="auto"/>
        </w:rPr>
        <w:t xml:space="preserve">Institute of Anatomy and Embryology, University Medical Center Göttingen, </w:t>
      </w:r>
      <w:r w:rsidR="00844225" w:rsidRPr="00A86898">
        <w:rPr>
          <w:color w:val="auto"/>
        </w:rPr>
        <w:t>Göttingen</w:t>
      </w:r>
      <w:r w:rsidR="00844225">
        <w:rPr>
          <w:color w:val="auto"/>
        </w:rPr>
        <w:t xml:space="preserve">, </w:t>
      </w:r>
      <w:r w:rsidRPr="00A86898">
        <w:rPr>
          <w:color w:val="auto"/>
        </w:rPr>
        <w:t>Germany</w:t>
      </w:r>
    </w:p>
    <w:p w14:paraId="5F75CDAE" w14:textId="77777777" w:rsidR="00422222" w:rsidRPr="00A86898" w:rsidRDefault="00422222" w:rsidP="005A4ED4">
      <w:pPr>
        <w:widowControl/>
        <w:rPr>
          <w:color w:val="auto"/>
        </w:rPr>
      </w:pPr>
    </w:p>
    <w:p w14:paraId="57FC8F87" w14:textId="77777777" w:rsidR="007C1464" w:rsidRPr="001C0CB9" w:rsidRDefault="00F31924" w:rsidP="005A4ED4">
      <w:pPr>
        <w:widowControl/>
        <w:rPr>
          <w:b/>
          <w:color w:val="auto"/>
        </w:rPr>
      </w:pPr>
      <w:r w:rsidRPr="001C0CB9">
        <w:rPr>
          <w:b/>
          <w:color w:val="auto"/>
        </w:rPr>
        <w:t xml:space="preserve">Corresponding Author: </w:t>
      </w:r>
    </w:p>
    <w:p w14:paraId="123B6BB6" w14:textId="53857191" w:rsidR="00F31924" w:rsidRPr="00A86898" w:rsidRDefault="00F31924" w:rsidP="005A4ED4">
      <w:pPr>
        <w:widowControl/>
        <w:rPr>
          <w:color w:val="auto"/>
        </w:rPr>
      </w:pPr>
      <w:r w:rsidRPr="00A86898">
        <w:rPr>
          <w:color w:val="auto"/>
        </w:rPr>
        <w:t xml:space="preserve">Rebecca </w:t>
      </w:r>
      <w:proofErr w:type="spellStart"/>
      <w:r w:rsidRPr="00A86898">
        <w:rPr>
          <w:color w:val="auto"/>
        </w:rPr>
        <w:t>Wallrafen</w:t>
      </w:r>
      <w:proofErr w:type="spellEnd"/>
      <w:r w:rsidR="00002547" w:rsidRPr="00A86898">
        <w:rPr>
          <w:color w:val="auto"/>
        </w:rPr>
        <w:tab/>
        <w:t>(</w:t>
      </w:r>
      <w:hyperlink r:id="rId8" w:history="1">
        <w:r w:rsidRPr="00A86898">
          <w:rPr>
            <w:rStyle w:val="Hyperlink"/>
            <w:color w:val="auto"/>
            <w:u w:val="none"/>
          </w:rPr>
          <w:t>Rebecca.wallrafen@med.uni-goettingen.de</w:t>
        </w:r>
      </w:hyperlink>
      <w:r w:rsidR="00002547" w:rsidRPr="00A86898">
        <w:rPr>
          <w:rStyle w:val="Hyperlink"/>
          <w:color w:val="auto"/>
          <w:u w:val="none"/>
        </w:rPr>
        <w:t>)</w:t>
      </w:r>
    </w:p>
    <w:p w14:paraId="1EBFA767" w14:textId="77777777" w:rsidR="00127DE2" w:rsidRPr="00A86898" w:rsidRDefault="00127DE2" w:rsidP="005A4ED4">
      <w:pPr>
        <w:widowControl/>
        <w:rPr>
          <w:color w:val="auto"/>
        </w:rPr>
      </w:pPr>
    </w:p>
    <w:p w14:paraId="3985E293" w14:textId="587C5AA9" w:rsidR="00127DE2" w:rsidRPr="001C0CB9" w:rsidRDefault="00127DE2" w:rsidP="005A4ED4">
      <w:pPr>
        <w:widowControl/>
        <w:rPr>
          <w:b/>
          <w:color w:val="auto"/>
        </w:rPr>
      </w:pPr>
      <w:r w:rsidRPr="001C0CB9">
        <w:rPr>
          <w:b/>
          <w:color w:val="auto"/>
        </w:rPr>
        <w:t>Email Addresses</w:t>
      </w:r>
      <w:r w:rsidR="00CA5836" w:rsidRPr="001C0CB9">
        <w:rPr>
          <w:b/>
          <w:color w:val="auto"/>
        </w:rPr>
        <w:t xml:space="preserve"> of Co-authors</w:t>
      </w:r>
      <w:r w:rsidRPr="001C0CB9">
        <w:rPr>
          <w:b/>
          <w:color w:val="auto"/>
        </w:rPr>
        <w:t>:</w:t>
      </w:r>
    </w:p>
    <w:p w14:paraId="6051F82B" w14:textId="66F548B1" w:rsidR="00127DE2" w:rsidRPr="00A86898" w:rsidRDefault="00127DE2" w:rsidP="005A4ED4">
      <w:pPr>
        <w:widowControl/>
        <w:rPr>
          <w:color w:val="auto"/>
        </w:rPr>
      </w:pPr>
      <w:r w:rsidRPr="00A86898">
        <w:rPr>
          <w:color w:val="auto"/>
        </w:rPr>
        <w:t>Thomas Dresbach</w:t>
      </w:r>
      <w:r w:rsidR="00113DA2" w:rsidRPr="00A86898">
        <w:rPr>
          <w:color w:val="auto"/>
        </w:rPr>
        <w:tab/>
        <w:t>(</w:t>
      </w:r>
      <w:hyperlink r:id="rId9" w:history="1">
        <w:r w:rsidR="00113DA2" w:rsidRPr="006016A3">
          <w:t>Thomas.dresbach@med.uni-goettingen.de</w:t>
        </w:r>
      </w:hyperlink>
      <w:r w:rsidR="00113DA2" w:rsidRPr="006016A3">
        <w:t>)</w:t>
      </w:r>
    </w:p>
    <w:p w14:paraId="572094DB" w14:textId="7FFB4428" w:rsidR="00127DE2" w:rsidRPr="00A86898" w:rsidRDefault="00127DE2" w:rsidP="005A4ED4">
      <w:pPr>
        <w:widowControl/>
        <w:rPr>
          <w:color w:val="auto"/>
        </w:rPr>
      </w:pPr>
      <w:r w:rsidRPr="00A86898">
        <w:rPr>
          <w:color w:val="auto"/>
        </w:rPr>
        <w:t xml:space="preserve">Julio </w:t>
      </w:r>
      <w:r w:rsidR="00292046">
        <w:rPr>
          <w:color w:val="auto"/>
        </w:rPr>
        <w:t xml:space="preserve">S. </w:t>
      </w:r>
      <w:proofErr w:type="spellStart"/>
      <w:r w:rsidRPr="00A86898">
        <w:rPr>
          <w:color w:val="auto"/>
        </w:rPr>
        <w:t>Viotti</w:t>
      </w:r>
      <w:proofErr w:type="spellEnd"/>
      <w:r w:rsidR="00D1405E" w:rsidRPr="00A86898">
        <w:rPr>
          <w:color w:val="auto"/>
        </w:rPr>
        <w:tab/>
      </w:r>
      <w:r w:rsidR="00D1405E" w:rsidRPr="00A86898">
        <w:rPr>
          <w:color w:val="auto"/>
        </w:rPr>
        <w:tab/>
        <w:t>(</w:t>
      </w:r>
      <w:r w:rsidRPr="00A86898">
        <w:rPr>
          <w:color w:val="auto"/>
        </w:rPr>
        <w:t>julioviotti@yahoo.com.br</w:t>
      </w:r>
      <w:r w:rsidR="00D1405E" w:rsidRPr="00A86898">
        <w:rPr>
          <w:color w:val="auto"/>
        </w:rPr>
        <w:t>)</w:t>
      </w:r>
    </w:p>
    <w:p w14:paraId="60FCB589" w14:textId="26555CC4" w:rsidR="00D04A95" w:rsidRPr="00A86898" w:rsidRDefault="00D04A95" w:rsidP="005A4ED4">
      <w:pPr>
        <w:widowControl/>
        <w:rPr>
          <w:bCs/>
          <w:color w:val="auto"/>
        </w:rPr>
      </w:pPr>
    </w:p>
    <w:p w14:paraId="71B79AC9" w14:textId="2BF809DF" w:rsidR="006305D7" w:rsidRPr="00A86898" w:rsidRDefault="006305D7" w:rsidP="005A4ED4">
      <w:pPr>
        <w:pStyle w:val="NormalWeb"/>
        <w:widowControl/>
        <w:spacing w:before="0" w:beforeAutospacing="0" w:after="0" w:afterAutospacing="0"/>
        <w:rPr>
          <w:color w:val="auto"/>
        </w:rPr>
      </w:pPr>
      <w:r w:rsidRPr="00A86898">
        <w:rPr>
          <w:b/>
          <w:bCs/>
          <w:color w:val="auto"/>
        </w:rPr>
        <w:t>KEYWORDS:</w:t>
      </w:r>
    </w:p>
    <w:p w14:paraId="6C0B0781" w14:textId="056CCA68" w:rsidR="007A4DD6" w:rsidRPr="00A86898" w:rsidRDefault="006D6A5C" w:rsidP="005A4ED4">
      <w:pPr>
        <w:widowControl/>
        <w:rPr>
          <w:color w:val="auto"/>
        </w:rPr>
      </w:pPr>
      <w:r w:rsidRPr="00A86898">
        <w:rPr>
          <w:color w:val="auto"/>
        </w:rPr>
        <w:t xml:space="preserve">Immunofluorescence, </w:t>
      </w:r>
      <w:r w:rsidR="003B4104">
        <w:rPr>
          <w:color w:val="auto"/>
        </w:rPr>
        <w:t>c</w:t>
      </w:r>
      <w:r w:rsidRPr="00A86898">
        <w:rPr>
          <w:color w:val="auto"/>
        </w:rPr>
        <w:t>onfocal microscopy, quantification, synaptic proteins, mouse, Mover</w:t>
      </w:r>
      <w:r w:rsidR="002F5C63" w:rsidRPr="00A86898">
        <w:rPr>
          <w:color w:val="auto"/>
        </w:rPr>
        <w:t>, distribution</w:t>
      </w:r>
    </w:p>
    <w:p w14:paraId="1CB4E390" w14:textId="77777777" w:rsidR="006305D7" w:rsidRPr="00A86898" w:rsidRDefault="006305D7" w:rsidP="005A4ED4">
      <w:pPr>
        <w:pStyle w:val="NormalWeb"/>
        <w:widowControl/>
        <w:spacing w:before="0" w:beforeAutospacing="0" w:after="0" w:afterAutospacing="0"/>
        <w:rPr>
          <w:color w:val="auto"/>
        </w:rPr>
      </w:pPr>
    </w:p>
    <w:p w14:paraId="628AC4B5" w14:textId="5AD7FC33" w:rsidR="006305D7" w:rsidRPr="00A86898" w:rsidRDefault="006305D7" w:rsidP="005A4ED4">
      <w:pPr>
        <w:widowControl/>
        <w:rPr>
          <w:color w:val="auto"/>
        </w:rPr>
      </w:pPr>
      <w:r w:rsidRPr="00A86898">
        <w:rPr>
          <w:b/>
          <w:bCs/>
          <w:color w:val="auto"/>
        </w:rPr>
        <w:t>S</w:t>
      </w:r>
      <w:r w:rsidR="00877BAB">
        <w:rPr>
          <w:b/>
          <w:bCs/>
          <w:color w:val="auto"/>
        </w:rPr>
        <w:t>UMMARY</w:t>
      </w:r>
      <w:r w:rsidRPr="00A86898">
        <w:rPr>
          <w:b/>
          <w:bCs/>
          <w:color w:val="auto"/>
        </w:rPr>
        <w:t>:</w:t>
      </w:r>
    </w:p>
    <w:p w14:paraId="32798D51" w14:textId="0EC5257D" w:rsidR="007A4DD6" w:rsidRPr="00A86898" w:rsidRDefault="00565143" w:rsidP="005A4ED4">
      <w:pPr>
        <w:widowControl/>
        <w:rPr>
          <w:color w:val="auto"/>
        </w:rPr>
      </w:pPr>
      <w:r w:rsidRPr="00A86898">
        <w:rPr>
          <w:color w:val="auto"/>
        </w:rPr>
        <w:t>Here</w:t>
      </w:r>
      <w:r w:rsidR="00E31CB5">
        <w:rPr>
          <w:color w:val="auto"/>
        </w:rPr>
        <w:t>,</w:t>
      </w:r>
      <w:r w:rsidRPr="00A86898">
        <w:rPr>
          <w:color w:val="auto"/>
        </w:rPr>
        <w:t xml:space="preserve"> we describe a quantitative approach to determining the distribution of a synaptic protein relative to a marker protein using immunofluorescence staining, confocal microscopy</w:t>
      </w:r>
      <w:r w:rsidR="00B40474">
        <w:rPr>
          <w:color w:val="auto"/>
        </w:rPr>
        <w:t>,</w:t>
      </w:r>
      <w:r w:rsidRPr="00A86898">
        <w:rPr>
          <w:color w:val="auto"/>
        </w:rPr>
        <w:t xml:space="preserve"> and computer-based analysis.</w:t>
      </w:r>
    </w:p>
    <w:p w14:paraId="761028D6" w14:textId="77777777" w:rsidR="006305D7" w:rsidRPr="00A86898" w:rsidRDefault="006305D7" w:rsidP="005A4ED4">
      <w:pPr>
        <w:widowControl/>
        <w:rPr>
          <w:color w:val="auto"/>
        </w:rPr>
      </w:pPr>
    </w:p>
    <w:p w14:paraId="01983D12" w14:textId="47318459" w:rsidR="005856A1" w:rsidRPr="00A86898" w:rsidRDefault="006305D7" w:rsidP="005A4ED4">
      <w:pPr>
        <w:widowControl/>
        <w:rPr>
          <w:color w:val="auto"/>
        </w:rPr>
      </w:pPr>
      <w:r w:rsidRPr="00A86898">
        <w:rPr>
          <w:b/>
          <w:bCs/>
          <w:color w:val="auto"/>
        </w:rPr>
        <w:t>ABSTRACT:</w:t>
      </w:r>
    </w:p>
    <w:p w14:paraId="71100690" w14:textId="37B69D93" w:rsidR="00AA512B" w:rsidRPr="00A86898" w:rsidRDefault="00F76F60" w:rsidP="005A4ED4">
      <w:pPr>
        <w:widowControl/>
        <w:rPr>
          <w:color w:val="auto"/>
        </w:rPr>
      </w:pPr>
      <w:r w:rsidRPr="00A86898">
        <w:rPr>
          <w:color w:val="auto"/>
        </w:rPr>
        <w:t xml:space="preserve">The presence, </w:t>
      </w:r>
      <w:r w:rsidR="005856A1" w:rsidRPr="00A86898">
        <w:rPr>
          <w:color w:val="auto"/>
        </w:rPr>
        <w:t>absence</w:t>
      </w:r>
      <w:r w:rsidR="00202034">
        <w:rPr>
          <w:color w:val="auto"/>
        </w:rPr>
        <w:t>,</w:t>
      </w:r>
      <w:r w:rsidR="005856A1" w:rsidRPr="00A86898">
        <w:rPr>
          <w:color w:val="auto"/>
        </w:rPr>
        <w:t xml:space="preserve"> </w:t>
      </w:r>
      <w:r w:rsidRPr="00A86898">
        <w:rPr>
          <w:color w:val="auto"/>
        </w:rPr>
        <w:t xml:space="preserve">or levels </w:t>
      </w:r>
      <w:r w:rsidR="005856A1" w:rsidRPr="00A86898">
        <w:rPr>
          <w:color w:val="auto"/>
        </w:rPr>
        <w:t>of specific synaptic proteins can severely influence synaptic transmission. In addition to elucidating t</w:t>
      </w:r>
      <w:r w:rsidR="00C43337" w:rsidRPr="00A86898">
        <w:rPr>
          <w:color w:val="auto"/>
        </w:rPr>
        <w:t>he function of a protein</w:t>
      </w:r>
      <w:r w:rsidR="00202034">
        <w:rPr>
          <w:color w:val="auto"/>
        </w:rPr>
        <w:t>,</w:t>
      </w:r>
      <w:r w:rsidR="00C43337" w:rsidRPr="00A86898">
        <w:rPr>
          <w:color w:val="auto"/>
        </w:rPr>
        <w:t xml:space="preserve"> it is</w:t>
      </w:r>
      <w:r w:rsidR="005856A1" w:rsidRPr="00A86898">
        <w:rPr>
          <w:color w:val="auto"/>
        </w:rPr>
        <w:t xml:space="preserve"> vital to also determine its distribution. Here</w:t>
      </w:r>
      <w:r w:rsidR="00B61BBF">
        <w:rPr>
          <w:color w:val="auto"/>
        </w:rPr>
        <w:t>,</w:t>
      </w:r>
      <w:r w:rsidR="005856A1" w:rsidRPr="00A86898">
        <w:rPr>
          <w:color w:val="auto"/>
        </w:rPr>
        <w:t xml:space="preserve"> we describe a protocol employing immunofluorescence, confocal micro</w:t>
      </w:r>
      <w:r w:rsidR="00AA512B" w:rsidRPr="00A86898">
        <w:rPr>
          <w:color w:val="auto"/>
        </w:rPr>
        <w:t>scopy</w:t>
      </w:r>
      <w:r w:rsidR="009F29A0">
        <w:rPr>
          <w:color w:val="auto"/>
        </w:rPr>
        <w:t>,</w:t>
      </w:r>
      <w:r w:rsidR="00AA512B" w:rsidRPr="00A86898">
        <w:rPr>
          <w:color w:val="auto"/>
        </w:rPr>
        <w:t xml:space="preserve"> and computer-based analysis to determine the distribution of the synaptic protein Mover</w:t>
      </w:r>
      <w:r w:rsidRPr="00A86898">
        <w:rPr>
          <w:color w:val="auto"/>
        </w:rPr>
        <w:t xml:space="preserve"> (also called TPRGL or SVAP30)</w:t>
      </w:r>
      <w:r w:rsidR="00AA512B" w:rsidRPr="00A86898">
        <w:rPr>
          <w:color w:val="auto"/>
        </w:rPr>
        <w:t xml:space="preserve">. We compare the distribution of Mover to that of the synaptic vesicle protein </w:t>
      </w:r>
      <w:r w:rsidR="005D3AFD">
        <w:rPr>
          <w:color w:val="auto"/>
        </w:rPr>
        <w:t>s</w:t>
      </w:r>
      <w:r w:rsidR="00AA512B" w:rsidRPr="00A86898">
        <w:rPr>
          <w:color w:val="auto"/>
        </w:rPr>
        <w:t>y</w:t>
      </w:r>
      <w:r w:rsidR="008C2459" w:rsidRPr="00A86898">
        <w:rPr>
          <w:color w:val="auto"/>
        </w:rPr>
        <w:t>naptophysin, thereby determining</w:t>
      </w:r>
      <w:r w:rsidR="00AA512B" w:rsidRPr="00A86898">
        <w:rPr>
          <w:color w:val="auto"/>
        </w:rPr>
        <w:t xml:space="preserve"> the distribution of Mover in a quantitative manner relative to the abundance of synaptic vesicles.</w:t>
      </w:r>
      <w:r w:rsidR="00C97B09" w:rsidRPr="00A86898">
        <w:rPr>
          <w:color w:val="auto"/>
        </w:rPr>
        <w:t xml:space="preserve"> Notably, this method could potentially be implemented to allow for comparison of the distribution of proteins using different antibodies or microscopes or across different studies.</w:t>
      </w:r>
      <w:r w:rsidR="00112AC4" w:rsidRPr="00A86898">
        <w:rPr>
          <w:color w:val="auto"/>
        </w:rPr>
        <w:t xml:space="preserve"> </w:t>
      </w:r>
      <w:r w:rsidR="00AA512B" w:rsidRPr="00A86898">
        <w:rPr>
          <w:color w:val="auto"/>
        </w:rPr>
        <w:t xml:space="preserve">Our method circumvents the inherent variability of immunofluorescent </w:t>
      </w:r>
      <w:proofErr w:type="spellStart"/>
      <w:r w:rsidR="00AA512B" w:rsidRPr="00A86898">
        <w:rPr>
          <w:color w:val="auto"/>
        </w:rPr>
        <w:t>stainings</w:t>
      </w:r>
      <w:proofErr w:type="spellEnd"/>
      <w:r w:rsidR="00AA512B" w:rsidRPr="00A86898">
        <w:rPr>
          <w:color w:val="auto"/>
        </w:rPr>
        <w:t xml:space="preserve"> by yielding a ratio rather than absolute fluorescence levels. Additionally, the method we describe enables the researcher to analyze the distribution of a protein on different levels: from whole brain slices to brain region</w:t>
      </w:r>
      <w:r w:rsidR="00E35C17" w:rsidRPr="00A86898">
        <w:rPr>
          <w:color w:val="auto"/>
        </w:rPr>
        <w:t>s to different subregions in one</w:t>
      </w:r>
      <w:r w:rsidR="00AA512B" w:rsidRPr="00A86898">
        <w:rPr>
          <w:color w:val="auto"/>
        </w:rPr>
        <w:t xml:space="preserve"> brain area, such as the different layers of the hippocampus or sensory cortices.</w:t>
      </w:r>
      <w:r w:rsidR="00E35C17" w:rsidRPr="00A86898">
        <w:rPr>
          <w:color w:val="auto"/>
        </w:rPr>
        <w:t xml:space="preserve"> </w:t>
      </w:r>
      <w:r w:rsidR="00AA512B" w:rsidRPr="00A86898">
        <w:rPr>
          <w:color w:val="auto"/>
        </w:rPr>
        <w:t xml:space="preserve">Mover is a vertebrate-specific protein that is associated with synaptic vesicles. </w:t>
      </w:r>
      <w:r w:rsidR="00E35C17" w:rsidRPr="00A86898">
        <w:rPr>
          <w:color w:val="auto"/>
        </w:rPr>
        <w:t>With this method</w:t>
      </w:r>
      <w:r w:rsidR="004C0A76">
        <w:rPr>
          <w:color w:val="auto"/>
        </w:rPr>
        <w:t>,</w:t>
      </w:r>
      <w:r w:rsidR="00E35C17" w:rsidRPr="00A86898">
        <w:rPr>
          <w:color w:val="auto"/>
        </w:rPr>
        <w:t xml:space="preserve"> we</w:t>
      </w:r>
      <w:r w:rsidR="00AA512B" w:rsidRPr="00A86898">
        <w:rPr>
          <w:color w:val="auto"/>
        </w:rPr>
        <w:t xml:space="preserve"> show that Mover is heterogeneously distributed across brain areas, with high levels in the ventral pallidum, the septal nuclei</w:t>
      </w:r>
      <w:r w:rsidR="004C0A76">
        <w:rPr>
          <w:color w:val="auto"/>
        </w:rPr>
        <w:t>,</w:t>
      </w:r>
      <w:r w:rsidR="00AA512B" w:rsidRPr="00A86898">
        <w:rPr>
          <w:color w:val="auto"/>
        </w:rPr>
        <w:t xml:space="preserve"> and the amygdala, </w:t>
      </w:r>
      <w:proofErr w:type="gramStart"/>
      <w:r w:rsidR="00AA512B" w:rsidRPr="00A86898">
        <w:rPr>
          <w:color w:val="auto"/>
        </w:rPr>
        <w:t>and also</w:t>
      </w:r>
      <w:proofErr w:type="gramEnd"/>
      <w:r w:rsidR="00AA512B" w:rsidRPr="00A86898">
        <w:rPr>
          <w:color w:val="auto"/>
        </w:rPr>
        <w:t xml:space="preserve"> within single brain areas, such as the different layers of the hippocampus. </w:t>
      </w:r>
    </w:p>
    <w:p w14:paraId="4C7D5FD5" w14:textId="33D484E6" w:rsidR="006305D7" w:rsidRPr="00A86898" w:rsidRDefault="006305D7" w:rsidP="005A4ED4">
      <w:pPr>
        <w:widowControl/>
        <w:rPr>
          <w:color w:val="auto"/>
        </w:rPr>
      </w:pPr>
    </w:p>
    <w:p w14:paraId="00D25F73" w14:textId="34682081" w:rsidR="006305D7" w:rsidRPr="00A86898" w:rsidRDefault="006305D7" w:rsidP="005A4ED4">
      <w:pPr>
        <w:widowControl/>
        <w:rPr>
          <w:color w:val="auto"/>
        </w:rPr>
      </w:pPr>
      <w:r w:rsidRPr="00A86898">
        <w:rPr>
          <w:b/>
          <w:color w:val="auto"/>
        </w:rPr>
        <w:t>INTRODUCTION</w:t>
      </w:r>
      <w:r w:rsidRPr="00A86898">
        <w:rPr>
          <w:b/>
          <w:bCs/>
          <w:color w:val="auto"/>
        </w:rPr>
        <w:t>:</w:t>
      </w:r>
    </w:p>
    <w:p w14:paraId="69CABC08" w14:textId="2BFE8390" w:rsidR="008329DA" w:rsidRPr="00A86898" w:rsidRDefault="008329DA" w:rsidP="005A4ED4">
      <w:pPr>
        <w:widowControl/>
        <w:rPr>
          <w:color w:val="auto"/>
        </w:rPr>
      </w:pPr>
      <w:r w:rsidRPr="00A86898">
        <w:rPr>
          <w:color w:val="auto"/>
        </w:rPr>
        <w:t>Communication between neurons happens at specialized contact sites called synapses. Synapses contain a myriad of different proteins that orchestrate synaptic transmission</w:t>
      </w:r>
      <w:r w:rsidR="00FA3DC8" w:rsidRPr="00A86898">
        <w:rPr>
          <w:color w:val="auto"/>
        </w:rPr>
        <w:t>.</w:t>
      </w:r>
      <w:r w:rsidRPr="00A86898">
        <w:rPr>
          <w:color w:val="auto"/>
        </w:rPr>
        <w:t xml:space="preserve"> </w:t>
      </w:r>
      <w:r w:rsidR="00CC7261" w:rsidRPr="00A86898">
        <w:rPr>
          <w:color w:val="auto"/>
        </w:rPr>
        <w:t>Some</w:t>
      </w:r>
      <w:r w:rsidRPr="00A86898">
        <w:rPr>
          <w:color w:val="auto"/>
        </w:rPr>
        <w:t xml:space="preserve"> of those</w:t>
      </w:r>
      <w:r w:rsidR="00FA3DC8" w:rsidRPr="00A86898">
        <w:rPr>
          <w:color w:val="auto"/>
        </w:rPr>
        <w:t xml:space="preserve"> proteins</w:t>
      </w:r>
      <w:r w:rsidRPr="00A86898">
        <w:rPr>
          <w:color w:val="auto"/>
        </w:rPr>
        <w:t xml:space="preserve"> </w:t>
      </w:r>
      <w:r w:rsidR="00FA3DC8" w:rsidRPr="00A86898">
        <w:rPr>
          <w:color w:val="auto"/>
        </w:rPr>
        <w:t>show</w:t>
      </w:r>
      <w:r w:rsidRPr="00A86898">
        <w:rPr>
          <w:color w:val="auto"/>
        </w:rPr>
        <w:t xml:space="preserve"> a heterogeneous distribution throughout the nervous system and are not present in every synapse</w:t>
      </w:r>
      <w:r w:rsidR="00D86FB3" w:rsidRPr="00A86898">
        <w:rPr>
          <w:rStyle w:val="FootnoteReference"/>
          <w:color w:val="auto"/>
        </w:rPr>
        <w:fldChar w:fldCharType="begin" w:fldLock="1"/>
      </w:r>
      <w:r w:rsidR="00F715D6" w:rsidRPr="00A86898">
        <w:rPr>
          <w:color w:val="auto"/>
        </w:rPr>
        <w:instrText>ADDIN CSL_CITATION { "citationItems" : [ { "id" : "ITEM-1", "itemData" : { "DOI" : "10.3389/fnana.2018.00058", "ISSN" : "1662-5129", "abstract" : "The assembly and function of presynaptic nerve terminals relies on evolutionarily conserved proteins. A small number of presynaptic proteins occurs only in vertebrates. These proteins may add specialized functions to certain synapses, thus increasing synaptic heterogeneity. Here, we show that the vertebrate-specific synaptic vesicle protein mover is differentially distributed in the forebrain and cerebellum of the adult mouse. Using a quantitative immunofluorescence approach, we compare the expression of mover to the expression of the general synaptic vesicle marker synaptophysin in sixteen brain areas. We find that mover is particularly abundant in the septal nuclei, ventral pallidum, amygdala and hippocampus. Within the hippocampus, mover is predominantly associated with excitatory synapses. Its levels are low in layers that receive afferent input from the entorhinal cortex, and high in layers harboring intra-hippocampal circuits. In contrast, mover levels are high in all nuclei of the amygdala, and mover is associated with inhibitory synapses in the medioposterior amygdala. Our data reveal a striking heterogeneity in the abundance of mover on three levels, i.e. between brain areas, within individual brain areas and between synapse types. This distribution suggests a role for mover in providing specialization to subsets of synapses, thereby contributing to the functional diversity of brain areas.", "author" : [ { "dropping-particle" : "", "family" : "Wallrafen", "given" : "Rebecca", "non-dropping-particle" : "", "parse-names" : false, "suffix" : "" }, { "dropping-particle" : "", "family" : "Dresbach", "given" : "Thomas", "non-dropping-particle" : "", "parse-names" : false, "suffix" : "" } ], "container-title" : "Frontiers in Neuroanatomy", "id" : "ITEM-1", "issued" : { "date-parts" : [ [ "2018", "7" ] ] }, "page" : "58", "publisher" : "Frontiers", "title" : "The Presynaptic Protein Mover Is Differentially Expressed Across Brain Areas and Synapse Types", "type" : "article-journal", "volume" : "12" }, "uris" : [ "http://www.mendeley.com/documents/?uuid=d2b560c6-797b-35cc-92e5-8bbe263919b5", "http://www.mendeley.com/documents/?uuid=6ec9b6b2-6bcf-444a-875f-d8fe60481751", "http://www.mendeley.com/documents/?uuid=d60ec59c-3d37-4889-9839-a7fa05ae431a" ] } ], "mendeley" : { "formattedCitation" : "&lt;sup&gt;1&lt;/sup&gt;", "plainTextFormattedCitation" : "1", "previouslyFormattedCitation" : "&lt;sup&gt;1&lt;/sup&gt;" }, "properties" : { "noteIndex" : 0 }, "schema" : "https://github.com/citation-style-language/schema/raw/master/csl-citation.json" }</w:instrText>
      </w:r>
      <w:r w:rsidR="00D86FB3" w:rsidRPr="00A86898">
        <w:rPr>
          <w:rStyle w:val="FootnoteReference"/>
          <w:color w:val="auto"/>
        </w:rPr>
        <w:fldChar w:fldCharType="separate"/>
      </w:r>
      <w:r w:rsidR="00D86FB3" w:rsidRPr="00A86898">
        <w:rPr>
          <w:color w:val="auto"/>
          <w:vertAlign w:val="superscript"/>
        </w:rPr>
        <w:t>1</w:t>
      </w:r>
      <w:r w:rsidR="00D86FB3" w:rsidRPr="00A86898">
        <w:rPr>
          <w:rStyle w:val="FootnoteReference"/>
          <w:color w:val="auto"/>
        </w:rPr>
        <w:fldChar w:fldCharType="end"/>
      </w:r>
      <w:r w:rsidRPr="00A86898">
        <w:rPr>
          <w:color w:val="auto"/>
        </w:rPr>
        <w:t xml:space="preserve">. </w:t>
      </w:r>
      <w:r w:rsidR="00FA3DC8" w:rsidRPr="00A86898">
        <w:rPr>
          <w:color w:val="auto"/>
        </w:rPr>
        <w:t>One example for such a protein is Munc13, which is involved in the priming process of synaptic vesicles. There are different isoforms of Munc13, which are heterogeneously distributed throughout the brain</w:t>
      </w:r>
      <w:r w:rsidR="00D86FB3" w:rsidRPr="00A86898">
        <w:rPr>
          <w:rStyle w:val="FootnoteReference"/>
          <w:color w:val="auto"/>
        </w:rPr>
        <w:fldChar w:fldCharType="begin" w:fldLock="1"/>
      </w:r>
      <w:r w:rsidR="00F715D6" w:rsidRPr="00A86898">
        <w:rPr>
          <w:color w:val="auto"/>
        </w:rPr>
        <w:instrText>ADDIN CSL_CITATION { "citationItems" : [ { "id" : "ITEM-1", "itemData" : { "ISSN" : "0264-6021", "abstract" : "Munc13-1, a mammalian homologue of Caenorhabditis elegans unc-13p, is a presynaptic phorbol ester receptor that enhances neurotransmitter release. In the present study we analysed the regional, cellular and subcellular expression patterns in rat of two novel Munc13 proteins, Munc13-2 and Munc13-3. We demonstrate by hybridization in situ that Munc13-1 mRNA is expressed throughout the brain, whereas Munc13-2 mRNA is preferentially present in rostral brain regions, and Munc13-3 mRNA in caudal areas. In an analysis of subcellular brain fractions with isoform-specific antibodies, we show that the novel Munc13 proteins are enriched in synapses. Immunocytochemical examination of rat cerebellar sections indicates that Munc13-3, like Munc13-1, is concentrated in presynaptic terminals. Our results characterize Munc13 proteins as a family of neuron-specific, synaptic molecules that bind to syntaxin, an essential mediator of neurotransmitter release. Munc13-2 and Munc13-3 are expressed in a complementary fashion and might act in concert with Munc13-1 to modulate neurotransmitter release.", "author" : [ { "dropping-particle" : "", "family" : "Augustin", "given" : "Iris", "non-dropping-particle" : "", "parse-names" : false, "suffix" : "" }, { "dropping-particle" : "", "family" : "Betz", "given" : "A", "non-dropping-particle" : "", "parse-names" : false, "suffix" : "" }, { "dropping-particle" : "", "family" : "Herrmann", "given" : "C", "non-dropping-particle" : "", "parse-names" : false, "suffix" : "" }, { "dropping-particle" : "", "family" : "Jo", "given" : "T", "non-dropping-particle" : "", "parse-names" : false, "suffix" : "" }, { "dropping-particle" : "", "family" : "Brose", "given" : "N", "non-dropping-particle" : "", "parse-names" : false, "suffix" : "" } ], "container-title" : "Biochemical Journal", "id" : "ITEM-1", "issue" : "Pt 3", "issued" : { "date-parts" : [ [ "1999", "2" ] ] }, "page" : "363-371", "title" : "Differential expression of two novel Munc13 proteins in rat brain.", "type" : "article-journal", "volume" : "337" }, "uris" : [ "http://www.mendeley.com/documents/?uuid=7782b59f-ba76-4b4d-9477-1361c161d19e", "http://www.mendeley.com/documents/?uuid=f00ffc25-ace2-445e-9204-e599d839e2e1", "http://www.mendeley.com/documents/?uuid=5b3cc64c-2a77-49d0-92ba-553d0efb6cd2" ] } ], "mendeley" : { "formattedCitation" : "&lt;sup&gt;2&lt;/sup&gt;", "plainTextFormattedCitation" : "2", "previouslyFormattedCitation" : "&lt;sup&gt;2&lt;/sup&gt;" }, "properties" : { "noteIndex" : 0 }, "schema" : "https://github.com/citation-style-language/schema/raw/master/csl-citation.json" }</w:instrText>
      </w:r>
      <w:r w:rsidR="00D86FB3" w:rsidRPr="00A86898">
        <w:rPr>
          <w:rStyle w:val="FootnoteReference"/>
          <w:color w:val="auto"/>
        </w:rPr>
        <w:fldChar w:fldCharType="separate"/>
      </w:r>
      <w:r w:rsidR="00D86FB3" w:rsidRPr="00A86898">
        <w:rPr>
          <w:color w:val="auto"/>
          <w:vertAlign w:val="superscript"/>
        </w:rPr>
        <w:t>2</w:t>
      </w:r>
      <w:r w:rsidR="00D86FB3" w:rsidRPr="00A86898">
        <w:rPr>
          <w:rStyle w:val="FootnoteReference"/>
          <w:color w:val="auto"/>
        </w:rPr>
        <w:fldChar w:fldCharType="end"/>
      </w:r>
      <w:r w:rsidR="00FA3DC8" w:rsidRPr="00A86898">
        <w:rPr>
          <w:color w:val="auto"/>
        </w:rPr>
        <w:t>, and the presence or absence of specific isoforms can influence short-term synaptic plasticity and synaptic vesicle dynamics</w:t>
      </w:r>
      <w:r w:rsidR="00D86FB3" w:rsidRPr="00A86898">
        <w:rPr>
          <w:rStyle w:val="FootnoteReference"/>
          <w:color w:val="auto"/>
        </w:rPr>
        <w:fldChar w:fldCharType="begin" w:fldLock="1"/>
      </w:r>
      <w:r w:rsidR="00F715D6" w:rsidRPr="00A86898">
        <w:rPr>
          <w:color w:val="auto"/>
        </w:rPr>
        <w:instrText>ADDIN CSL_CITATION { "citationItems" : [ { "id" : "ITEM-1", "itemData" : { "DOI" : "10.1016/S0896-6273(02)00568-8", "ISSN" : "0896-6273", "abstract" : "Presynaptic short-term plasticity is an important adaptive mechanism regulating synaptic transmitter release at varying action potential frequencies. However, the underlying molecular mechanisms are unknown. We examined genetically defined and functionally unique axonal subpopulations of synapses in excitatory hippocampal neurons that utilize either Munc13-1 or Munc13-2 as synaptic vesicle priming factor. In contrast to Munc13-1-dependent synapses, Munc13-2-driven synapses show pronounced and transient augmentation of synaptic amplitudes following high-frequency stimulation. This augmentation is caused by a Ca2+-dependent increase in release probability and releasable vesicle pool size, and requires phospholipase C activity. Thus, differential expression of Munc13 isoforms at individual synapses represents a general mechanism that controls short-term plasticity and contributes to the heterogeneity of synaptic information coding.", "author" : [ { "dropping-particle" : "", "family" : "Rosenmund", "given" : "Christian", "non-dropping-particle" : "", "parse-names" : false, "suffix" : "" }, { "dropping-particle" : "", "family" : "Sigler", "given" : "Albrecht", "non-dropping-particle" : "", "parse-names" : false, "suffix" : "" }, { "dropping-particle" : "", "family" : "Augustin", "given" : "Iris", "non-dropping-particle" : "", "parse-names" : false, "suffix" : "" }, { "dropping-particle" : "", "family" : "Reim", "given" : "Kerstin", "non-dropping-particle" : "", "parse-names" : false, "suffix" : "" }, { "dropping-particle" : "", "family" : "Brose", "given" : "Nils", "non-dropping-particle" : "", "parse-names" : false, "suffix" : "" }, { "dropping-particle" : "", "family" : "Rhee", "given" : "Jeong-Seop", "non-dropping-particle" : "", "parse-names" : false, "suffix" : "" } ], "container-title" : "Neuron", "id" : "ITEM-1", "issue" : "3", "issued" : { "date-parts" : [ [ "2002", "1" ] ] }, "page" : "411-424", "title" : "Differential Control of Vesicle Priming and Short-Term Plasticity by Munc13 Isoforms", "type" : "article-journal", "volume" : "33" }, "uris" : [ "http://www.mendeley.com/documents/?uuid=d931a701-30a8-40db-808e-f3c48133a55e", "http://www.mendeley.com/documents/?uuid=7909287f-d0b3-4c9c-abc7-07a3110cc1b3", "http://www.mendeley.com/documents/?uuid=8c8dad79-5d1f-403a-8f27-e3fe22a871bd" ] }, { "id" : "ITEM-2", "itemData" : { "DOI" : "10.1093/cercor/bhp170", "ISSN" : "1460-2199", "PMID" : "19700493", "abstract" : "The short-term dynamics of synaptic communication between neurons provides neural networks with specific frequency-filter characteristics for information transfer. The direction of short-term synaptic plasticity, that is, facilitation versus depression, is highly dependent on and inversely correlated to the basal release probability of a synapse. Amongst the processes implicated in shaping the release probability, proteins that regulate the docking and priming of synaptic vesicles at the active zone are of special importance. Here, we found that a member of the Munc13 protein family of priming proteins, namely Munc13-2, is essential for normal release probability at hippocampal mossy fiber synapses. Paired pulse and frequency facilitation were strongly increased, whereas mossy fiber long-term potentiation was unaffected in the absence of Munc13-2. In contrast, transmission at 3 other types of hippocampal synapses, Schaffer-collateral, associational-commissural, as well as inhibitory synapses onto CA3 pyramidal neurons was unaffected by the loss of Munc13-2.", "author" : [ { "dropping-particle" : "", "family" : "Breustedt", "given" : "J", "non-dropping-particle" : "", "parse-names" : false, "suffix" : "" }, { "dropping-particle" : "", "family" : "Gundlfinger", "given" : "A", "non-dropping-particle" : "", "parse-names" : false, "suffix" : "" }, { "dropping-particle" : "", "family" : "Varoqueaux", "given" : "F", "non-dropping-particle" : "", "parse-names" : false, "suffix" : "" }, { "dropping-particle" : "", "family" : "Reim", "given" : "K", "non-dropping-particle" : "", "parse-names" : false, "suffix" : "" }, { "dropping-particle" : "", "family" : "Brose", "given" : "N", "non-dropping-particle" : "", "parse-names" : false, "suffix" : "" }, { "dropping-particle" : "", "family" : "Schmitz", "given" : "D", "non-dropping-particle" : "", "parse-names" : false, "suffix" : "" } ], "container-title" : "Cerebral cortex", "id" : "ITEM-2", "issue" : "5", "issued" : { "date-parts" : [ [ "2010", "5" ] ] }, "page" : "1109-20", "title" : "Munc13-2 differentially affects hippocampal synaptic transmission and plasticity.", "type" : "article-journal", "volume" : "20" }, "uris" : [ "http://www.mendeley.com/documents/?uuid=f958d16c-819d-32a0-b0c5-9e647eef0270", "http://www.mendeley.com/documents/?uuid=752b4c3e-49d9-4283-9303-6936c901583f", "http://www.mendeley.com/documents/?uuid=479b6333-024c-4f70-a34c-810f45d962f1" ] }, { "id" : "ITEM-3", "itemData" : { "DOI" : "10.1523/JNEUROSCI.5128-12.2013", "ISSN" : "0270-6474, 1529-2401", "abstract" : "The Munc13 gene family encodes molecules located at the synaptic active zone that regulate the reliability of synapses to encode information over a wide range of frequencies in response to action potentials. In the CNS, proteins of the Munc13 family are critical in regulating neurotransmitter release and synaptic plasticity. Although Munc13-1 is essential for synaptic transmission, it is paradoxical that Munc13-2 and Munc13-3 are functionally dispensable at some synapses, although their loss in other synapses leads to increases in frequency-dependent facilitation. We addressed this issue at the calyx of Held synapse, a giant glutamatergic synapse that we found to express all these Munc13 isoforms. We studied their roles in the regulation of synaptic transmission and their impact on the reliability of information transfer. Through detailed electrophysiological analyses of Munc13-2, Munc13-3, and Munc13-2-3 knock-out and wild-type mice, we report that the combined loss of Munc13-2 and Munc13-3 led to an increase in the rate of calcium-dependent recovery and a change in kinetics of release of the readily releasable pool. Furthermore, viral-mediated overexpression of a dominant-negative form of Munc13-1 at the calyx demonstrated that these effects are Munc13-1 dependent. Quantitative immunohistochemistry using Munc13\u2013fluorescent protein knock-in mice revealed that Munc13-1 is the most highly expressed Munc13 isoform at the calyx and the only one highly colocalized with Bassoon at the active zone. Based on these data, we conclude that Munc13-2 and Munc13-3 isoforms limit the ability of Munc13-1 to regulate calcium-dependent replenishment of readily releasable pool and slow pool to fast pool conversion in central synapses.", "author" : [ { "dropping-particle" : "", "family" : "Chen", "given" : "Zuxin", "non-dropping-particle" : "", "parse-names" : false, "suffix" : "" }, { "dropping-particle" : "", "family" : "Cooper", "given" : "Benjamin", "non-dropping-particle" : "", "parse-names" : false, "suffix" : "" }, { "dropping-particle" : "", "family" : "Kalla", "given" : "Stefan", "non-dropping-particle" : "", "parse-names" : false, "suffix" : "" }, { "dropping-particle" : "", "family" : "Varoqueaux", "given" : "Frederique", "non-dropping-particle" : "", "parse-names" : false, "suffix" : "" }, { "dropping-particle" : "", "family" : "Young", "given" : "Samuel M.", "non-dropping-particle" : "", "parse-names" : false, "suffix" : "" } ], "container-title" : "The Journal of Neuroscience", "id" : "ITEM-3", "issue" : "19", "issued" : { "date-parts" : [ [ "2013", "5" ] ] }, "language" : "en", "page" : "8336-8351", "title" : "The Munc13 Proteins Differentially Regulate Readily Releasable Pool Dynamics and Calcium-Dependent Recovery at a Central Synapse", "type" : "article-journal", "volume" : "33" }, "uris" : [ "http://www.mendeley.com/documents/?uuid=6072a4b3-68e2-423d-8c6d-0f93d1649ea1", "http://www.mendeley.com/documents/?uuid=38b88927-9f91-4ef3-a8d1-44b200198775", "http://www.mendeley.com/documents/?uuid=0f767851-8d01-4bac-b266-7a9b32366bee" ] } ], "mendeley" : { "formattedCitation" : "&lt;sup&gt;3\u20135&lt;/sup&gt;", "plainTextFormattedCitation" : "3\u20135", "previouslyFormattedCitation" : "&lt;sup&gt;3\u20135&lt;/sup&gt;" }, "properties" : { "noteIndex" : 0 }, "schema" : "https://github.com/citation-style-language/schema/raw/master/csl-citation.json" }</w:instrText>
      </w:r>
      <w:r w:rsidR="00D86FB3" w:rsidRPr="00A86898">
        <w:rPr>
          <w:rStyle w:val="FootnoteReference"/>
          <w:color w:val="auto"/>
        </w:rPr>
        <w:fldChar w:fldCharType="separate"/>
      </w:r>
      <w:r w:rsidR="00D86FB3" w:rsidRPr="00A86898">
        <w:rPr>
          <w:color w:val="auto"/>
          <w:vertAlign w:val="superscript"/>
        </w:rPr>
        <w:t>3</w:t>
      </w:r>
      <w:r w:rsidR="0088731B">
        <w:rPr>
          <w:color w:val="auto"/>
          <w:vertAlign w:val="superscript"/>
        </w:rPr>
        <w:t>-</w:t>
      </w:r>
      <w:r w:rsidR="00D86FB3" w:rsidRPr="00A86898">
        <w:rPr>
          <w:color w:val="auto"/>
          <w:vertAlign w:val="superscript"/>
        </w:rPr>
        <w:t>5</w:t>
      </w:r>
      <w:r w:rsidR="00D86FB3" w:rsidRPr="00A86898">
        <w:rPr>
          <w:rStyle w:val="FootnoteReference"/>
          <w:color w:val="auto"/>
        </w:rPr>
        <w:fldChar w:fldCharType="end"/>
      </w:r>
      <w:r w:rsidRPr="00A86898">
        <w:rPr>
          <w:color w:val="auto"/>
        </w:rPr>
        <w:t>. Therefore, it is of vital importance to be able to identify the presence of different synaptic proteins across brain areas.</w:t>
      </w:r>
    </w:p>
    <w:p w14:paraId="44006974" w14:textId="77777777" w:rsidR="00775D61" w:rsidRPr="00A86898" w:rsidRDefault="00775D61" w:rsidP="005A4ED4">
      <w:pPr>
        <w:widowControl/>
        <w:rPr>
          <w:color w:val="auto"/>
        </w:rPr>
      </w:pPr>
    </w:p>
    <w:p w14:paraId="53D5348C" w14:textId="1A5E4205" w:rsidR="006863E4" w:rsidRPr="00A86898" w:rsidRDefault="006863E4" w:rsidP="005A4ED4">
      <w:pPr>
        <w:widowControl/>
        <w:rPr>
          <w:color w:val="auto"/>
        </w:rPr>
      </w:pPr>
      <w:r w:rsidRPr="00A86898">
        <w:rPr>
          <w:color w:val="auto"/>
        </w:rPr>
        <w:t>The method</w:t>
      </w:r>
      <w:r w:rsidR="003C15BB" w:rsidRPr="00A86898">
        <w:rPr>
          <w:color w:val="auto"/>
        </w:rPr>
        <w:t>s</w:t>
      </w:r>
      <w:r w:rsidRPr="00A86898">
        <w:rPr>
          <w:color w:val="auto"/>
        </w:rPr>
        <w:t xml:space="preserve"> of choice for quantification of </w:t>
      </w:r>
      <w:r w:rsidR="00F10207" w:rsidRPr="00A86898">
        <w:rPr>
          <w:color w:val="auto"/>
        </w:rPr>
        <w:t>synaptic proteins</w:t>
      </w:r>
      <w:r w:rsidR="00E23BCC" w:rsidRPr="00A86898">
        <w:rPr>
          <w:color w:val="auto"/>
        </w:rPr>
        <w:t xml:space="preserve"> – so far </w:t>
      </w:r>
      <w:r w:rsidR="000E6254" w:rsidRPr="00A86898">
        <w:rPr>
          <w:color w:val="auto"/>
        </w:rPr>
        <w:t xml:space="preserve">– </w:t>
      </w:r>
      <w:r w:rsidR="003C15BB" w:rsidRPr="00A86898">
        <w:rPr>
          <w:color w:val="auto"/>
        </w:rPr>
        <w:t>are mass spectrometry and</w:t>
      </w:r>
      <w:r w:rsidR="00F10207" w:rsidRPr="00A86898">
        <w:rPr>
          <w:color w:val="auto"/>
        </w:rPr>
        <w:t xml:space="preserve"> Western blot</w:t>
      </w:r>
      <w:r w:rsidR="003C15BB" w:rsidRPr="00A86898">
        <w:rPr>
          <w:color w:val="auto"/>
        </w:rPr>
        <w:t>ting</w:t>
      </w:r>
      <w:r w:rsidR="00F10207" w:rsidRPr="00A86898">
        <w:rPr>
          <w:color w:val="auto"/>
        </w:rPr>
        <w:t xml:space="preserve">, </w:t>
      </w:r>
      <w:r w:rsidR="001907FB" w:rsidRPr="00A86898">
        <w:rPr>
          <w:color w:val="auto"/>
        </w:rPr>
        <w:t>rather than</w:t>
      </w:r>
      <w:r w:rsidR="00F10207" w:rsidRPr="00A86898">
        <w:rPr>
          <w:color w:val="auto"/>
        </w:rPr>
        <w:t xml:space="preserve"> immunohistochemistry</w:t>
      </w:r>
      <w:r w:rsidR="00D86FB3" w:rsidRPr="00A86898">
        <w:rPr>
          <w:rStyle w:val="FootnoteReference"/>
          <w:color w:val="auto"/>
        </w:rPr>
        <w:fldChar w:fldCharType="begin" w:fldLock="1"/>
      </w:r>
      <w:r w:rsidR="003C15BB" w:rsidRPr="00A86898">
        <w:rPr>
          <w:color w:val="auto"/>
        </w:rPr>
        <w:instrText>ADDIN CSL_CITATION { "citationItems" : [ { "id" : "ITEM-1", "itemData" : { "DOI" : "10.1007/s12033-013-9672-6", "author" : [ { "dropping-particle" : "", "family" : "Taylor", "given" : "Sean C", "non-dropping-particle" : "", "parse-names" : false, "suffix" : "" }, { "dropping-particle" : "", "family" : "Berkelman", "given" : "Thomas", "non-dropping-particle" : "", "parse-names" : false, "suffix" : "" }, { "dropping-particle" : "", "family" : "Yadav", "given" : "Geetha", "non-dropping-particle" : "", "parse-names" : false, "suffix" : "" }, { "dropping-particle" : "", "family" : "Hammond", "given" : "Matt", "non-dropping-particle" : "", "parse-names" : false, "suffix" : "" } ], "id" : "ITEM-1", "issued" : { "date-parts" : [ [ "2013" ] ] }, "title" : "A Defined Methodology for Reliable Quantification of Western Blot Data", "type" : "article-journal" }, "uris" : [ "http://www.mendeley.com/documents/?uuid=a89f4456-50ac-478f-a150-7e1272ad81f8", "http://www.mendeley.com/documents/?uuid=e8b052b6-381b-43c0-8914-aa47dfccfea4" ] }, { "id" : "ITEM-2", "itemData" : { "DOI" : "10.1016/j.jim.2009.12.007", "ISSN" : "0022-1759", "author" : [ { "dropping-particle" : "", "family" : "Charette", "given" : "Steve J", "non-dropping-particle" : "", "parse-names" : false, "suffix" : "" }, { "dropping-particle" : "", "family" : "Lambert", "given" : "Herman", "non-dropping-particle" : "", "parse-names" : false, "suffix" : "" }, { "dropping-particle" : "", "family" : "Nadeau", "given" : "Philippe J", "non-dropping-particle" : "", "parse-names" : false, "suffix" : "" }, { "dropping-particle" : "", "family" : "Landry", "given" : "Jacques", "non-dropping-particle" : "", "parse-names" : false, "suffix" : "" } ], "container-title" : "Journal of Immunological Methods", "id" : "ITEM-2", "issue" : "1-2", "issued" : { "date-parts" : [ [ "2010" ] ] }, "page" : "148-150", "publisher" : "Elsevier B.V.", "title" : "Protein quantification by chemiluminescent Western blotting : Elimination of the antibody factor by dilution series and calibration curve", "type" : "article-journal", "volume" : "353" }, "uris" : [ "http://www.mendeley.com/documents/?uuid=6f8431dd-3462-4c63-983b-8ab05d101f24", "http://www.mendeley.com/documents/?uuid=fb800981-afc1-42e0-aa90-af60fe243f51" ] }, { "id" : "ITEM-3", "itemData" : { "DOI" : "10.1016/j.jim.2009.03.018", "ISSN" : "0022-1759", "author" : [ { "dropping-particle" : "", "family" : "Heidebrecht", "given" : "F", "non-dropping-particle" : "", "parse-names" : false, "suffix" : "" }, { "dropping-particle" : "", "family" : "Heidebrecht", "given" : "A", "non-dropping-particle" : "", "parse-names" : false, "suffix" : "" }, { "dropping-particle" : "", "family" : "Schulz", "given" : "I", "non-dropping-particle" : "", "parse-names" : false, "suffix" : "" }, { "dropping-particle" : "", "family" : "Behrens", "given" : "S", "non-dropping-particle" : "", "parse-names" : false, "suffix" : "" }, { "dropping-particle" : "", "family" : "Bader", "given" : "A", "non-dropping-particle" : "", "parse-names" : false, "suffix" : "" } ], "container-title" : "Journal of Immunological Methods", "id" : "ITEM-3", "issue" : "1-2", "issued" : { "date-parts" : [ [ "2009" ] ] }, "page" : "40-48", "publisher" : "Elsevier B.V.", "title" : "Improved semiquantitative Western blot technique with increased quantification range", "type" : "article-journal", "volume" : "345" }, "uris" : [ "http://www.mendeley.com/documents/?uuid=c1e829f2-ebf1-41ae-95fb-9c98dfe9199a", "http://www.mendeley.com/documents/?uuid=1a5414a9-d9bc-4834-95b1-0def0c8b0bdc" ] }, { "id" : "ITEM-4", "itemData" : { "DOI" : "10.1038/labinvest.2016.148", "ISSN" : "0023-6837", "author" : [ { "dropping-particle" : "", "family" : "Toki", "given" : "Maria I", "non-dropping-particle" : "", "parse-names" : false, "suffix" : "" }, { "dropping-particle" : "", "family" : "Cecchi", "given" : "Fabiola", "non-dropping-particle" : "", "parse-names" : false, "suffix" : "" }, { "dropping-particle" : "", "family" : "Hembrough", "given" : "Todd", "non-dropping-particle" : "", "parse-names" : false, "suffix" : "" }, { "dropping-particle" : "", "family" : "Syrigos", "given" : "Konstantinos N", "non-dropping-particle" : "", "parse-names" : false, "suffix" : "" }, { "dropping-particle" : "", "family" : "Rimm", "given" : "David L", "non-dropping-particle" : "", "parse-names" : false, "suffix" : "" } ], "container-title" : "Laboratory Investigation", "id" : "ITEM-4", "issue" : "3", "issued" : { "date-parts" : [ [ "2017" ] ] }, "page" : "329-334", "publisher" : "Nature Publishing Group", "title" : "Proof of the quantitative potential of immunofluorescence by mass spectrometry", "type" : "article-journal", "volume" : "97" }, "uris" : [ "http://www.mendeley.com/documents/?uuid=fb5f226b-b349-428a-b877-04adf32250c3" ] } ], "mendeley" : { "formattedCitation" : "&lt;sup&gt;6\u20139&lt;/sup&gt;", "plainTextFormattedCitation" : "6\u20139", "previouslyFormattedCitation" : "&lt;sup&gt;6\u20139&lt;/sup&gt;"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bCs/>
          <w:color w:val="auto"/>
          <w:vertAlign w:val="superscript"/>
        </w:rPr>
        <w:t>6</w:t>
      </w:r>
      <w:r w:rsidR="004A4855">
        <w:rPr>
          <w:bCs/>
          <w:color w:val="auto"/>
          <w:vertAlign w:val="superscript"/>
        </w:rPr>
        <w:t>-</w:t>
      </w:r>
      <w:r w:rsidR="003C15BB" w:rsidRPr="00A86898">
        <w:rPr>
          <w:bCs/>
          <w:color w:val="auto"/>
          <w:vertAlign w:val="superscript"/>
        </w:rPr>
        <w:t>9</w:t>
      </w:r>
      <w:r w:rsidR="00D86FB3" w:rsidRPr="00A86898">
        <w:rPr>
          <w:rStyle w:val="FootnoteReference"/>
          <w:color w:val="auto"/>
        </w:rPr>
        <w:fldChar w:fldCharType="end"/>
      </w:r>
      <w:r w:rsidR="00F10207" w:rsidRPr="00A86898">
        <w:rPr>
          <w:color w:val="auto"/>
        </w:rPr>
        <w:t>.</w:t>
      </w:r>
      <w:r w:rsidR="00AF431E" w:rsidRPr="00A86898">
        <w:rPr>
          <w:color w:val="auto"/>
        </w:rPr>
        <w:t xml:space="preserve"> </w:t>
      </w:r>
      <w:r w:rsidR="001907FB" w:rsidRPr="00A86898">
        <w:rPr>
          <w:color w:val="auto"/>
        </w:rPr>
        <w:t xml:space="preserve">In some cases, </w:t>
      </w:r>
      <w:r w:rsidR="005E42DE" w:rsidRPr="00A86898">
        <w:rPr>
          <w:color w:val="auto"/>
        </w:rPr>
        <w:t>several</w:t>
      </w:r>
      <w:r w:rsidR="001907FB" w:rsidRPr="00A86898">
        <w:rPr>
          <w:color w:val="auto"/>
        </w:rPr>
        <w:t xml:space="preserve"> methods are used to complement each other</w:t>
      </w:r>
      <w:r w:rsidR="00F10207" w:rsidRPr="00A86898">
        <w:rPr>
          <w:color w:val="auto"/>
        </w:rPr>
        <w:t xml:space="preserve"> to assess both the quantity and the loca</w:t>
      </w:r>
      <w:r w:rsidR="001907FB" w:rsidRPr="00A86898">
        <w:rPr>
          <w:color w:val="auto"/>
        </w:rPr>
        <w:t>lizat</w:t>
      </w:r>
      <w:r w:rsidR="00F10207" w:rsidRPr="00A86898">
        <w:rPr>
          <w:color w:val="auto"/>
        </w:rPr>
        <w:t>ion of specific proteins (</w:t>
      </w:r>
      <w:r w:rsidR="005A4ED4" w:rsidRPr="00A86898">
        <w:rPr>
          <w:i/>
          <w:color w:val="auto"/>
        </w:rPr>
        <w:t>i.e.</w:t>
      </w:r>
      <w:r w:rsidR="005A4ED4" w:rsidRPr="00DC0F23">
        <w:rPr>
          <w:color w:val="auto"/>
        </w:rPr>
        <w:t>,</w:t>
      </w:r>
      <w:r w:rsidR="00D076C7" w:rsidRPr="00A86898">
        <w:rPr>
          <w:color w:val="auto"/>
        </w:rPr>
        <w:t xml:space="preserve"> Wilhelm</w:t>
      </w:r>
      <w:r w:rsidR="005A4ED4" w:rsidRPr="00A86898">
        <w:rPr>
          <w:i/>
          <w:color w:val="auto"/>
        </w:rPr>
        <w:t xml:space="preserve"> et al.</w:t>
      </w:r>
      <w:r w:rsidR="00D86FB3" w:rsidRPr="00A86898">
        <w:rPr>
          <w:rStyle w:val="FootnoteReference"/>
          <w:color w:val="auto"/>
        </w:rPr>
        <w:fldChar w:fldCharType="begin" w:fldLock="1"/>
      </w:r>
      <w:r w:rsidR="003C15BB" w:rsidRPr="00A86898">
        <w:rPr>
          <w:color w:val="auto"/>
        </w:rPr>
        <w:instrText>ADDIN CSL_CITATION { "citationItems" : [ { "id" : "ITEM-1", "itemData" : { "DOI" : "10.1126/science.1252884", "ISSN" : "0036-8075", "abstract" : "Synaptic vesicle recycling has long served as a model for the general mechanisms of cellular trafficking. We used an integrative approach, combining quantitative immunoblotting and mass spectrometry to determine protein numbers; electron microscopy to measure organelle numbers, sizes, and positions; and super-resolution fluorescence microscopy to localize the proteins. Using these data, we generated a three-dimensional model of an \"average\" synapse, displaying 300,000 proteins in atomic detail. The copy numbers of proteins involved in the same step of synaptic vesicle recycling correlated closely. In contrast, copy numbers varied over more than three orders of magnitude between steps, from about 150 copies for the endosomal fusion proteins to more than 20,000 for the exocytotic ones.", "author" : [ { "dropping-particle" : "", "family" : "Wilhelm", "given" : "Benjamin G.", "non-dropping-particle" : "", "parse-names" : false, "suffix" : "" }, { "dropping-particle" : "", "family" : "Mandad", "given" : "Sunit", "non-dropping-particle" : "", "parse-names" : false, "suffix" : "" }, { "dropping-particle" : "", "family" : "Truckenbrodt", "given" : "Sven", "non-dropping-particle" : "", "parse-names" : false, "suffix" : "" }, { "dropping-particle" : "", "family" : "Kr\u00f6hnert", "given" : "Katharina", "non-dropping-particle" : "", "parse-names" : false, "suffix" : "" }, { "dropping-particle" : "", "family" : "Sch\u00e4fer", "given" : "Christina", "non-dropping-particle" : "", "parse-names" : false, "suffix" : "" }, { "dropping-particle" : "", "family" : "Rammner", "given" : "Burkhard", "non-dropping-particle" : "", "parse-names" : false, "suffix" : "" }, { "dropping-particle" : "", "family" : "Koo", "given" : "Seong Joo", "non-dropping-particle" : "", "parse-names" : false, "suffix" : "" }, { "dropping-particle" : "", "family" : "Cla\u00dfen", "given" : "Gala A.", "non-dropping-particle" : "", "parse-names" : false, "suffix" : "" }, { "dropping-particle" : "", "family" : "Krauss", "given" : "Michael", "non-dropping-particle" : "", "parse-names" : false, "suffix" : "" }, { "dropping-particle" : "", "family" : "Haucke", "given" : "Volker", "non-dropping-particle" : "", "parse-names" : false, "suffix" : "" }, { "dropping-particle" : "", "family" : "Urlaub", "given" : "Henning", "non-dropping-particle" : "", "parse-names" : false, "suffix" : "" }, { "dropping-particle" : "", "family" : "Rizzoli", "given" : "Silvio O.", "non-dropping-particle" : "", "parse-names" : false, "suffix" : "" } ], "container-title" : "Science", "id" : "ITEM-1", "issue" : "6187", "issued" : { "date-parts" : [ [ "2014", "5" ] ] }, "language" : "en", "page" : "1023-1028", "title" : "Composition of isolated synaptic boutons reveals the amounts of vesicle trafficking proteins", "type" : "article-journal", "volume" : "344" }, "uris" : [ "http://www.mendeley.com/documents/?uuid=3054ac80-776c-42f2-b73d-143f7837f15d", "http://www.mendeley.com/documents/?uuid=825dd29a-5238-4f24-8f66-6f4cf48b1093", "http://www.mendeley.com/documents/?uuid=b2efa512-0b04-4109-b9ca-4b4be16390bf" ] } ], "mendeley" : { "formattedCitation" : "&lt;sup&gt;10&lt;/sup&gt;", "plainTextFormattedCitation" : "10", "previouslyFormattedCitation" : "&lt;sup&gt;10&lt;/sup&gt;"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color w:val="auto"/>
          <w:vertAlign w:val="superscript"/>
        </w:rPr>
        <w:t>10</w:t>
      </w:r>
      <w:r w:rsidR="00D86FB3" w:rsidRPr="00A86898">
        <w:rPr>
          <w:rStyle w:val="FootnoteReference"/>
          <w:color w:val="auto"/>
        </w:rPr>
        <w:fldChar w:fldCharType="end"/>
      </w:r>
      <w:r w:rsidR="00247F17" w:rsidRPr="00A86898">
        <w:rPr>
          <w:color w:val="auto"/>
        </w:rPr>
        <w:t>)</w:t>
      </w:r>
      <w:r w:rsidR="00F10207" w:rsidRPr="00A86898">
        <w:rPr>
          <w:color w:val="auto"/>
        </w:rPr>
        <w:t xml:space="preserve">. </w:t>
      </w:r>
      <w:r w:rsidR="001907FB" w:rsidRPr="00A86898">
        <w:rPr>
          <w:color w:val="auto"/>
        </w:rPr>
        <w:t>The</w:t>
      </w:r>
      <w:r w:rsidR="00F10207" w:rsidRPr="00A86898">
        <w:rPr>
          <w:color w:val="auto"/>
        </w:rPr>
        <w:t xml:space="preserve"> method we describe here allows for the localization and quantification of proteins of interest without the need of using any biochemical method</w:t>
      </w:r>
      <w:r w:rsidR="001907FB" w:rsidRPr="00A86898">
        <w:rPr>
          <w:color w:val="auto"/>
        </w:rPr>
        <w:t xml:space="preserve">, simply employing immunofluorescent </w:t>
      </w:r>
      <w:proofErr w:type="spellStart"/>
      <w:r w:rsidR="001907FB" w:rsidRPr="00A86898">
        <w:rPr>
          <w:color w:val="auto"/>
        </w:rPr>
        <w:t>stainings</w:t>
      </w:r>
      <w:proofErr w:type="spellEnd"/>
      <w:r w:rsidR="001907FB" w:rsidRPr="00A86898">
        <w:rPr>
          <w:color w:val="auto"/>
        </w:rPr>
        <w:t>.</w:t>
      </w:r>
      <w:r w:rsidR="00F10207" w:rsidRPr="00A86898">
        <w:rPr>
          <w:color w:val="auto"/>
        </w:rPr>
        <w:t xml:space="preserve"> </w:t>
      </w:r>
      <w:r w:rsidR="00674B96" w:rsidRPr="00A86898">
        <w:rPr>
          <w:color w:val="auto"/>
        </w:rPr>
        <w:t>Another</w:t>
      </w:r>
      <w:r w:rsidR="00F10207" w:rsidRPr="00A86898">
        <w:rPr>
          <w:color w:val="auto"/>
        </w:rPr>
        <w:t xml:space="preserve"> advantage</w:t>
      </w:r>
      <w:r w:rsidR="00AF431E" w:rsidRPr="00A86898">
        <w:rPr>
          <w:color w:val="auto"/>
        </w:rPr>
        <w:t xml:space="preserve"> here is that the quantification can be done over areas much smaller and, therefore, more specific, than those achieved by </w:t>
      </w:r>
      <w:r w:rsidR="003C15BB" w:rsidRPr="00A86898">
        <w:rPr>
          <w:color w:val="auto"/>
        </w:rPr>
        <w:t>other</w:t>
      </w:r>
      <w:r w:rsidR="00AF431E" w:rsidRPr="00A86898">
        <w:rPr>
          <w:color w:val="auto"/>
        </w:rPr>
        <w:t xml:space="preserve"> methods. </w:t>
      </w:r>
      <w:r w:rsidR="000E6254" w:rsidRPr="00A86898">
        <w:rPr>
          <w:color w:val="auto"/>
        </w:rPr>
        <w:t>However, o</w:t>
      </w:r>
      <w:r w:rsidR="00674B96" w:rsidRPr="00A86898">
        <w:rPr>
          <w:color w:val="auto"/>
        </w:rPr>
        <w:t xml:space="preserve">ne </w:t>
      </w:r>
      <w:proofErr w:type="gramStart"/>
      <w:r w:rsidR="00674B96" w:rsidRPr="00A86898">
        <w:rPr>
          <w:color w:val="auto"/>
        </w:rPr>
        <w:t>has to</w:t>
      </w:r>
      <w:proofErr w:type="gramEnd"/>
      <w:r w:rsidR="00674B96" w:rsidRPr="00A86898">
        <w:rPr>
          <w:color w:val="auto"/>
        </w:rPr>
        <w:t xml:space="preserve"> </w:t>
      </w:r>
      <w:r w:rsidR="00D501D9" w:rsidRPr="00A86898">
        <w:rPr>
          <w:color w:val="auto"/>
        </w:rPr>
        <w:t>take into consideration</w:t>
      </w:r>
      <w:r w:rsidR="00674B96" w:rsidRPr="00A86898">
        <w:rPr>
          <w:color w:val="auto"/>
        </w:rPr>
        <w:t xml:space="preserve"> that</w:t>
      </w:r>
      <w:r w:rsidR="00AF431E" w:rsidRPr="00A86898">
        <w:rPr>
          <w:color w:val="auto"/>
        </w:rPr>
        <w:t xml:space="preserve"> a reliable reference protein </w:t>
      </w:r>
      <w:r w:rsidR="00674B96" w:rsidRPr="00A86898">
        <w:rPr>
          <w:color w:val="auto"/>
        </w:rPr>
        <w:t xml:space="preserve">is needed </w:t>
      </w:r>
      <w:r w:rsidR="00AF431E" w:rsidRPr="00A86898">
        <w:rPr>
          <w:color w:val="auto"/>
        </w:rPr>
        <w:t xml:space="preserve">to assess the distribution of </w:t>
      </w:r>
      <w:r w:rsidR="00674B96" w:rsidRPr="00A86898">
        <w:rPr>
          <w:color w:val="auto"/>
        </w:rPr>
        <w:t>the</w:t>
      </w:r>
      <w:r w:rsidR="00AF431E" w:rsidRPr="00A86898">
        <w:rPr>
          <w:color w:val="auto"/>
        </w:rPr>
        <w:t xml:space="preserve"> protein of interest.</w:t>
      </w:r>
    </w:p>
    <w:p w14:paraId="79F8582A" w14:textId="77777777" w:rsidR="00775D61" w:rsidRPr="00A86898" w:rsidRDefault="00775D61" w:rsidP="005A4ED4">
      <w:pPr>
        <w:widowControl/>
        <w:rPr>
          <w:color w:val="auto"/>
        </w:rPr>
      </w:pPr>
    </w:p>
    <w:p w14:paraId="0BD0A654" w14:textId="5389E3D6" w:rsidR="008329DA" w:rsidRPr="00A86898" w:rsidRDefault="008329DA" w:rsidP="005A4ED4">
      <w:pPr>
        <w:widowControl/>
        <w:rPr>
          <w:color w:val="auto"/>
        </w:rPr>
      </w:pPr>
      <w:r w:rsidRPr="00A86898">
        <w:rPr>
          <w:color w:val="auto"/>
        </w:rPr>
        <w:t xml:space="preserve">Fluorescent staining by immunohistochemistry allows us to routinely identify the localization of proteins across brain areas as well as within different neuronal compartments. To identify </w:t>
      </w:r>
      <w:r w:rsidR="00383EE0" w:rsidRPr="00A86898">
        <w:rPr>
          <w:color w:val="auto"/>
        </w:rPr>
        <w:t>the different compartments, s</w:t>
      </w:r>
      <w:r w:rsidRPr="00A86898">
        <w:rPr>
          <w:color w:val="auto"/>
        </w:rPr>
        <w:t xml:space="preserve">pecific markers are used. Typically, antibodies against </w:t>
      </w:r>
      <w:proofErr w:type="spellStart"/>
      <w:r w:rsidR="00992D82">
        <w:rPr>
          <w:color w:val="auto"/>
        </w:rPr>
        <w:t>s</w:t>
      </w:r>
      <w:r w:rsidRPr="00A86898">
        <w:rPr>
          <w:color w:val="auto"/>
        </w:rPr>
        <w:t>ynapsin</w:t>
      </w:r>
      <w:proofErr w:type="spellEnd"/>
      <w:r w:rsidRPr="00A86898">
        <w:rPr>
          <w:color w:val="auto"/>
        </w:rPr>
        <w:t xml:space="preserve"> and </w:t>
      </w:r>
      <w:r w:rsidR="00992D82">
        <w:rPr>
          <w:color w:val="auto"/>
        </w:rPr>
        <w:t>s</w:t>
      </w:r>
      <w:r w:rsidRPr="00A86898">
        <w:rPr>
          <w:color w:val="auto"/>
        </w:rPr>
        <w:t>ynaptophysin</w:t>
      </w:r>
      <w:r w:rsidR="00D86FB3" w:rsidRPr="00A86898">
        <w:rPr>
          <w:rStyle w:val="FootnoteReference"/>
          <w:color w:val="auto"/>
        </w:rPr>
        <w:fldChar w:fldCharType="begin" w:fldLock="1"/>
      </w:r>
      <w:r w:rsidR="003C15BB" w:rsidRPr="00A86898">
        <w:rPr>
          <w:color w:val="auto"/>
        </w:rPr>
        <w:instrText>ADDIN CSL_CITATION { "citationItems" : [ { "id" : "ITEM-1", "itemData" : { "ISBN" : "0021-9525 (Print)\\r0021-9525 (Linking)", "ISSN" : "15408140", "PMID" : "3097029", "abstract" : "An intrinsic membrane protein of brain synaptic vesicles with Mr 38,000 (p38, synaptophysin) has recently been partially characterized (Jahn, R., W. Schiebler, C. Ouimet, and P. Greengard, 1985, Proc. Natl. Acad. Sci. USA, 83:4137-4141; Wiedenmann, B., and W. W. Franke, 1985, Cell, 41:1017-1028). We have now studied the presence of p38 in a variety of tissues by light and electron microscopy immunocytochemistry and by immunochemistry. Our results indicate that, within the nervous system, p38, like the neuron-specific phosphoprotein synapsin I, is present in virtually all nerve terminals and is selectively associated with small synaptic vesicles (SSVs). No p38 was detectable on large dense-core vesicles (LDCVs). p38 and synapsin I were found to be present in similar concentrations throughout the brain. Outside the nervous system, p38 was found in a variety of neuroendocrine cells, but not in any other cell type. In neuroendocrine cells p38 was localized on a pleiomorphic population of small, smooth-surfaced vesicles, which were interspersed among secretory granules and concentrated in the Golgi area, but not on the secretory granules themselves. Immunoblot analysis of endocrine tissues and cell lines revealed a band with a mobility slightly different from that of neuronal p38. This difference was attributable to a difference in glycosylation. The finding that p38, like synapsin I, is a component of SSVs of virtually all neurons, but not of LDCVs, supports the idea that SSVs and LDCVs are organelles of two distinct pathways for regulated neuronal secretion. In addition, our results indicate the presence in a variety of neuroendocrine cells of an endomembrane system, which is related to SSVs of neurons but is distinct from secretory granules.", "author" : [ { "dropping-particle" : "", "family" : "Navone", "given" : "Francesca", "non-dropping-particle" : "", "parse-names" : false, "suffix" : "" }, { "dropping-particle" : "", "family" : "Jahn", "given" : "Reinhard", "non-dropping-particle" : "", "parse-names" : false, "suffix" : "" }, { "dropping-particle" : "Di", "family" : "Gioia", "given" : "Giuseppe", "non-dropping-particle" : "", "parse-names" : false, "suffix" : "" }, { "dropping-particle" : "", "family" : "Stukenbrok", "given" : "Hans", "non-dropping-particle" : "", "parse-names" : false, "suffix" : "" }, { "dropping-particle" : "", "family" : "Greengard", "given" : "Paul", "non-dropping-particle" : "", "parse-names" : false, "suffix" : "" }, { "dropping-particle" : "De", "family" : "Camilli", "given" : "Pietro", "non-dropping-particle" : "", "parse-names" : false, "suffix" : "" } ], "container-title" : "Journal of Cell Biology", "id" : "ITEM-1", "issue" : "6", "issued" : { "date-parts" : [ [ "1986" ] ] }, "page" : "2511-2527", "title" : "Protein p38: An integral membrane protein specific for small vesicles of neurons and neuroendocrine cells", "type" : "article-journal", "volume" : "103" }, "uris" : [ "http://www.mendeley.com/documents/?uuid=35f74386-08f7-4618-9bc5-36cca7949234" ] } ], "mendeley" : { "formattedCitation" : "&lt;sup&gt;11&lt;/sup&gt;", "plainTextFormattedCitation" : "11", "previouslyFormattedCitation" : "&lt;sup&gt;11&lt;/sup&gt;"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color w:val="auto"/>
          <w:vertAlign w:val="superscript"/>
        </w:rPr>
        <w:t>11</w:t>
      </w:r>
      <w:r w:rsidR="00D86FB3" w:rsidRPr="00A86898">
        <w:rPr>
          <w:rStyle w:val="FootnoteReference"/>
          <w:color w:val="auto"/>
        </w:rPr>
        <w:fldChar w:fldCharType="end"/>
      </w:r>
      <w:r w:rsidRPr="00A86898">
        <w:rPr>
          <w:color w:val="auto"/>
        </w:rPr>
        <w:t xml:space="preserve"> can be used to label synaptic vesicles, </w:t>
      </w:r>
      <w:r w:rsidR="00383EE0" w:rsidRPr="00A86898">
        <w:rPr>
          <w:color w:val="auto"/>
        </w:rPr>
        <w:t xml:space="preserve">while antibodies </w:t>
      </w:r>
      <w:r w:rsidRPr="00A86898">
        <w:rPr>
          <w:color w:val="auto"/>
        </w:rPr>
        <w:t xml:space="preserve">against </w:t>
      </w:r>
      <w:r w:rsidR="00C35171">
        <w:rPr>
          <w:color w:val="auto"/>
        </w:rPr>
        <w:t>b</w:t>
      </w:r>
      <w:r w:rsidR="000E6254" w:rsidRPr="00A86898">
        <w:rPr>
          <w:color w:val="auto"/>
        </w:rPr>
        <w:t xml:space="preserve">assoon </w:t>
      </w:r>
      <w:r w:rsidRPr="00A86898">
        <w:rPr>
          <w:color w:val="auto"/>
        </w:rPr>
        <w:t>label the active zone of a presynaptic terminal</w:t>
      </w:r>
      <w:r w:rsidR="00D86FB3" w:rsidRPr="00A86898">
        <w:rPr>
          <w:rStyle w:val="FootnoteReference"/>
          <w:color w:val="auto"/>
        </w:rPr>
        <w:fldChar w:fldCharType="begin" w:fldLock="1"/>
      </w:r>
      <w:r w:rsidR="003C15BB" w:rsidRPr="00A86898">
        <w:rPr>
          <w:color w:val="auto"/>
        </w:rPr>
        <w:instrText>ADDIN CSL_CITATION { "citationItems" : [ { "id" : "ITEM-1", "itemData" : { "ISBN" : "1663-3563", "ISSN" : "1663-3563", "PMID" : "26793095", "abstract" : "Bassoon and Piccolo are two very large scaffolding proteins of the cytomatrix assembled at the active zone (CAZ) where neurotransmitter is released. They share regions of high sequence similarity distributed along their entire length and seem to share both overlapping and distinct functions in organizing the CAZ. Here, we survey our present knowledge on protein-protein interactions and recent progress in understanding of molecular functions of these two giant proteins. These include roles in the assembly of active zones, the localization of voltage-gated Ca2+ channels in the vicinity of release sites, synaptic vesicle priming and, in the case of Piccolo, a role in the dynamic assembly of the actin cytoskeleton. Piccolo and Bassoon are also important for the maintenance of presynaptic structure and function, as well as for the assembly of CAZ specializations such as synaptic ribbons. Recent findings suggest that they are also involved in the regulation activity-dependent communication between presynaptic boutons and the neuronal nucleus. Together these observations suggest that Bassoon and Piccolo use their modular structure to organize super-molecular complexes essential for various aspects of presynaptic function.", "author" : [ { "dropping-particle" : "", "family" : "Gundelfinger", "given" : "Eckart D.", "non-dropping-particle" : "", "parse-names" : false, "suffix" : "" }, { "dropping-particle" : "", "family" : "Reissner", "given" : "Carsten", "non-dropping-particle" : "", "parse-names" : false, "suffix" : "" }, { "dropping-particle" : "", "family" : "Garner", "given" : "Craig C.", "non-dropping-particle" : "", "parse-names" : false, "suffix" : "" } ], "container-title" : "Frontiers in Synaptic Neuroscience", "id" : "ITEM-1", "issue" : "1", "issued" : { "date-parts" : [ [ "2016" ] ] }, "title" : "Role of Bassoon and Piccolo in Assembly and Molecular Organization of the Active Zone", "type" : "article-journal", "volume" : "7" }, "uris" : [ "http://www.mendeley.com/documents/?uuid=dea69cf1-112b-4668-8209-f64ad43674ec" ] } ], "mendeley" : { "formattedCitation" : "&lt;sup&gt;12&lt;/sup&gt;", "plainTextFormattedCitation" : "12", "previouslyFormattedCitation" : "&lt;sup&gt;12&lt;/sup&gt;"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color w:val="auto"/>
          <w:vertAlign w:val="superscript"/>
        </w:rPr>
        <w:t>12</w:t>
      </w:r>
      <w:r w:rsidR="00D86FB3" w:rsidRPr="00A86898">
        <w:rPr>
          <w:rStyle w:val="FootnoteReference"/>
          <w:color w:val="auto"/>
        </w:rPr>
        <w:fldChar w:fldCharType="end"/>
      </w:r>
      <w:r w:rsidR="007D3433" w:rsidRPr="00A86898">
        <w:rPr>
          <w:color w:val="auto"/>
        </w:rPr>
        <w:t>. V</w:t>
      </w:r>
      <w:r w:rsidR="00383EE0" w:rsidRPr="00A86898">
        <w:rPr>
          <w:color w:val="auto"/>
        </w:rPr>
        <w:t>esicular transporters, such as the</w:t>
      </w:r>
      <w:r w:rsidRPr="00A86898">
        <w:rPr>
          <w:color w:val="auto"/>
        </w:rPr>
        <w:t xml:space="preserve"> vesicular glutamate transporters (</w:t>
      </w:r>
      <w:proofErr w:type="spellStart"/>
      <w:r w:rsidR="007D3433" w:rsidRPr="00A86898">
        <w:rPr>
          <w:color w:val="auto"/>
        </w:rPr>
        <w:t>v</w:t>
      </w:r>
      <w:r w:rsidRPr="00A86898">
        <w:rPr>
          <w:color w:val="auto"/>
        </w:rPr>
        <w:t>G</w:t>
      </w:r>
      <w:r w:rsidR="007D3433" w:rsidRPr="00A86898">
        <w:rPr>
          <w:color w:val="auto"/>
        </w:rPr>
        <w:t>lu</w:t>
      </w:r>
      <w:r w:rsidRPr="00A86898">
        <w:rPr>
          <w:color w:val="auto"/>
        </w:rPr>
        <w:t>T</w:t>
      </w:r>
      <w:proofErr w:type="spellEnd"/>
      <w:r w:rsidRPr="00A86898">
        <w:rPr>
          <w:color w:val="auto"/>
        </w:rPr>
        <w:t>) or vesicular GABA transporter (</w:t>
      </w:r>
      <w:proofErr w:type="spellStart"/>
      <w:r w:rsidR="007D3433" w:rsidRPr="00A86898">
        <w:rPr>
          <w:color w:val="auto"/>
        </w:rPr>
        <w:t>v</w:t>
      </w:r>
      <w:r w:rsidRPr="00A86898">
        <w:rPr>
          <w:color w:val="auto"/>
        </w:rPr>
        <w:t>GAT</w:t>
      </w:r>
      <w:proofErr w:type="spellEnd"/>
      <w:r w:rsidRPr="00A86898">
        <w:rPr>
          <w:color w:val="auto"/>
        </w:rPr>
        <w:t>)</w:t>
      </w:r>
      <w:r w:rsidR="00383EE0" w:rsidRPr="00A86898">
        <w:rPr>
          <w:color w:val="auto"/>
        </w:rPr>
        <w:t>,</w:t>
      </w:r>
      <w:r w:rsidRPr="00A86898">
        <w:rPr>
          <w:color w:val="auto"/>
        </w:rPr>
        <w:t xml:space="preserve"> </w:t>
      </w:r>
      <w:r w:rsidR="007D3433" w:rsidRPr="00A86898">
        <w:rPr>
          <w:color w:val="auto"/>
        </w:rPr>
        <w:t xml:space="preserve">are used to label </w:t>
      </w:r>
      <w:r w:rsidRPr="00A86898">
        <w:rPr>
          <w:color w:val="auto"/>
        </w:rPr>
        <w:t>excitatory</w:t>
      </w:r>
      <w:r w:rsidR="00D86FB3" w:rsidRPr="00A86898">
        <w:rPr>
          <w:rStyle w:val="FootnoteReference"/>
          <w:color w:val="auto"/>
        </w:rPr>
        <w:fldChar w:fldCharType="begin" w:fldLock="1"/>
      </w:r>
      <w:r w:rsidR="003C15BB" w:rsidRPr="00A86898">
        <w:rPr>
          <w:color w:val="auto"/>
        </w:rPr>
        <w:instrText>ADDIN CSL_CITATION { "citationItems" : [ { "id" : "ITEM-1", "itemData" : { "ISBN" : "0021-9967 (Print)\\n0021-9967 (Linking)", "ISSN" : "00219967", "PMID" : "12115705", "abstract" : "Two isoforms of the vesicular glutamate transporter, VGLUT1 and VGLUT2, were recently cloned and biophysically characterized. Both VGLUT1 and VGLUT2 specifically transport glutamate into synaptic vesicles, making them definitive markers for neurons using glutamate as a neurotransmitter. The present study takes advantage of the specificity of the vesicular transporters to afford the first detailed map of putative glutamatergic neurons in the rat hypothalamus. In situ hybridization analysis was used to map hypothalamic distributions of VGLUT1 and VGLUT2 mRNAs. VGLUT2 is clearly the predominant vesicular transporter mRNA found in the hypothalamus; rich expression can be documented in regions regulating energy balance (ventromedial hypothalamus), neuroendocrine function (preoptic nuclei), autonomic tone (posterior hypothalamus), and behavioral/homeostatic integration (lateral hypothalamus, mammillary nuclei). Expression of VGLUT1 is decidedly more circumspect and is confined to relatively weak labeling in lateral hypothalamic regions, neuroendocrine nuclei, and the suprachiasmatic nucleus. Importantly, dual-label analysis revealed no incidence of colocalization of VGLUT1 or VGLUT2 mRNAs in glutamic acid decarboxylase (GAD) 65-positive neurons, indicating that GABA neurons do not express either transporter. Our data support a major role for hypothalamic glutamatergic neurons in regulation of all aspects of hypothalamic function.", "author" : [ { "dropping-particle" : "", "family" : "Ziegler", "given" : "Dana R.", "non-dropping-particle" : "", "parse-names" : false, "suffix" : "" }, { "dropping-particle" : "", "family" : "Cullinan", "given" : "William E.", "non-dropping-particle" : "", "parse-names" : false, "suffix" : "" }, { "dropping-particle" : "", "family" : "Herman", "given" : "James P.", "non-dropping-particle" : "", "parse-names" : false, "suffix" : "" } ], "container-title" : "Journal of Comparative Neurology", "id" : "ITEM-1", "issue" : "3", "issued" : { "date-parts" : [ [ "2002" ] ] }, "page" : "217-229", "title" : "Distribution of vesicular glutamate transporter mRNA in rat hypothalamus", "type" : "article-journal", "volume" : "448" }, "uris" : [ "http://www.mendeley.com/documents/?uuid=bc6df58f-9929-49d2-8086-d636ed0af618" ] } ], "mendeley" : { "formattedCitation" : "&lt;sup&gt;13&lt;/sup&gt;", "plainTextFormattedCitation" : "13", "previouslyFormattedCitation" : "&lt;sup&gt;13&lt;/sup&gt;"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color w:val="auto"/>
          <w:vertAlign w:val="superscript"/>
        </w:rPr>
        <w:t>13</w:t>
      </w:r>
      <w:r w:rsidR="00D86FB3" w:rsidRPr="00A86898">
        <w:rPr>
          <w:rStyle w:val="FootnoteReference"/>
          <w:color w:val="auto"/>
        </w:rPr>
        <w:fldChar w:fldCharType="end"/>
      </w:r>
      <w:r w:rsidR="00383EE0" w:rsidRPr="00A86898">
        <w:rPr>
          <w:color w:val="auto"/>
        </w:rPr>
        <w:t xml:space="preserve"> and</w:t>
      </w:r>
      <w:r w:rsidRPr="00A86898">
        <w:rPr>
          <w:color w:val="auto"/>
        </w:rPr>
        <w:t xml:space="preserve"> inhibitory</w:t>
      </w:r>
      <w:r w:rsidR="00D86FB3" w:rsidRPr="00A86898">
        <w:rPr>
          <w:rStyle w:val="FootnoteReference"/>
          <w:color w:val="auto"/>
        </w:rPr>
        <w:fldChar w:fldCharType="begin" w:fldLock="1"/>
      </w:r>
      <w:r w:rsidR="003C15BB" w:rsidRPr="00A86898">
        <w:rPr>
          <w:color w:val="auto"/>
        </w:rPr>
        <w:instrText>ADDIN CSL_CITATION { "citationItems" : [ { "id" : "ITEM-1", "itemData" : { "ISBN" : "0270-6474 (Print)\\r0270-6474 (Linking)", "ISSN" : "0270-6474", "PMID" : "9822734", "abstract" : "A transporter thought to mediate accumulation of GABA into synaptic vesicles has recently been cloned (McIntire et al., 1997). This vesicular GABA transporter (VGAT), the first vesicular amino acid transporter to be molecularly identified, differs in structure from previously cloned vesicular neurotransmitter transporters and defines a novel gene family. Here we use antibodies specific for N- and C-terminal epitopes of VGAT to localize the protein in the rat CNS. VGAT is highly concentrated in the nerve endings of GABAergic neurons in the brain and spinal cord but also in glycinergic nerve endings. In contrast, hippocampal mossy fiber boutons, which although glutamatergic are known to contain GABA, lack VGAT immunoreactivity. Post-embedding immunogold quantification shows that the protein specifically associates with synaptic vesicles. Triple labeling for VGAT, GABA, and glycine in the lateral oliva superior revealed a higher expression of VGAT in nerve endings rich in GABA, with or without glycine, than in others rich in glycine only. Although the great majority of nerve terminals containing GABA or glycine are immunopositive for VGAT, subpopulations of nerve endings rich in GABA or glycine appear to lack the protein. Additional vesicular transporters or alternative modes of release may therefore contribute to the inhibitory neurotransmission mediated by these two amino acids.", "author" : [ { "dropping-particle" : "", "family" : "Chaudhry", "given" : "Farrukh a.", "non-dropping-particle" : "", "parse-names" : false, "suffix" : "" }, { "dropping-particle" : "", "family" : "Reimer", "given" : "Richard J.", "non-dropping-particle" : "", "parse-names" : false, "suffix" : "" }, { "dropping-particle" : "", "family" : "Bellocchio", "given" : "Elizabeth E.", "non-dropping-particle" : "", "parse-names" : false, "suffix" : "" }, { "dropping-particle" : "", "family" : "Danbolt", "given" : "Niels C.", "non-dropping-particle" : "", "parse-names" : false, "suffix" : "" }, { "dropping-particle" : "", "family" : "Osen", "given" : "Kirsten K.", "non-dropping-particle" : "", "parse-names" : false, "suffix" : "" }, { "dropping-particle" : "", "family" : "Edwards", "given" : "Robert H.", "non-dropping-particle" : "", "parse-names" : false, "suffix" : "" }, { "dropping-particle" : "", "family" : "Storm-Mathisen", "given" : "Jon", "non-dropping-particle" : "", "parse-names" : false, "suffix" : "" } ], "container-title" : "Journal of Neuroscience", "id" : "ITEM-1", "issue" : "23", "issued" : { "date-parts" : [ [ "1998" ] ] }, "page" : "9733-9750", "title" : "The vesicular GABA transporter, VGAT, localizes to synaptic vesicles in sets of glycinergic as well as GABAergic neurons", "type" : "article-journal", "volume" : "18" }, "uris" : [ "http://www.mendeley.com/documents/?uuid=e3f9b646-2d9c-4378-a1ae-1c9f6da62d85" ] } ], "mendeley" : { "formattedCitation" : "&lt;sup&gt;14&lt;/sup&gt;", "plainTextFormattedCitation" : "14", "previouslyFormattedCitation" : "&lt;sup&gt;14&lt;/sup&gt;"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color w:val="auto"/>
          <w:vertAlign w:val="superscript"/>
        </w:rPr>
        <w:t>14</w:t>
      </w:r>
      <w:r w:rsidR="00D86FB3" w:rsidRPr="00A86898">
        <w:rPr>
          <w:rStyle w:val="FootnoteReference"/>
          <w:color w:val="auto"/>
        </w:rPr>
        <w:fldChar w:fldCharType="end"/>
      </w:r>
      <w:r w:rsidRPr="00A86898">
        <w:rPr>
          <w:color w:val="auto"/>
        </w:rPr>
        <w:t xml:space="preserve"> presynaptic terminals</w:t>
      </w:r>
      <w:r w:rsidR="007D3433" w:rsidRPr="00A86898">
        <w:rPr>
          <w:color w:val="auto"/>
        </w:rPr>
        <w:t>,</w:t>
      </w:r>
      <w:r w:rsidRPr="00A86898">
        <w:rPr>
          <w:color w:val="auto"/>
        </w:rPr>
        <w:t xml:space="preserve"> respectively. On the postsynaptic side, antibodies against the </w:t>
      </w:r>
      <w:r w:rsidR="006B67C4" w:rsidRPr="00A86898">
        <w:rPr>
          <w:color w:val="auto"/>
        </w:rPr>
        <w:t xml:space="preserve">Homer </w:t>
      </w:r>
      <w:r w:rsidRPr="00A86898">
        <w:rPr>
          <w:color w:val="auto"/>
        </w:rPr>
        <w:t xml:space="preserve">protein can be employed to mark postsynaptic terminals, and antibodies against </w:t>
      </w:r>
      <w:r w:rsidR="002E4B99">
        <w:rPr>
          <w:color w:val="auto"/>
        </w:rPr>
        <w:t>p</w:t>
      </w:r>
      <w:r w:rsidRPr="00A86898">
        <w:rPr>
          <w:color w:val="auto"/>
        </w:rPr>
        <w:t>ostsynaptic density protein 95 (PSD95)</w:t>
      </w:r>
      <w:r w:rsidR="00D86FB3" w:rsidRPr="00A86898">
        <w:rPr>
          <w:rStyle w:val="FootnoteReference"/>
          <w:color w:val="auto"/>
        </w:rPr>
        <w:fldChar w:fldCharType="begin" w:fldLock="1"/>
      </w:r>
      <w:r w:rsidR="003C15BB" w:rsidRPr="00A86898">
        <w:rPr>
          <w:color w:val="auto"/>
        </w:rPr>
        <w:instrText>ADDIN CSL_CITATION { "citationItems" : [ { "id" : "ITEM-1", "itemData" : { "author" : [ { "dropping-particle" : "", "family" : "Aoki", "given" : "Chiye", "non-dropping-particle" : "", "parse-names" : false, "suffix" : "" }, { "dropping-particle" : "", "family" : "Miko", "given" : "Ilona", "non-dropping-particle" : "", "parse-names" : false, "suffix" : "" }, { "dropping-particle" : "", "family" : "Oviedo", "given" : "Hysell", "non-dropping-particle" : "", "parse-names" : false, "suffix" : "" }, { "dropping-particle" : "", "family" : "Mikeladze-dvali", "given" : "Tamara", "non-dropping-particle" : "", "parse-names" : false, "suffix" : "" }, { "dropping-particle" : "", "family" : "Alexandre", "given" : "Lucien", "non-dropping-particle" : "", "parse-names" : false, "suffix" : "" }, { "dropping-particle" : "", "family" : "Sweeney", "given" : "Neal", "non-dropping-particle" : "", "parse-names" : false, "suffix" : "" }, { "dropping-particle" : "", "family" : "Bredt", "given" : "David S", "non-dropping-particle" : "", "parse-names" : false, "suffix" : "" } ], "container-title" : "Synapse", "id" : "ITEM-1", "issue" : "March 2000", "issued" : { "date-parts" : [ [ "2001" ] ] }, "page" : "239-257", "title" : "Electron Microscopic Immunocytochemical SAP-97 at Postsynaptic, Presynaptic, and Nonsynaptic Sites of Adult and Neonatal Rat Visual Cortex", "type" : "article-journal", "volume" : "257" }, "uris" : [ "http://www.mendeley.com/documents/?uuid=6deffe89-2f15-4849-a2ab-92cf66fb451d", "http://www.mendeley.com/documents/?uuid=36139447-830c-407e-aafe-f839e71ce500" ] }, { "id" : "ITEM-2", "itemData" : { "author" : [ { "dropping-particle" : "", "family" : "Valtschanoff", "given" : "Juli G", "non-dropping-particle" : "", "parse-names" : false, "suffix" : "" }, { "dropping-particle" : "", "family" : "Burette", "given" : "Alain", "non-dropping-particle" : "", "parse-names" : false, "suffix" : "" }, { "dropping-particle" : "", "family" : "Wenthold", "given" : "Robert J", "non-dropping-particle" : "", "parse-names" : false, "suffix" : "" }, { "dropping-particle" : "", "family" : "Weinberg", "given" : "Richard J", "non-dropping-particle" : "", "parse-names" : false, "suffix" : "" }, { "dropping-particle" : "", "family" : "Hill", "given" : "Chapel", "non-dropping-particle" : "", "parse-names" : false, "suffix" : "" }, { "dropping-particle" : "", "family" : "Carolina", "given" : "North", "non-dropping-particle" : "", "parse-names" : false, "suffix" : "" } ], "container-title" : "Journal of Comparative Neurology", "id" : "ITEM-2", "issue" : "March", "issued" : { "date-parts" : [ [ "1999" ] ] }, "page" : "599-611", "title" : "Expression of NR2 Receptor Subunit in Rat Somatic Sensory Cortex : Synaptic Distribution and Colocalization With NR1 and PSD-95", "type" : "article-journal", "volume" : "611" }, "uris" : [ "http://www.mendeley.com/documents/?uuid=f74264fb-8ac2-4de0-8dd5-695f5da51605", "http://www.mendeley.com/documents/?uuid=938b196f-08c9-4225-8fb8-a700bc974a7d" ] }, { "id" : "ITEM-3", "itemData" : { "author" : [ { "dropping-particle" : "", "family" : "Hunt", "given" : "A", "non-dropping-particle" : "", "parse-names" : false, "suffix" : "" }, { "dropping-particle" : "", "family" : "Schenker", "given" : "Leslie J", "non-dropping-particle" : "", "parse-names" : false, "suffix" : "" }, { "dropping-particle" : "", "family" : "Kennedy", "given" : "B", "non-dropping-particle" : "", "parse-names" : false, "suffix" : "" } ], "container-title" : "Journal of Neuroscience", "id" : "ITEM-3", "issue" : "4", "issued" : { "date-parts" : [ [ "1996" ] ] }, "page" : "1380-1388", "title" : "PSD-95 Is Associated with the Postsynaptic Density and Not with the Presynaptic Membrane at Forebrain Synapses", "type" : "article-journal", "volume" : "76" }, "uris" : [ "http://www.mendeley.com/documents/?uuid=8c03935c-6f72-4ba6-ba69-842b3566d62c", "http://www.mendeley.com/documents/?uuid=1c929573-7df1-4fde-89f4-b1395de17436" ] } ], "mendeley" : { "formattedCitation" : "&lt;sup&gt;15\u201317&lt;/sup&gt;", "plainTextFormattedCitation" : "15\u201317", "previouslyFormattedCitation" : "&lt;sup&gt;15\u201317&lt;/sup&gt;"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color w:val="auto"/>
          <w:vertAlign w:val="superscript"/>
        </w:rPr>
        <w:t>15</w:t>
      </w:r>
      <w:r w:rsidR="001530B8">
        <w:rPr>
          <w:color w:val="auto"/>
          <w:vertAlign w:val="superscript"/>
        </w:rPr>
        <w:t>-</w:t>
      </w:r>
      <w:r w:rsidR="003C15BB" w:rsidRPr="00A86898">
        <w:rPr>
          <w:color w:val="auto"/>
          <w:vertAlign w:val="superscript"/>
        </w:rPr>
        <w:t>17</w:t>
      </w:r>
      <w:r w:rsidR="00D86FB3" w:rsidRPr="00A86898">
        <w:rPr>
          <w:rStyle w:val="FootnoteReference"/>
          <w:color w:val="auto"/>
        </w:rPr>
        <w:fldChar w:fldCharType="end"/>
      </w:r>
      <w:r w:rsidRPr="00A86898">
        <w:rPr>
          <w:color w:val="auto"/>
        </w:rPr>
        <w:t xml:space="preserve"> or </w:t>
      </w:r>
      <w:r w:rsidR="00BE326F">
        <w:rPr>
          <w:color w:val="auto"/>
        </w:rPr>
        <w:t>g</w:t>
      </w:r>
      <w:r w:rsidRPr="00A86898">
        <w:rPr>
          <w:color w:val="auto"/>
        </w:rPr>
        <w:t>ephyrin</w:t>
      </w:r>
      <w:r w:rsidR="00D86FB3" w:rsidRPr="00A86898">
        <w:rPr>
          <w:rStyle w:val="FootnoteReference"/>
          <w:color w:val="auto"/>
        </w:rPr>
        <w:fldChar w:fldCharType="begin" w:fldLock="1"/>
      </w:r>
      <w:r w:rsidR="003C15BB" w:rsidRPr="00A86898">
        <w:rPr>
          <w:color w:val="auto"/>
        </w:rPr>
        <w:instrText>ADDIN CSL_CITATION { "citationItems" : [ { "id" : "ITEM-1", "itemData" : { "DOI" : "10.1016/j.neuron.2011.03.024", "ISSN" : "0896-6273", "author" : [ { "dropping-particle" : "", "family" : "Luscher", "given" : "Bernhard", "non-dropping-particle" : "", "parse-names" : false, "suffix" : "" }, { "dropping-particle" : "", "family" : "Fuchs", "given" : "Thomas", "non-dropping-particle" : "", "parse-names" : false, "suffix" : "" }, { "dropping-particle" : "", "family" : "Kilpatrick", "given" : "Casey L", "non-dropping-particle" : "", "parse-names" : false, "suffix" : "" } ], "container-title" : "Neuron", "id" : "ITEM-1", "issue" : "3", "issued" : { "date-parts" : [ [ "2011" ] ] }, "page" : "385-409", "publisher" : "Elsevier Inc.", "title" : "GABA A Receptor Trafficking-Mediated Plasticity of Inhibitory Synapses", "type" : "article-journal", "volume" : "70" }, "uris" : [ "http://www.mendeley.com/documents/?uuid=718ff996-3df6-4ac2-8afd-5c3ef0fdb024", "http://www.mendeley.com/documents/?uuid=0271b79c-8915-4f54-bd6e-a5e9ed2760a8" ] }, { "id" : "ITEM-2", "itemData" : { "DOI" : "10.3389/fncel.2011.00004", "author" : [ { "dropping-particle" : "", "family" : "Kirby", "given" : "M", "non-dropping-particle" : "", "parse-names" : false, "suffix" : "" } ], "id" : "ITEM-2", "issue" : "June", "issued" : { "date-parts" : [ [ "2011" ] ] }, "page" : "1-12", "title" : "Understanding the molecular diversity of GABAergic synapses", "type" : "article-journal", "volume" : "5" }, "uris" : [ "http://www.mendeley.com/documents/?uuid=cfd664e8-61f9-4901-86d6-4f59bfa3b661", "http://www.mendeley.com/documents/?uuid=59a01af1-08c7-4b6b-9d9d-3b3f0d33abe7" ] }, { "id" : "ITEM-3", "itemData" : { "author" : [ { "dropping-particle" : "", "family" : "Harris", "given" : "Kristen M", "non-dropping-particle" : "", "parse-names" : false, "suffix" : "" }, { "dropping-particle" : "", "family" : "Weinberg", "given" : "Richard J", "non-dropping-particle" : "", "parse-names" : false, "suffix" : "" }, { "dropping-particle" : "", "family" : "Verrall", "given" : "A W", "non-dropping-particle" : "", "parse-names" : false, "suffix" : "" } ], "container-title" : "Cold Spring Harbor Perspectives in Biology", "id" : "ITEM-3", "issued" : { "date-parts" : [ [ "2012" ] ] }, "page" : "1-30", "title" : "Ultrastructure of Synapses in the Mammalian Brain", "type" : "article-journal" }, "uris" : [ "http://www.mendeley.com/documents/?uuid=00f3f89d-a7d9-4e31-a456-2c42bfbdd80f" ] } ], "mendeley" : { "formattedCitation" : "&lt;sup&gt;18\u201320&lt;/sup&gt;", "plainTextFormattedCitation" : "18\u201320", "previouslyFormattedCitation" : "&lt;sup&gt;18\u201320&lt;/sup&gt;"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bCs/>
          <w:color w:val="auto"/>
          <w:vertAlign w:val="superscript"/>
        </w:rPr>
        <w:t>18</w:t>
      </w:r>
      <w:r w:rsidR="001530B8">
        <w:rPr>
          <w:bCs/>
          <w:color w:val="auto"/>
          <w:vertAlign w:val="superscript"/>
        </w:rPr>
        <w:t>-</w:t>
      </w:r>
      <w:r w:rsidR="003C15BB" w:rsidRPr="00A86898">
        <w:rPr>
          <w:bCs/>
          <w:color w:val="auto"/>
          <w:vertAlign w:val="superscript"/>
        </w:rPr>
        <w:t>20</w:t>
      </w:r>
      <w:r w:rsidR="00D86FB3" w:rsidRPr="00A86898">
        <w:rPr>
          <w:rStyle w:val="FootnoteReference"/>
          <w:color w:val="auto"/>
        </w:rPr>
        <w:fldChar w:fldCharType="end"/>
      </w:r>
      <w:r w:rsidRPr="00A86898">
        <w:rPr>
          <w:color w:val="auto"/>
        </w:rPr>
        <w:t xml:space="preserve"> can label excitatory or inhibitory postsynaptic terminals</w:t>
      </w:r>
      <w:r w:rsidR="007D3433" w:rsidRPr="00A86898">
        <w:rPr>
          <w:color w:val="auto"/>
        </w:rPr>
        <w:t>,</w:t>
      </w:r>
      <w:r w:rsidRPr="00A86898">
        <w:rPr>
          <w:color w:val="auto"/>
        </w:rPr>
        <w:t xml:space="preserve"> respectively. By using antibodies against</w:t>
      </w:r>
      <w:r w:rsidR="00674B96" w:rsidRPr="00A86898">
        <w:rPr>
          <w:color w:val="auto"/>
        </w:rPr>
        <w:t xml:space="preserve"> a</w:t>
      </w:r>
      <w:r w:rsidRPr="00A86898">
        <w:rPr>
          <w:color w:val="auto"/>
        </w:rPr>
        <w:t xml:space="preserve"> protein of interest and markers such as the ones described above, one can determine the localization of such protein.</w:t>
      </w:r>
      <w:r w:rsidR="005856A1" w:rsidRPr="00A86898">
        <w:rPr>
          <w:color w:val="auto"/>
        </w:rPr>
        <w:t xml:space="preserve"> Many studies to date have done this in a qualitative manner</w:t>
      </w:r>
      <w:r w:rsidR="00D86FB3" w:rsidRPr="00A86898">
        <w:rPr>
          <w:rStyle w:val="FootnoteReference"/>
          <w:color w:val="auto"/>
        </w:rPr>
        <w:fldChar w:fldCharType="begin" w:fldLock="1"/>
      </w:r>
      <w:r w:rsidR="003C15BB" w:rsidRPr="00A86898">
        <w:rPr>
          <w:color w:val="auto"/>
        </w:rPr>
        <w:instrText>ADDIN CSL_CITATION { "citationItems" : [ { "id" : "ITEM-1", "itemData" : { "DOI" : "10.3389/fncel.2016.00106", "author" : [ { "dropping-particle" : "", "family" : "Heise", "given" : "Christopher", "non-dropping-particle" : "", "parse-names" : false, "suffix" : "" }, { "dropping-particle" : "", "family" : "Schroeder", "given" : "Jan C", "non-dropping-particle" : "", "parse-names" : false, "suffix" : "" }, { "dropping-particle" : "", "family" : "Schoen", "given" : "Michael", "non-dropping-particle" : "", "parse-names" : false, "suffix" : "" }, { "dropping-particle" : "", "family" : "Halbedl", "given" : "Sonja", "non-dropping-particle" : "", "parse-names" : false, "suffix" : "" }, { "dropping-particle" : "", "family" : "Reim", "given" : "Dominik", "non-dropping-particle" : "", "parse-names" : false, "suffix" : "" }, { "dropping-particle" : "", "family" : "Woelfle", "given" : "Sarah", "non-dropping-particle" : "", "parse-names" : false, "suffix" : "" }, { "dropping-particle" : "", "family" : "Kreutz", "given" : "Michael R", "non-dropping-particle" : "", "parse-names" : false, "suffix" : "" }, { "dropping-particle" : "", "family" : "Schmeisser", "given" : "Michael J", "non-dropping-particle" : "", "parse-names" : false, "suffix" : "" }, { "dropping-particle" : "", "family" : "Boeckers", "given" : "Tobias M", "non-dropping-particle" : "", "parse-names" : false, "suffix" : "" } ], "container-title" : "Frontiers in Cellular Neuroscience", "id" : "ITEM-1", "issue" : "April", "issued" : { "date-parts" : [ [ "2016" ] ] }, "title" : "Selective Localization of Shanks to VGLUT1-Positive Excitatory Synapses in the Mouse Hippocampus", "type" : "article-journal", "volume" : "10" }, "uris" : [ "http://www.mendeley.com/documents/?uuid=0534b0a0-b70a-4fc5-9c2d-37b353eafe08", "http://www.mendeley.com/documents/?uuid=c014741a-d328-4cff-9aec-891645fa671a" ] } ], "mendeley" : { "formattedCitation" : "&lt;sup&gt;21&lt;/sup&gt;", "plainTextFormattedCitation" : "21", "previouslyFormattedCitation" : "&lt;sup&gt;21&lt;/sup&gt;"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color w:val="auto"/>
          <w:vertAlign w:val="superscript"/>
        </w:rPr>
        <w:t>21</w:t>
      </w:r>
      <w:r w:rsidR="00D86FB3" w:rsidRPr="00A86898">
        <w:rPr>
          <w:rStyle w:val="FootnoteReference"/>
          <w:color w:val="auto"/>
        </w:rPr>
        <w:fldChar w:fldCharType="end"/>
      </w:r>
      <w:r w:rsidR="005856A1" w:rsidRPr="00A86898">
        <w:rPr>
          <w:color w:val="auto"/>
        </w:rPr>
        <w:t>.</w:t>
      </w:r>
      <w:r w:rsidR="00D501D9" w:rsidRPr="00A86898">
        <w:rPr>
          <w:color w:val="auto"/>
        </w:rPr>
        <w:t xml:space="preserve"> However, t</w:t>
      </w:r>
      <w:r w:rsidRPr="00A86898">
        <w:rPr>
          <w:color w:val="auto"/>
        </w:rPr>
        <w:t xml:space="preserve">o reliably determine the differential distribution of a specific synaptic protein, one must not only determine its presence or absence but also its relative concentration. The heterogeneity of sizes and density of synapses makes it important to establish a ratio between the synaptic marker and </w:t>
      </w:r>
      <w:r w:rsidR="00674B96" w:rsidRPr="00A86898">
        <w:rPr>
          <w:color w:val="auto"/>
        </w:rPr>
        <w:t>the</w:t>
      </w:r>
      <w:r w:rsidRPr="00A86898">
        <w:rPr>
          <w:color w:val="auto"/>
        </w:rPr>
        <w:t xml:space="preserve"> protein of interest. Otherwise, synapse-rich regions such as the non-pyramidal layers of the hippocampus and the molecular layer of the cerebellum w</w:t>
      </w:r>
      <w:r w:rsidR="00674B96" w:rsidRPr="00A86898">
        <w:rPr>
          <w:color w:val="auto"/>
        </w:rPr>
        <w:t>ill</w:t>
      </w:r>
      <w:r w:rsidRPr="00A86898">
        <w:rPr>
          <w:color w:val="auto"/>
        </w:rPr>
        <w:t xml:space="preserve"> show a high density of synaptic proteins, only due to the higher </w:t>
      </w:r>
      <w:r w:rsidR="00674B96" w:rsidRPr="00A86898">
        <w:rPr>
          <w:color w:val="auto"/>
        </w:rPr>
        <w:t>density</w:t>
      </w:r>
      <w:r w:rsidRPr="00A86898">
        <w:rPr>
          <w:color w:val="auto"/>
        </w:rPr>
        <w:t xml:space="preserve"> of synapses</w:t>
      </w:r>
      <w:r w:rsidR="000E6254" w:rsidRPr="00A86898">
        <w:rPr>
          <w:color w:val="auto"/>
        </w:rPr>
        <w:t xml:space="preserve"> </w:t>
      </w:r>
      <w:r w:rsidR="00714D7A">
        <w:rPr>
          <w:color w:val="auto"/>
        </w:rPr>
        <w:t>but</w:t>
      </w:r>
      <w:r w:rsidR="000E6254" w:rsidRPr="00A86898">
        <w:rPr>
          <w:color w:val="auto"/>
        </w:rPr>
        <w:t xml:space="preserve"> not due to a strong presence of that protein in each synapse</w:t>
      </w:r>
      <w:r w:rsidRPr="00A86898">
        <w:rPr>
          <w:color w:val="auto"/>
        </w:rPr>
        <w:t xml:space="preserve"> (</w:t>
      </w:r>
      <w:r w:rsidR="005A4ED4" w:rsidRPr="00A86898">
        <w:rPr>
          <w:i/>
          <w:color w:val="auto"/>
        </w:rPr>
        <w:t>e.g.</w:t>
      </w:r>
      <w:r w:rsidR="005A4ED4" w:rsidRPr="001B43C3">
        <w:rPr>
          <w:color w:val="auto"/>
        </w:rPr>
        <w:t>,</w:t>
      </w:r>
      <w:r w:rsidR="005A4ED4" w:rsidRPr="00A86898">
        <w:rPr>
          <w:i/>
          <w:color w:val="auto"/>
        </w:rPr>
        <w:t xml:space="preserve"> </w:t>
      </w:r>
      <w:proofErr w:type="spellStart"/>
      <w:r w:rsidR="005419DC" w:rsidRPr="00A86898">
        <w:rPr>
          <w:color w:val="auto"/>
        </w:rPr>
        <w:t>Wallrafen</w:t>
      </w:r>
      <w:proofErr w:type="spellEnd"/>
      <w:r w:rsidR="005419DC" w:rsidRPr="00A86898">
        <w:rPr>
          <w:color w:val="auto"/>
        </w:rPr>
        <w:t xml:space="preserve"> and Dresbach</w:t>
      </w:r>
      <w:r w:rsidR="00D86FB3" w:rsidRPr="00A86898">
        <w:rPr>
          <w:rStyle w:val="FootnoteReference"/>
          <w:color w:val="auto"/>
        </w:rPr>
        <w:fldChar w:fldCharType="begin" w:fldLock="1"/>
      </w:r>
      <w:r w:rsidR="00F715D6" w:rsidRPr="00A86898">
        <w:rPr>
          <w:color w:val="auto"/>
        </w:rPr>
        <w:instrText>ADDIN CSL_CITATION { "citationItems" : [ { "id" : "ITEM-1", "itemData" : { "DOI" : "10.3389/fnana.2018.00058", "ISSN" : "1662-5129", "abstract" : "The assembly and function of presynaptic nerve terminals relies on evolutionarily conserved proteins. A small number of presynaptic proteins occurs only in vertebrates. These proteins may add specialized functions to certain synapses, thus increasing synaptic heterogeneity. Here, we show that the vertebrate-specific synaptic vesicle protein mover is differentially distributed in the forebrain and cerebellum of the adult mouse. Using a quantitative immunofluorescence approach, we compare the expression of mover to the expression of the general synaptic vesicle marker synaptophysin in sixteen brain areas. We find that mover is particularly abundant in the septal nuclei, ventral pallidum, amygdala and hippocampus. Within the hippocampus, mover is predominantly associated with excitatory synapses. Its levels are low in layers that receive afferent input from the entorhinal cortex, and high in layers harboring intra-hippocampal circuits. In contrast, mover levels are high in all nuclei of the amygdala, and mover is associated with inhibitory synapses in the medioposterior amygdala. Our data reveal a striking heterogeneity in the abundance of mover on three levels, i.e. between brain areas, within individual brain areas and between synapse types. This distribution suggests a role for mover in providing specialization to subsets of synapses, thereby contributing to the functional diversity of brain areas.", "author" : [ { "dropping-particle" : "", "family" : "Wallrafen", "given" : "Rebecca", "non-dropping-particle" : "", "parse-names" : false, "suffix" : "" }, { "dropping-particle" : "", "family" : "Dresbach", "given" : "Thomas", "non-dropping-particle" : "", "parse-names" : false, "suffix" : "" } ], "container-title" : "Frontiers in Neuroanatomy", "id" : "ITEM-1", "issued" : { "date-parts" : [ [ "2018", "7" ] ] }, "page" : "58", "publisher" : "Frontiers", "title" : "The Presynaptic Protein Mover Is Differentially Expressed Across Brain Areas and Synapse Types", "type" : "article-journal", "volume" : "12" }, "uris" : [ "http://www.mendeley.com/documents/?uuid=d60ec59c-3d37-4889-9839-a7fa05ae431a", "http://www.mendeley.com/documents/?uuid=6ec9b6b2-6bcf-444a-875f-d8fe60481751", "http://www.mendeley.com/documents/?uuid=d2b560c6-797b-35cc-92e5-8bbe263919b5" ] } ], "mendeley" : { "formattedCitation" : "&lt;sup&gt;1&lt;/sup&gt;", "plainTextFormattedCitation" : "1", "previouslyFormattedCitation" : "&lt;sup&gt;1&lt;/sup&gt;" }, "properties" : { "noteIndex" : 0 }, "schema" : "https://github.com/citation-style-language/schema/raw/master/csl-citation.json" }</w:instrText>
      </w:r>
      <w:r w:rsidR="00D86FB3" w:rsidRPr="00A86898">
        <w:rPr>
          <w:rStyle w:val="FootnoteReference"/>
          <w:color w:val="auto"/>
        </w:rPr>
        <w:fldChar w:fldCharType="separate"/>
      </w:r>
      <w:r w:rsidR="00D86FB3" w:rsidRPr="00A86898">
        <w:rPr>
          <w:color w:val="auto"/>
          <w:vertAlign w:val="superscript"/>
        </w:rPr>
        <w:t>1</w:t>
      </w:r>
      <w:r w:rsidR="00D86FB3" w:rsidRPr="00A86898">
        <w:rPr>
          <w:rStyle w:val="FootnoteReference"/>
          <w:color w:val="auto"/>
        </w:rPr>
        <w:fldChar w:fldCharType="end"/>
      </w:r>
      <w:r w:rsidR="00247F17" w:rsidRPr="00A86898">
        <w:rPr>
          <w:color w:val="auto"/>
        </w:rPr>
        <w:t>)</w:t>
      </w:r>
      <w:r w:rsidRPr="00A86898">
        <w:rPr>
          <w:color w:val="auto"/>
        </w:rPr>
        <w:t>. On the other hand, proteins in the neuronal soma</w:t>
      </w:r>
      <w:r w:rsidR="00315E0D" w:rsidRPr="00A86898">
        <w:rPr>
          <w:color w:val="auto"/>
        </w:rPr>
        <w:t xml:space="preserve"> (</w:t>
      </w:r>
      <w:r w:rsidR="005A4ED4" w:rsidRPr="00A86898">
        <w:rPr>
          <w:i/>
          <w:color w:val="auto"/>
        </w:rPr>
        <w:t>e.g.</w:t>
      </w:r>
      <w:r w:rsidR="005A4ED4" w:rsidRPr="008D3055">
        <w:rPr>
          <w:color w:val="auto"/>
        </w:rPr>
        <w:t>,</w:t>
      </w:r>
      <w:r w:rsidR="005A4ED4" w:rsidRPr="00A86898">
        <w:rPr>
          <w:i/>
          <w:color w:val="auto"/>
        </w:rPr>
        <w:t xml:space="preserve"> </w:t>
      </w:r>
      <w:r w:rsidR="00315E0D" w:rsidRPr="00A86898">
        <w:rPr>
          <w:color w:val="auto"/>
        </w:rPr>
        <w:t>TGN38</w:t>
      </w:r>
      <w:r w:rsidR="00D86FB3" w:rsidRPr="00A86898">
        <w:rPr>
          <w:rStyle w:val="FootnoteReference"/>
          <w:color w:val="auto"/>
        </w:rPr>
        <w:fldChar w:fldCharType="begin" w:fldLock="1"/>
      </w:r>
      <w:r w:rsidR="003C15BB" w:rsidRPr="00A86898">
        <w:rPr>
          <w:color w:val="auto"/>
        </w:rPr>
        <w:instrText>ADDIN CSL_CITATION { "citationItems" : [ { "id" : "ITEM-1", "itemData" : { "author" : [ { "dropping-particle" : "", "family" : "Peters", "given" : "Peter J", "non-dropping-particle" : "", "parse-names" : false, "suffix" : "" }, { "dropping-particle" : "", "family" : "Yuan", "given" : "Lydia C", "non-dropping-particle" : "", "parse-names" : false, "suffix" : "" }, { "dropping-particle" : "", "family" : "Biology", "given" : "Cell", "non-dropping-particle" : "", "parse-names" : false, "suffix" : "" }, { "dropping-particle" : "", "family" : "Branch", "given" : "Metabolism", "non-dropping-particle" : "", "parse-names" : false, "suffix" : "" } ], "container-title" : "Journal of Cell Biology", "id" : "ITEM-1", "issue" : "5", "issued" : { "date-parts" : [ [ "1993" ] ] }, "page" : "1123-1135", "title" : "Localization of TGN38 to the trans-Golgi network: involvement of a cytoplasmic tyrosine-containing sequence.", "type" : "article-journal", "volume" : "120" }, "uris" : [ "http://www.mendeley.com/documents/?uuid=76782e2d-7e88-4ba8-b66a-a64fb7b5bc1d", "http://www.mendeley.com/documents/?uuid=f32d3c8d-95a7-4a7c-bdf3-7ae8a645a8e7" ] } ], "mendeley" : { "formattedCitation" : "&lt;sup&gt;22&lt;/sup&gt;", "plainTextFormattedCitation" : "22", "previouslyFormattedCitation" : "&lt;sup&gt;22&lt;/sup&gt;"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color w:val="auto"/>
          <w:vertAlign w:val="superscript"/>
        </w:rPr>
        <w:t>22</w:t>
      </w:r>
      <w:r w:rsidR="00D86FB3" w:rsidRPr="00A86898">
        <w:rPr>
          <w:rStyle w:val="FootnoteReference"/>
          <w:color w:val="auto"/>
        </w:rPr>
        <w:fldChar w:fldCharType="end"/>
      </w:r>
      <w:r w:rsidR="00315E0D" w:rsidRPr="00A86898">
        <w:rPr>
          <w:color w:val="auto"/>
        </w:rPr>
        <w:t>)</w:t>
      </w:r>
      <w:r w:rsidRPr="00A86898">
        <w:rPr>
          <w:color w:val="auto"/>
        </w:rPr>
        <w:t xml:space="preserve"> will </w:t>
      </w:r>
      <w:r w:rsidR="00AF431E" w:rsidRPr="00A86898">
        <w:rPr>
          <w:color w:val="auto"/>
        </w:rPr>
        <w:t xml:space="preserve">usually show strong presence </w:t>
      </w:r>
      <w:r w:rsidRPr="00A86898">
        <w:rPr>
          <w:color w:val="auto"/>
        </w:rPr>
        <w:t>in the hippocampal pyramidal cell layer or hippocampal or cerebellar granule cell layer due to the high concentration of neuron</w:t>
      </w:r>
      <w:r w:rsidR="00674B96" w:rsidRPr="00A86898">
        <w:rPr>
          <w:color w:val="auto"/>
        </w:rPr>
        <w:t>al cell bodies</w:t>
      </w:r>
      <w:r w:rsidRPr="00A86898">
        <w:rPr>
          <w:color w:val="auto"/>
        </w:rPr>
        <w:t xml:space="preserve"> in those areas. </w:t>
      </w:r>
      <w:r w:rsidR="004727B4" w:rsidRPr="00A86898">
        <w:rPr>
          <w:color w:val="auto"/>
        </w:rPr>
        <w:t xml:space="preserve">Therefore, this non-homogeneous </w:t>
      </w:r>
      <w:r w:rsidR="004727B4" w:rsidRPr="00A86898">
        <w:rPr>
          <w:color w:val="auto"/>
        </w:rPr>
        <w:lastRenderedPageBreak/>
        <w:t xml:space="preserve">distribution of structures, in this case synapses, can lead to a false estimation of the distribution of the protein of interest itself. Furthermore, there is an intrinsic variability in staining intensities across samples in immunohistochemical </w:t>
      </w:r>
      <w:proofErr w:type="spellStart"/>
      <w:r w:rsidR="004727B4" w:rsidRPr="00A86898">
        <w:rPr>
          <w:color w:val="auto"/>
        </w:rPr>
        <w:t>stainings</w:t>
      </w:r>
      <w:proofErr w:type="spellEnd"/>
      <w:r w:rsidR="004727B4" w:rsidRPr="00A86898">
        <w:rPr>
          <w:color w:val="auto"/>
        </w:rPr>
        <w:t xml:space="preserve">. </w:t>
      </w:r>
      <w:r w:rsidRPr="00A86898">
        <w:rPr>
          <w:color w:val="auto"/>
        </w:rPr>
        <w:t xml:space="preserve">The protocol </w:t>
      </w:r>
      <w:r w:rsidR="00745374" w:rsidRPr="00A86898">
        <w:rPr>
          <w:color w:val="auto"/>
        </w:rPr>
        <w:t xml:space="preserve">described </w:t>
      </w:r>
      <w:r w:rsidRPr="00A86898">
        <w:rPr>
          <w:color w:val="auto"/>
        </w:rPr>
        <w:t>here takes this into consideration and avoids such biases, as well as other caveats that ar</w:t>
      </w:r>
      <w:r w:rsidR="00674B96" w:rsidRPr="00A86898">
        <w:rPr>
          <w:color w:val="auto"/>
        </w:rPr>
        <w:t>ise</w:t>
      </w:r>
      <w:r w:rsidRPr="00A86898">
        <w:rPr>
          <w:color w:val="auto"/>
        </w:rPr>
        <w:t xml:space="preserve"> from immunohistochemical methods.</w:t>
      </w:r>
    </w:p>
    <w:p w14:paraId="207FCBE7" w14:textId="77777777" w:rsidR="00775D61" w:rsidRPr="00A86898" w:rsidRDefault="00775D61" w:rsidP="005A4ED4">
      <w:pPr>
        <w:widowControl/>
        <w:rPr>
          <w:color w:val="auto"/>
        </w:rPr>
      </w:pPr>
    </w:p>
    <w:p w14:paraId="5E89AD6B" w14:textId="0B71898E" w:rsidR="008329DA" w:rsidRPr="00A86898" w:rsidRDefault="008329DA" w:rsidP="005A4ED4">
      <w:pPr>
        <w:widowControl/>
        <w:rPr>
          <w:color w:val="auto"/>
        </w:rPr>
      </w:pPr>
      <w:r w:rsidRPr="00A86898">
        <w:rPr>
          <w:color w:val="auto"/>
        </w:rPr>
        <w:t xml:space="preserve">In our recent </w:t>
      </w:r>
      <w:r w:rsidR="007273F4">
        <w:rPr>
          <w:color w:val="auto"/>
        </w:rPr>
        <w:t>study,</w:t>
      </w:r>
      <w:r w:rsidRPr="00A86898">
        <w:rPr>
          <w:color w:val="auto"/>
        </w:rPr>
        <w:t xml:space="preserve"> we have used this method to describe the differential expression of Mover</w:t>
      </w:r>
      <w:r w:rsidR="00F76F60" w:rsidRPr="00A86898">
        <w:rPr>
          <w:color w:val="auto"/>
        </w:rPr>
        <w:t xml:space="preserve"> (also called TPRGL</w:t>
      </w:r>
      <w:r w:rsidR="00D86FB3" w:rsidRPr="00A86898">
        <w:rPr>
          <w:rStyle w:val="FootnoteReference"/>
          <w:color w:val="auto"/>
        </w:rPr>
        <w:fldChar w:fldCharType="begin" w:fldLock="1"/>
      </w:r>
      <w:r w:rsidR="003C15BB" w:rsidRPr="00A86898">
        <w:rPr>
          <w:color w:val="auto"/>
        </w:rPr>
        <w:instrText>ADDIN CSL_CITATION { "citationItems" : [ { "id" : "ITEM-1", "itemData" : { "ISBN" : "1523-1747 (Electronic)", "ISSN" : "0022202X", "PMID" : "18256694", "abstract" : "p63 and p73 are highly homologous members of the p53 family that originated by gene duplication at the invertebrate-to-vertebrate transition. We characterize here a previously unreported gene, Transformation-related protein 63 regulated (Tprg), located upstream of the p63 gene in the vertebrate genome, with striking similarity to Transformation related protein 63 regulated like (Tprgl), an uncharacterized gene located upstream of p73, suggesting that p63/Tprg and p73/Tprgl are embedded in a paralogue region originated from a single duplication event. Tprg is predominantly expressed in the epithelial compartment of the skin, more abundantly in differentiated cells. Consistent with its relative higher expression in differentiated keratinocytes, finely tuned p63 expression levels are required for optimal Tprg expression in primary keratinocytes. p63 is essential for Tprg expression as shown in p63-knockdown keratinocytes; however, high levels of p63 result in Tprg downregulation. p63 directly binds in vivo to a canonical p63-binding site in an evolutionary conserved genomic region located in Tprg intron 4. This genomic region is sufficient to function as a p63-inducible enhancer in promoter studies. Thus, we demonstrate that the Tprg gene is predominantly expressed in skin, is physically associated with the p63 gene during evolution, and directly regulated by p63 through a long-distance enhancer located within the Tprg locus.", "author" : [ { "dropping-particle" : "", "family" : "Antonini", "given" : "Dario", "non-dropping-particle" : "", "parse-names" : false, "suffix" : "" }, { "dropping-particle" : "", "family" : "Dentice", "given" : "Monica", "non-dropping-particle" : "", "parse-names" : false, "suffix" : "" }, { "dropping-particle" : "", "family" : "Mahtani", "given" : "Parvesh", "non-dropping-particle" : "", "parse-names" : false, "suffix" : "" }, { "dropping-particle" : "", "family" : "Rosa", "given" : "Laura", "non-dropping-particle" : "De", "parse-names" : false, "suffix" : "" }, { "dropping-particle" : "Della", "family" : "Gatta", "given" : "Giusy", "non-dropping-particle" : "", "parse-names" : false, "suffix" : "" }, { "dropping-particle" : "", "family" : "Mandinova", "given" : "Anna", "non-dropping-particle" : "", "parse-names" : false, "suffix" : "" }, { "dropping-particle" : "", "family" : "Salvatore", "given" : "Domenico", "non-dropping-particle" : "", "parse-names" : false, "suffix" : "" }, { "dropping-particle" : "", "family" : "Stupka", "given" : "Elia", "non-dropping-particle" : "", "parse-names" : false, "suffix" : "" }, { "dropping-particle" : "", "family" : "Missero", "given" : "Caterina", "non-dropping-particle" : "", "parse-names" : false, "suffix" : "" } ], "container-title" : "Journal of Investigative Dermatology", "id" : "ITEM-1", "issue" : "7", "issued" : { "date-parts" : [ [ "2008" ] ] }, "page" : "1676-1685", "publisher" : "Elsevier Masson SAS", "title" : "Tprg, a gene predominantly expressed in skin, is a direct target of the transcription factor p63", "type" : "article-journal", "volume" : "128" }, "uris" : [ "http://www.mendeley.com/documents/?uuid=4af45d1d-396f-415e-a630-ce19e6055daa" ] } ], "mendeley" : { "formattedCitation" : "&lt;sup&gt;23&lt;/sup&gt;", "plainTextFormattedCitation" : "23", "previouslyFormattedCitation" : "&lt;sup&gt;23&lt;/sup&gt;"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color w:val="auto"/>
          <w:vertAlign w:val="superscript"/>
        </w:rPr>
        <w:t>23</w:t>
      </w:r>
      <w:r w:rsidR="00D86FB3" w:rsidRPr="00A86898">
        <w:rPr>
          <w:rStyle w:val="FootnoteReference"/>
          <w:color w:val="auto"/>
        </w:rPr>
        <w:fldChar w:fldCharType="end"/>
      </w:r>
      <w:r w:rsidR="00F76F60" w:rsidRPr="00A86898">
        <w:rPr>
          <w:color w:val="auto"/>
        </w:rPr>
        <w:t xml:space="preserve"> or SVAP30</w:t>
      </w:r>
      <w:r w:rsidR="00D86FB3" w:rsidRPr="00A86898">
        <w:rPr>
          <w:rStyle w:val="FootnoteReference"/>
          <w:color w:val="auto"/>
        </w:rPr>
        <w:fldChar w:fldCharType="begin" w:fldLock="1"/>
      </w:r>
      <w:r w:rsidR="003C15BB" w:rsidRPr="00A86898">
        <w:rPr>
          <w:color w:val="auto"/>
        </w:rPr>
        <w:instrText>ADDIN CSL_CITATION { "citationItems" : [ { "id" : "ITEM-1", "itemData" : { "ISBN" : "0173-0835 (Print)\\r0173-0835 (Linking)", "ISSN" : "01730835", "PMID" : "16944461", "abstract" : "Synaptic vesicles are organelles of the nerve terminal that secrete neurotransmitters by fusion with the presynaptic plasma membrane. Vesicle fusion is tightly controlled by depolarization of the plasma membrane and a set of proteins that may undergo post-translational modifications such as phosphorylation. In order to identify proteins that undergo modifications as a result of synaptic activation, we induced massive exocytosis and analysed the synaptic vesicle compartment by benzyldimethyl-n-hexadecylammonium chloride (BAC)/SDS-PAGE and difference gel electrophoresis (DIGE) followed by MALDI-TOF-MS. We identified eight proteins that revealed significant changes in abundance following nerve terminal depolarization. Of these, six were increased and two were decreased in abundance. Three of these proteins were phosphorylated as detected by Western blot analysis. In addition, we identified an unknown synaptic vesicle protein whose abundance increased on synaptic activation. Our results demonstrate that depolarization of the presynaptic compartment induces changes in the abundance of synaptic vesicle proteins and post-translational protein modification.", "author" : [ { "dropping-particle" : "", "family" : "Burr\u00e9", "given" : "Jacqueline", "non-dropping-particle" : "", "parse-names" : false, "suffix" : "" }, { "dropping-particle" : "", "family" : "Beckhaus", "given" : "Tobias", "non-dropping-particle" : "", "parse-names" : false, "suffix" : "" }, { "dropping-particle" : "", "family" : "Corvey", "given" : "Carsten", "non-dropping-particle" : "", "parse-names" : false, "suffix" : "" }, { "dropping-particle" : "", "family" : "Karas", "given" : "Michael", "non-dropping-particle" : "", "parse-names" : false, "suffix" : "" }, { "dropping-particle" : "", "family" : "Zimmermann", "given" : "Herbert", "non-dropping-particle" : "", "parse-names" : false, "suffix" : "" }, { "dropping-particle" : "", "family" : "Volknandt", "given" : "Walter", "non-dropping-particle" : "", "parse-names" : false, "suffix" : "" } ], "container-title" : "Electrophoresis", "id" : "ITEM-1", "issue" : "17", "issued" : { "date-parts" : [ [ "2006" ] ] }, "page" : "3488-3496", "title" : "Synaptic vesicle proteins under conditions of rest and activation: Analysis by 2-D difference gel electrophoresis", "type" : "article-journal", "volume" : "27" }, "uris" : [ "http://www.mendeley.com/documents/?uuid=293dd7c1-3441-4311-8878-1b8da90aeb2d" ] } ], "mendeley" : { "formattedCitation" : "&lt;sup&gt;24&lt;/sup&gt;", "plainTextFormattedCitation" : "24", "previouslyFormattedCitation" : "&lt;sup&gt;24&lt;/sup&gt;"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bCs/>
          <w:color w:val="auto"/>
          <w:vertAlign w:val="superscript"/>
        </w:rPr>
        <w:t>24</w:t>
      </w:r>
      <w:r w:rsidR="00D86FB3" w:rsidRPr="00A86898">
        <w:rPr>
          <w:rStyle w:val="FootnoteReference"/>
          <w:color w:val="auto"/>
        </w:rPr>
        <w:fldChar w:fldCharType="end"/>
      </w:r>
      <w:r w:rsidR="00F76F60" w:rsidRPr="00A86898">
        <w:rPr>
          <w:color w:val="auto"/>
        </w:rPr>
        <w:t>)</w:t>
      </w:r>
      <w:r w:rsidRPr="00A86898">
        <w:rPr>
          <w:color w:val="auto"/>
        </w:rPr>
        <w:t xml:space="preserve"> across</w:t>
      </w:r>
      <w:r w:rsidR="003347FB" w:rsidRPr="00A86898">
        <w:rPr>
          <w:color w:val="auto"/>
        </w:rPr>
        <w:t xml:space="preserve"> 16 different</w:t>
      </w:r>
      <w:r w:rsidRPr="00A86898">
        <w:rPr>
          <w:color w:val="auto"/>
        </w:rPr>
        <w:t xml:space="preserve"> brain areas</w:t>
      </w:r>
      <w:r w:rsidR="00D86FB3" w:rsidRPr="00A86898">
        <w:rPr>
          <w:rStyle w:val="FootnoteReference"/>
          <w:color w:val="auto"/>
        </w:rPr>
        <w:fldChar w:fldCharType="begin" w:fldLock="1"/>
      </w:r>
      <w:r w:rsidR="00F715D6" w:rsidRPr="00A86898">
        <w:rPr>
          <w:color w:val="auto"/>
        </w:rPr>
        <w:instrText>ADDIN CSL_CITATION { "citationItems" : [ { "id" : "ITEM-1", "itemData" : { "DOI" : "10.3389/fnana.2018.00058", "ISSN" : "1662-5129", "abstract" : "The assembly and function of presynaptic nerve terminals relies on evolutionarily conserved proteins. A small number of presynaptic proteins occurs only in vertebrates. These proteins may add specialized functions to certain synapses, thus increasing synaptic heterogeneity. Here, we show that the vertebrate-specific synaptic vesicle protein mover is differentially distributed in the forebrain and cerebellum of the adult mouse. Using a quantitative immunofluorescence approach, we compare the expression of mover to the expression of the general synaptic vesicle marker synaptophysin in sixteen brain areas. We find that mover is particularly abundant in the septal nuclei, ventral pallidum, amygdala and hippocampus. Within the hippocampus, mover is predominantly associated with excitatory synapses. Its levels are low in layers that receive afferent input from the entorhinal cortex, and high in layers harboring intra-hippocampal circuits. In contrast, mover levels are high in all nuclei of the amygdala, and mover is associated with inhibitory synapses in the medioposterior amygdala. Our data reveal a striking heterogeneity in the abundance of mover on three levels, i.e. between brain areas, within individual brain areas and between synapse types. This distribution suggests a role for mover in providing specialization to subsets of synapses, thereby contributing to the functional diversity of brain areas.", "author" : [ { "dropping-particle" : "", "family" : "Wallrafen", "given" : "Rebecca", "non-dropping-particle" : "", "parse-names" : false, "suffix" : "" }, { "dropping-particle" : "", "family" : "Dresbach", "given" : "Thomas", "non-dropping-particle" : "", "parse-names" : false, "suffix" : "" } ], "container-title" : "Frontiers in Neuroanatomy", "id" : "ITEM-1", "issued" : { "date-parts" : [ [ "2018", "7" ] ] }, "page" : "58", "publisher" : "Frontiers", "title" : "The Presynaptic Protein Mover Is Differentially Expressed Across Brain Areas and Synapse Types", "type" : "article-journal", "volume" : "12" }, "uris" : [ "http://www.mendeley.com/documents/?uuid=d60ec59c-3d37-4889-9839-a7fa05ae431a", "http://www.mendeley.com/documents/?uuid=6ec9b6b2-6bcf-444a-875f-d8fe60481751", "http://www.mendeley.com/documents/?uuid=d2b560c6-797b-35cc-92e5-8bbe263919b5" ] } ], "mendeley" : { "formattedCitation" : "&lt;sup&gt;1&lt;/sup&gt;", "plainTextFormattedCitation" : "1", "previouslyFormattedCitation" : "&lt;sup&gt;1&lt;/sup&gt;" }, "properties" : { "noteIndex" : 0 }, "schema" : "https://github.com/citation-style-language/schema/raw/master/csl-citation.json" }</w:instrText>
      </w:r>
      <w:r w:rsidR="00D86FB3" w:rsidRPr="00A86898">
        <w:rPr>
          <w:rStyle w:val="FootnoteReference"/>
          <w:color w:val="auto"/>
        </w:rPr>
        <w:fldChar w:fldCharType="separate"/>
      </w:r>
      <w:r w:rsidR="00D86FB3" w:rsidRPr="00A86898">
        <w:rPr>
          <w:color w:val="auto"/>
          <w:vertAlign w:val="superscript"/>
        </w:rPr>
        <w:t>1</w:t>
      </w:r>
      <w:r w:rsidR="00D86FB3" w:rsidRPr="00A86898">
        <w:rPr>
          <w:rStyle w:val="FootnoteReference"/>
          <w:color w:val="auto"/>
        </w:rPr>
        <w:fldChar w:fldCharType="end"/>
      </w:r>
      <w:r w:rsidRPr="00A86898">
        <w:rPr>
          <w:color w:val="auto"/>
        </w:rPr>
        <w:t xml:space="preserve">. Mover is a </w:t>
      </w:r>
      <w:r w:rsidR="002F5C63" w:rsidRPr="00A86898">
        <w:rPr>
          <w:color w:val="auto"/>
        </w:rPr>
        <w:t xml:space="preserve">vertebrate-specific </w:t>
      </w:r>
      <w:r w:rsidRPr="00A86898">
        <w:rPr>
          <w:color w:val="auto"/>
        </w:rPr>
        <w:t>synaptic protein that can be found in association to synaptic vesicles and influences neurotransmitter release</w:t>
      </w:r>
      <w:r w:rsidR="00D86FB3" w:rsidRPr="00A86898">
        <w:rPr>
          <w:rStyle w:val="FootnoteReference"/>
          <w:color w:val="auto"/>
        </w:rPr>
        <w:fldChar w:fldCharType="begin" w:fldLock="1"/>
      </w:r>
      <w:r w:rsidR="003C15BB" w:rsidRPr="00A86898">
        <w:rPr>
          <w:color w:val="auto"/>
        </w:rPr>
        <w:instrText>ADDIN CSL_CITATION { "citationItems" : [ { "id" : "ITEM-1", "itemData" : { "ISSN" : "00145793", "PMID" : "17869247", "abstract" : "Presynaptic nerve terminals contain scaffolding proteins that orchestrate neurotransmitter release at active zones. Here we describe mover, a yet unknown non-transmembrane protein that is targeted to presynaptic terminals when overexpressed in cultured neurons. Confocal immunomicroscopy revealed that mover colocalizes with presynaptic markers in the calyx of Held. In the hippocampus, mover localizes to mossy fibre terminals, but is absent from inhibitory nerve terminals. By contrast, mover localizes to inhibitory terminals throughout the cerebellar cortex. Our results suggest that mover may act in concert with generally expressed scaffolding proteins in distinct sets of presynaptic terminals. ?? 2007 Federation of European Biochemical Societies.", "author" : [ { "dropping-particle" : "", "family" : "Kremer", "given" : "Thomas", "non-dropping-particle" : "", "parse-names" : false, "suffix" : "" }, { "dropping-particle" : "", "family" : "Kempf", "given" : "Christian", "non-dropping-particle" : "", "parse-names" : false, "suffix" : "" }, { "dropping-particle" : "", "family" : "Wittenmayer", "given" : "Nina", "non-dropping-particle" : "", "parse-names" : false, "suffix" : "" }, { "dropping-particle" : "", "family" : "Nawrotzki", "given" : "Ralph", "non-dropping-particle" : "", "parse-names" : false, "suffix" : "" }, { "dropping-particle" : "", "family" : "Kuner", "given" : "Thomas", "non-dropping-particle" : "", "parse-names" : false, "suffix" : "" }, { "dropping-particle" : "", "family" : "Kirsch", "given" : "Joachim", "non-dropping-particle" : "", "parse-names" : false, "suffix" : "" }, { "dropping-particle" : "", "family" : "Dresbach", "given" : "Thomas", "non-dropping-particle" : "", "parse-names" : false, "suffix" : "" } ], "container-title" : "FEBS Letters", "id" : "ITEM-1", "issue" : "24", "issued" : { "date-parts" : [ [ "2007" ] ] }, "page" : "4727-4733", "title" : "Mover is a novel vertebrate-specific presynaptic protein with differential distribution at subsets of CNS synapses", "type" : "article-journal", "volume" : "581" }, "uris" : [ "http://www.mendeley.com/documents/?uuid=5a0968eb-d4c9-4e59-b897-faa79dda7bd8" ] }, { "id" : "ITEM-2", "itemData" : { "ISBN" : "1932-6203 (Electronic)\\r1932-6203 (Linking)", "ISSN" : "19326203", "PMID" : "23723986", "abstract" : "With remarkably few exceptions, the molecules mediating synaptic vesicle exocytosis at active zones are structurally and functionally conserved between vertebrates and invertebrates. Mover was found in a yeast-2-hybrid assay using the vertebrate-specific active zone scaffolding protein bassoon as a bait. Peptides of Mover have been reported in proteomics screens for self-interacting proteins, phosphorylated proteins, and synaptic vesicle proteins, respectively. Here, we tested the predictions arising from these screens. Using flotation assays, carbonate stripping of peripheral membrane proteins, mass spectrometry, immunogold labelling of purified synaptic vesicles, and immuno-organelle isolation, we found that Mover is indeed a peripheral synaptic vesicle membrane protein. In addition, by generating an antibody against phosphorylated Mover and Western blot analysis of fractionated rat brain, we found that Mover is a bona fide phospho-protein. The localization of Mover to synaptic vesicles is phosphorylation dependent; treatment with a phosphatase caused Mover to dissociate from synaptic vesicles. A yeast-2-hybrid screen, co-immunoprecipitation and cell-based optical assays of homomerization revealed that Mover undergoes homophilic interaction, and regions within both the N- and C- terminus of the protein are required for this interaction. Deleting a region required for homomeric interaction abolished presynaptic targeting of recombinant Mover in cultured neurons. Together, these data prove that Mover is associated with synaptic vesicles, and implicate phosphorylation and multimerization in targeting of Mover to synaptic vesicles and presynaptic sites.", "author" : [ { "dropping-particle" : "", "family" : "Ahmed", "given" : "Saheeb", "non-dropping-particle" : "", "parse-names" : false, "suffix" : "" }, { "dropping-particle" : "", "family" : "Wittenmayer", "given" : "Nina", "non-dropping-particle" : "", "parse-names" : false, "suffix" : "" }, { "dropping-particle" : "", "family" : "Kremer", "given" : "Thomas", "non-dropping-particle" : "", "parse-names" : false, "suffix" : "" }, { "dropping-particle" : "", "family" : "Hoeber", "given" : "Jan", "non-dropping-particle" : "", "parse-names" : false, "suffix" : "" }, { "dropping-particle" : "", "family" : "Kiran Akula", "given" : "Asha", "non-dropping-particle" : "", "parse-names" : false, "suffix" : "" }, { "dropping-particle" : "", "family" : "Urlaub", "given" : "Henning", "non-dropping-particle" : "", "parse-names" : false, "suffix" : "" }, { "dropping-particle" : "", "family" : "Islinger", "given" : "Markus", "non-dropping-particle" : "", "parse-names" : false, "suffix" : "" }, { "dropping-particle" : "", "family" : "Kirsch", "given" : "Joachim", "non-dropping-particle" : "", "parse-names" : false, "suffix" : "" }, { "dropping-particle" : "", "family" : "Dean", "given" : "Camin", "non-dropping-particle" : "", "parse-names" : false, "suffix" : "" }, { "dropping-particle" : "", "family" : "Dresbach", "given" : "Thomas", "non-dropping-particle" : "", "parse-names" : false, "suffix" : "" } ], "container-title" : "PLoS ONE", "id" : "ITEM-2", "issue" : "5", "issued" : { "date-parts" : [ [ "2013" ] ] }, "title" : "Mover Is a Homomeric Phospho-Protein Present on Synaptic Vesicles", "type" : "article-journal", "volume" : "8" }, "uris" : [ "http://www.mendeley.com/documents/?uuid=ac7924ef-d207-4341-a9d1-95b16194b923" ] }, { "id" : "ITEM-3", "itemData" : { "DOI" : "10.1016/j.neuron.2015.07.001", "ISSN" : "1097-4199", "PMID" : "26212709", "abstract" : "Mover, a member of the exquisitely small group of vertebrate-specific presynaptic proteins, has been discovered as an interaction partner of the scaffolding protein Bassoon, yet its function has not been elucidated. We used adeno-associated virus (AAV)-mediated shRNA expression to knock down Mover in the calyx of Held in vivo. Although spontaneous synaptic transmission remained unaffected, we found a strong increase of the evoked EPSC amplitude. The size of the readily releasable pool was unaltered, but short-term depression was accelerated and enhanced, consistent with an increase in release probability after Mover knockdown. This increase in release probability was not caused by alterations in Ca(2+) influx but rather by a higher Ca(2+) sensitivity of the release machinery, as demonstrated by presynaptic Ca(2+) uncaging. We therefore conclude that Mover expression in certain subsets of synapses negatively regulates synaptic release probability, constituting a novel mechanism to tune synaptic transmission.", "author" : [ { "dropping-particle" : "", "family" : "K\u00f6rber", "given" : "Christoph", "non-dropping-particle" : "", "parse-names" : false, "suffix" : "" }, { "dropping-particle" : "", "family" : "Horstmann", "given" : "Heinz", "non-dropping-particle" : "", "parse-names" : false, "suffix" : "" }, { "dropping-particle" : "", "family" : "Venkataramani", "given" : "Varun", "non-dropping-particle" : "", "parse-names" : false, "suffix" : "" }, { "dropping-particle" : "", "family" : "Herrmannsd\u00f6rfer", "given" : "Frank", "non-dropping-particle" : "", "parse-names" : false, "suffix" : "" }, { "dropping-particle" : "", "family" : "Kremer", "given" : "Thomas", "non-dropping-particle" : "", "parse-names" : false, "suffix" : "" }, { "dropping-particle" : "", "family" : "Kaiser", "given" : "Michaela", "non-dropping-particle" : "", "parse-names" : false, "suffix" : "" }, { "dropping-particle" : "", "family" : "Schwenger", "given" : "Darius B", "non-dropping-particle" : "", "parse-names" : false, "suffix" : "" }, { "dropping-particle" : "", "family" : "Ahmed", "given" : "Saheeb", "non-dropping-particle" : "", "parse-names" : false, "suffix" : "" }, { "dropping-particle" : "", "family" : "Dean", "given" : "Camin", "non-dropping-particle" : "", "parse-names" : false, "suffix" : "" }, { "dropping-particle" : "", "family" : "Dresbach", "given" : "Thomas", "non-dropping-particle" : "", "parse-names" : false, "suffix" : "" }, { "dropping-particle" : "", "family" : "Kuner", "given" : "Thomas", "non-dropping-particle" : "", "parse-names" : false, "suffix" : "" } ], "container-title" : "Neuron", "id" : "ITEM-3", "issue" : "3", "issued" : { "date-parts" : [ [ "2015", "7" ] ] }, "page" : "521-533", "title" : "Modulation of Presynaptic Release Probability by the Vertebrate-Specific Protein Mover.", "type" : "article-journal", "volume" : "87" }, "uris" : [ "http://www.mendeley.com/documents/?uuid=c27a47ac-3923-4359-951c-abe40051f383", "http://www.mendeley.com/documents/?uuid=6e2163ec-5c32-4d87-969a-8d188bfee0a5", "http://www.mendeley.com/documents/?uuid=31504b9c-4f54-42a7-8cd5-e597ba573ca6" ] } ], "mendeley" : { "formattedCitation" : "&lt;sup&gt;25\u201327&lt;/sup&gt;", "plainTextFormattedCitation" : "25\u201327", "previouslyFormattedCitation" : "&lt;sup&gt;25\u201327&lt;/sup&gt;"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color w:val="auto"/>
          <w:vertAlign w:val="superscript"/>
        </w:rPr>
        <w:t>25</w:t>
      </w:r>
      <w:r w:rsidR="003A2BAD">
        <w:rPr>
          <w:color w:val="auto"/>
          <w:vertAlign w:val="superscript"/>
        </w:rPr>
        <w:t>-</w:t>
      </w:r>
      <w:r w:rsidR="003C15BB" w:rsidRPr="00A86898">
        <w:rPr>
          <w:color w:val="auto"/>
          <w:vertAlign w:val="superscript"/>
        </w:rPr>
        <w:t>27</w:t>
      </w:r>
      <w:r w:rsidR="00D86FB3" w:rsidRPr="00A86898">
        <w:rPr>
          <w:rStyle w:val="FootnoteReference"/>
          <w:color w:val="auto"/>
        </w:rPr>
        <w:fldChar w:fldCharType="end"/>
      </w:r>
      <w:r w:rsidRPr="00A86898">
        <w:rPr>
          <w:color w:val="auto"/>
        </w:rPr>
        <w:t xml:space="preserve">. </w:t>
      </w:r>
      <w:r w:rsidR="003347FB" w:rsidRPr="00A86898">
        <w:rPr>
          <w:color w:val="auto"/>
        </w:rPr>
        <w:t xml:space="preserve">We have related the Mover expression to the abundance of synaptic vesicles, by staining for </w:t>
      </w:r>
      <w:r w:rsidR="003A2BAD">
        <w:rPr>
          <w:color w:val="auto"/>
        </w:rPr>
        <w:t>s</w:t>
      </w:r>
      <w:r w:rsidR="003347FB" w:rsidRPr="00A86898">
        <w:rPr>
          <w:color w:val="auto"/>
        </w:rPr>
        <w:t>ynaptophysin as a synaptic vesicle reference marker. We f</w:t>
      </w:r>
      <w:r w:rsidR="00261C36">
        <w:rPr>
          <w:color w:val="auto"/>
        </w:rPr>
        <w:t>ound</w:t>
      </w:r>
      <w:r w:rsidR="003347FB" w:rsidRPr="00A86898">
        <w:rPr>
          <w:color w:val="auto"/>
        </w:rPr>
        <w:t xml:space="preserve"> high levels of Mover particularly </w:t>
      </w:r>
      <w:r w:rsidR="00775D61" w:rsidRPr="00A86898">
        <w:rPr>
          <w:color w:val="auto"/>
        </w:rPr>
        <w:t>in the septal nuclei, the ventral pallidum</w:t>
      </w:r>
      <w:r w:rsidR="00BA737C">
        <w:rPr>
          <w:color w:val="auto"/>
        </w:rPr>
        <w:t>,</w:t>
      </w:r>
      <w:r w:rsidR="00775D61" w:rsidRPr="00A86898">
        <w:rPr>
          <w:color w:val="auto"/>
        </w:rPr>
        <w:t xml:space="preserve"> and the amygdala. Within the h</w:t>
      </w:r>
      <w:r w:rsidR="003347FB" w:rsidRPr="00A86898">
        <w:rPr>
          <w:color w:val="auto"/>
        </w:rPr>
        <w:t>ippocampus, we f</w:t>
      </w:r>
      <w:r w:rsidR="006010B3">
        <w:rPr>
          <w:color w:val="auto"/>
        </w:rPr>
        <w:t>ound</w:t>
      </w:r>
      <w:r w:rsidR="003347FB" w:rsidRPr="00A86898">
        <w:rPr>
          <w:color w:val="auto"/>
        </w:rPr>
        <w:t xml:space="preserve"> a heterogeneous distribution of Mover, with high levels in the layers associated with intra-hippocampal computation, and low levels in input- and output layers. </w:t>
      </w:r>
    </w:p>
    <w:p w14:paraId="62CED7F5" w14:textId="77777777" w:rsidR="008329DA" w:rsidRPr="00A86898" w:rsidRDefault="008329DA" w:rsidP="005A4ED4">
      <w:pPr>
        <w:widowControl/>
        <w:rPr>
          <w:color w:val="auto"/>
        </w:rPr>
      </w:pPr>
    </w:p>
    <w:p w14:paraId="5DFB050A" w14:textId="77777777" w:rsidR="00657A48" w:rsidRPr="00A86898" w:rsidRDefault="00657A48" w:rsidP="00657A48">
      <w:pPr>
        <w:widowControl/>
        <w:rPr>
          <w:color w:val="auto"/>
        </w:rPr>
      </w:pPr>
      <w:r w:rsidRPr="00A86898">
        <w:rPr>
          <w:b/>
          <w:color w:val="auto"/>
        </w:rPr>
        <w:t>PROTOCOL:</w:t>
      </w:r>
    </w:p>
    <w:p w14:paraId="33010731" w14:textId="5E53DF42" w:rsidR="0053734C" w:rsidRPr="00A86898" w:rsidRDefault="00F15E80" w:rsidP="005A4ED4">
      <w:pPr>
        <w:widowControl/>
        <w:rPr>
          <w:b/>
          <w:color w:val="auto"/>
        </w:rPr>
      </w:pPr>
      <w:r>
        <w:t xml:space="preserve">This protocol does not involve </w:t>
      </w:r>
      <w:r w:rsidR="00EF1AA9">
        <w:t xml:space="preserve">experiments </w:t>
      </w:r>
      <w:r>
        <w:t>o</w:t>
      </w:r>
      <w:r w:rsidR="00234715">
        <w:t>n</w:t>
      </w:r>
      <w:r w:rsidR="00EF1AA9">
        <w:t xml:space="preserve"> live animals. </w:t>
      </w:r>
      <w:r w:rsidR="0053734C" w:rsidRPr="00A86898">
        <w:rPr>
          <w:color w:val="auto"/>
          <w:shd w:val="clear" w:color="auto" w:fill="FFFFFF"/>
        </w:rPr>
        <w:t>Experiments involving euthanizing of animals to obtain brain samples were approved by the local animal protection authorities (</w:t>
      </w:r>
      <w:proofErr w:type="spellStart"/>
      <w:r w:rsidR="0053734C" w:rsidRPr="00A86898">
        <w:rPr>
          <w:color w:val="auto"/>
          <w:shd w:val="clear" w:color="auto" w:fill="FFFFFF"/>
        </w:rPr>
        <w:t>Tierschutzkommission</w:t>
      </w:r>
      <w:proofErr w:type="spellEnd"/>
      <w:r w:rsidR="0053734C" w:rsidRPr="00A86898">
        <w:rPr>
          <w:color w:val="auto"/>
          <w:shd w:val="clear" w:color="auto" w:fill="FFFFFF"/>
        </w:rPr>
        <w:t xml:space="preserve"> der </w:t>
      </w:r>
      <w:proofErr w:type="spellStart"/>
      <w:r w:rsidR="0053734C" w:rsidRPr="00A86898">
        <w:rPr>
          <w:color w:val="auto"/>
          <w:shd w:val="clear" w:color="auto" w:fill="FFFFFF"/>
        </w:rPr>
        <w:t>Universitätsmedizin</w:t>
      </w:r>
      <w:proofErr w:type="spellEnd"/>
      <w:r w:rsidR="0053734C" w:rsidRPr="00A86898">
        <w:rPr>
          <w:color w:val="auto"/>
          <w:shd w:val="clear" w:color="auto" w:fill="FFFFFF"/>
        </w:rPr>
        <w:t xml:space="preserve"> Göttingen) under the approval number T 10/30.</w:t>
      </w:r>
      <w:r w:rsidR="00305F07">
        <w:rPr>
          <w:color w:val="auto"/>
          <w:shd w:val="clear" w:color="auto" w:fill="FFFFFF"/>
        </w:rPr>
        <w:t xml:space="preserve"> </w:t>
      </w:r>
    </w:p>
    <w:p w14:paraId="5B10EA80" w14:textId="6EBAC9D8" w:rsidR="0053734C" w:rsidRDefault="0053734C" w:rsidP="005A4ED4">
      <w:pPr>
        <w:widowControl/>
        <w:rPr>
          <w:b/>
          <w:color w:val="auto"/>
        </w:rPr>
      </w:pPr>
    </w:p>
    <w:p w14:paraId="0EDE42DB" w14:textId="101C6779" w:rsidR="00305F07" w:rsidRDefault="00305F07" w:rsidP="005A4ED4">
      <w:pPr>
        <w:widowControl/>
        <w:rPr>
          <w:color w:val="auto"/>
        </w:rPr>
      </w:pPr>
      <w:r w:rsidRPr="00305F07">
        <w:rPr>
          <w:color w:val="auto"/>
        </w:rPr>
        <w:t>NOTE:</w:t>
      </w:r>
      <w:r>
        <w:rPr>
          <w:color w:val="auto"/>
        </w:rPr>
        <w:t xml:space="preserve"> </w:t>
      </w:r>
      <w:r w:rsidRPr="00A86898">
        <w:rPr>
          <w:color w:val="auto"/>
          <w:lang w:eastAsia="de-DE"/>
        </w:rPr>
        <w:t xml:space="preserve">For this protocol, 3 </w:t>
      </w:r>
      <w:proofErr w:type="gramStart"/>
      <w:r w:rsidRPr="00A86898">
        <w:rPr>
          <w:color w:val="auto"/>
          <w:lang w:eastAsia="de-DE"/>
        </w:rPr>
        <w:t>adult</w:t>
      </w:r>
      <w:proofErr w:type="gramEnd"/>
      <w:r w:rsidRPr="00A86898">
        <w:rPr>
          <w:color w:val="auto"/>
          <w:lang w:eastAsia="de-DE"/>
        </w:rPr>
        <w:t xml:space="preserve"> male C57BL/6 mice were used.</w:t>
      </w:r>
    </w:p>
    <w:p w14:paraId="5854C0D8" w14:textId="77777777" w:rsidR="00305F07" w:rsidRPr="00305F07" w:rsidRDefault="00305F07" w:rsidP="005A4ED4">
      <w:pPr>
        <w:widowControl/>
        <w:rPr>
          <w:color w:val="auto"/>
        </w:rPr>
      </w:pPr>
    </w:p>
    <w:p w14:paraId="6F802723" w14:textId="5BF0C9CA" w:rsidR="00A7363F" w:rsidRPr="000551CA" w:rsidRDefault="00C2281B" w:rsidP="005A4ED4">
      <w:pPr>
        <w:widowControl/>
        <w:rPr>
          <w:b/>
          <w:color w:val="auto"/>
        </w:rPr>
      </w:pPr>
      <w:bookmarkStart w:id="0" w:name="_Hlk525218777"/>
      <w:r w:rsidRPr="002B0555">
        <w:rPr>
          <w:b/>
          <w:color w:val="auto"/>
          <w:highlight w:val="yellow"/>
        </w:rPr>
        <w:t xml:space="preserve">1. </w:t>
      </w:r>
      <w:r w:rsidR="00A7363F" w:rsidRPr="002B0555">
        <w:rPr>
          <w:b/>
          <w:color w:val="auto"/>
          <w:highlight w:val="yellow"/>
        </w:rPr>
        <w:t xml:space="preserve">Sample </w:t>
      </w:r>
      <w:r w:rsidR="000551CA" w:rsidRPr="002B0555">
        <w:rPr>
          <w:b/>
          <w:color w:val="auto"/>
          <w:highlight w:val="yellow"/>
        </w:rPr>
        <w:t>P</w:t>
      </w:r>
      <w:r w:rsidR="00A7363F" w:rsidRPr="002B0555">
        <w:rPr>
          <w:b/>
          <w:color w:val="auto"/>
          <w:highlight w:val="yellow"/>
        </w:rPr>
        <w:t>reparation</w:t>
      </w:r>
    </w:p>
    <w:p w14:paraId="36EC13C8" w14:textId="77777777" w:rsidR="00A238AD" w:rsidRDefault="00A238AD" w:rsidP="005A4ED4">
      <w:pPr>
        <w:widowControl/>
        <w:rPr>
          <w:color w:val="auto"/>
        </w:rPr>
      </w:pPr>
    </w:p>
    <w:p w14:paraId="193917E1" w14:textId="364CD1F8" w:rsidR="00C2281B" w:rsidRPr="00A86898" w:rsidRDefault="00C2281B" w:rsidP="005A4ED4">
      <w:pPr>
        <w:widowControl/>
        <w:rPr>
          <w:color w:val="auto"/>
        </w:rPr>
      </w:pPr>
      <w:r w:rsidRPr="00A86898">
        <w:rPr>
          <w:color w:val="auto"/>
        </w:rPr>
        <w:t>1.</w:t>
      </w:r>
      <w:r w:rsidR="00A238AD">
        <w:rPr>
          <w:color w:val="auto"/>
        </w:rPr>
        <w:t>1</w:t>
      </w:r>
      <w:r w:rsidR="00457279" w:rsidRPr="00A86898">
        <w:rPr>
          <w:color w:val="auto"/>
        </w:rPr>
        <w:t>.</w:t>
      </w:r>
      <w:r w:rsidR="009F2E7F" w:rsidRPr="00A86898">
        <w:rPr>
          <w:color w:val="auto"/>
        </w:rPr>
        <w:t xml:space="preserve"> Prepare fixative and 0.1</w:t>
      </w:r>
      <w:r w:rsidR="00573C4F">
        <w:rPr>
          <w:color w:val="auto"/>
        </w:rPr>
        <w:t xml:space="preserve"> </w:t>
      </w:r>
      <w:r w:rsidR="009F2E7F" w:rsidRPr="00A86898">
        <w:rPr>
          <w:color w:val="auto"/>
        </w:rPr>
        <w:t xml:space="preserve">M </w:t>
      </w:r>
      <w:r w:rsidR="001B3520" w:rsidRPr="00A86898">
        <w:rPr>
          <w:color w:val="auto"/>
        </w:rPr>
        <w:t>phosphate buffer (</w:t>
      </w:r>
      <w:r w:rsidR="009F2E7F" w:rsidRPr="00A86898">
        <w:rPr>
          <w:color w:val="auto"/>
        </w:rPr>
        <w:t>PB</w:t>
      </w:r>
      <w:r w:rsidR="001B3520" w:rsidRPr="00A86898">
        <w:rPr>
          <w:color w:val="auto"/>
        </w:rPr>
        <w:t xml:space="preserve">; </w:t>
      </w:r>
      <w:r w:rsidRPr="00A86898">
        <w:rPr>
          <w:color w:val="auto"/>
        </w:rPr>
        <w:t xml:space="preserve">see </w:t>
      </w:r>
      <w:r w:rsidR="00573C4F" w:rsidRPr="00F122F8">
        <w:rPr>
          <w:b/>
          <w:color w:val="auto"/>
        </w:rPr>
        <w:t>T</w:t>
      </w:r>
      <w:r w:rsidRPr="00F122F8">
        <w:rPr>
          <w:b/>
          <w:color w:val="auto"/>
        </w:rPr>
        <w:t>able</w:t>
      </w:r>
      <w:r w:rsidR="00127DE2" w:rsidRPr="00F122F8">
        <w:rPr>
          <w:b/>
          <w:color w:val="auto"/>
        </w:rPr>
        <w:t xml:space="preserve"> 1</w:t>
      </w:r>
      <w:r w:rsidRPr="00A86898">
        <w:rPr>
          <w:color w:val="auto"/>
        </w:rPr>
        <w:t>)</w:t>
      </w:r>
      <w:r w:rsidR="00733BA0">
        <w:rPr>
          <w:color w:val="auto"/>
        </w:rPr>
        <w:t>.</w:t>
      </w:r>
    </w:p>
    <w:p w14:paraId="1827F1D1" w14:textId="07D3CC69" w:rsidR="00B03E94" w:rsidRPr="00A86898" w:rsidRDefault="00B03E94" w:rsidP="005A4ED4">
      <w:pPr>
        <w:pStyle w:val="NormalWeb"/>
        <w:widowControl/>
        <w:spacing w:before="0" w:beforeAutospacing="0" w:after="0" w:afterAutospacing="0"/>
        <w:rPr>
          <w:color w:val="auto"/>
          <w:lang w:eastAsia="de-DE"/>
        </w:rPr>
      </w:pPr>
    </w:p>
    <w:p w14:paraId="29DCB129" w14:textId="14B9A1E4" w:rsidR="00A7363F" w:rsidRPr="00A86898" w:rsidRDefault="00EF5826" w:rsidP="005A4ED4">
      <w:pPr>
        <w:widowControl/>
        <w:rPr>
          <w:color w:val="auto"/>
        </w:rPr>
      </w:pPr>
      <w:r>
        <w:rPr>
          <w:color w:val="auto"/>
        </w:rPr>
        <w:t xml:space="preserve">1.2. </w:t>
      </w:r>
      <w:r w:rsidR="008C2459" w:rsidRPr="00A86898">
        <w:rPr>
          <w:color w:val="auto"/>
        </w:rPr>
        <w:t>Fix the animal by transcardial perfusion as described in Gage</w:t>
      </w:r>
      <w:r w:rsidR="005A4ED4" w:rsidRPr="00A86898">
        <w:rPr>
          <w:i/>
          <w:color w:val="auto"/>
        </w:rPr>
        <w:t xml:space="preserve"> et al.</w:t>
      </w:r>
      <w:r w:rsidR="00D86FB3" w:rsidRPr="00A86898">
        <w:rPr>
          <w:rStyle w:val="FootnoteReference"/>
          <w:color w:val="auto"/>
        </w:rPr>
        <w:fldChar w:fldCharType="begin" w:fldLock="1"/>
      </w:r>
      <w:r w:rsidR="003C15BB" w:rsidRPr="00A86898">
        <w:rPr>
          <w:color w:val="auto"/>
        </w:rPr>
        <w:instrText>ADDIN CSL_CITATION { "citationItems" : [ { "id" : "ITEM-1", "itemData" : { "DOI" : "10.3791/3564", "author" : [ { "dropping-particle" : "", "family" : "Gage", "given" : "Gregory J", "non-dropping-particle" : "", "parse-names" : false, "suffix" : "" }, { "dropping-particle" : "", "family" : "Kipke", "given" : "Daryl R", "non-dropping-particle" : "", "parse-names" : false, "suffix" : "" }, { "dropping-particle" : "", "family" : "Shain", "given" : "William", "non-dropping-particle" : "", "parse-names" : false, "suffix" : "" } ], "container-title" : "Journal of Visualized Experiments", "id" : "ITEM-1", "issue" : "July", "issued" : { "date-parts" : [ [ "2012" ] ] }, "page" : "1-9", "title" : "Whole Animal Perfusion Fixation for Rodents", "type" : "article-journal" }, "uris" : [ "http://www.mendeley.com/documents/?uuid=475f9e93-ad4d-4151-9fd0-bfa26a23afee", "http://www.mendeley.com/documents/?uuid=1c25b2ee-745d-44c6-b9ff-2b3c523380fc", "http://www.mendeley.com/documents/?uuid=e774b952-45fa-4d23-bfa8-5312751c6669" ] } ], "mendeley" : { "formattedCitation" : "&lt;sup&gt;28&lt;/sup&gt;", "plainTextFormattedCitation" : "28", "previouslyFormattedCitation" : "&lt;sup&gt;28&lt;/sup&gt;"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bCs/>
          <w:color w:val="auto"/>
          <w:vertAlign w:val="superscript"/>
        </w:rPr>
        <w:t>28</w:t>
      </w:r>
      <w:r w:rsidR="00D86FB3" w:rsidRPr="00A86898">
        <w:rPr>
          <w:rStyle w:val="FootnoteReference"/>
          <w:color w:val="auto"/>
        </w:rPr>
        <w:fldChar w:fldCharType="end"/>
      </w:r>
      <w:r w:rsidR="008329DA" w:rsidRPr="00A86898">
        <w:rPr>
          <w:color w:val="auto"/>
        </w:rPr>
        <w:t xml:space="preserve">. First wash out the blood with </w:t>
      </w:r>
      <w:r w:rsidR="00D8311F" w:rsidRPr="00A86898">
        <w:rPr>
          <w:color w:val="auto"/>
        </w:rPr>
        <w:t>0.9</w:t>
      </w:r>
      <w:r w:rsidR="005A4ED4" w:rsidRPr="00A86898">
        <w:rPr>
          <w:color w:val="auto"/>
        </w:rPr>
        <w:t>%</w:t>
      </w:r>
      <w:r w:rsidR="008329DA" w:rsidRPr="00A86898">
        <w:rPr>
          <w:color w:val="auto"/>
        </w:rPr>
        <w:t xml:space="preserve"> NaCl-solution, then perfuse with 30 mL</w:t>
      </w:r>
      <w:r w:rsidR="00EA7A3D">
        <w:rPr>
          <w:color w:val="auto"/>
        </w:rPr>
        <w:t xml:space="preserve"> of</w:t>
      </w:r>
      <w:r w:rsidR="008329DA" w:rsidRPr="00A86898">
        <w:rPr>
          <w:color w:val="auto"/>
        </w:rPr>
        <w:t xml:space="preserve"> 4</w:t>
      </w:r>
      <w:r w:rsidR="005A4ED4" w:rsidRPr="00A86898">
        <w:rPr>
          <w:color w:val="auto"/>
        </w:rPr>
        <w:t>%</w:t>
      </w:r>
      <w:r w:rsidR="008329DA" w:rsidRPr="00A86898">
        <w:rPr>
          <w:color w:val="auto"/>
        </w:rPr>
        <w:t xml:space="preserve"> paraformaldehyde (PFA).</w:t>
      </w:r>
    </w:p>
    <w:p w14:paraId="27235365" w14:textId="114300D5" w:rsidR="008329DA" w:rsidRPr="00A86898" w:rsidRDefault="008329DA" w:rsidP="005A4ED4">
      <w:pPr>
        <w:widowControl/>
        <w:rPr>
          <w:color w:val="auto"/>
        </w:rPr>
      </w:pPr>
    </w:p>
    <w:p w14:paraId="5283A9FB" w14:textId="1C43448D" w:rsidR="008329DA" w:rsidRPr="00A86898" w:rsidRDefault="00C2281B" w:rsidP="005A4ED4">
      <w:pPr>
        <w:widowControl/>
        <w:rPr>
          <w:color w:val="auto"/>
        </w:rPr>
      </w:pPr>
      <w:r w:rsidRPr="00A86898">
        <w:rPr>
          <w:color w:val="auto"/>
        </w:rPr>
        <w:t>1.</w:t>
      </w:r>
      <w:r w:rsidR="00BF60CD">
        <w:rPr>
          <w:color w:val="auto"/>
        </w:rPr>
        <w:t>3</w:t>
      </w:r>
      <w:r w:rsidR="00457279" w:rsidRPr="00A86898">
        <w:rPr>
          <w:color w:val="auto"/>
        </w:rPr>
        <w:t>.</w:t>
      </w:r>
      <w:r w:rsidR="008329DA" w:rsidRPr="00A86898">
        <w:rPr>
          <w:color w:val="auto"/>
        </w:rPr>
        <w:t xml:space="preserve"> Open the skull</w:t>
      </w:r>
      <w:r w:rsidR="000955E6" w:rsidRPr="00A86898">
        <w:rPr>
          <w:color w:val="auto"/>
        </w:rPr>
        <w:t xml:space="preserve"> with scissors</w:t>
      </w:r>
      <w:r w:rsidR="008329DA" w:rsidRPr="00A86898">
        <w:rPr>
          <w:color w:val="auto"/>
        </w:rPr>
        <w:t xml:space="preserve"> and carefully isolate the brain</w:t>
      </w:r>
      <w:r w:rsidR="000955E6" w:rsidRPr="00A86898">
        <w:rPr>
          <w:color w:val="auto"/>
        </w:rPr>
        <w:t xml:space="preserve"> using a spoon with blunt edges to avoid damaging the tissue</w:t>
      </w:r>
      <w:r w:rsidR="008329DA" w:rsidRPr="00A86898">
        <w:rPr>
          <w:color w:val="auto"/>
        </w:rPr>
        <w:t>.</w:t>
      </w:r>
    </w:p>
    <w:p w14:paraId="1476C96C" w14:textId="2C19FCC4" w:rsidR="008329DA" w:rsidRPr="00A86898" w:rsidRDefault="008329DA" w:rsidP="005A4ED4">
      <w:pPr>
        <w:widowControl/>
        <w:rPr>
          <w:color w:val="auto"/>
        </w:rPr>
      </w:pPr>
    </w:p>
    <w:p w14:paraId="7C02BE72" w14:textId="3290B586" w:rsidR="008329DA" w:rsidRPr="00A86898" w:rsidRDefault="00C2281B" w:rsidP="005A4ED4">
      <w:pPr>
        <w:widowControl/>
        <w:rPr>
          <w:color w:val="auto"/>
        </w:rPr>
      </w:pPr>
      <w:r w:rsidRPr="00A86898">
        <w:rPr>
          <w:color w:val="auto"/>
        </w:rPr>
        <w:t>1.</w:t>
      </w:r>
      <w:r w:rsidR="00DB4E16">
        <w:rPr>
          <w:color w:val="auto"/>
        </w:rPr>
        <w:t>4</w:t>
      </w:r>
      <w:r w:rsidR="00457279" w:rsidRPr="00A86898">
        <w:rPr>
          <w:color w:val="auto"/>
        </w:rPr>
        <w:t>.</w:t>
      </w:r>
      <w:r w:rsidR="008329DA" w:rsidRPr="00A86898">
        <w:rPr>
          <w:color w:val="auto"/>
        </w:rPr>
        <w:t xml:space="preserve"> </w:t>
      </w:r>
      <w:r w:rsidR="009F2E7F" w:rsidRPr="00A86898">
        <w:rPr>
          <w:color w:val="auto"/>
        </w:rPr>
        <w:t xml:space="preserve">Fill a 50 mL reaction </w:t>
      </w:r>
      <w:r w:rsidR="005247B0" w:rsidRPr="00A86898">
        <w:rPr>
          <w:color w:val="auto"/>
        </w:rPr>
        <w:t>tube with fixative and p</w:t>
      </w:r>
      <w:r w:rsidR="008329DA" w:rsidRPr="00A86898">
        <w:rPr>
          <w:color w:val="auto"/>
        </w:rPr>
        <w:t>ostfix the brain in 4</w:t>
      </w:r>
      <w:r w:rsidR="005A4ED4" w:rsidRPr="00A86898">
        <w:rPr>
          <w:color w:val="auto"/>
        </w:rPr>
        <w:t>%</w:t>
      </w:r>
      <w:r w:rsidR="008329DA" w:rsidRPr="00A86898">
        <w:rPr>
          <w:color w:val="auto"/>
        </w:rPr>
        <w:t xml:space="preserve"> PFA at 4</w:t>
      </w:r>
      <w:r w:rsidR="00792277">
        <w:rPr>
          <w:color w:val="auto"/>
        </w:rPr>
        <w:t xml:space="preserve"> </w:t>
      </w:r>
      <w:r w:rsidR="008329DA" w:rsidRPr="00A86898">
        <w:rPr>
          <w:color w:val="auto"/>
        </w:rPr>
        <w:t>°C overnight.</w:t>
      </w:r>
    </w:p>
    <w:p w14:paraId="13035E5F" w14:textId="03482906" w:rsidR="008329DA" w:rsidRPr="00A86898" w:rsidRDefault="008329DA" w:rsidP="005A4ED4">
      <w:pPr>
        <w:widowControl/>
        <w:rPr>
          <w:color w:val="auto"/>
        </w:rPr>
      </w:pPr>
    </w:p>
    <w:p w14:paraId="025A7BBD" w14:textId="1B5E5937" w:rsidR="008329DA" w:rsidRPr="00A86898" w:rsidRDefault="00C2281B" w:rsidP="005A4ED4">
      <w:pPr>
        <w:widowControl/>
        <w:rPr>
          <w:color w:val="auto"/>
        </w:rPr>
      </w:pPr>
      <w:r w:rsidRPr="00A86898">
        <w:rPr>
          <w:color w:val="auto"/>
        </w:rPr>
        <w:t>1.</w:t>
      </w:r>
      <w:r w:rsidR="00D55AD0">
        <w:rPr>
          <w:color w:val="auto"/>
        </w:rPr>
        <w:t>5</w:t>
      </w:r>
      <w:r w:rsidR="00457279" w:rsidRPr="00A86898">
        <w:rPr>
          <w:color w:val="auto"/>
        </w:rPr>
        <w:t>.</w:t>
      </w:r>
      <w:r w:rsidR="008329DA" w:rsidRPr="00A86898">
        <w:rPr>
          <w:color w:val="auto"/>
        </w:rPr>
        <w:t xml:space="preserve"> Remove the fixative and wash the bra</w:t>
      </w:r>
      <w:r w:rsidR="001B3520" w:rsidRPr="00A86898">
        <w:rPr>
          <w:color w:val="auto"/>
        </w:rPr>
        <w:t xml:space="preserve">in </w:t>
      </w:r>
      <w:r w:rsidR="00B03E94" w:rsidRPr="00A86898">
        <w:rPr>
          <w:color w:val="auto"/>
        </w:rPr>
        <w:t>in 50 mL</w:t>
      </w:r>
      <w:r w:rsidR="001B3520" w:rsidRPr="00A86898">
        <w:rPr>
          <w:color w:val="auto"/>
        </w:rPr>
        <w:t xml:space="preserve"> </w:t>
      </w:r>
      <w:r w:rsidR="00464611">
        <w:rPr>
          <w:color w:val="auto"/>
        </w:rPr>
        <w:t xml:space="preserve">of </w:t>
      </w:r>
      <w:r w:rsidR="001B3520" w:rsidRPr="00A86898">
        <w:rPr>
          <w:color w:val="auto"/>
        </w:rPr>
        <w:t xml:space="preserve">0.1 M </w:t>
      </w:r>
      <w:r w:rsidR="008329DA" w:rsidRPr="00A86898">
        <w:rPr>
          <w:color w:val="auto"/>
        </w:rPr>
        <w:t>PB on a shaker</w:t>
      </w:r>
      <w:r w:rsidR="00B03E94" w:rsidRPr="00A86898">
        <w:rPr>
          <w:color w:val="auto"/>
        </w:rPr>
        <w:t xml:space="preserve"> for 30 min</w:t>
      </w:r>
      <w:r w:rsidR="008329DA" w:rsidRPr="00A86898">
        <w:rPr>
          <w:color w:val="auto"/>
        </w:rPr>
        <w:t>.</w:t>
      </w:r>
    </w:p>
    <w:p w14:paraId="168DF798" w14:textId="5F604368" w:rsidR="008329DA" w:rsidRPr="00A86898" w:rsidRDefault="008329DA" w:rsidP="005A4ED4">
      <w:pPr>
        <w:widowControl/>
        <w:rPr>
          <w:color w:val="auto"/>
        </w:rPr>
      </w:pPr>
    </w:p>
    <w:p w14:paraId="0B06C7AC" w14:textId="12428879" w:rsidR="008329DA" w:rsidRPr="00A86898" w:rsidRDefault="00C2281B" w:rsidP="005A4ED4">
      <w:pPr>
        <w:widowControl/>
        <w:rPr>
          <w:color w:val="auto"/>
        </w:rPr>
      </w:pPr>
      <w:r w:rsidRPr="00A86898">
        <w:rPr>
          <w:color w:val="auto"/>
          <w:highlight w:val="yellow"/>
        </w:rPr>
        <w:t>1.</w:t>
      </w:r>
      <w:r w:rsidR="00CB2139">
        <w:rPr>
          <w:color w:val="auto"/>
          <w:highlight w:val="yellow"/>
        </w:rPr>
        <w:t>6</w:t>
      </w:r>
      <w:r w:rsidR="00457279" w:rsidRPr="00A86898">
        <w:rPr>
          <w:color w:val="auto"/>
          <w:highlight w:val="yellow"/>
        </w:rPr>
        <w:t>.</w:t>
      </w:r>
      <w:r w:rsidR="008329DA" w:rsidRPr="00A86898">
        <w:rPr>
          <w:color w:val="auto"/>
          <w:highlight w:val="yellow"/>
        </w:rPr>
        <w:t xml:space="preserve"> After washing, incubate the brain in</w:t>
      </w:r>
      <w:r w:rsidR="009F2E7F" w:rsidRPr="00A86898">
        <w:rPr>
          <w:color w:val="auto"/>
          <w:highlight w:val="yellow"/>
        </w:rPr>
        <w:t xml:space="preserve"> a 50 mL reaction</w:t>
      </w:r>
      <w:r w:rsidR="005247B0" w:rsidRPr="00A86898">
        <w:rPr>
          <w:color w:val="auto"/>
          <w:highlight w:val="yellow"/>
        </w:rPr>
        <w:t xml:space="preserve"> tube in</w:t>
      </w:r>
      <w:r w:rsidR="008329DA" w:rsidRPr="00A86898">
        <w:rPr>
          <w:color w:val="auto"/>
          <w:highlight w:val="yellow"/>
        </w:rPr>
        <w:t xml:space="preserve"> 3</w:t>
      </w:r>
      <w:r w:rsidR="009F2E7F" w:rsidRPr="00A86898">
        <w:rPr>
          <w:color w:val="auto"/>
          <w:highlight w:val="yellow"/>
        </w:rPr>
        <w:t>0</w:t>
      </w:r>
      <w:r w:rsidR="005A4ED4" w:rsidRPr="00A86898">
        <w:rPr>
          <w:color w:val="auto"/>
          <w:highlight w:val="yellow"/>
        </w:rPr>
        <w:t>%</w:t>
      </w:r>
      <w:r w:rsidR="009F2E7F" w:rsidRPr="00A86898">
        <w:rPr>
          <w:color w:val="auto"/>
          <w:highlight w:val="yellow"/>
        </w:rPr>
        <w:t xml:space="preserve"> sucrose in 0.1 </w:t>
      </w:r>
      <w:r w:rsidR="0000511A">
        <w:rPr>
          <w:color w:val="auto"/>
          <w:highlight w:val="yellow"/>
        </w:rPr>
        <w:t xml:space="preserve">M </w:t>
      </w:r>
      <w:r w:rsidR="009F2E7F" w:rsidRPr="00A86898">
        <w:rPr>
          <w:color w:val="auto"/>
          <w:highlight w:val="yellow"/>
        </w:rPr>
        <w:t xml:space="preserve">PB for 48 </w:t>
      </w:r>
      <w:r w:rsidR="005A4ED4" w:rsidRPr="00A86898">
        <w:rPr>
          <w:color w:val="auto"/>
          <w:highlight w:val="yellow"/>
        </w:rPr>
        <w:t>h</w:t>
      </w:r>
      <w:r w:rsidR="008329DA" w:rsidRPr="00A86898">
        <w:rPr>
          <w:color w:val="auto"/>
          <w:highlight w:val="yellow"/>
        </w:rPr>
        <w:t xml:space="preserve"> </w:t>
      </w:r>
      <w:r w:rsidR="005247B0" w:rsidRPr="00A86898">
        <w:rPr>
          <w:color w:val="auto"/>
          <w:highlight w:val="yellow"/>
        </w:rPr>
        <w:t xml:space="preserve">or until it sinks in the tube </w:t>
      </w:r>
      <w:r w:rsidR="008329DA" w:rsidRPr="00A86898">
        <w:rPr>
          <w:color w:val="auto"/>
          <w:highlight w:val="yellow"/>
        </w:rPr>
        <w:t>at 4</w:t>
      </w:r>
      <w:r w:rsidR="009F6174">
        <w:rPr>
          <w:color w:val="auto"/>
          <w:highlight w:val="yellow"/>
        </w:rPr>
        <w:t xml:space="preserve"> </w:t>
      </w:r>
      <w:r w:rsidR="008329DA" w:rsidRPr="00A86898">
        <w:rPr>
          <w:color w:val="auto"/>
          <w:highlight w:val="yellow"/>
        </w:rPr>
        <w:t>°C</w:t>
      </w:r>
      <w:r w:rsidR="005247B0" w:rsidRPr="00A86898">
        <w:rPr>
          <w:color w:val="auto"/>
          <w:highlight w:val="yellow"/>
        </w:rPr>
        <w:t xml:space="preserve"> for cryoprotection</w:t>
      </w:r>
      <w:r w:rsidR="008329DA" w:rsidRPr="00A86898">
        <w:rPr>
          <w:color w:val="auto"/>
          <w:highlight w:val="yellow"/>
        </w:rPr>
        <w:t>.</w:t>
      </w:r>
    </w:p>
    <w:p w14:paraId="00E4EA2B" w14:textId="68F83661" w:rsidR="005247B0" w:rsidRPr="00A86898" w:rsidRDefault="005247B0" w:rsidP="005A4ED4">
      <w:pPr>
        <w:widowControl/>
        <w:rPr>
          <w:color w:val="auto"/>
        </w:rPr>
      </w:pPr>
    </w:p>
    <w:p w14:paraId="154B2160" w14:textId="5B986030" w:rsidR="005247B0" w:rsidRPr="00A86898" w:rsidRDefault="00C2281B" w:rsidP="005A4ED4">
      <w:pPr>
        <w:widowControl/>
        <w:rPr>
          <w:color w:val="auto"/>
          <w:highlight w:val="yellow"/>
        </w:rPr>
      </w:pPr>
      <w:r w:rsidRPr="00A86898">
        <w:rPr>
          <w:color w:val="auto"/>
          <w:highlight w:val="yellow"/>
        </w:rPr>
        <w:t>1.</w:t>
      </w:r>
      <w:r w:rsidR="00450A85">
        <w:rPr>
          <w:color w:val="auto"/>
          <w:highlight w:val="yellow"/>
        </w:rPr>
        <w:t>7</w:t>
      </w:r>
      <w:r w:rsidR="00457279" w:rsidRPr="00A86898">
        <w:rPr>
          <w:color w:val="auto"/>
          <w:highlight w:val="yellow"/>
        </w:rPr>
        <w:t>.</w:t>
      </w:r>
      <w:r w:rsidR="005247B0" w:rsidRPr="00A86898">
        <w:rPr>
          <w:color w:val="auto"/>
          <w:highlight w:val="yellow"/>
        </w:rPr>
        <w:t xml:space="preserve"> Trim the cryoprotected brain with a sharp blade, place it in a cryomold</w:t>
      </w:r>
      <w:r w:rsidR="007070C1">
        <w:rPr>
          <w:color w:val="auto"/>
          <w:highlight w:val="yellow"/>
        </w:rPr>
        <w:t>,</w:t>
      </w:r>
      <w:r w:rsidR="005247B0" w:rsidRPr="00A86898">
        <w:rPr>
          <w:color w:val="auto"/>
          <w:highlight w:val="yellow"/>
        </w:rPr>
        <w:t xml:space="preserve"> and embed it with </w:t>
      </w:r>
      <w:r w:rsidR="00B52BF1" w:rsidRPr="00A86898">
        <w:rPr>
          <w:color w:val="auto"/>
          <w:highlight w:val="yellow"/>
        </w:rPr>
        <w:t xml:space="preserve">optimal cutting temperature </w:t>
      </w:r>
      <w:r w:rsidR="007070C1" w:rsidRPr="00A86898">
        <w:rPr>
          <w:color w:val="auto"/>
          <w:highlight w:val="yellow"/>
        </w:rPr>
        <w:t>(OCT)</w:t>
      </w:r>
      <w:r w:rsidR="007070C1">
        <w:rPr>
          <w:color w:val="auto"/>
          <w:highlight w:val="yellow"/>
        </w:rPr>
        <w:t xml:space="preserve"> </w:t>
      </w:r>
      <w:r w:rsidR="00B52BF1" w:rsidRPr="00A86898">
        <w:rPr>
          <w:color w:val="auto"/>
          <w:highlight w:val="yellow"/>
        </w:rPr>
        <w:t>compound.</w:t>
      </w:r>
      <w:r w:rsidR="005247B0" w:rsidRPr="00A86898">
        <w:rPr>
          <w:color w:val="auto"/>
          <w:highlight w:val="yellow"/>
        </w:rPr>
        <w:t xml:space="preserve"> Avoid bubbles</w:t>
      </w:r>
      <w:r w:rsidR="0000245A">
        <w:rPr>
          <w:color w:val="auto"/>
          <w:highlight w:val="yellow"/>
        </w:rPr>
        <w:t>.</w:t>
      </w:r>
      <w:r w:rsidR="005247B0" w:rsidRPr="00A86898">
        <w:rPr>
          <w:color w:val="auto"/>
          <w:highlight w:val="yellow"/>
        </w:rPr>
        <w:t xml:space="preserve"> Orient the brain and freeze the cryomold in the -80 °C freezer.</w:t>
      </w:r>
    </w:p>
    <w:p w14:paraId="1C1CB62C" w14:textId="14857F0B" w:rsidR="005247B0" w:rsidRPr="00A86898" w:rsidRDefault="005247B0" w:rsidP="005A4ED4">
      <w:pPr>
        <w:widowControl/>
        <w:rPr>
          <w:color w:val="auto"/>
          <w:highlight w:val="yellow"/>
        </w:rPr>
      </w:pPr>
    </w:p>
    <w:p w14:paraId="6067804B" w14:textId="75BD4920" w:rsidR="005247B0" w:rsidRPr="00A86898" w:rsidRDefault="00C2281B" w:rsidP="005A4ED4">
      <w:pPr>
        <w:widowControl/>
        <w:rPr>
          <w:color w:val="auto"/>
          <w:highlight w:val="yellow"/>
        </w:rPr>
      </w:pPr>
      <w:r w:rsidRPr="00A86898">
        <w:rPr>
          <w:color w:val="auto"/>
          <w:highlight w:val="yellow"/>
        </w:rPr>
        <w:lastRenderedPageBreak/>
        <w:t>1.</w:t>
      </w:r>
      <w:r w:rsidR="00D27EE9">
        <w:rPr>
          <w:color w:val="auto"/>
          <w:highlight w:val="yellow"/>
        </w:rPr>
        <w:t>8</w:t>
      </w:r>
      <w:r w:rsidR="00457279" w:rsidRPr="00A86898">
        <w:rPr>
          <w:color w:val="auto"/>
          <w:highlight w:val="yellow"/>
        </w:rPr>
        <w:t>.</w:t>
      </w:r>
      <w:r w:rsidR="005247B0" w:rsidRPr="00A86898">
        <w:rPr>
          <w:color w:val="auto"/>
          <w:highlight w:val="yellow"/>
        </w:rPr>
        <w:t xml:space="preserve"> Mount the frozen tissue for sectioning.</w:t>
      </w:r>
      <w:r w:rsidR="00B43799">
        <w:rPr>
          <w:color w:val="auto"/>
          <w:highlight w:val="yellow"/>
        </w:rPr>
        <w:t xml:space="preserve"> </w:t>
      </w:r>
      <w:r w:rsidR="005247B0" w:rsidRPr="008C3D78">
        <w:rPr>
          <w:color w:val="auto"/>
          <w:highlight w:val="yellow"/>
        </w:rPr>
        <w:t>Equilibrate the tissue to the cryomic</w:t>
      </w:r>
      <w:r w:rsidR="00B52BF1" w:rsidRPr="008C3D78">
        <w:rPr>
          <w:color w:val="auto"/>
          <w:highlight w:val="yellow"/>
        </w:rPr>
        <w:t>rot</w:t>
      </w:r>
      <w:r w:rsidR="005247B0" w:rsidRPr="008C3D78">
        <w:rPr>
          <w:color w:val="auto"/>
          <w:highlight w:val="yellow"/>
        </w:rPr>
        <w:t>ome temperature for at least 15 min</w:t>
      </w:r>
      <w:r w:rsidR="005247B0" w:rsidRPr="00A86898">
        <w:rPr>
          <w:color w:val="auto"/>
          <w:highlight w:val="yellow"/>
        </w:rPr>
        <w:t xml:space="preserve"> before sectioning</w:t>
      </w:r>
      <w:r w:rsidR="00815FD7">
        <w:rPr>
          <w:color w:val="auto"/>
          <w:highlight w:val="yellow"/>
        </w:rPr>
        <w:t>.</w:t>
      </w:r>
    </w:p>
    <w:p w14:paraId="18D1DBF9" w14:textId="77777777" w:rsidR="000C321D" w:rsidRPr="00A86898" w:rsidRDefault="000C321D" w:rsidP="005A4ED4">
      <w:pPr>
        <w:widowControl/>
        <w:rPr>
          <w:color w:val="auto"/>
          <w:highlight w:val="yellow"/>
        </w:rPr>
      </w:pPr>
    </w:p>
    <w:p w14:paraId="5CF68E58" w14:textId="5F224687" w:rsidR="00FA28F1" w:rsidRDefault="00C2281B" w:rsidP="005A4ED4">
      <w:pPr>
        <w:widowControl/>
        <w:rPr>
          <w:color w:val="auto"/>
          <w:highlight w:val="yellow"/>
        </w:rPr>
      </w:pPr>
      <w:r w:rsidRPr="00A86898">
        <w:rPr>
          <w:color w:val="auto"/>
          <w:highlight w:val="yellow"/>
        </w:rPr>
        <w:t>1.</w:t>
      </w:r>
      <w:r w:rsidR="00597F9B">
        <w:rPr>
          <w:color w:val="auto"/>
          <w:highlight w:val="yellow"/>
        </w:rPr>
        <w:t>9</w:t>
      </w:r>
      <w:r w:rsidR="00457279" w:rsidRPr="00A86898">
        <w:rPr>
          <w:color w:val="auto"/>
          <w:highlight w:val="yellow"/>
        </w:rPr>
        <w:t>.</w:t>
      </w:r>
      <w:r w:rsidR="000C321D" w:rsidRPr="00A86898">
        <w:rPr>
          <w:color w:val="auto"/>
          <w:highlight w:val="yellow"/>
        </w:rPr>
        <w:t xml:space="preserve"> </w:t>
      </w:r>
      <w:r w:rsidR="005247B0" w:rsidRPr="00A86898">
        <w:rPr>
          <w:color w:val="auto"/>
          <w:highlight w:val="yellow"/>
        </w:rPr>
        <w:t xml:space="preserve">Section the brain into 25 </w:t>
      </w:r>
      <w:r w:rsidR="001345DD">
        <w:rPr>
          <w:color w:val="auto"/>
          <w:highlight w:val="yellow"/>
        </w:rPr>
        <w:t>µ</w:t>
      </w:r>
      <w:r w:rsidR="005247B0" w:rsidRPr="00A86898">
        <w:rPr>
          <w:color w:val="auto"/>
          <w:highlight w:val="yellow"/>
        </w:rPr>
        <w:t>m thick coronal slices</w:t>
      </w:r>
      <w:r w:rsidR="005B3F1F" w:rsidRPr="00A86898">
        <w:rPr>
          <w:color w:val="auto"/>
          <w:highlight w:val="yellow"/>
        </w:rPr>
        <w:t xml:space="preserve">. </w:t>
      </w:r>
      <w:r w:rsidRPr="00A86898">
        <w:rPr>
          <w:color w:val="auto"/>
          <w:highlight w:val="yellow"/>
        </w:rPr>
        <w:t>Touch the OCT carefully with a glass hook without touch</w:t>
      </w:r>
      <w:r w:rsidR="00D8311F" w:rsidRPr="00A86898">
        <w:rPr>
          <w:color w:val="auto"/>
          <w:highlight w:val="yellow"/>
        </w:rPr>
        <w:t>ing</w:t>
      </w:r>
      <w:r w:rsidRPr="00A86898">
        <w:rPr>
          <w:color w:val="auto"/>
          <w:highlight w:val="yellow"/>
        </w:rPr>
        <w:t xml:space="preserve"> the brain tissue. </w:t>
      </w:r>
      <w:r w:rsidR="005B3F1F" w:rsidRPr="00A86898">
        <w:rPr>
          <w:color w:val="auto"/>
          <w:highlight w:val="yellow"/>
        </w:rPr>
        <w:t xml:space="preserve">Collect </w:t>
      </w:r>
      <w:r w:rsidRPr="00A86898">
        <w:rPr>
          <w:color w:val="auto"/>
          <w:highlight w:val="yellow"/>
        </w:rPr>
        <w:t xml:space="preserve">3 adjacent </w:t>
      </w:r>
      <w:r w:rsidR="005B3F1F" w:rsidRPr="00A86898">
        <w:rPr>
          <w:color w:val="auto"/>
          <w:highlight w:val="yellow"/>
        </w:rPr>
        <w:t xml:space="preserve">slices </w:t>
      </w:r>
      <w:r w:rsidRPr="00A86898">
        <w:rPr>
          <w:color w:val="auto"/>
          <w:highlight w:val="yellow"/>
        </w:rPr>
        <w:t xml:space="preserve">per well in a 24 well plate </w:t>
      </w:r>
      <w:r w:rsidR="005B3F1F" w:rsidRPr="00A86898">
        <w:rPr>
          <w:color w:val="auto"/>
          <w:highlight w:val="yellow"/>
        </w:rPr>
        <w:t>and store them in 0.1</w:t>
      </w:r>
      <w:r w:rsidR="009F2E7F" w:rsidRPr="00A86898">
        <w:rPr>
          <w:color w:val="auto"/>
          <w:highlight w:val="yellow"/>
        </w:rPr>
        <w:t xml:space="preserve"> </w:t>
      </w:r>
      <w:r w:rsidR="005B3F1F" w:rsidRPr="00A86898">
        <w:rPr>
          <w:color w:val="auto"/>
          <w:highlight w:val="yellow"/>
        </w:rPr>
        <w:t>M PB at 4 °C until staini</w:t>
      </w:r>
      <w:r w:rsidRPr="00A86898">
        <w:rPr>
          <w:color w:val="auto"/>
          <w:highlight w:val="yellow"/>
        </w:rPr>
        <w:t>n</w:t>
      </w:r>
      <w:r w:rsidR="005B3F1F" w:rsidRPr="00A86898">
        <w:rPr>
          <w:color w:val="auto"/>
          <w:highlight w:val="yellow"/>
        </w:rPr>
        <w:t>g.</w:t>
      </w:r>
      <w:r w:rsidR="00C82B4C" w:rsidRPr="00A86898">
        <w:rPr>
          <w:color w:val="auto"/>
          <w:highlight w:val="yellow"/>
        </w:rPr>
        <w:t xml:space="preserve"> </w:t>
      </w:r>
    </w:p>
    <w:p w14:paraId="7BD17574" w14:textId="77777777" w:rsidR="00FA28F1" w:rsidRDefault="00FA28F1" w:rsidP="005A4ED4">
      <w:pPr>
        <w:widowControl/>
        <w:rPr>
          <w:b/>
          <w:color w:val="auto"/>
          <w:highlight w:val="yellow"/>
        </w:rPr>
      </w:pPr>
    </w:p>
    <w:p w14:paraId="2CE71F2C" w14:textId="064BB223" w:rsidR="00C772C1" w:rsidRPr="00A86898" w:rsidRDefault="008F6048" w:rsidP="005A4ED4">
      <w:pPr>
        <w:widowControl/>
        <w:rPr>
          <w:color w:val="auto"/>
        </w:rPr>
      </w:pPr>
      <w:r w:rsidRPr="008F6048">
        <w:rPr>
          <w:color w:val="auto"/>
          <w:highlight w:val="yellow"/>
        </w:rPr>
        <w:t>NOTE:</w:t>
      </w:r>
      <w:r w:rsidR="00C82B4C" w:rsidRPr="00A86898">
        <w:rPr>
          <w:color w:val="auto"/>
          <w:highlight w:val="yellow"/>
        </w:rPr>
        <w:t xml:space="preserve"> </w:t>
      </w:r>
      <w:r w:rsidR="00A323F0">
        <w:rPr>
          <w:color w:val="auto"/>
          <w:highlight w:val="yellow"/>
        </w:rPr>
        <w:t>T</w:t>
      </w:r>
      <w:r w:rsidR="00C82B4C" w:rsidRPr="00A86898">
        <w:rPr>
          <w:color w:val="auto"/>
          <w:highlight w:val="yellow"/>
        </w:rPr>
        <w:t xml:space="preserve">he protocol can be paused here for </w:t>
      </w:r>
      <w:r w:rsidR="00D8311F" w:rsidRPr="00A86898">
        <w:rPr>
          <w:color w:val="auto"/>
          <w:highlight w:val="yellow"/>
        </w:rPr>
        <w:t>up to two weeks</w:t>
      </w:r>
      <w:r w:rsidR="00C82B4C" w:rsidRPr="00A86898">
        <w:rPr>
          <w:color w:val="auto"/>
          <w:highlight w:val="yellow"/>
        </w:rPr>
        <w:t>. Longer storage times can interfere with the tissue quality and thus influence the outcome of the experiment.</w:t>
      </w:r>
    </w:p>
    <w:p w14:paraId="0792986F" w14:textId="1DEE9EBC" w:rsidR="00A7363F" w:rsidRPr="00A86898" w:rsidRDefault="00A7363F" w:rsidP="005A4ED4">
      <w:pPr>
        <w:widowControl/>
        <w:rPr>
          <w:color w:val="auto"/>
        </w:rPr>
      </w:pPr>
    </w:p>
    <w:p w14:paraId="664C65EA" w14:textId="6D14ECCD" w:rsidR="00A7363F" w:rsidRPr="00597F9B" w:rsidRDefault="00A7363F" w:rsidP="005A4ED4">
      <w:pPr>
        <w:widowControl/>
        <w:rPr>
          <w:b/>
          <w:color w:val="auto"/>
        </w:rPr>
      </w:pPr>
      <w:r w:rsidRPr="002B0555">
        <w:rPr>
          <w:b/>
          <w:color w:val="auto"/>
          <w:highlight w:val="yellow"/>
        </w:rPr>
        <w:t>2. Immunofluorescence</w:t>
      </w:r>
    </w:p>
    <w:p w14:paraId="4F77C98E" w14:textId="77777777" w:rsidR="00597F9B" w:rsidRDefault="00597F9B" w:rsidP="005A4ED4">
      <w:pPr>
        <w:widowControl/>
        <w:rPr>
          <w:color w:val="auto"/>
        </w:rPr>
      </w:pPr>
    </w:p>
    <w:p w14:paraId="39CC82EB" w14:textId="14F54D5F" w:rsidR="000C321D" w:rsidRPr="00A86898" w:rsidRDefault="000C321D" w:rsidP="005A4ED4">
      <w:pPr>
        <w:widowControl/>
        <w:rPr>
          <w:color w:val="auto"/>
        </w:rPr>
      </w:pPr>
      <w:r w:rsidRPr="00A86898">
        <w:rPr>
          <w:color w:val="auto"/>
        </w:rPr>
        <w:t>2.1</w:t>
      </w:r>
      <w:r w:rsidR="00457279" w:rsidRPr="00A86898">
        <w:rPr>
          <w:color w:val="auto"/>
        </w:rPr>
        <w:t>.</w:t>
      </w:r>
      <w:r w:rsidRPr="00A86898">
        <w:rPr>
          <w:color w:val="auto"/>
        </w:rPr>
        <w:t xml:space="preserve"> Prepare solutions </w:t>
      </w:r>
      <w:r w:rsidR="00886BB3">
        <w:rPr>
          <w:color w:val="auto"/>
        </w:rPr>
        <w:t xml:space="preserve">including the </w:t>
      </w:r>
      <w:r w:rsidRPr="00A86898">
        <w:rPr>
          <w:color w:val="auto"/>
        </w:rPr>
        <w:t>blocking buffer, antibody buffer, washing buffer 1</w:t>
      </w:r>
      <w:r w:rsidR="005A0F5B">
        <w:rPr>
          <w:color w:val="auto"/>
        </w:rPr>
        <w:t xml:space="preserve">, and washing buffer </w:t>
      </w:r>
      <w:r w:rsidRPr="00A86898">
        <w:rPr>
          <w:color w:val="auto"/>
        </w:rPr>
        <w:t>2</w:t>
      </w:r>
      <w:r w:rsidR="005A0F5B">
        <w:rPr>
          <w:color w:val="auto"/>
        </w:rPr>
        <w:t xml:space="preserve"> (</w:t>
      </w:r>
      <w:r w:rsidR="00C2281B" w:rsidRPr="00A86898">
        <w:rPr>
          <w:color w:val="auto"/>
        </w:rPr>
        <w:t xml:space="preserve">see </w:t>
      </w:r>
      <w:r w:rsidR="005A0F5B" w:rsidRPr="005A0F5B">
        <w:rPr>
          <w:b/>
          <w:color w:val="auto"/>
        </w:rPr>
        <w:t>T</w:t>
      </w:r>
      <w:r w:rsidR="00C2281B" w:rsidRPr="005A0F5B">
        <w:rPr>
          <w:b/>
          <w:color w:val="auto"/>
        </w:rPr>
        <w:t xml:space="preserve">able </w:t>
      </w:r>
      <w:r w:rsidR="00127DE2" w:rsidRPr="005A0F5B">
        <w:rPr>
          <w:b/>
          <w:color w:val="auto"/>
        </w:rPr>
        <w:t>1</w:t>
      </w:r>
      <w:r w:rsidRPr="00A86898">
        <w:rPr>
          <w:color w:val="auto"/>
        </w:rPr>
        <w:t>)</w:t>
      </w:r>
      <w:r w:rsidR="005A0F5B">
        <w:rPr>
          <w:color w:val="auto"/>
        </w:rPr>
        <w:t>.</w:t>
      </w:r>
    </w:p>
    <w:p w14:paraId="7C61DC76" w14:textId="1BDF71E1" w:rsidR="000C321D" w:rsidRPr="00A86898" w:rsidRDefault="000C321D" w:rsidP="005A4ED4">
      <w:pPr>
        <w:widowControl/>
        <w:rPr>
          <w:color w:val="auto"/>
        </w:rPr>
      </w:pPr>
    </w:p>
    <w:p w14:paraId="58C45E95" w14:textId="38397740" w:rsidR="009F2E7F" w:rsidRPr="00A86898" w:rsidRDefault="00C2281B" w:rsidP="005A4ED4">
      <w:pPr>
        <w:widowControl/>
        <w:rPr>
          <w:color w:val="auto"/>
          <w:highlight w:val="yellow"/>
        </w:rPr>
      </w:pPr>
      <w:r w:rsidRPr="00A86898">
        <w:rPr>
          <w:color w:val="auto"/>
          <w:highlight w:val="yellow"/>
        </w:rPr>
        <w:t>2.2</w:t>
      </w:r>
      <w:r w:rsidR="00457279" w:rsidRPr="00A86898">
        <w:rPr>
          <w:color w:val="auto"/>
          <w:highlight w:val="yellow"/>
        </w:rPr>
        <w:t>.</w:t>
      </w:r>
      <w:r w:rsidR="000C321D" w:rsidRPr="00A86898">
        <w:rPr>
          <w:color w:val="auto"/>
          <w:highlight w:val="yellow"/>
        </w:rPr>
        <w:t xml:space="preserve"> Rinse slices once with PB</w:t>
      </w:r>
      <w:r w:rsidRPr="00A86898">
        <w:rPr>
          <w:color w:val="auto"/>
          <w:highlight w:val="yellow"/>
        </w:rPr>
        <w:t xml:space="preserve"> to remove excess OCT.</w:t>
      </w:r>
      <w:r w:rsidR="00B52BF1" w:rsidRPr="00A86898">
        <w:rPr>
          <w:color w:val="auto"/>
          <w:highlight w:val="yellow"/>
        </w:rPr>
        <w:t xml:space="preserve"> </w:t>
      </w:r>
    </w:p>
    <w:p w14:paraId="4A541F45" w14:textId="77777777" w:rsidR="009F2E7F" w:rsidRPr="00A86898" w:rsidRDefault="009F2E7F" w:rsidP="005A4ED4">
      <w:pPr>
        <w:widowControl/>
        <w:rPr>
          <w:color w:val="auto"/>
          <w:highlight w:val="yellow"/>
        </w:rPr>
      </w:pPr>
    </w:p>
    <w:p w14:paraId="7FEE8463" w14:textId="77777777" w:rsidR="006E0FB2" w:rsidRDefault="009F2E7F" w:rsidP="005A4ED4">
      <w:pPr>
        <w:widowControl/>
        <w:rPr>
          <w:color w:val="auto"/>
          <w:highlight w:val="yellow"/>
        </w:rPr>
      </w:pPr>
      <w:r w:rsidRPr="00A86898">
        <w:rPr>
          <w:color w:val="auto"/>
          <w:highlight w:val="yellow"/>
        </w:rPr>
        <w:t xml:space="preserve">2.2.1. Remove the solution with a plastic pipette without sucking in the brain slices. Add 250 </w:t>
      </w:r>
      <w:r w:rsidR="00373896">
        <w:rPr>
          <w:color w:val="auto"/>
          <w:highlight w:val="yellow"/>
        </w:rPr>
        <w:t>µ</w:t>
      </w:r>
      <w:r w:rsidRPr="00A86898">
        <w:rPr>
          <w:color w:val="auto"/>
          <w:highlight w:val="yellow"/>
        </w:rPr>
        <w:t xml:space="preserve">L of fresh PB with a 1000 </w:t>
      </w:r>
      <w:r w:rsidR="00373896">
        <w:rPr>
          <w:color w:val="auto"/>
          <w:highlight w:val="yellow"/>
        </w:rPr>
        <w:t>µ</w:t>
      </w:r>
      <w:r w:rsidRPr="00A86898">
        <w:rPr>
          <w:color w:val="auto"/>
          <w:highlight w:val="yellow"/>
        </w:rPr>
        <w:t xml:space="preserve">L pipette. </w:t>
      </w:r>
    </w:p>
    <w:p w14:paraId="796D1072" w14:textId="77777777" w:rsidR="006E0FB2" w:rsidRDefault="006E0FB2" w:rsidP="005A4ED4">
      <w:pPr>
        <w:widowControl/>
        <w:rPr>
          <w:b/>
          <w:color w:val="auto"/>
          <w:highlight w:val="yellow"/>
        </w:rPr>
      </w:pPr>
    </w:p>
    <w:p w14:paraId="69001148" w14:textId="39652C9B" w:rsidR="00B52BF1" w:rsidRPr="00EE4854" w:rsidRDefault="005A4ED4" w:rsidP="005A4ED4">
      <w:pPr>
        <w:widowControl/>
        <w:rPr>
          <w:color w:val="auto"/>
        </w:rPr>
      </w:pPr>
      <w:r w:rsidRPr="00EE4854">
        <w:rPr>
          <w:color w:val="auto"/>
          <w:highlight w:val="yellow"/>
        </w:rPr>
        <w:t>CAUTION:</w:t>
      </w:r>
      <w:r w:rsidR="00B52BF1" w:rsidRPr="00EE4854">
        <w:rPr>
          <w:color w:val="auto"/>
          <w:highlight w:val="yellow"/>
        </w:rPr>
        <w:t xml:space="preserve"> Slices should not dry out, so remove and add fluids well by well.</w:t>
      </w:r>
    </w:p>
    <w:p w14:paraId="1C980CFD" w14:textId="450D8904" w:rsidR="00C2281B" w:rsidRPr="00A86898" w:rsidRDefault="00C2281B" w:rsidP="005A4ED4">
      <w:pPr>
        <w:widowControl/>
        <w:rPr>
          <w:color w:val="auto"/>
        </w:rPr>
      </w:pPr>
    </w:p>
    <w:p w14:paraId="29A24A46" w14:textId="746D8423" w:rsidR="00C2281B" w:rsidRPr="00A86898" w:rsidRDefault="00C2281B" w:rsidP="005A4ED4">
      <w:pPr>
        <w:widowControl/>
        <w:rPr>
          <w:color w:val="auto"/>
          <w:highlight w:val="yellow"/>
        </w:rPr>
      </w:pPr>
      <w:r w:rsidRPr="00A86898">
        <w:rPr>
          <w:color w:val="auto"/>
          <w:highlight w:val="yellow"/>
        </w:rPr>
        <w:t>2.3</w:t>
      </w:r>
      <w:r w:rsidR="00457279" w:rsidRPr="00A86898">
        <w:rPr>
          <w:color w:val="auto"/>
          <w:highlight w:val="yellow"/>
        </w:rPr>
        <w:t>.</w:t>
      </w:r>
      <w:r w:rsidRPr="00A86898">
        <w:rPr>
          <w:color w:val="auto"/>
          <w:highlight w:val="yellow"/>
        </w:rPr>
        <w:t xml:space="preserve"> Remove the PB with a plastic pipet</w:t>
      </w:r>
      <w:r w:rsidR="00D8311F" w:rsidRPr="00A86898">
        <w:rPr>
          <w:color w:val="auto"/>
          <w:highlight w:val="yellow"/>
        </w:rPr>
        <w:t>te</w:t>
      </w:r>
      <w:r w:rsidRPr="00A86898">
        <w:rPr>
          <w:color w:val="auto"/>
          <w:highlight w:val="yellow"/>
        </w:rPr>
        <w:t xml:space="preserve"> and add 250 </w:t>
      </w:r>
      <w:r w:rsidR="00B12472">
        <w:rPr>
          <w:color w:val="auto"/>
          <w:highlight w:val="yellow"/>
        </w:rPr>
        <w:t>µ</w:t>
      </w:r>
      <w:r w:rsidR="009F2E7F" w:rsidRPr="00A86898">
        <w:rPr>
          <w:color w:val="auto"/>
          <w:highlight w:val="yellow"/>
        </w:rPr>
        <w:t>L</w:t>
      </w:r>
      <w:r w:rsidRPr="00A86898">
        <w:rPr>
          <w:color w:val="auto"/>
          <w:highlight w:val="yellow"/>
        </w:rPr>
        <w:t xml:space="preserve"> </w:t>
      </w:r>
      <w:r w:rsidR="0045679C">
        <w:rPr>
          <w:color w:val="auto"/>
          <w:highlight w:val="yellow"/>
        </w:rPr>
        <w:t xml:space="preserve">of </w:t>
      </w:r>
      <w:r w:rsidRPr="00A86898">
        <w:rPr>
          <w:color w:val="auto"/>
          <w:highlight w:val="yellow"/>
        </w:rPr>
        <w:t>blocking buffer per well</w:t>
      </w:r>
      <w:r w:rsidR="009F2E7F" w:rsidRPr="00A86898">
        <w:rPr>
          <w:color w:val="auto"/>
          <w:highlight w:val="yellow"/>
        </w:rPr>
        <w:t xml:space="preserve"> with a 1000 </w:t>
      </w:r>
      <w:r w:rsidR="00B12472">
        <w:rPr>
          <w:color w:val="auto"/>
          <w:highlight w:val="yellow"/>
        </w:rPr>
        <w:t>µ</w:t>
      </w:r>
      <w:r w:rsidR="009F2E7F" w:rsidRPr="00A86898">
        <w:rPr>
          <w:color w:val="auto"/>
          <w:highlight w:val="yellow"/>
        </w:rPr>
        <w:t>L pipette</w:t>
      </w:r>
      <w:r w:rsidRPr="00A86898">
        <w:rPr>
          <w:color w:val="auto"/>
          <w:highlight w:val="yellow"/>
        </w:rPr>
        <w:t>. Incubate for 3 h</w:t>
      </w:r>
      <w:r w:rsidR="003E0F08" w:rsidRPr="00A86898">
        <w:rPr>
          <w:color w:val="auto"/>
          <w:highlight w:val="yellow"/>
        </w:rPr>
        <w:t xml:space="preserve"> at </w:t>
      </w:r>
      <w:r w:rsidR="009F2E7F" w:rsidRPr="00A86898">
        <w:rPr>
          <w:color w:val="auto"/>
          <w:highlight w:val="yellow"/>
        </w:rPr>
        <w:t>room temperature (RT)</w:t>
      </w:r>
      <w:r w:rsidR="003E0F08" w:rsidRPr="00A86898">
        <w:rPr>
          <w:color w:val="auto"/>
          <w:highlight w:val="yellow"/>
        </w:rPr>
        <w:t xml:space="preserve"> on the shaker.</w:t>
      </w:r>
      <w:r w:rsidR="00B52BF1" w:rsidRPr="00A86898">
        <w:rPr>
          <w:color w:val="auto"/>
          <w:highlight w:val="yellow"/>
        </w:rPr>
        <w:t xml:space="preserve"> </w:t>
      </w:r>
    </w:p>
    <w:p w14:paraId="6FE0D1DE" w14:textId="1EE01D9F" w:rsidR="003E0F08" w:rsidRPr="00A86898" w:rsidRDefault="003E0F08" w:rsidP="005A4ED4">
      <w:pPr>
        <w:widowControl/>
        <w:rPr>
          <w:color w:val="auto"/>
          <w:highlight w:val="yellow"/>
        </w:rPr>
      </w:pPr>
    </w:p>
    <w:p w14:paraId="5245102B" w14:textId="5E2981F5" w:rsidR="004867E9" w:rsidRDefault="003E0F08" w:rsidP="005A4ED4">
      <w:pPr>
        <w:widowControl/>
        <w:rPr>
          <w:color w:val="auto"/>
          <w:highlight w:val="yellow"/>
        </w:rPr>
      </w:pPr>
      <w:r w:rsidRPr="00A86898">
        <w:rPr>
          <w:color w:val="auto"/>
          <w:highlight w:val="yellow"/>
        </w:rPr>
        <w:t>2.4</w:t>
      </w:r>
      <w:r w:rsidR="00457279" w:rsidRPr="00A86898">
        <w:rPr>
          <w:color w:val="auto"/>
          <w:highlight w:val="yellow"/>
        </w:rPr>
        <w:t>.</w:t>
      </w:r>
      <w:r w:rsidRPr="00A86898">
        <w:rPr>
          <w:color w:val="auto"/>
          <w:highlight w:val="yellow"/>
        </w:rPr>
        <w:t xml:space="preserve"> During the incubation time, dilute the primary antibodies in antibody buffer</w:t>
      </w:r>
      <w:r w:rsidR="009F2E7F" w:rsidRPr="00A86898">
        <w:rPr>
          <w:color w:val="auto"/>
          <w:highlight w:val="yellow"/>
        </w:rPr>
        <w:t xml:space="preserve"> in a reaction tube</w:t>
      </w:r>
      <w:r w:rsidRPr="00A86898">
        <w:rPr>
          <w:color w:val="auto"/>
          <w:highlight w:val="yellow"/>
        </w:rPr>
        <w:t xml:space="preserve">. Use 250 </w:t>
      </w:r>
      <w:r w:rsidR="00D737F1">
        <w:rPr>
          <w:color w:val="auto"/>
          <w:highlight w:val="yellow"/>
        </w:rPr>
        <w:t>µ</w:t>
      </w:r>
      <w:r w:rsidR="009F2E7F" w:rsidRPr="00A86898">
        <w:rPr>
          <w:color w:val="auto"/>
          <w:highlight w:val="yellow"/>
        </w:rPr>
        <w:t>L</w:t>
      </w:r>
      <w:r w:rsidRPr="00A86898">
        <w:rPr>
          <w:color w:val="auto"/>
          <w:highlight w:val="yellow"/>
        </w:rPr>
        <w:t xml:space="preserve"> antibody buffer per well and add the appropriate amount of antibody</w:t>
      </w:r>
      <w:r w:rsidR="00FC5CEE" w:rsidRPr="00A86898">
        <w:rPr>
          <w:color w:val="auto"/>
          <w:highlight w:val="yellow"/>
        </w:rPr>
        <w:t xml:space="preserve"> (see </w:t>
      </w:r>
      <w:r w:rsidR="003F4820" w:rsidRPr="00F03F00">
        <w:rPr>
          <w:b/>
          <w:color w:val="auto"/>
          <w:highlight w:val="yellow"/>
        </w:rPr>
        <w:t>T</w:t>
      </w:r>
      <w:r w:rsidR="00FC5CEE" w:rsidRPr="00F03F00">
        <w:rPr>
          <w:b/>
          <w:color w:val="auto"/>
          <w:highlight w:val="yellow"/>
        </w:rPr>
        <w:t>able</w:t>
      </w:r>
      <w:r w:rsidR="00127DE2" w:rsidRPr="00F03F00">
        <w:rPr>
          <w:b/>
          <w:color w:val="auto"/>
          <w:highlight w:val="yellow"/>
        </w:rPr>
        <w:t xml:space="preserve"> 2</w:t>
      </w:r>
      <w:r w:rsidR="00FC5CEE" w:rsidRPr="00A86898">
        <w:rPr>
          <w:color w:val="auto"/>
          <w:highlight w:val="yellow"/>
        </w:rPr>
        <w:t>)</w:t>
      </w:r>
      <w:r w:rsidRPr="00A86898">
        <w:rPr>
          <w:color w:val="auto"/>
          <w:highlight w:val="yellow"/>
        </w:rPr>
        <w:t xml:space="preserve"> by pipetting it directly into the solution</w:t>
      </w:r>
      <w:r w:rsidR="009F2E7F" w:rsidRPr="00A86898">
        <w:rPr>
          <w:color w:val="auto"/>
          <w:highlight w:val="yellow"/>
        </w:rPr>
        <w:t xml:space="preserve"> using a 2 </w:t>
      </w:r>
      <w:r w:rsidR="00156964">
        <w:rPr>
          <w:color w:val="auto"/>
          <w:highlight w:val="yellow"/>
        </w:rPr>
        <w:t>µ</w:t>
      </w:r>
      <w:r w:rsidR="009F2E7F" w:rsidRPr="00A86898">
        <w:rPr>
          <w:color w:val="auto"/>
          <w:highlight w:val="yellow"/>
        </w:rPr>
        <w:t>L pipette</w:t>
      </w:r>
      <w:r w:rsidRPr="00A86898">
        <w:rPr>
          <w:color w:val="auto"/>
          <w:highlight w:val="yellow"/>
        </w:rPr>
        <w:t xml:space="preserve">. </w:t>
      </w:r>
      <w:r w:rsidR="00D8311F" w:rsidRPr="00A86898">
        <w:rPr>
          <w:color w:val="auto"/>
          <w:highlight w:val="yellow"/>
        </w:rPr>
        <w:t>Mix the solution</w:t>
      </w:r>
      <w:r w:rsidRPr="00A86898">
        <w:rPr>
          <w:color w:val="auto"/>
          <w:highlight w:val="yellow"/>
        </w:rPr>
        <w:t xml:space="preserve"> </w:t>
      </w:r>
      <w:r w:rsidR="00D8311F" w:rsidRPr="00A86898">
        <w:rPr>
          <w:color w:val="auto"/>
          <w:highlight w:val="yellow"/>
        </w:rPr>
        <w:t xml:space="preserve">by </w:t>
      </w:r>
      <w:r w:rsidRPr="00A86898">
        <w:rPr>
          <w:color w:val="auto"/>
          <w:highlight w:val="yellow"/>
        </w:rPr>
        <w:t>gently pipetting up and down several times.</w:t>
      </w:r>
      <w:r w:rsidR="009F2E7F" w:rsidRPr="00A86898">
        <w:rPr>
          <w:color w:val="auto"/>
          <w:highlight w:val="yellow"/>
        </w:rPr>
        <w:t xml:space="preserve"> Vortex shortly afterwards to ensure proper mixing.</w:t>
      </w:r>
      <w:r w:rsidR="008A7336" w:rsidRPr="00A86898">
        <w:rPr>
          <w:color w:val="auto"/>
          <w:highlight w:val="yellow"/>
        </w:rPr>
        <w:t xml:space="preserve"> </w:t>
      </w:r>
    </w:p>
    <w:p w14:paraId="3F4C85B7" w14:textId="77777777" w:rsidR="004867E9" w:rsidRDefault="004867E9" w:rsidP="005A4ED4">
      <w:pPr>
        <w:widowControl/>
        <w:rPr>
          <w:b/>
          <w:color w:val="auto"/>
        </w:rPr>
      </w:pPr>
    </w:p>
    <w:p w14:paraId="16DD2CDD" w14:textId="61F2EBCA" w:rsidR="003E0F08" w:rsidRPr="00A86898" w:rsidRDefault="008F6048" w:rsidP="005A4ED4">
      <w:pPr>
        <w:widowControl/>
        <w:rPr>
          <w:color w:val="auto"/>
        </w:rPr>
      </w:pPr>
      <w:r w:rsidRPr="00CF03C1">
        <w:rPr>
          <w:color w:val="auto"/>
        </w:rPr>
        <w:t>NOTE:</w:t>
      </w:r>
      <w:r w:rsidR="008A7336" w:rsidRPr="00CF03C1">
        <w:rPr>
          <w:color w:val="auto"/>
        </w:rPr>
        <w:t xml:space="preserve"> To determine the background fluorescence, </w:t>
      </w:r>
      <w:proofErr w:type="spellStart"/>
      <w:r w:rsidR="00425490" w:rsidRPr="00CF03C1">
        <w:rPr>
          <w:color w:val="auto"/>
        </w:rPr>
        <w:t>stainings</w:t>
      </w:r>
      <w:proofErr w:type="spellEnd"/>
      <w:r w:rsidR="00425490" w:rsidRPr="00CF03C1">
        <w:rPr>
          <w:color w:val="auto"/>
        </w:rPr>
        <w:t xml:space="preserve"> should also be performed without</w:t>
      </w:r>
      <w:r w:rsidR="00425490" w:rsidRPr="00A86898">
        <w:rPr>
          <w:color w:val="auto"/>
        </w:rPr>
        <w:t xml:space="preserve"> addin</w:t>
      </w:r>
      <w:r w:rsidR="006C7392" w:rsidRPr="00A86898">
        <w:rPr>
          <w:color w:val="auto"/>
        </w:rPr>
        <w:t xml:space="preserve">g the primary antibody. </w:t>
      </w:r>
      <w:r w:rsidR="00425490" w:rsidRPr="00A86898">
        <w:rPr>
          <w:color w:val="auto"/>
        </w:rPr>
        <w:t>For that, incubate the slice in antibody solution without primary antibodies according to the protocol.</w:t>
      </w:r>
    </w:p>
    <w:p w14:paraId="04B86618" w14:textId="77777777" w:rsidR="003E0F08" w:rsidRPr="00A86898" w:rsidRDefault="003E0F08" w:rsidP="005A4ED4">
      <w:pPr>
        <w:widowControl/>
        <w:rPr>
          <w:color w:val="auto"/>
          <w:highlight w:val="yellow"/>
        </w:rPr>
      </w:pPr>
    </w:p>
    <w:p w14:paraId="1FD5A154" w14:textId="6751C5EB" w:rsidR="000C321D" w:rsidRPr="00A86898" w:rsidRDefault="00FC5CEE" w:rsidP="005A4ED4">
      <w:pPr>
        <w:widowControl/>
        <w:rPr>
          <w:color w:val="auto"/>
        </w:rPr>
      </w:pPr>
      <w:r w:rsidRPr="00A86898">
        <w:rPr>
          <w:color w:val="auto"/>
          <w:highlight w:val="yellow"/>
        </w:rPr>
        <w:t>2.5</w:t>
      </w:r>
      <w:r w:rsidR="00457279" w:rsidRPr="00A86898">
        <w:rPr>
          <w:color w:val="auto"/>
          <w:highlight w:val="yellow"/>
        </w:rPr>
        <w:t>.</w:t>
      </w:r>
      <w:r w:rsidRPr="00A86898">
        <w:rPr>
          <w:color w:val="auto"/>
          <w:highlight w:val="yellow"/>
        </w:rPr>
        <w:t xml:space="preserve"> After the incubation time, remove the blocking buffer with a plastic pipet</w:t>
      </w:r>
      <w:r w:rsidR="00D8311F" w:rsidRPr="00A86898">
        <w:rPr>
          <w:color w:val="auto"/>
          <w:highlight w:val="yellow"/>
        </w:rPr>
        <w:t>te</w:t>
      </w:r>
      <w:r w:rsidRPr="00A86898">
        <w:rPr>
          <w:color w:val="auto"/>
          <w:highlight w:val="yellow"/>
        </w:rPr>
        <w:t xml:space="preserve"> and add 250 </w:t>
      </w:r>
      <w:r w:rsidR="00424A78">
        <w:rPr>
          <w:color w:val="auto"/>
          <w:highlight w:val="yellow"/>
        </w:rPr>
        <w:t>µ</w:t>
      </w:r>
      <w:r w:rsidR="009F2E7F" w:rsidRPr="00A86898">
        <w:rPr>
          <w:color w:val="auto"/>
          <w:highlight w:val="yellow"/>
        </w:rPr>
        <w:t>L</w:t>
      </w:r>
      <w:r w:rsidR="000C321D" w:rsidRPr="00A86898">
        <w:rPr>
          <w:color w:val="auto"/>
          <w:highlight w:val="yellow"/>
        </w:rPr>
        <w:t xml:space="preserve"> </w:t>
      </w:r>
      <w:r w:rsidR="007C0BC0">
        <w:rPr>
          <w:color w:val="auto"/>
          <w:highlight w:val="yellow"/>
        </w:rPr>
        <w:t xml:space="preserve">of </w:t>
      </w:r>
      <w:r w:rsidRPr="00A86898">
        <w:rPr>
          <w:color w:val="auto"/>
          <w:highlight w:val="yellow"/>
        </w:rPr>
        <w:t xml:space="preserve">antibody solution </w:t>
      </w:r>
      <w:r w:rsidR="009F2E7F" w:rsidRPr="00A86898">
        <w:rPr>
          <w:color w:val="auto"/>
          <w:highlight w:val="yellow"/>
        </w:rPr>
        <w:t xml:space="preserve">containing primary antibodies </w:t>
      </w:r>
      <w:r w:rsidRPr="00A86898">
        <w:rPr>
          <w:color w:val="auto"/>
          <w:highlight w:val="yellow"/>
        </w:rPr>
        <w:t xml:space="preserve">per well. </w:t>
      </w:r>
      <w:r w:rsidR="000C321D" w:rsidRPr="00A86898">
        <w:rPr>
          <w:color w:val="auto"/>
          <w:highlight w:val="yellow"/>
        </w:rPr>
        <w:t>Incubate slices with primary antibody overnight at 4</w:t>
      </w:r>
      <w:r w:rsidR="0074399F">
        <w:rPr>
          <w:color w:val="auto"/>
          <w:highlight w:val="yellow"/>
        </w:rPr>
        <w:t xml:space="preserve"> </w:t>
      </w:r>
      <w:r w:rsidR="000C321D" w:rsidRPr="00A86898">
        <w:rPr>
          <w:color w:val="auto"/>
          <w:highlight w:val="yellow"/>
        </w:rPr>
        <w:t>°C</w:t>
      </w:r>
      <w:r w:rsidRPr="00A86898">
        <w:rPr>
          <w:color w:val="auto"/>
          <w:highlight w:val="yellow"/>
        </w:rPr>
        <w:t xml:space="preserve"> on a shaker.</w:t>
      </w:r>
    </w:p>
    <w:p w14:paraId="12A51349" w14:textId="77777777" w:rsidR="00FC5CEE" w:rsidRPr="00A86898" w:rsidRDefault="00FC5CEE" w:rsidP="005A4ED4">
      <w:pPr>
        <w:widowControl/>
        <w:rPr>
          <w:color w:val="auto"/>
        </w:rPr>
      </w:pPr>
    </w:p>
    <w:p w14:paraId="16FAE0B1" w14:textId="468D201F" w:rsidR="000C321D" w:rsidRPr="00A86898" w:rsidRDefault="00FC5CEE" w:rsidP="005A4ED4">
      <w:pPr>
        <w:widowControl/>
        <w:rPr>
          <w:color w:val="auto"/>
          <w:highlight w:val="yellow"/>
        </w:rPr>
      </w:pPr>
      <w:r w:rsidRPr="00A86898">
        <w:rPr>
          <w:color w:val="auto"/>
          <w:highlight w:val="yellow"/>
        </w:rPr>
        <w:t>2.6</w:t>
      </w:r>
      <w:r w:rsidR="00457279" w:rsidRPr="00A86898">
        <w:rPr>
          <w:color w:val="auto"/>
          <w:highlight w:val="yellow"/>
        </w:rPr>
        <w:t>.</w:t>
      </w:r>
      <w:r w:rsidR="000C321D" w:rsidRPr="00A86898">
        <w:rPr>
          <w:color w:val="auto"/>
          <w:highlight w:val="yellow"/>
        </w:rPr>
        <w:t xml:space="preserve"> Next day</w:t>
      </w:r>
      <w:r w:rsidR="00EB39D3">
        <w:rPr>
          <w:color w:val="auto"/>
          <w:highlight w:val="yellow"/>
        </w:rPr>
        <w:t>,</w:t>
      </w:r>
      <w:r w:rsidR="000C321D" w:rsidRPr="00A86898">
        <w:rPr>
          <w:color w:val="auto"/>
          <w:highlight w:val="yellow"/>
        </w:rPr>
        <w:t xml:space="preserve"> wash </w:t>
      </w:r>
      <w:r w:rsidRPr="00A86898">
        <w:rPr>
          <w:color w:val="auto"/>
          <w:highlight w:val="yellow"/>
        </w:rPr>
        <w:t xml:space="preserve">the </w:t>
      </w:r>
      <w:r w:rsidR="000C321D" w:rsidRPr="00A86898">
        <w:rPr>
          <w:color w:val="auto"/>
          <w:highlight w:val="yellow"/>
        </w:rPr>
        <w:t>slices with washing buffer 1 3x</w:t>
      </w:r>
      <w:r w:rsidR="005C7F0F">
        <w:rPr>
          <w:color w:val="auto"/>
          <w:highlight w:val="yellow"/>
        </w:rPr>
        <w:t xml:space="preserve"> for </w:t>
      </w:r>
      <w:r w:rsidR="000C321D" w:rsidRPr="00A86898">
        <w:rPr>
          <w:color w:val="auto"/>
          <w:highlight w:val="yellow"/>
        </w:rPr>
        <w:t>10 min at RT</w:t>
      </w:r>
      <w:r w:rsidRPr="00A86898">
        <w:rPr>
          <w:color w:val="auto"/>
          <w:highlight w:val="yellow"/>
        </w:rPr>
        <w:t xml:space="preserve"> on a shaker.</w:t>
      </w:r>
    </w:p>
    <w:p w14:paraId="61C2D5E3" w14:textId="0A944E85" w:rsidR="00FF72AA" w:rsidRPr="00A86898" w:rsidRDefault="00FF72AA" w:rsidP="005A4ED4">
      <w:pPr>
        <w:widowControl/>
        <w:rPr>
          <w:color w:val="auto"/>
          <w:highlight w:val="yellow"/>
        </w:rPr>
      </w:pPr>
    </w:p>
    <w:p w14:paraId="7694EAC0" w14:textId="3078A0B5" w:rsidR="00FF72AA" w:rsidRPr="00A86898" w:rsidRDefault="00FF72AA" w:rsidP="005A4ED4">
      <w:pPr>
        <w:widowControl/>
        <w:rPr>
          <w:color w:val="auto"/>
          <w:highlight w:val="yellow"/>
        </w:rPr>
      </w:pPr>
      <w:r w:rsidRPr="00A86898">
        <w:rPr>
          <w:color w:val="auto"/>
          <w:highlight w:val="yellow"/>
        </w:rPr>
        <w:t>2.6.1</w:t>
      </w:r>
      <w:r w:rsidR="00457279" w:rsidRPr="00A86898">
        <w:rPr>
          <w:color w:val="auto"/>
          <w:highlight w:val="yellow"/>
        </w:rPr>
        <w:t>.</w:t>
      </w:r>
      <w:r w:rsidRPr="00A86898">
        <w:rPr>
          <w:color w:val="auto"/>
          <w:highlight w:val="yellow"/>
        </w:rPr>
        <w:t xml:space="preserve"> Remove the medium with a plastic pipet</w:t>
      </w:r>
      <w:r w:rsidR="00D8311F" w:rsidRPr="00A86898">
        <w:rPr>
          <w:color w:val="auto"/>
          <w:highlight w:val="yellow"/>
        </w:rPr>
        <w:t>te</w:t>
      </w:r>
      <w:r w:rsidRPr="00A86898">
        <w:rPr>
          <w:color w:val="auto"/>
          <w:highlight w:val="yellow"/>
        </w:rPr>
        <w:t xml:space="preserve"> and add 300 </w:t>
      </w:r>
      <w:r w:rsidR="00840CD6">
        <w:rPr>
          <w:color w:val="auto"/>
          <w:highlight w:val="yellow"/>
        </w:rPr>
        <w:t>µ</w:t>
      </w:r>
      <w:r w:rsidR="009F2E7F" w:rsidRPr="00A86898">
        <w:rPr>
          <w:color w:val="auto"/>
          <w:highlight w:val="yellow"/>
        </w:rPr>
        <w:t xml:space="preserve">L </w:t>
      </w:r>
      <w:r w:rsidR="00C626E0">
        <w:rPr>
          <w:color w:val="auto"/>
          <w:highlight w:val="yellow"/>
        </w:rPr>
        <w:t xml:space="preserve">of </w:t>
      </w:r>
      <w:r w:rsidRPr="00A86898">
        <w:rPr>
          <w:color w:val="auto"/>
          <w:highlight w:val="yellow"/>
        </w:rPr>
        <w:t>washing buffer 1 per well.</w:t>
      </w:r>
      <w:r w:rsidR="006F359F" w:rsidRPr="00A86898">
        <w:rPr>
          <w:color w:val="auto"/>
          <w:highlight w:val="yellow"/>
        </w:rPr>
        <w:t xml:space="preserve"> Incubate </w:t>
      </w:r>
      <w:r w:rsidR="008518A1" w:rsidRPr="00A86898">
        <w:rPr>
          <w:color w:val="auto"/>
          <w:highlight w:val="yellow"/>
        </w:rPr>
        <w:t xml:space="preserve">at RT </w:t>
      </w:r>
      <w:r w:rsidR="006F359F" w:rsidRPr="00A86898">
        <w:rPr>
          <w:color w:val="auto"/>
          <w:highlight w:val="yellow"/>
        </w:rPr>
        <w:t>for 10 min.</w:t>
      </w:r>
      <w:r w:rsidRPr="00A86898">
        <w:rPr>
          <w:color w:val="auto"/>
          <w:highlight w:val="yellow"/>
        </w:rPr>
        <w:t xml:space="preserve"> Repeat 3 times.</w:t>
      </w:r>
    </w:p>
    <w:p w14:paraId="57858C77" w14:textId="7FB4225B" w:rsidR="00FC5CEE" w:rsidRPr="00A86898" w:rsidRDefault="00FC5CEE" w:rsidP="005A4ED4">
      <w:pPr>
        <w:widowControl/>
        <w:rPr>
          <w:color w:val="auto"/>
          <w:highlight w:val="yellow"/>
        </w:rPr>
      </w:pPr>
    </w:p>
    <w:p w14:paraId="2EFF8728" w14:textId="13513BEB" w:rsidR="003370CA" w:rsidRDefault="00FC5CEE" w:rsidP="005A4ED4">
      <w:pPr>
        <w:widowControl/>
        <w:rPr>
          <w:color w:val="auto"/>
          <w:highlight w:val="yellow"/>
        </w:rPr>
      </w:pPr>
      <w:r w:rsidRPr="00A86898">
        <w:rPr>
          <w:color w:val="auto"/>
          <w:highlight w:val="yellow"/>
        </w:rPr>
        <w:lastRenderedPageBreak/>
        <w:t>2.7</w:t>
      </w:r>
      <w:r w:rsidR="00457279" w:rsidRPr="00A86898">
        <w:rPr>
          <w:color w:val="auto"/>
          <w:highlight w:val="yellow"/>
        </w:rPr>
        <w:t>.</w:t>
      </w:r>
      <w:r w:rsidRPr="00A86898">
        <w:rPr>
          <w:color w:val="auto"/>
          <w:highlight w:val="yellow"/>
        </w:rPr>
        <w:t xml:space="preserve"> During the washing steps, dilute the </w:t>
      </w:r>
      <w:r w:rsidR="00FF72AA" w:rsidRPr="00A86898">
        <w:rPr>
          <w:color w:val="auto"/>
          <w:highlight w:val="yellow"/>
        </w:rPr>
        <w:t xml:space="preserve">fluorophore-coupled </w:t>
      </w:r>
      <w:r w:rsidRPr="00A86898">
        <w:rPr>
          <w:color w:val="auto"/>
          <w:highlight w:val="yellow"/>
        </w:rPr>
        <w:t>secondary antibodies in antibody buffer</w:t>
      </w:r>
      <w:r w:rsidR="009F2E7F" w:rsidRPr="00A86898">
        <w:rPr>
          <w:color w:val="auto"/>
          <w:highlight w:val="yellow"/>
        </w:rPr>
        <w:t xml:space="preserve"> in a reaction tube</w:t>
      </w:r>
      <w:r w:rsidRPr="00A86898">
        <w:rPr>
          <w:color w:val="auto"/>
          <w:highlight w:val="yellow"/>
        </w:rPr>
        <w:t xml:space="preserve">. </w:t>
      </w:r>
      <w:r w:rsidR="00FF72AA" w:rsidRPr="00A86898">
        <w:rPr>
          <w:color w:val="auto"/>
          <w:highlight w:val="yellow"/>
        </w:rPr>
        <w:t xml:space="preserve">Use 250 </w:t>
      </w:r>
      <w:r w:rsidR="00B90FF9">
        <w:rPr>
          <w:color w:val="auto"/>
          <w:highlight w:val="yellow"/>
        </w:rPr>
        <w:t>µ</w:t>
      </w:r>
      <w:r w:rsidR="009F2E7F" w:rsidRPr="00A86898">
        <w:rPr>
          <w:color w:val="auto"/>
          <w:highlight w:val="yellow"/>
        </w:rPr>
        <w:t>L</w:t>
      </w:r>
      <w:r w:rsidR="00FF72AA" w:rsidRPr="00A86898">
        <w:rPr>
          <w:color w:val="auto"/>
          <w:highlight w:val="yellow"/>
        </w:rPr>
        <w:t xml:space="preserve"> antibody buffer per well and add the appropriate amount of antibody (see </w:t>
      </w:r>
      <w:r w:rsidR="00347B60" w:rsidRPr="00347B60">
        <w:rPr>
          <w:b/>
          <w:color w:val="auto"/>
          <w:highlight w:val="yellow"/>
        </w:rPr>
        <w:t>T</w:t>
      </w:r>
      <w:r w:rsidR="00FF72AA" w:rsidRPr="00347B60">
        <w:rPr>
          <w:b/>
          <w:color w:val="auto"/>
          <w:highlight w:val="yellow"/>
        </w:rPr>
        <w:t>able</w:t>
      </w:r>
      <w:r w:rsidR="00127DE2" w:rsidRPr="00347B60">
        <w:rPr>
          <w:b/>
          <w:color w:val="auto"/>
          <w:highlight w:val="yellow"/>
        </w:rPr>
        <w:t xml:space="preserve"> 2</w:t>
      </w:r>
      <w:r w:rsidR="00FF72AA" w:rsidRPr="00A86898">
        <w:rPr>
          <w:color w:val="auto"/>
          <w:highlight w:val="yellow"/>
        </w:rPr>
        <w:t>) by pipetting it directl</w:t>
      </w:r>
      <w:r w:rsidR="00D8311F" w:rsidRPr="00A86898">
        <w:rPr>
          <w:color w:val="auto"/>
          <w:highlight w:val="yellow"/>
        </w:rPr>
        <w:t>y into the solution</w:t>
      </w:r>
      <w:r w:rsidR="009F2E7F" w:rsidRPr="00A86898">
        <w:rPr>
          <w:color w:val="auto"/>
          <w:highlight w:val="yellow"/>
        </w:rPr>
        <w:t xml:space="preserve"> using a 2 </w:t>
      </w:r>
      <w:r w:rsidR="00F72EC2">
        <w:rPr>
          <w:color w:val="auto"/>
          <w:highlight w:val="yellow"/>
        </w:rPr>
        <w:t>µ</w:t>
      </w:r>
      <w:r w:rsidR="009F2E7F" w:rsidRPr="00A86898">
        <w:rPr>
          <w:color w:val="auto"/>
          <w:highlight w:val="yellow"/>
        </w:rPr>
        <w:t>L pipette</w:t>
      </w:r>
      <w:r w:rsidR="00D8311F" w:rsidRPr="00A86898">
        <w:rPr>
          <w:color w:val="auto"/>
          <w:highlight w:val="yellow"/>
        </w:rPr>
        <w:t>. Mix the solution</w:t>
      </w:r>
      <w:r w:rsidR="00FF72AA" w:rsidRPr="00A86898">
        <w:rPr>
          <w:color w:val="auto"/>
          <w:highlight w:val="yellow"/>
        </w:rPr>
        <w:t xml:space="preserve"> by gently pipetting up and down several times.</w:t>
      </w:r>
      <w:r w:rsidR="009F2E7F" w:rsidRPr="00A86898">
        <w:rPr>
          <w:color w:val="auto"/>
          <w:highlight w:val="yellow"/>
        </w:rPr>
        <w:t xml:space="preserve"> Vortex shortly afterwards to ensure proper mixing.</w:t>
      </w:r>
      <w:r w:rsidR="00FF72AA" w:rsidRPr="00A86898">
        <w:rPr>
          <w:color w:val="auto"/>
          <w:highlight w:val="yellow"/>
        </w:rPr>
        <w:t xml:space="preserve"> </w:t>
      </w:r>
    </w:p>
    <w:p w14:paraId="62BB957D" w14:textId="77777777" w:rsidR="003370CA" w:rsidRDefault="003370CA" w:rsidP="005A4ED4">
      <w:pPr>
        <w:widowControl/>
        <w:rPr>
          <w:b/>
          <w:color w:val="auto"/>
          <w:highlight w:val="yellow"/>
        </w:rPr>
      </w:pPr>
    </w:p>
    <w:p w14:paraId="463AB98C" w14:textId="7F7C6856" w:rsidR="00FF72AA" w:rsidRPr="00A86898" w:rsidRDefault="005A4ED4" w:rsidP="005A4ED4">
      <w:pPr>
        <w:widowControl/>
        <w:rPr>
          <w:color w:val="auto"/>
          <w:highlight w:val="yellow"/>
        </w:rPr>
      </w:pPr>
      <w:r w:rsidRPr="003370CA">
        <w:rPr>
          <w:color w:val="auto"/>
          <w:highlight w:val="yellow"/>
        </w:rPr>
        <w:t>CAUTION:</w:t>
      </w:r>
      <w:r w:rsidR="00FF72AA" w:rsidRPr="003370CA">
        <w:rPr>
          <w:color w:val="auto"/>
          <w:highlight w:val="yellow"/>
        </w:rPr>
        <w:t xml:space="preserve"> Because the antibodies are light-sensitive, all steps from this point on need to be</w:t>
      </w:r>
      <w:r w:rsidR="00FF72AA" w:rsidRPr="00A86898">
        <w:rPr>
          <w:color w:val="auto"/>
          <w:highlight w:val="yellow"/>
        </w:rPr>
        <w:t xml:space="preserve"> performed in the dark.</w:t>
      </w:r>
    </w:p>
    <w:p w14:paraId="3C970727" w14:textId="71D73EF1" w:rsidR="00FC5CEE" w:rsidRPr="00A86898" w:rsidRDefault="00FC5CEE" w:rsidP="005A4ED4">
      <w:pPr>
        <w:widowControl/>
        <w:rPr>
          <w:color w:val="auto"/>
          <w:highlight w:val="yellow"/>
        </w:rPr>
      </w:pPr>
    </w:p>
    <w:p w14:paraId="4DEB2037" w14:textId="394EC93D" w:rsidR="000C321D" w:rsidRPr="00A86898" w:rsidRDefault="00FF72AA" w:rsidP="005A4ED4">
      <w:pPr>
        <w:widowControl/>
        <w:rPr>
          <w:color w:val="auto"/>
          <w:highlight w:val="yellow"/>
        </w:rPr>
      </w:pPr>
      <w:r w:rsidRPr="00A86898">
        <w:rPr>
          <w:color w:val="auto"/>
          <w:highlight w:val="yellow"/>
        </w:rPr>
        <w:t>2.8</w:t>
      </w:r>
      <w:r w:rsidR="00457279" w:rsidRPr="00A86898">
        <w:rPr>
          <w:color w:val="auto"/>
          <w:highlight w:val="yellow"/>
        </w:rPr>
        <w:t>.</w:t>
      </w:r>
      <w:r w:rsidRPr="00A86898">
        <w:rPr>
          <w:color w:val="auto"/>
          <w:highlight w:val="yellow"/>
        </w:rPr>
        <w:t xml:space="preserve"> After the washing steps, remove the washing buffer </w:t>
      </w:r>
      <w:r w:rsidR="009F2E7F" w:rsidRPr="00A86898">
        <w:rPr>
          <w:color w:val="auto"/>
          <w:highlight w:val="yellow"/>
        </w:rPr>
        <w:t xml:space="preserve">with a plastic pipette </w:t>
      </w:r>
      <w:r w:rsidRPr="00A86898">
        <w:rPr>
          <w:color w:val="auto"/>
          <w:highlight w:val="yellow"/>
        </w:rPr>
        <w:t xml:space="preserve">and add 250 </w:t>
      </w:r>
      <w:r w:rsidR="000307A6">
        <w:rPr>
          <w:color w:val="auto"/>
          <w:highlight w:val="yellow"/>
        </w:rPr>
        <w:t>µ</w:t>
      </w:r>
      <w:r w:rsidR="009F2E7F" w:rsidRPr="00A86898">
        <w:rPr>
          <w:color w:val="auto"/>
          <w:highlight w:val="yellow"/>
        </w:rPr>
        <w:t>L</w:t>
      </w:r>
      <w:r w:rsidR="003D21A2">
        <w:rPr>
          <w:color w:val="auto"/>
          <w:highlight w:val="yellow"/>
        </w:rPr>
        <w:t xml:space="preserve"> of</w:t>
      </w:r>
      <w:r w:rsidR="009F2E7F" w:rsidRPr="00A86898">
        <w:rPr>
          <w:color w:val="auto"/>
          <w:highlight w:val="yellow"/>
        </w:rPr>
        <w:t xml:space="preserve"> </w:t>
      </w:r>
      <w:r w:rsidRPr="00A86898">
        <w:rPr>
          <w:color w:val="auto"/>
          <w:highlight w:val="yellow"/>
        </w:rPr>
        <w:t>antibody solution</w:t>
      </w:r>
      <w:r w:rsidR="009F2E7F" w:rsidRPr="00A86898">
        <w:rPr>
          <w:color w:val="auto"/>
          <w:highlight w:val="yellow"/>
        </w:rPr>
        <w:t xml:space="preserve"> containing secondary antibodies</w:t>
      </w:r>
      <w:r w:rsidRPr="00A86898">
        <w:rPr>
          <w:color w:val="auto"/>
          <w:highlight w:val="yellow"/>
        </w:rPr>
        <w:t xml:space="preserve"> per well. </w:t>
      </w:r>
      <w:r w:rsidR="000C321D" w:rsidRPr="00A86898">
        <w:rPr>
          <w:color w:val="auto"/>
          <w:highlight w:val="yellow"/>
        </w:rPr>
        <w:t>Incubate</w:t>
      </w:r>
      <w:r w:rsidRPr="00A86898">
        <w:rPr>
          <w:color w:val="auto"/>
          <w:highlight w:val="yellow"/>
        </w:rPr>
        <w:t xml:space="preserve"> the</w:t>
      </w:r>
      <w:r w:rsidR="000C321D" w:rsidRPr="00A86898">
        <w:rPr>
          <w:color w:val="auto"/>
          <w:highlight w:val="yellow"/>
        </w:rPr>
        <w:t xml:space="preserve"> slices with secondary antibody for 90 min at RT in the dark. </w:t>
      </w:r>
    </w:p>
    <w:p w14:paraId="03682F5B" w14:textId="77777777" w:rsidR="00FF72AA" w:rsidRPr="00A86898" w:rsidRDefault="00FF72AA" w:rsidP="005A4ED4">
      <w:pPr>
        <w:widowControl/>
        <w:rPr>
          <w:color w:val="auto"/>
          <w:highlight w:val="yellow"/>
        </w:rPr>
      </w:pPr>
    </w:p>
    <w:p w14:paraId="0121C5E4" w14:textId="0FF4140B" w:rsidR="000C321D" w:rsidRPr="00A86898" w:rsidRDefault="00FF72AA" w:rsidP="005A4ED4">
      <w:pPr>
        <w:widowControl/>
        <w:rPr>
          <w:color w:val="auto"/>
          <w:highlight w:val="yellow"/>
        </w:rPr>
      </w:pPr>
      <w:r w:rsidRPr="00A86898">
        <w:rPr>
          <w:color w:val="auto"/>
          <w:highlight w:val="yellow"/>
        </w:rPr>
        <w:t>2.9</w:t>
      </w:r>
      <w:r w:rsidR="00457279" w:rsidRPr="00A86898">
        <w:rPr>
          <w:color w:val="auto"/>
          <w:highlight w:val="yellow"/>
        </w:rPr>
        <w:t>.</w:t>
      </w:r>
      <w:r w:rsidR="000C321D" w:rsidRPr="00A86898">
        <w:rPr>
          <w:color w:val="auto"/>
          <w:highlight w:val="yellow"/>
        </w:rPr>
        <w:t xml:space="preserve"> Wash</w:t>
      </w:r>
      <w:r w:rsidRPr="00A86898">
        <w:rPr>
          <w:color w:val="auto"/>
          <w:highlight w:val="yellow"/>
        </w:rPr>
        <w:t xml:space="preserve"> the</w:t>
      </w:r>
      <w:r w:rsidR="000C321D" w:rsidRPr="00A86898">
        <w:rPr>
          <w:color w:val="auto"/>
          <w:highlight w:val="yellow"/>
        </w:rPr>
        <w:t xml:space="preserve"> slices with washing buffer 2 3x</w:t>
      </w:r>
      <w:r w:rsidR="00CC6CAD">
        <w:rPr>
          <w:color w:val="auto"/>
          <w:highlight w:val="yellow"/>
        </w:rPr>
        <w:t xml:space="preserve"> for </w:t>
      </w:r>
      <w:r w:rsidR="000C321D" w:rsidRPr="00A86898">
        <w:rPr>
          <w:color w:val="auto"/>
          <w:highlight w:val="yellow"/>
        </w:rPr>
        <w:t>10 min at RT</w:t>
      </w:r>
      <w:r w:rsidRPr="00A86898">
        <w:rPr>
          <w:color w:val="auto"/>
          <w:highlight w:val="yellow"/>
        </w:rPr>
        <w:t>.</w:t>
      </w:r>
    </w:p>
    <w:p w14:paraId="0F240827" w14:textId="74596900" w:rsidR="00FF72AA" w:rsidRPr="00A86898" w:rsidRDefault="00FF72AA" w:rsidP="005A4ED4">
      <w:pPr>
        <w:widowControl/>
        <w:rPr>
          <w:color w:val="auto"/>
          <w:highlight w:val="yellow"/>
        </w:rPr>
      </w:pPr>
    </w:p>
    <w:p w14:paraId="251E24FB" w14:textId="0638B02C" w:rsidR="00FF72AA" w:rsidRPr="00A86898" w:rsidRDefault="00FF72AA" w:rsidP="005A4ED4">
      <w:pPr>
        <w:widowControl/>
        <w:rPr>
          <w:color w:val="auto"/>
        </w:rPr>
      </w:pPr>
      <w:r w:rsidRPr="00A86898">
        <w:rPr>
          <w:color w:val="auto"/>
          <w:highlight w:val="yellow"/>
        </w:rPr>
        <w:t>2.10</w:t>
      </w:r>
      <w:r w:rsidR="00457279" w:rsidRPr="00A86898">
        <w:rPr>
          <w:color w:val="auto"/>
          <w:highlight w:val="yellow"/>
        </w:rPr>
        <w:t>.</w:t>
      </w:r>
      <w:r w:rsidRPr="00A86898">
        <w:rPr>
          <w:color w:val="auto"/>
          <w:highlight w:val="yellow"/>
        </w:rPr>
        <w:t xml:space="preserve"> During the washing </w:t>
      </w:r>
      <w:r w:rsidR="00552CB3" w:rsidRPr="00A86898">
        <w:rPr>
          <w:color w:val="auto"/>
          <w:highlight w:val="yellow"/>
        </w:rPr>
        <w:t>steps</w:t>
      </w:r>
      <w:r w:rsidR="00B83C9B">
        <w:rPr>
          <w:color w:val="auto"/>
          <w:highlight w:val="yellow"/>
        </w:rPr>
        <w:t>,</w:t>
      </w:r>
      <w:r w:rsidRPr="00A86898">
        <w:rPr>
          <w:color w:val="auto"/>
          <w:highlight w:val="yellow"/>
        </w:rPr>
        <w:t xml:space="preserve"> dilute</w:t>
      </w:r>
      <w:r w:rsidR="00D8311F" w:rsidRPr="00A86898">
        <w:rPr>
          <w:color w:val="auto"/>
          <w:highlight w:val="yellow"/>
        </w:rPr>
        <w:t xml:space="preserve"> 4′,6-diamidino-2-phenylindole</w:t>
      </w:r>
      <w:r w:rsidRPr="00A86898">
        <w:rPr>
          <w:color w:val="auto"/>
          <w:highlight w:val="yellow"/>
        </w:rPr>
        <w:t xml:space="preserve"> </w:t>
      </w:r>
      <w:r w:rsidR="00D8311F" w:rsidRPr="00A86898">
        <w:rPr>
          <w:color w:val="auto"/>
          <w:highlight w:val="yellow"/>
        </w:rPr>
        <w:t>(</w:t>
      </w:r>
      <w:r w:rsidRPr="00A86898">
        <w:rPr>
          <w:color w:val="auto"/>
          <w:highlight w:val="yellow"/>
        </w:rPr>
        <w:t>DAPI</w:t>
      </w:r>
      <w:r w:rsidR="00D8311F" w:rsidRPr="00A86898">
        <w:rPr>
          <w:color w:val="auto"/>
          <w:highlight w:val="yellow"/>
        </w:rPr>
        <w:t>)</w:t>
      </w:r>
      <w:r w:rsidRPr="00A86898">
        <w:rPr>
          <w:color w:val="auto"/>
          <w:highlight w:val="yellow"/>
        </w:rPr>
        <w:t xml:space="preserve"> in 0.1</w:t>
      </w:r>
      <w:r w:rsidR="00B83C9B">
        <w:rPr>
          <w:color w:val="auto"/>
          <w:highlight w:val="yellow"/>
        </w:rPr>
        <w:t xml:space="preserve"> </w:t>
      </w:r>
      <w:r w:rsidRPr="00A86898">
        <w:rPr>
          <w:color w:val="auto"/>
          <w:highlight w:val="yellow"/>
        </w:rPr>
        <w:t>M PB in a concentration of 1:2000.</w:t>
      </w:r>
    </w:p>
    <w:p w14:paraId="75D9BE04" w14:textId="3D5BA307" w:rsidR="00FF72AA" w:rsidRPr="00A86898" w:rsidRDefault="00FF72AA" w:rsidP="005A4ED4">
      <w:pPr>
        <w:widowControl/>
        <w:rPr>
          <w:color w:val="auto"/>
        </w:rPr>
      </w:pPr>
    </w:p>
    <w:p w14:paraId="7F8A1BE1" w14:textId="4B08C0A2" w:rsidR="00FF72AA" w:rsidRPr="00A86898" w:rsidRDefault="00FF72AA" w:rsidP="005A4ED4">
      <w:pPr>
        <w:widowControl/>
        <w:rPr>
          <w:color w:val="auto"/>
          <w:highlight w:val="yellow"/>
        </w:rPr>
      </w:pPr>
      <w:r w:rsidRPr="00A86898">
        <w:rPr>
          <w:color w:val="auto"/>
          <w:highlight w:val="yellow"/>
        </w:rPr>
        <w:t>2.11</w:t>
      </w:r>
      <w:r w:rsidR="00457279" w:rsidRPr="00A86898">
        <w:rPr>
          <w:color w:val="auto"/>
          <w:highlight w:val="yellow"/>
        </w:rPr>
        <w:t>.</w:t>
      </w:r>
      <w:r w:rsidRPr="00A86898">
        <w:rPr>
          <w:color w:val="auto"/>
          <w:highlight w:val="yellow"/>
        </w:rPr>
        <w:t xml:space="preserve"> Remove the washing buffer 2 </w:t>
      </w:r>
      <w:r w:rsidR="009F2E7F" w:rsidRPr="00A86898">
        <w:rPr>
          <w:color w:val="auto"/>
          <w:highlight w:val="yellow"/>
        </w:rPr>
        <w:t xml:space="preserve">with a plastic pipette </w:t>
      </w:r>
      <w:r w:rsidRPr="00A86898">
        <w:rPr>
          <w:color w:val="auto"/>
          <w:highlight w:val="yellow"/>
        </w:rPr>
        <w:t xml:space="preserve">and add 250 </w:t>
      </w:r>
      <w:r w:rsidR="000307A6">
        <w:rPr>
          <w:color w:val="auto"/>
          <w:highlight w:val="yellow"/>
        </w:rPr>
        <w:t>µ</w:t>
      </w:r>
      <w:r w:rsidR="009F2E7F" w:rsidRPr="00A86898">
        <w:rPr>
          <w:color w:val="auto"/>
          <w:highlight w:val="yellow"/>
        </w:rPr>
        <w:t>L</w:t>
      </w:r>
      <w:r w:rsidRPr="00A86898">
        <w:rPr>
          <w:color w:val="auto"/>
          <w:highlight w:val="yellow"/>
        </w:rPr>
        <w:t xml:space="preserve"> </w:t>
      </w:r>
      <w:r w:rsidR="00B83C9B">
        <w:rPr>
          <w:color w:val="auto"/>
          <w:highlight w:val="yellow"/>
        </w:rPr>
        <w:t xml:space="preserve">of </w:t>
      </w:r>
      <w:r w:rsidRPr="00A86898">
        <w:rPr>
          <w:color w:val="auto"/>
          <w:highlight w:val="yellow"/>
        </w:rPr>
        <w:t>DAPI solution per well. Incubate for 5 min at RT on the shaker.</w:t>
      </w:r>
    </w:p>
    <w:p w14:paraId="7B1A191F" w14:textId="77777777" w:rsidR="00FF72AA" w:rsidRPr="00A86898" w:rsidRDefault="00FF72AA" w:rsidP="005A4ED4">
      <w:pPr>
        <w:widowControl/>
        <w:rPr>
          <w:color w:val="auto"/>
          <w:highlight w:val="yellow"/>
        </w:rPr>
      </w:pPr>
    </w:p>
    <w:p w14:paraId="6AA0ED56" w14:textId="1A5FD640" w:rsidR="000C321D" w:rsidRPr="00A86898" w:rsidRDefault="00FF72AA" w:rsidP="005A4ED4">
      <w:pPr>
        <w:widowControl/>
        <w:rPr>
          <w:color w:val="auto"/>
          <w:highlight w:val="yellow"/>
        </w:rPr>
      </w:pPr>
      <w:r w:rsidRPr="00A86898">
        <w:rPr>
          <w:color w:val="auto"/>
          <w:highlight w:val="yellow"/>
        </w:rPr>
        <w:t>2.12</w:t>
      </w:r>
      <w:r w:rsidR="00457279" w:rsidRPr="00A86898">
        <w:rPr>
          <w:color w:val="auto"/>
          <w:highlight w:val="yellow"/>
        </w:rPr>
        <w:t>.</w:t>
      </w:r>
      <w:r w:rsidRPr="00A86898">
        <w:rPr>
          <w:color w:val="auto"/>
          <w:highlight w:val="yellow"/>
        </w:rPr>
        <w:t xml:space="preserve"> Remove</w:t>
      </w:r>
      <w:r w:rsidR="000C321D" w:rsidRPr="00A86898">
        <w:rPr>
          <w:color w:val="auto"/>
          <w:highlight w:val="yellow"/>
        </w:rPr>
        <w:t xml:space="preserve"> </w:t>
      </w:r>
      <w:r w:rsidRPr="00A86898">
        <w:rPr>
          <w:color w:val="auto"/>
          <w:highlight w:val="yellow"/>
        </w:rPr>
        <w:t>the DAPI solution</w:t>
      </w:r>
      <w:r w:rsidR="009F2E7F" w:rsidRPr="00A86898">
        <w:rPr>
          <w:color w:val="auto"/>
          <w:highlight w:val="yellow"/>
        </w:rPr>
        <w:t xml:space="preserve"> with a plastic pipette</w:t>
      </w:r>
      <w:r w:rsidRPr="00A86898">
        <w:rPr>
          <w:color w:val="auto"/>
          <w:highlight w:val="yellow"/>
        </w:rPr>
        <w:t xml:space="preserve"> and add 500 </w:t>
      </w:r>
      <w:r w:rsidR="000307A6">
        <w:rPr>
          <w:color w:val="auto"/>
          <w:highlight w:val="yellow"/>
        </w:rPr>
        <w:t>µ</w:t>
      </w:r>
      <w:r w:rsidR="009F2E7F" w:rsidRPr="00A86898">
        <w:rPr>
          <w:color w:val="auto"/>
          <w:highlight w:val="yellow"/>
        </w:rPr>
        <w:t xml:space="preserve">L </w:t>
      </w:r>
      <w:r w:rsidR="00444197">
        <w:rPr>
          <w:color w:val="auto"/>
          <w:highlight w:val="yellow"/>
        </w:rPr>
        <w:t xml:space="preserve">of </w:t>
      </w:r>
      <w:r w:rsidR="009F2E7F" w:rsidRPr="00A86898">
        <w:rPr>
          <w:color w:val="auto"/>
          <w:highlight w:val="yellow"/>
        </w:rPr>
        <w:t xml:space="preserve">0.1 M PB per well with a 1000 </w:t>
      </w:r>
      <w:r w:rsidR="000307A6">
        <w:rPr>
          <w:color w:val="auto"/>
          <w:highlight w:val="yellow"/>
        </w:rPr>
        <w:t>µ</w:t>
      </w:r>
      <w:r w:rsidR="009F2E7F" w:rsidRPr="00A86898">
        <w:rPr>
          <w:color w:val="auto"/>
          <w:highlight w:val="yellow"/>
        </w:rPr>
        <w:t>L pipette</w:t>
      </w:r>
      <w:r w:rsidR="00B05328">
        <w:rPr>
          <w:color w:val="auto"/>
          <w:highlight w:val="yellow"/>
        </w:rPr>
        <w:t>.</w:t>
      </w:r>
    </w:p>
    <w:p w14:paraId="2D62E54F" w14:textId="77777777" w:rsidR="00FF72AA" w:rsidRPr="00A86898" w:rsidRDefault="00FF72AA" w:rsidP="005A4ED4">
      <w:pPr>
        <w:widowControl/>
        <w:rPr>
          <w:color w:val="auto"/>
          <w:highlight w:val="yellow"/>
        </w:rPr>
      </w:pPr>
    </w:p>
    <w:p w14:paraId="77FC221E" w14:textId="7A66EEFF" w:rsidR="000C321D" w:rsidRPr="00A86898" w:rsidRDefault="00FF72AA" w:rsidP="005A4ED4">
      <w:pPr>
        <w:widowControl/>
        <w:rPr>
          <w:color w:val="auto"/>
        </w:rPr>
      </w:pPr>
      <w:r w:rsidRPr="00A86898">
        <w:rPr>
          <w:color w:val="auto"/>
          <w:highlight w:val="yellow"/>
        </w:rPr>
        <w:t>2.13</w:t>
      </w:r>
      <w:r w:rsidR="00457279" w:rsidRPr="00A86898">
        <w:rPr>
          <w:color w:val="auto"/>
          <w:highlight w:val="yellow"/>
        </w:rPr>
        <w:t>.</w:t>
      </w:r>
      <w:r w:rsidR="000C321D" w:rsidRPr="00A86898">
        <w:rPr>
          <w:color w:val="auto"/>
          <w:highlight w:val="yellow"/>
        </w:rPr>
        <w:t xml:space="preserve"> Mount slices on microscope slides</w:t>
      </w:r>
      <w:r w:rsidRPr="00A86898">
        <w:rPr>
          <w:color w:val="auto"/>
          <w:highlight w:val="yellow"/>
        </w:rPr>
        <w:t>.</w:t>
      </w:r>
    </w:p>
    <w:p w14:paraId="51F17D40" w14:textId="385EECBF" w:rsidR="00FF72AA" w:rsidRPr="00A86898" w:rsidRDefault="00FF72AA" w:rsidP="005A4ED4">
      <w:pPr>
        <w:widowControl/>
        <w:rPr>
          <w:color w:val="auto"/>
        </w:rPr>
      </w:pPr>
    </w:p>
    <w:p w14:paraId="2CAD35D4" w14:textId="59EB9862" w:rsidR="00FF72AA" w:rsidRPr="00A86898" w:rsidRDefault="00FF72AA" w:rsidP="005A4ED4">
      <w:pPr>
        <w:widowControl/>
        <w:rPr>
          <w:color w:val="auto"/>
          <w:highlight w:val="yellow"/>
        </w:rPr>
      </w:pPr>
      <w:r w:rsidRPr="00A86898">
        <w:rPr>
          <w:color w:val="auto"/>
          <w:highlight w:val="yellow"/>
        </w:rPr>
        <w:t>2.13.1</w:t>
      </w:r>
      <w:r w:rsidR="00457279" w:rsidRPr="00A86898">
        <w:rPr>
          <w:color w:val="auto"/>
          <w:highlight w:val="yellow"/>
        </w:rPr>
        <w:t>.</w:t>
      </w:r>
      <w:r w:rsidRPr="00A86898">
        <w:rPr>
          <w:color w:val="auto"/>
          <w:highlight w:val="yellow"/>
        </w:rPr>
        <w:t xml:space="preserve"> </w:t>
      </w:r>
      <w:r w:rsidR="002E6734" w:rsidRPr="00A86898">
        <w:rPr>
          <w:color w:val="auto"/>
          <w:highlight w:val="yellow"/>
        </w:rPr>
        <w:t>Place a microscope slide under the stereoscope. With a fine brush, add three separate drops of 0.1 M PB onto the slide. Place one slice per drop onto the microscope slide.</w:t>
      </w:r>
    </w:p>
    <w:p w14:paraId="017BC75F" w14:textId="049C28DC" w:rsidR="002E6734" w:rsidRPr="00A86898" w:rsidRDefault="002E6734" w:rsidP="005A4ED4">
      <w:pPr>
        <w:widowControl/>
        <w:rPr>
          <w:color w:val="auto"/>
          <w:highlight w:val="yellow"/>
        </w:rPr>
      </w:pPr>
    </w:p>
    <w:p w14:paraId="75D82CE1" w14:textId="3E41C93C" w:rsidR="002E6734" w:rsidRPr="00A86898" w:rsidRDefault="002E6734" w:rsidP="005A4ED4">
      <w:pPr>
        <w:widowControl/>
        <w:rPr>
          <w:color w:val="auto"/>
          <w:highlight w:val="yellow"/>
        </w:rPr>
      </w:pPr>
      <w:r w:rsidRPr="00A86898">
        <w:rPr>
          <w:color w:val="auto"/>
          <w:highlight w:val="yellow"/>
        </w:rPr>
        <w:t>2.13.2</w:t>
      </w:r>
      <w:r w:rsidR="00457279" w:rsidRPr="00A86898">
        <w:rPr>
          <w:color w:val="auto"/>
          <w:highlight w:val="yellow"/>
        </w:rPr>
        <w:t>.</w:t>
      </w:r>
      <w:r w:rsidRPr="00A86898">
        <w:rPr>
          <w:color w:val="auto"/>
          <w:highlight w:val="yellow"/>
        </w:rPr>
        <w:t xml:space="preserve"> Use the fine brush to flatten and orient the slices on the microscope slide.</w:t>
      </w:r>
    </w:p>
    <w:p w14:paraId="3063734F" w14:textId="724B730A" w:rsidR="002E6734" w:rsidRPr="00A86898" w:rsidRDefault="002E6734" w:rsidP="005A4ED4">
      <w:pPr>
        <w:widowControl/>
        <w:rPr>
          <w:color w:val="auto"/>
          <w:highlight w:val="yellow"/>
        </w:rPr>
      </w:pPr>
    </w:p>
    <w:p w14:paraId="6D680FB0" w14:textId="77777777" w:rsidR="00B901AE" w:rsidRDefault="002E6734" w:rsidP="005A4ED4">
      <w:pPr>
        <w:widowControl/>
        <w:rPr>
          <w:color w:val="auto"/>
          <w:highlight w:val="yellow"/>
        </w:rPr>
      </w:pPr>
      <w:r w:rsidRPr="00A86898">
        <w:rPr>
          <w:color w:val="auto"/>
          <w:highlight w:val="yellow"/>
        </w:rPr>
        <w:t>2.13.3</w:t>
      </w:r>
      <w:r w:rsidR="00457279" w:rsidRPr="00A86898">
        <w:rPr>
          <w:color w:val="auto"/>
          <w:highlight w:val="yellow"/>
        </w:rPr>
        <w:t>.</w:t>
      </w:r>
      <w:r w:rsidRPr="00A86898">
        <w:rPr>
          <w:color w:val="auto"/>
          <w:highlight w:val="yellow"/>
        </w:rPr>
        <w:t xml:space="preserve"> When all slices are positioned correctly, remove excess PB with a tissue and dry the slide carefully. </w:t>
      </w:r>
    </w:p>
    <w:p w14:paraId="5B6777FD" w14:textId="77777777" w:rsidR="00B901AE" w:rsidRDefault="00B901AE" w:rsidP="005A4ED4">
      <w:pPr>
        <w:widowControl/>
        <w:rPr>
          <w:b/>
          <w:color w:val="auto"/>
          <w:highlight w:val="yellow"/>
        </w:rPr>
      </w:pPr>
    </w:p>
    <w:p w14:paraId="53894290" w14:textId="633940F0" w:rsidR="002E6734" w:rsidRPr="00B901AE" w:rsidRDefault="005A4ED4" w:rsidP="005A4ED4">
      <w:pPr>
        <w:widowControl/>
        <w:rPr>
          <w:color w:val="auto"/>
          <w:highlight w:val="yellow"/>
        </w:rPr>
      </w:pPr>
      <w:r w:rsidRPr="00B901AE">
        <w:rPr>
          <w:color w:val="auto"/>
          <w:highlight w:val="yellow"/>
        </w:rPr>
        <w:t>CAUTION:</w:t>
      </w:r>
      <w:r w:rsidR="002E6734" w:rsidRPr="00B901AE">
        <w:rPr>
          <w:color w:val="auto"/>
          <w:highlight w:val="yellow"/>
        </w:rPr>
        <w:t xml:space="preserve"> Avoid drying the brain slices completely</w:t>
      </w:r>
      <w:r w:rsidR="00B901AE">
        <w:rPr>
          <w:color w:val="auto"/>
          <w:highlight w:val="yellow"/>
        </w:rPr>
        <w:t>.</w:t>
      </w:r>
    </w:p>
    <w:p w14:paraId="66564064" w14:textId="15F1302C" w:rsidR="002E6734" w:rsidRPr="00A86898" w:rsidRDefault="002E6734" w:rsidP="005A4ED4">
      <w:pPr>
        <w:widowControl/>
        <w:rPr>
          <w:color w:val="auto"/>
          <w:highlight w:val="yellow"/>
        </w:rPr>
      </w:pPr>
    </w:p>
    <w:p w14:paraId="60D1B46A" w14:textId="2B4CDAE5" w:rsidR="002E6734" w:rsidRPr="00A86898" w:rsidRDefault="002E6734" w:rsidP="005A4ED4">
      <w:pPr>
        <w:widowControl/>
        <w:rPr>
          <w:color w:val="auto"/>
        </w:rPr>
      </w:pPr>
      <w:r w:rsidRPr="00A86898">
        <w:rPr>
          <w:color w:val="auto"/>
          <w:highlight w:val="yellow"/>
        </w:rPr>
        <w:t>2.13.4</w:t>
      </w:r>
      <w:r w:rsidR="00457279" w:rsidRPr="00A86898">
        <w:rPr>
          <w:color w:val="auto"/>
          <w:highlight w:val="yellow"/>
        </w:rPr>
        <w:t>.</w:t>
      </w:r>
      <w:r w:rsidRPr="00A86898">
        <w:rPr>
          <w:color w:val="auto"/>
          <w:highlight w:val="yellow"/>
        </w:rPr>
        <w:t xml:space="preserve"> Add 80 </w:t>
      </w:r>
      <w:r w:rsidR="000307A6">
        <w:rPr>
          <w:color w:val="auto"/>
          <w:highlight w:val="yellow"/>
        </w:rPr>
        <w:t>µ</w:t>
      </w:r>
      <w:r w:rsidR="00EF23E9" w:rsidRPr="00A86898">
        <w:rPr>
          <w:color w:val="auto"/>
          <w:highlight w:val="yellow"/>
        </w:rPr>
        <w:t>L</w:t>
      </w:r>
      <w:r w:rsidRPr="00A86898">
        <w:rPr>
          <w:color w:val="auto"/>
          <w:highlight w:val="yellow"/>
        </w:rPr>
        <w:t xml:space="preserve"> of embedding medium onto the slide. Carefully lower the coverslip onto the slide, thereby embedding the brain slices.</w:t>
      </w:r>
    </w:p>
    <w:p w14:paraId="10DAAF1A" w14:textId="307C2AA6" w:rsidR="002E6734" w:rsidRPr="00A86898" w:rsidRDefault="002E6734" w:rsidP="005A4ED4">
      <w:pPr>
        <w:widowControl/>
        <w:rPr>
          <w:color w:val="auto"/>
        </w:rPr>
      </w:pPr>
    </w:p>
    <w:p w14:paraId="1F937912" w14:textId="77777777" w:rsidR="00B901AE" w:rsidRDefault="002E6734" w:rsidP="005A4ED4">
      <w:pPr>
        <w:widowControl/>
        <w:rPr>
          <w:color w:val="auto"/>
        </w:rPr>
      </w:pPr>
      <w:r w:rsidRPr="00682DCB">
        <w:rPr>
          <w:color w:val="auto"/>
          <w:highlight w:val="yellow"/>
        </w:rPr>
        <w:t>2.13.5</w:t>
      </w:r>
      <w:r w:rsidR="00457279" w:rsidRPr="00682DCB">
        <w:rPr>
          <w:color w:val="auto"/>
          <w:highlight w:val="yellow"/>
        </w:rPr>
        <w:t>.</w:t>
      </w:r>
      <w:r w:rsidRPr="00682DCB">
        <w:rPr>
          <w:color w:val="auto"/>
          <w:highlight w:val="yellow"/>
        </w:rPr>
        <w:t xml:space="preserve"> Leave the slides to dry in the </w:t>
      </w:r>
      <w:r w:rsidR="00C34049" w:rsidRPr="00682DCB">
        <w:rPr>
          <w:color w:val="auto"/>
          <w:highlight w:val="yellow"/>
        </w:rPr>
        <w:t xml:space="preserve">fume </w:t>
      </w:r>
      <w:r w:rsidRPr="00682DCB">
        <w:rPr>
          <w:color w:val="auto"/>
          <w:highlight w:val="yellow"/>
        </w:rPr>
        <w:t xml:space="preserve">hood for 1-2 </w:t>
      </w:r>
      <w:r w:rsidR="005A4ED4" w:rsidRPr="00682DCB">
        <w:rPr>
          <w:color w:val="auto"/>
          <w:highlight w:val="yellow"/>
        </w:rPr>
        <w:t>h</w:t>
      </w:r>
      <w:r w:rsidRPr="00682DCB">
        <w:rPr>
          <w:color w:val="auto"/>
          <w:highlight w:val="yellow"/>
        </w:rPr>
        <w:t xml:space="preserve"> (cover them to avoid light exposure) and store them in a microscope slide box at 4 °C.</w:t>
      </w:r>
      <w:r w:rsidRPr="00A86898">
        <w:rPr>
          <w:color w:val="auto"/>
        </w:rPr>
        <w:t xml:space="preserve"> </w:t>
      </w:r>
    </w:p>
    <w:p w14:paraId="44006BAC" w14:textId="77777777" w:rsidR="00B901AE" w:rsidRDefault="00B901AE" w:rsidP="005A4ED4">
      <w:pPr>
        <w:widowControl/>
        <w:rPr>
          <w:b/>
          <w:color w:val="auto"/>
        </w:rPr>
      </w:pPr>
    </w:p>
    <w:p w14:paraId="267CF09B" w14:textId="7615F90D" w:rsidR="002E6734" w:rsidRPr="00B901AE" w:rsidRDefault="008F6048" w:rsidP="005A4ED4">
      <w:pPr>
        <w:widowControl/>
        <w:rPr>
          <w:color w:val="auto"/>
        </w:rPr>
      </w:pPr>
      <w:r w:rsidRPr="00B901AE">
        <w:rPr>
          <w:color w:val="auto"/>
        </w:rPr>
        <w:t>NOTE:</w:t>
      </w:r>
      <w:r w:rsidR="002E6734" w:rsidRPr="00B901AE">
        <w:rPr>
          <w:color w:val="auto"/>
        </w:rPr>
        <w:t xml:space="preserve"> The protocol can be pause</w:t>
      </w:r>
      <w:r w:rsidR="00C34049" w:rsidRPr="00B901AE">
        <w:rPr>
          <w:color w:val="auto"/>
        </w:rPr>
        <w:t>d</w:t>
      </w:r>
      <w:r w:rsidR="002E6734" w:rsidRPr="00B901AE">
        <w:rPr>
          <w:color w:val="auto"/>
        </w:rPr>
        <w:t xml:space="preserve"> here.</w:t>
      </w:r>
    </w:p>
    <w:p w14:paraId="772B9AF7" w14:textId="131D0D2B" w:rsidR="00A7363F" w:rsidRPr="00A86898" w:rsidRDefault="00A7363F" w:rsidP="005A4ED4">
      <w:pPr>
        <w:widowControl/>
        <w:rPr>
          <w:color w:val="auto"/>
        </w:rPr>
      </w:pPr>
    </w:p>
    <w:p w14:paraId="0D6E8999" w14:textId="53206189" w:rsidR="00A7363F" w:rsidRPr="00B901AE" w:rsidRDefault="00A7363F" w:rsidP="005A4ED4">
      <w:pPr>
        <w:widowControl/>
        <w:rPr>
          <w:b/>
          <w:color w:val="auto"/>
        </w:rPr>
      </w:pPr>
      <w:r w:rsidRPr="00B33AFA">
        <w:rPr>
          <w:b/>
          <w:color w:val="auto"/>
          <w:highlight w:val="yellow"/>
        </w:rPr>
        <w:lastRenderedPageBreak/>
        <w:t>3. Imaging</w:t>
      </w:r>
    </w:p>
    <w:p w14:paraId="4D5E13D4" w14:textId="77777777" w:rsidR="00B901AE" w:rsidRDefault="00B901AE" w:rsidP="005A4ED4">
      <w:pPr>
        <w:widowControl/>
        <w:rPr>
          <w:color w:val="auto"/>
        </w:rPr>
      </w:pPr>
    </w:p>
    <w:p w14:paraId="0A667726" w14:textId="77777777" w:rsidR="00B901AE" w:rsidRDefault="00457279" w:rsidP="005A4ED4">
      <w:pPr>
        <w:widowControl/>
        <w:rPr>
          <w:color w:val="auto"/>
        </w:rPr>
      </w:pPr>
      <w:r w:rsidRPr="00B33AFA">
        <w:rPr>
          <w:color w:val="auto"/>
          <w:highlight w:val="yellow"/>
        </w:rPr>
        <w:t>3.1.</w:t>
      </w:r>
      <w:r w:rsidR="0007674E" w:rsidRPr="00B33AFA">
        <w:rPr>
          <w:color w:val="auto"/>
          <w:highlight w:val="yellow"/>
        </w:rPr>
        <w:t xml:space="preserve"> </w:t>
      </w:r>
      <w:r w:rsidRPr="00B33AFA">
        <w:rPr>
          <w:color w:val="auto"/>
          <w:highlight w:val="yellow"/>
        </w:rPr>
        <w:t>After the embedding medium is completely hardened, place the microscope slide under the conf</w:t>
      </w:r>
      <w:r w:rsidR="000955E6" w:rsidRPr="00B33AFA">
        <w:rPr>
          <w:color w:val="auto"/>
          <w:highlight w:val="yellow"/>
        </w:rPr>
        <w:t>ocal microscope</w:t>
      </w:r>
      <w:r w:rsidRPr="00B33AFA">
        <w:rPr>
          <w:color w:val="auto"/>
          <w:highlight w:val="yellow"/>
        </w:rPr>
        <w:t>.</w:t>
      </w:r>
      <w:r w:rsidRPr="00A86898">
        <w:rPr>
          <w:color w:val="auto"/>
        </w:rPr>
        <w:t xml:space="preserve"> </w:t>
      </w:r>
    </w:p>
    <w:p w14:paraId="58ADD4E5" w14:textId="77777777" w:rsidR="00B901AE" w:rsidRDefault="00B901AE" w:rsidP="005A4ED4">
      <w:pPr>
        <w:widowControl/>
        <w:rPr>
          <w:b/>
          <w:color w:val="auto"/>
        </w:rPr>
      </w:pPr>
    </w:p>
    <w:p w14:paraId="1C4AA8A7" w14:textId="0FC376B6" w:rsidR="0007674E" w:rsidRPr="00A86898" w:rsidRDefault="008F6048" w:rsidP="005A4ED4">
      <w:pPr>
        <w:widowControl/>
        <w:rPr>
          <w:color w:val="auto"/>
        </w:rPr>
      </w:pPr>
      <w:r w:rsidRPr="00B901AE">
        <w:rPr>
          <w:color w:val="auto"/>
        </w:rPr>
        <w:t>NOTE:</w:t>
      </w:r>
      <w:r w:rsidR="006223DD" w:rsidRPr="00B901AE">
        <w:rPr>
          <w:color w:val="auto"/>
        </w:rPr>
        <w:t xml:space="preserve"> Epifluorescence microscopy combined with deconvolution software </w:t>
      </w:r>
      <w:r w:rsidR="00C43337" w:rsidRPr="00B901AE">
        <w:rPr>
          <w:color w:val="auto"/>
        </w:rPr>
        <w:t>should yield</w:t>
      </w:r>
      <w:r w:rsidR="006223DD" w:rsidRPr="00B901AE">
        <w:rPr>
          <w:color w:val="auto"/>
        </w:rPr>
        <w:t xml:space="preserve"> similar</w:t>
      </w:r>
      <w:r w:rsidR="006223DD" w:rsidRPr="00A86898">
        <w:rPr>
          <w:color w:val="auto"/>
        </w:rPr>
        <w:t xml:space="preserve"> image quality</w:t>
      </w:r>
      <w:r w:rsidR="00457279" w:rsidRPr="00A86898">
        <w:rPr>
          <w:color w:val="auto"/>
        </w:rPr>
        <w:t>.</w:t>
      </w:r>
    </w:p>
    <w:p w14:paraId="5E20DCA1" w14:textId="2DBCE6DA" w:rsidR="00457279" w:rsidRPr="00A86898" w:rsidRDefault="00457279" w:rsidP="005A4ED4">
      <w:pPr>
        <w:widowControl/>
        <w:rPr>
          <w:color w:val="auto"/>
        </w:rPr>
      </w:pPr>
    </w:p>
    <w:p w14:paraId="42F11548" w14:textId="05CF6168" w:rsidR="00457279" w:rsidRPr="00A86898" w:rsidRDefault="00457279" w:rsidP="005A4ED4">
      <w:pPr>
        <w:widowControl/>
        <w:rPr>
          <w:color w:val="auto"/>
        </w:rPr>
      </w:pPr>
      <w:r w:rsidRPr="00A86898">
        <w:rPr>
          <w:color w:val="auto"/>
        </w:rPr>
        <w:t>3.2. Adj</w:t>
      </w:r>
      <w:r w:rsidR="006F359F" w:rsidRPr="00A86898">
        <w:rPr>
          <w:color w:val="auto"/>
        </w:rPr>
        <w:t>ust the laser</w:t>
      </w:r>
      <w:r w:rsidR="00EA23C0" w:rsidRPr="00A86898">
        <w:rPr>
          <w:color w:val="auto"/>
        </w:rPr>
        <w:t xml:space="preserve"> </w:t>
      </w:r>
      <w:r w:rsidRPr="00A86898">
        <w:rPr>
          <w:color w:val="auto"/>
        </w:rPr>
        <w:t xml:space="preserve">settings </w:t>
      </w:r>
      <w:r w:rsidR="00EA23C0" w:rsidRPr="00A86898">
        <w:rPr>
          <w:color w:val="auto"/>
        </w:rPr>
        <w:t xml:space="preserve">by increasing or decreasing the laser intensity </w:t>
      </w:r>
      <w:r w:rsidRPr="00A86898">
        <w:rPr>
          <w:color w:val="auto"/>
        </w:rPr>
        <w:t xml:space="preserve">for every channel so that few pixels are overexposed to ensure maximum distribution of grey values. </w:t>
      </w:r>
    </w:p>
    <w:p w14:paraId="38EAF360" w14:textId="28876F43" w:rsidR="00457279" w:rsidRPr="00A86898" w:rsidRDefault="00457279" w:rsidP="005A4ED4">
      <w:pPr>
        <w:widowControl/>
        <w:rPr>
          <w:color w:val="auto"/>
        </w:rPr>
      </w:pPr>
    </w:p>
    <w:p w14:paraId="6F0B00D7" w14:textId="2224879A" w:rsidR="0007674E" w:rsidRPr="00A86898" w:rsidRDefault="00457279" w:rsidP="005A4ED4">
      <w:pPr>
        <w:widowControl/>
        <w:rPr>
          <w:color w:val="auto"/>
        </w:rPr>
      </w:pPr>
      <w:r w:rsidRPr="00193B03">
        <w:rPr>
          <w:color w:val="auto"/>
          <w:highlight w:val="yellow"/>
        </w:rPr>
        <w:t>3.3. Acquire virtual tissues of the whole brain slice for the different channels.</w:t>
      </w:r>
    </w:p>
    <w:p w14:paraId="6E72F676" w14:textId="4B65ECB3" w:rsidR="00457279" w:rsidRPr="00A86898" w:rsidRDefault="00457279" w:rsidP="005A4ED4">
      <w:pPr>
        <w:widowControl/>
        <w:rPr>
          <w:color w:val="auto"/>
        </w:rPr>
      </w:pPr>
    </w:p>
    <w:p w14:paraId="20367528" w14:textId="697F8968" w:rsidR="00457279" w:rsidRPr="00A86898" w:rsidRDefault="00457279" w:rsidP="005A4ED4">
      <w:pPr>
        <w:widowControl/>
        <w:rPr>
          <w:color w:val="auto"/>
        </w:rPr>
      </w:pPr>
      <w:r w:rsidRPr="00A86898">
        <w:rPr>
          <w:color w:val="auto"/>
        </w:rPr>
        <w:t xml:space="preserve">3.3.1. </w:t>
      </w:r>
      <w:r w:rsidR="006C7392" w:rsidRPr="00A86898">
        <w:rPr>
          <w:color w:val="auto"/>
        </w:rPr>
        <w:t xml:space="preserve">In the imaging software (see </w:t>
      </w:r>
      <w:r w:rsidR="00B901AE" w:rsidRPr="00B901AE">
        <w:rPr>
          <w:b/>
          <w:color w:val="auto"/>
        </w:rPr>
        <w:t>Table</w:t>
      </w:r>
      <w:r w:rsidR="006C7392" w:rsidRPr="00B901AE">
        <w:rPr>
          <w:b/>
          <w:color w:val="auto"/>
        </w:rPr>
        <w:t xml:space="preserve"> of Materials</w:t>
      </w:r>
      <w:r w:rsidR="006C7392" w:rsidRPr="00A86898">
        <w:rPr>
          <w:color w:val="auto"/>
        </w:rPr>
        <w:t>)</w:t>
      </w:r>
      <w:r w:rsidR="00B901AE">
        <w:rPr>
          <w:color w:val="auto"/>
        </w:rPr>
        <w:t>,</w:t>
      </w:r>
      <w:r w:rsidR="006C7392" w:rsidRPr="00A86898">
        <w:rPr>
          <w:color w:val="auto"/>
        </w:rPr>
        <w:t xml:space="preserve"> s</w:t>
      </w:r>
      <w:r w:rsidRPr="00A86898">
        <w:rPr>
          <w:color w:val="auto"/>
        </w:rPr>
        <w:t xml:space="preserve">elect the </w:t>
      </w:r>
      <w:r w:rsidR="0035291E" w:rsidRPr="00907CEB">
        <w:rPr>
          <w:b/>
          <w:color w:val="auto"/>
        </w:rPr>
        <w:t>T</w:t>
      </w:r>
      <w:r w:rsidRPr="00907CEB">
        <w:rPr>
          <w:b/>
          <w:color w:val="auto"/>
        </w:rPr>
        <w:t>iles</w:t>
      </w:r>
      <w:r w:rsidR="00907CEB">
        <w:rPr>
          <w:color w:val="auto"/>
        </w:rPr>
        <w:t xml:space="preserve"> </w:t>
      </w:r>
      <w:r w:rsidRPr="00A86898">
        <w:rPr>
          <w:color w:val="auto"/>
        </w:rPr>
        <w:t xml:space="preserve">option and manually delineate the brain slice with the </w:t>
      </w:r>
      <w:r w:rsidR="0035291E" w:rsidRPr="00907CEB">
        <w:rPr>
          <w:b/>
          <w:color w:val="auto"/>
        </w:rPr>
        <w:t>Tile Region S</w:t>
      </w:r>
      <w:r w:rsidRPr="00907CEB">
        <w:rPr>
          <w:b/>
          <w:color w:val="auto"/>
        </w:rPr>
        <w:t>etup</w:t>
      </w:r>
      <w:r w:rsidRPr="00A86898">
        <w:rPr>
          <w:color w:val="auto"/>
        </w:rPr>
        <w:t>.</w:t>
      </w:r>
    </w:p>
    <w:p w14:paraId="2E038A58" w14:textId="58DF1DF2" w:rsidR="00457279" w:rsidRPr="00A86898" w:rsidRDefault="00457279" w:rsidP="005A4ED4">
      <w:pPr>
        <w:widowControl/>
        <w:rPr>
          <w:color w:val="auto"/>
        </w:rPr>
      </w:pPr>
    </w:p>
    <w:p w14:paraId="028CADCD" w14:textId="4821B71A" w:rsidR="00457279" w:rsidRPr="00A86898" w:rsidRDefault="00457279" w:rsidP="005A4ED4">
      <w:pPr>
        <w:widowControl/>
        <w:rPr>
          <w:color w:val="auto"/>
        </w:rPr>
      </w:pPr>
      <w:r w:rsidRPr="00A86898">
        <w:rPr>
          <w:color w:val="auto"/>
        </w:rPr>
        <w:t xml:space="preserve">3.3.2. Distribute support points throughout the tile region and adjust the focus for the different support points by pressing </w:t>
      </w:r>
      <w:r w:rsidR="0035291E" w:rsidRPr="002745A4">
        <w:rPr>
          <w:b/>
          <w:color w:val="auto"/>
        </w:rPr>
        <w:t>Verify Tile Regions/P</w:t>
      </w:r>
      <w:r w:rsidRPr="002745A4">
        <w:rPr>
          <w:b/>
          <w:color w:val="auto"/>
        </w:rPr>
        <w:t>ositions</w:t>
      </w:r>
      <w:r w:rsidR="0035291E" w:rsidRPr="002745A4">
        <w:rPr>
          <w:b/>
          <w:color w:val="auto"/>
        </w:rPr>
        <w:t>…</w:t>
      </w:r>
      <w:r w:rsidRPr="00A86898">
        <w:rPr>
          <w:color w:val="auto"/>
        </w:rPr>
        <w:t>.</w:t>
      </w:r>
    </w:p>
    <w:p w14:paraId="5BCD6B8E" w14:textId="72A3FCC0" w:rsidR="00457279" w:rsidRPr="00A86898" w:rsidRDefault="00457279" w:rsidP="005A4ED4">
      <w:pPr>
        <w:widowControl/>
        <w:rPr>
          <w:color w:val="auto"/>
        </w:rPr>
      </w:pPr>
    </w:p>
    <w:p w14:paraId="727A5954" w14:textId="7A9FA461" w:rsidR="00457279" w:rsidRPr="00A86898" w:rsidRDefault="00457279" w:rsidP="005A4ED4">
      <w:pPr>
        <w:widowControl/>
        <w:rPr>
          <w:color w:val="auto"/>
        </w:rPr>
      </w:pPr>
      <w:r w:rsidRPr="00A86898">
        <w:rPr>
          <w:color w:val="auto"/>
        </w:rPr>
        <w:t xml:space="preserve">3.3.3. Adjust the settings in </w:t>
      </w:r>
      <w:r w:rsidR="0035291E" w:rsidRPr="00460863">
        <w:rPr>
          <w:b/>
          <w:color w:val="auto"/>
        </w:rPr>
        <w:t>Acquisition Mode</w:t>
      </w:r>
      <w:r w:rsidR="0035291E" w:rsidRPr="00A86898">
        <w:rPr>
          <w:color w:val="auto"/>
        </w:rPr>
        <w:t xml:space="preserve"> according to the desired resolution and file size</w:t>
      </w:r>
      <w:r w:rsidR="00EA23C0" w:rsidRPr="00A86898">
        <w:rPr>
          <w:color w:val="auto"/>
        </w:rPr>
        <w:t xml:space="preserve"> of the resulting image</w:t>
      </w:r>
      <w:r w:rsidR="0035291E" w:rsidRPr="00A86898">
        <w:rPr>
          <w:color w:val="auto"/>
        </w:rPr>
        <w:t xml:space="preserve"> and start the scan.</w:t>
      </w:r>
    </w:p>
    <w:p w14:paraId="202C648E" w14:textId="621A4E3C" w:rsidR="00457279" w:rsidRPr="00A86898" w:rsidRDefault="00457279" w:rsidP="005A4ED4">
      <w:pPr>
        <w:widowControl/>
        <w:rPr>
          <w:color w:val="auto"/>
        </w:rPr>
      </w:pPr>
    </w:p>
    <w:p w14:paraId="26384BE9" w14:textId="055A2092" w:rsidR="00457279" w:rsidRPr="00A86898" w:rsidRDefault="00457279" w:rsidP="005A4ED4">
      <w:pPr>
        <w:widowControl/>
        <w:rPr>
          <w:color w:val="auto"/>
        </w:rPr>
      </w:pPr>
      <w:r w:rsidRPr="00A86898">
        <w:rPr>
          <w:color w:val="auto"/>
        </w:rPr>
        <w:t>3.4.</w:t>
      </w:r>
      <w:r w:rsidR="0035291E" w:rsidRPr="00A86898">
        <w:rPr>
          <w:color w:val="auto"/>
        </w:rPr>
        <w:t xml:space="preserve"> </w:t>
      </w:r>
      <w:r w:rsidR="00EA23C0" w:rsidRPr="00A86898">
        <w:rPr>
          <w:color w:val="auto"/>
        </w:rPr>
        <w:t>When the scan is finished, u</w:t>
      </w:r>
      <w:r w:rsidR="0035291E" w:rsidRPr="00A86898">
        <w:rPr>
          <w:color w:val="auto"/>
        </w:rPr>
        <w:t xml:space="preserve">se the </w:t>
      </w:r>
      <w:r w:rsidR="0035291E" w:rsidRPr="00A71BC6">
        <w:rPr>
          <w:b/>
          <w:color w:val="auto"/>
        </w:rPr>
        <w:t>Stitching</w:t>
      </w:r>
      <w:r w:rsidR="00A71BC6">
        <w:rPr>
          <w:b/>
          <w:color w:val="auto"/>
        </w:rPr>
        <w:t xml:space="preserve"> </w:t>
      </w:r>
      <w:r w:rsidR="0035291E" w:rsidRPr="00A86898">
        <w:rPr>
          <w:color w:val="auto"/>
        </w:rPr>
        <w:t>function to process the virtual tissue. Export the file as a .</w:t>
      </w:r>
      <w:proofErr w:type="spellStart"/>
      <w:r w:rsidR="0035291E" w:rsidRPr="00A86898">
        <w:rPr>
          <w:color w:val="auto"/>
        </w:rPr>
        <w:t>tif</w:t>
      </w:r>
      <w:proofErr w:type="spellEnd"/>
      <w:r w:rsidR="0035291E" w:rsidRPr="00A86898">
        <w:rPr>
          <w:color w:val="auto"/>
        </w:rPr>
        <w:t xml:space="preserve"> with the function </w:t>
      </w:r>
      <w:r w:rsidR="0035291E" w:rsidRPr="0097221D">
        <w:rPr>
          <w:b/>
          <w:color w:val="auto"/>
        </w:rPr>
        <w:t>Image Export</w:t>
      </w:r>
      <w:r w:rsidR="0035291E" w:rsidRPr="00A86898">
        <w:rPr>
          <w:color w:val="auto"/>
        </w:rPr>
        <w:t>.</w:t>
      </w:r>
    </w:p>
    <w:p w14:paraId="4D83A93A" w14:textId="4EFFE618" w:rsidR="00A7363F" w:rsidRPr="00A86898" w:rsidRDefault="00A7363F" w:rsidP="005A4ED4">
      <w:pPr>
        <w:widowControl/>
        <w:rPr>
          <w:color w:val="auto"/>
        </w:rPr>
      </w:pPr>
    </w:p>
    <w:p w14:paraId="4A2B0042" w14:textId="59ECF114" w:rsidR="00A7363F" w:rsidRPr="0097221D" w:rsidRDefault="00A7363F" w:rsidP="005A4ED4">
      <w:pPr>
        <w:widowControl/>
        <w:rPr>
          <w:b/>
          <w:color w:val="auto"/>
          <w:highlight w:val="yellow"/>
        </w:rPr>
      </w:pPr>
      <w:r w:rsidRPr="0097221D">
        <w:rPr>
          <w:b/>
          <w:color w:val="auto"/>
          <w:highlight w:val="yellow"/>
        </w:rPr>
        <w:t xml:space="preserve">4. Computer-based </w:t>
      </w:r>
      <w:r w:rsidR="002A6AA4">
        <w:rPr>
          <w:b/>
          <w:color w:val="auto"/>
          <w:highlight w:val="yellow"/>
        </w:rPr>
        <w:t>A</w:t>
      </w:r>
      <w:r w:rsidRPr="0097221D">
        <w:rPr>
          <w:b/>
          <w:color w:val="auto"/>
          <w:highlight w:val="yellow"/>
        </w:rPr>
        <w:t>nalysis</w:t>
      </w:r>
    </w:p>
    <w:p w14:paraId="3AC549FD" w14:textId="77777777" w:rsidR="0097221D" w:rsidRDefault="0097221D" w:rsidP="005A4ED4">
      <w:pPr>
        <w:widowControl/>
        <w:rPr>
          <w:color w:val="auto"/>
          <w:highlight w:val="yellow"/>
        </w:rPr>
      </w:pPr>
    </w:p>
    <w:p w14:paraId="14096A6C" w14:textId="4D685E37" w:rsidR="000C321D" w:rsidRPr="00A86898" w:rsidRDefault="0035291E" w:rsidP="005A4ED4">
      <w:pPr>
        <w:widowControl/>
        <w:rPr>
          <w:color w:val="auto"/>
          <w:highlight w:val="yellow"/>
        </w:rPr>
      </w:pPr>
      <w:r w:rsidRPr="00A86898">
        <w:rPr>
          <w:color w:val="auto"/>
          <w:highlight w:val="yellow"/>
        </w:rPr>
        <w:t>4.1.</w:t>
      </w:r>
      <w:r w:rsidR="000C321D" w:rsidRPr="00A86898">
        <w:rPr>
          <w:color w:val="auto"/>
          <w:highlight w:val="yellow"/>
        </w:rPr>
        <w:t xml:space="preserve"> Load </w:t>
      </w:r>
      <w:r w:rsidR="00EA23C0" w:rsidRPr="00A86898">
        <w:rPr>
          <w:color w:val="auto"/>
          <w:highlight w:val="yellow"/>
        </w:rPr>
        <w:t>all</w:t>
      </w:r>
      <w:r w:rsidRPr="00A86898">
        <w:rPr>
          <w:color w:val="auto"/>
          <w:highlight w:val="yellow"/>
        </w:rPr>
        <w:t xml:space="preserve"> single chan</w:t>
      </w:r>
      <w:r w:rsidR="00EA23C0" w:rsidRPr="00A86898">
        <w:rPr>
          <w:color w:val="auto"/>
          <w:highlight w:val="yellow"/>
        </w:rPr>
        <w:t>nels</w:t>
      </w:r>
      <w:r w:rsidRPr="00A86898">
        <w:rPr>
          <w:color w:val="auto"/>
          <w:highlight w:val="yellow"/>
        </w:rPr>
        <w:t xml:space="preserve"> </w:t>
      </w:r>
      <w:r w:rsidR="00EA23C0" w:rsidRPr="00A86898">
        <w:rPr>
          <w:color w:val="auto"/>
          <w:highlight w:val="yellow"/>
        </w:rPr>
        <w:t xml:space="preserve">for one image </w:t>
      </w:r>
      <w:r w:rsidR="000C321D" w:rsidRPr="00A86898">
        <w:rPr>
          <w:color w:val="auto"/>
          <w:highlight w:val="yellow"/>
        </w:rPr>
        <w:t>into FIJI</w:t>
      </w:r>
      <w:r w:rsidR="00D86FB3" w:rsidRPr="00A86898">
        <w:rPr>
          <w:rStyle w:val="FootnoteReference"/>
          <w:color w:val="auto"/>
          <w:highlight w:val="yellow"/>
        </w:rPr>
        <w:fldChar w:fldCharType="begin" w:fldLock="1"/>
      </w:r>
      <w:r w:rsidR="003C15BB" w:rsidRPr="00A86898">
        <w:rPr>
          <w:color w:val="auto"/>
          <w:highlight w:val="yellow"/>
        </w:rPr>
        <w:instrText>ADDIN CSL_CITATION { "citationItems" : [ { "id" : "ITEM-1", "itemData" : { "DOI" : "10.1038/nmeth.2019", "author" : [ { "dropping-particle" : "", "family" : "Schindelin", "given" : "Johannes", "non-dropping-particle" : "", "parse-names" : false, "suffix" : "" }, { "dropping-particle" : "", "family" : "Arganda-carreras", "given" : "Ignacio", "non-dropping-particle" : "", "parse-names" : false, "suffix" : "" }, { "dropping-particle" : "", "family" : "Frise", "given" : "Erwin", "non-dropping-particle" : "", "parse-names" : false, "suffix" : "" }, { "dropping-particle" : "", "family" : "Kaynig", "given" : "Verena", "non-dropping-particle" : "", "parse-names" : false, "suffix" : "" }, { "dropping-particle" : "", "family" : "Longair", "given" : "Mark", "non-dropping-particle" : "", "parse-names" : false, "suffix" : "" }, { "dropping-particle" : "", "family" : "Pietzsch", "given" : "Tobias", "non-dropping-particle" : "", "parse-names" : false, "suffix" : "" }, { "dropping-particle" : "", "family" : "Preibisch", "given" : "Stephan", "non-dropping-particle" : "", "parse-names" : false, "suffix" : "" }, { "dropping-particle" : "", "family" : "Rueden", "given" : "Curtis", "non-dropping-particle" : "", "parse-names" : false, "suffix" : "" }, { "dropping-particle" : "", "family" : "Saalfeld", "given" : "Stephan", "non-dropping-particle" : "", "parse-names" : false, "suffix" : "" }, { "dropping-particle" : "", "family" : "Schmid", "given" : "Benjamin", "non-dropping-particle" : "", "parse-names" : false, "suffix" : "" }, { "dropping-particle" : "", "family" : "Tinevez", "given" : "Jean-yves", "non-dropping-particle" : "", "parse-names" : false, "suffix" : "" }, { "dropping-particle" : "", "family" : "White", "given" : "Daniel James", "non-dropping-particle" : "", "parse-names" : false, "suffix" : "" }, { "dropping-particle" : "", "family" : "Hartenstein", "given" : "Volker", "non-dropping-particle" : "", "parse-names" : false, "suffix" : "" }, { "dropping-particle" : "", "family" : "Eliceiri", "given" : "Kevin", "non-dropping-particle" : "", "parse-names" : false, "suffix" : "" }, { "dropping-particle" : "", "family" : "Tomancak", "given" : "Pavel", "non-dropping-particle" : "", "parse-names" : false, "suffix" : "" }, { "dropping-particle" : "", "family" : "Cardona", "given" : "Albert", "non-dropping-particle" : "", "parse-names" : false, "suffix" : "" } ], "container-title" : "Nature Methods", "id" : "ITEM-1", "issue" : "7", "issued" : { "date-parts" : [ [ "2012" ] ] }, "title" : "Fiji : an open-source platform for biological-image analysis", "type" : "article-journal", "volume" : "9" }, "uris" : [ "http://www.mendeley.com/documents/?uuid=4d69b906-2bfd-496a-8429-efa149466d64", "http://www.mendeley.com/documents/?uuid=c2f6bc5c-fa72-4807-9c71-25efce2fbb4a" ] } ], "mendeley" : { "formattedCitation" : "&lt;sup&gt;29&lt;/sup&gt;", "plainTextFormattedCitation" : "29", "previouslyFormattedCitation" : "&lt;sup&gt;29&lt;/sup&gt;" }, "properties" : { "noteIndex" : 0 }, "schema" : "https://github.com/citation-style-language/schema/raw/master/csl-citation.json" }</w:instrText>
      </w:r>
      <w:r w:rsidR="00D86FB3" w:rsidRPr="00A86898">
        <w:rPr>
          <w:rStyle w:val="FootnoteReference"/>
          <w:color w:val="auto"/>
          <w:highlight w:val="yellow"/>
        </w:rPr>
        <w:fldChar w:fldCharType="separate"/>
      </w:r>
      <w:r w:rsidR="003C15BB" w:rsidRPr="00A86898">
        <w:rPr>
          <w:color w:val="auto"/>
          <w:highlight w:val="yellow"/>
          <w:vertAlign w:val="superscript"/>
        </w:rPr>
        <w:t>29</w:t>
      </w:r>
      <w:r w:rsidR="00D86FB3" w:rsidRPr="00A86898">
        <w:rPr>
          <w:rStyle w:val="FootnoteReference"/>
          <w:color w:val="auto"/>
          <w:highlight w:val="yellow"/>
        </w:rPr>
        <w:fldChar w:fldCharType="end"/>
      </w:r>
      <w:r w:rsidR="001F3387" w:rsidRPr="00A86898">
        <w:rPr>
          <w:color w:val="auto"/>
          <w:highlight w:val="yellow"/>
        </w:rPr>
        <w:t xml:space="preserve"> </w:t>
      </w:r>
      <w:r w:rsidRPr="00A86898">
        <w:rPr>
          <w:color w:val="auto"/>
          <w:highlight w:val="yellow"/>
        </w:rPr>
        <w:t xml:space="preserve">by clicking </w:t>
      </w:r>
      <w:r w:rsidRPr="00B975EA">
        <w:rPr>
          <w:b/>
          <w:color w:val="auto"/>
          <w:highlight w:val="yellow"/>
        </w:rPr>
        <w:t>File</w:t>
      </w:r>
      <w:r w:rsidR="00B975EA">
        <w:rPr>
          <w:b/>
          <w:color w:val="auto"/>
          <w:highlight w:val="yellow"/>
        </w:rPr>
        <w:t>|</w:t>
      </w:r>
      <w:r w:rsidRPr="00A86898">
        <w:rPr>
          <w:color w:val="auto"/>
          <w:highlight w:val="yellow"/>
        </w:rPr>
        <w:t xml:space="preserve"> </w:t>
      </w:r>
      <w:r w:rsidRPr="00B975EA">
        <w:rPr>
          <w:b/>
          <w:color w:val="auto"/>
          <w:highlight w:val="yellow"/>
        </w:rPr>
        <w:t>Open</w:t>
      </w:r>
      <w:r w:rsidRPr="00A86898">
        <w:rPr>
          <w:color w:val="auto"/>
          <w:highlight w:val="yellow"/>
        </w:rPr>
        <w:t>.</w:t>
      </w:r>
    </w:p>
    <w:p w14:paraId="392FD26D" w14:textId="77777777" w:rsidR="0035291E" w:rsidRPr="00A86898" w:rsidRDefault="0035291E" w:rsidP="005A4ED4">
      <w:pPr>
        <w:widowControl/>
        <w:rPr>
          <w:color w:val="auto"/>
          <w:highlight w:val="yellow"/>
        </w:rPr>
      </w:pPr>
    </w:p>
    <w:p w14:paraId="5D41088B" w14:textId="1B0A1ED4" w:rsidR="000C321D" w:rsidRPr="00A86898" w:rsidRDefault="0035291E" w:rsidP="005A4ED4">
      <w:pPr>
        <w:widowControl/>
        <w:rPr>
          <w:color w:val="auto"/>
          <w:highlight w:val="yellow"/>
        </w:rPr>
      </w:pPr>
      <w:r w:rsidRPr="00A86898">
        <w:rPr>
          <w:color w:val="auto"/>
          <w:highlight w:val="yellow"/>
        </w:rPr>
        <w:t>4.2.</w:t>
      </w:r>
      <w:r w:rsidR="000C321D" w:rsidRPr="00A86898">
        <w:rPr>
          <w:color w:val="auto"/>
          <w:highlight w:val="yellow"/>
        </w:rPr>
        <w:t xml:space="preserve"> </w:t>
      </w:r>
      <w:r w:rsidRPr="00A86898">
        <w:rPr>
          <w:color w:val="auto"/>
          <w:highlight w:val="yellow"/>
        </w:rPr>
        <w:t xml:space="preserve">With the </w:t>
      </w:r>
      <w:r w:rsidRPr="00372629">
        <w:rPr>
          <w:b/>
          <w:color w:val="auto"/>
          <w:highlight w:val="yellow"/>
        </w:rPr>
        <w:t>Freehand selection</w:t>
      </w:r>
      <w:r w:rsidRPr="00A86898">
        <w:rPr>
          <w:color w:val="auto"/>
          <w:highlight w:val="yellow"/>
        </w:rPr>
        <w:t xml:space="preserve"> </w:t>
      </w:r>
      <w:r w:rsidR="00EA23C0" w:rsidRPr="00A86898">
        <w:rPr>
          <w:color w:val="auto"/>
          <w:highlight w:val="yellow"/>
        </w:rPr>
        <w:t>tool</w:t>
      </w:r>
      <w:r w:rsidR="00372629">
        <w:rPr>
          <w:color w:val="auto"/>
          <w:highlight w:val="yellow"/>
        </w:rPr>
        <w:t>,</w:t>
      </w:r>
      <w:r w:rsidR="00EA23C0" w:rsidRPr="00A86898">
        <w:rPr>
          <w:color w:val="auto"/>
          <w:highlight w:val="yellow"/>
        </w:rPr>
        <w:t xml:space="preserve"> </w:t>
      </w:r>
      <w:r w:rsidRPr="00A86898">
        <w:rPr>
          <w:color w:val="auto"/>
          <w:highlight w:val="yellow"/>
        </w:rPr>
        <w:t>d</w:t>
      </w:r>
      <w:r w:rsidR="000C321D" w:rsidRPr="00A86898">
        <w:rPr>
          <w:color w:val="auto"/>
          <w:highlight w:val="yellow"/>
        </w:rPr>
        <w:t>elineate</w:t>
      </w:r>
      <w:r w:rsidRPr="00A86898">
        <w:rPr>
          <w:color w:val="auto"/>
          <w:highlight w:val="yellow"/>
        </w:rPr>
        <w:t xml:space="preserve"> one hemisphere in the DAPI-channel. Create a mask of the selection by clicking </w:t>
      </w:r>
      <w:r w:rsidRPr="004451C4">
        <w:rPr>
          <w:b/>
          <w:color w:val="auto"/>
          <w:highlight w:val="yellow"/>
        </w:rPr>
        <w:t>Edit</w:t>
      </w:r>
      <w:r w:rsidR="004451C4">
        <w:rPr>
          <w:b/>
          <w:color w:val="auto"/>
          <w:highlight w:val="yellow"/>
        </w:rPr>
        <w:t xml:space="preserve">| </w:t>
      </w:r>
      <w:r w:rsidRPr="004451C4">
        <w:rPr>
          <w:b/>
          <w:color w:val="auto"/>
          <w:highlight w:val="yellow"/>
        </w:rPr>
        <w:t>Selection</w:t>
      </w:r>
      <w:r w:rsidR="004451C4">
        <w:rPr>
          <w:b/>
          <w:color w:val="auto"/>
          <w:highlight w:val="yellow"/>
        </w:rPr>
        <w:t xml:space="preserve">| </w:t>
      </w:r>
      <w:r w:rsidRPr="004451C4">
        <w:rPr>
          <w:b/>
          <w:color w:val="auto"/>
          <w:highlight w:val="yellow"/>
        </w:rPr>
        <w:t>Create mask</w:t>
      </w:r>
      <w:r w:rsidRPr="00A86898">
        <w:rPr>
          <w:color w:val="auto"/>
          <w:highlight w:val="yellow"/>
        </w:rPr>
        <w:t>.</w:t>
      </w:r>
    </w:p>
    <w:p w14:paraId="2B4C017A" w14:textId="1DE15F8B" w:rsidR="0035291E" w:rsidRPr="00A86898" w:rsidRDefault="0035291E" w:rsidP="005A4ED4">
      <w:pPr>
        <w:widowControl/>
        <w:rPr>
          <w:color w:val="auto"/>
          <w:highlight w:val="yellow"/>
        </w:rPr>
      </w:pPr>
    </w:p>
    <w:p w14:paraId="125D0652" w14:textId="77777777" w:rsidR="000C7C10" w:rsidRDefault="0035291E" w:rsidP="005A4ED4">
      <w:pPr>
        <w:widowControl/>
        <w:rPr>
          <w:color w:val="auto"/>
          <w:highlight w:val="yellow"/>
        </w:rPr>
      </w:pPr>
      <w:r w:rsidRPr="00A86898">
        <w:rPr>
          <w:color w:val="auto"/>
          <w:highlight w:val="yellow"/>
        </w:rPr>
        <w:t xml:space="preserve">4.3. Determine the mean fluorescence intensity for the single channels (Mover and </w:t>
      </w:r>
      <w:r w:rsidR="00617F90">
        <w:rPr>
          <w:color w:val="auto"/>
          <w:highlight w:val="yellow"/>
        </w:rPr>
        <w:t>s</w:t>
      </w:r>
      <w:r w:rsidRPr="00A86898">
        <w:rPr>
          <w:color w:val="auto"/>
          <w:highlight w:val="yellow"/>
        </w:rPr>
        <w:t xml:space="preserve">ynaptophysin) by clicking </w:t>
      </w:r>
      <w:r w:rsidRPr="000C7C10">
        <w:rPr>
          <w:b/>
          <w:color w:val="auto"/>
          <w:highlight w:val="yellow"/>
        </w:rPr>
        <w:t>Analyze</w:t>
      </w:r>
      <w:r w:rsidR="004E5262">
        <w:rPr>
          <w:b/>
          <w:color w:val="auto"/>
          <w:highlight w:val="yellow"/>
        </w:rPr>
        <w:t xml:space="preserve">| </w:t>
      </w:r>
      <w:r w:rsidRPr="000C7C10">
        <w:rPr>
          <w:b/>
          <w:color w:val="auto"/>
          <w:highlight w:val="yellow"/>
        </w:rPr>
        <w:t>Measure</w:t>
      </w:r>
      <w:r w:rsidRPr="00A86898">
        <w:rPr>
          <w:color w:val="auto"/>
          <w:highlight w:val="yellow"/>
        </w:rPr>
        <w:t xml:space="preserve">. </w:t>
      </w:r>
    </w:p>
    <w:p w14:paraId="5C5903BD" w14:textId="77777777" w:rsidR="00042B83" w:rsidRDefault="00042B83" w:rsidP="005A4ED4">
      <w:pPr>
        <w:widowControl/>
        <w:rPr>
          <w:b/>
          <w:color w:val="auto"/>
          <w:highlight w:val="yellow"/>
        </w:rPr>
      </w:pPr>
    </w:p>
    <w:p w14:paraId="6A1B1024" w14:textId="081658CA" w:rsidR="0035291E" w:rsidRPr="00A86898" w:rsidRDefault="008F6048" w:rsidP="005A4ED4">
      <w:pPr>
        <w:widowControl/>
        <w:rPr>
          <w:color w:val="auto"/>
        </w:rPr>
      </w:pPr>
      <w:r w:rsidRPr="00A16081">
        <w:rPr>
          <w:color w:val="auto"/>
          <w:highlight w:val="yellow"/>
        </w:rPr>
        <w:t>NOTE:</w:t>
      </w:r>
      <w:r w:rsidR="0035291E" w:rsidRPr="00A86898">
        <w:rPr>
          <w:color w:val="auto"/>
          <w:highlight w:val="yellow"/>
        </w:rPr>
        <w:t xml:space="preserve"> Make sure to select the different </w:t>
      </w:r>
      <w:r w:rsidR="00EA23C0" w:rsidRPr="00A86898">
        <w:rPr>
          <w:color w:val="auto"/>
          <w:highlight w:val="yellow"/>
        </w:rPr>
        <w:t>channels to determine the mean fluorescence intensity</w:t>
      </w:r>
      <w:r w:rsidR="0035291E" w:rsidRPr="00A86898">
        <w:rPr>
          <w:color w:val="auto"/>
          <w:highlight w:val="yellow"/>
        </w:rPr>
        <w:t xml:space="preserve"> values</w:t>
      </w:r>
      <w:r w:rsidR="00EA23C0" w:rsidRPr="00A86898">
        <w:rPr>
          <w:color w:val="auto"/>
          <w:highlight w:val="yellow"/>
        </w:rPr>
        <w:t xml:space="preserve"> for each channel</w:t>
      </w:r>
      <w:r w:rsidR="0035291E" w:rsidRPr="00A86898">
        <w:rPr>
          <w:color w:val="auto"/>
          <w:highlight w:val="yellow"/>
        </w:rPr>
        <w:t>.</w:t>
      </w:r>
    </w:p>
    <w:p w14:paraId="612D9E77" w14:textId="2E252ED9" w:rsidR="0035291E" w:rsidRPr="00A86898" w:rsidRDefault="0035291E" w:rsidP="005A4ED4">
      <w:pPr>
        <w:widowControl/>
        <w:rPr>
          <w:color w:val="auto"/>
        </w:rPr>
      </w:pPr>
    </w:p>
    <w:p w14:paraId="6382F8B9" w14:textId="032EEAF1" w:rsidR="0035291E" w:rsidRPr="00A86898" w:rsidRDefault="0035291E" w:rsidP="005A4ED4">
      <w:pPr>
        <w:widowControl/>
        <w:rPr>
          <w:color w:val="auto"/>
          <w:highlight w:val="yellow"/>
        </w:rPr>
      </w:pPr>
      <w:r w:rsidRPr="00A86898">
        <w:rPr>
          <w:color w:val="auto"/>
          <w:highlight w:val="yellow"/>
        </w:rPr>
        <w:t>4.4. Copy the mean fluorescence intensity for the single channels into a spreadsheet.</w:t>
      </w:r>
    </w:p>
    <w:p w14:paraId="39F7C4CA" w14:textId="71455DC9" w:rsidR="002307ED" w:rsidRPr="00A86898" w:rsidRDefault="002307ED" w:rsidP="005A4ED4">
      <w:pPr>
        <w:widowControl/>
        <w:rPr>
          <w:color w:val="auto"/>
          <w:highlight w:val="yellow"/>
        </w:rPr>
      </w:pPr>
    </w:p>
    <w:p w14:paraId="0D2BE826" w14:textId="67E14209" w:rsidR="002307ED" w:rsidRPr="00A86898" w:rsidRDefault="002307ED" w:rsidP="005A4ED4">
      <w:pPr>
        <w:widowControl/>
        <w:rPr>
          <w:color w:val="auto"/>
        </w:rPr>
      </w:pPr>
      <w:r w:rsidRPr="00A86898">
        <w:rPr>
          <w:color w:val="auto"/>
          <w:highlight w:val="yellow"/>
        </w:rPr>
        <w:t>4.5. Determine the mean fluorescence intensity for the single channels in an area of interest by delineating the area als</w:t>
      </w:r>
      <w:r w:rsidR="00EA23C0" w:rsidRPr="00A86898">
        <w:rPr>
          <w:color w:val="auto"/>
          <w:highlight w:val="yellow"/>
        </w:rPr>
        <w:t xml:space="preserve">o with the </w:t>
      </w:r>
      <w:r w:rsidR="00EA23C0" w:rsidRPr="00B56B1C">
        <w:rPr>
          <w:b/>
          <w:color w:val="auto"/>
          <w:highlight w:val="yellow"/>
        </w:rPr>
        <w:t>Freehand selection</w:t>
      </w:r>
      <w:r w:rsidR="00EA23C0" w:rsidRPr="00A86898">
        <w:rPr>
          <w:color w:val="auto"/>
          <w:highlight w:val="yellow"/>
        </w:rPr>
        <w:t xml:space="preserve"> </w:t>
      </w:r>
      <w:r w:rsidRPr="00A86898">
        <w:rPr>
          <w:color w:val="auto"/>
          <w:highlight w:val="yellow"/>
        </w:rPr>
        <w:t>tool. Use a mouse brain atlas as reference.</w:t>
      </w:r>
    </w:p>
    <w:p w14:paraId="42FE6C61" w14:textId="3590944A" w:rsidR="0035291E" w:rsidRPr="00A86898" w:rsidRDefault="0035291E" w:rsidP="005A4ED4">
      <w:pPr>
        <w:widowControl/>
        <w:rPr>
          <w:color w:val="auto"/>
        </w:rPr>
      </w:pPr>
    </w:p>
    <w:p w14:paraId="327FD2F5" w14:textId="77777777" w:rsidR="00B56B1C" w:rsidRDefault="002307ED" w:rsidP="005A4ED4">
      <w:pPr>
        <w:widowControl/>
        <w:rPr>
          <w:color w:val="auto"/>
        </w:rPr>
      </w:pPr>
      <w:r w:rsidRPr="00A86898">
        <w:rPr>
          <w:color w:val="auto"/>
        </w:rPr>
        <w:lastRenderedPageBreak/>
        <w:t>4.6</w:t>
      </w:r>
      <w:r w:rsidR="0035291E" w:rsidRPr="00A86898">
        <w:rPr>
          <w:color w:val="auto"/>
        </w:rPr>
        <w:t xml:space="preserve">. Repeat steps </w:t>
      </w:r>
      <w:r w:rsidRPr="00A86898">
        <w:rPr>
          <w:color w:val="auto"/>
        </w:rPr>
        <w:t xml:space="preserve">4.1-4.5 for all hemispheres and all areas of interest. </w:t>
      </w:r>
    </w:p>
    <w:p w14:paraId="6153D322" w14:textId="77777777" w:rsidR="00B56B1C" w:rsidRDefault="00B56B1C" w:rsidP="005A4ED4">
      <w:pPr>
        <w:widowControl/>
        <w:rPr>
          <w:b/>
          <w:color w:val="auto"/>
        </w:rPr>
      </w:pPr>
    </w:p>
    <w:p w14:paraId="25734464" w14:textId="6707A5EF" w:rsidR="002307ED" w:rsidRPr="00A86898" w:rsidRDefault="008F6048" w:rsidP="005A4ED4">
      <w:pPr>
        <w:widowControl/>
        <w:rPr>
          <w:color w:val="auto"/>
        </w:rPr>
      </w:pPr>
      <w:r w:rsidRPr="000979FA">
        <w:rPr>
          <w:color w:val="auto"/>
        </w:rPr>
        <w:t>NOTE:</w:t>
      </w:r>
      <w:r w:rsidR="002307ED" w:rsidRPr="000979FA">
        <w:rPr>
          <w:color w:val="auto"/>
        </w:rPr>
        <w:t xml:space="preserve"> Determine the values for each hemisphere separately </w:t>
      </w:r>
      <w:proofErr w:type="gramStart"/>
      <w:r w:rsidR="002307ED" w:rsidRPr="000979FA">
        <w:rPr>
          <w:color w:val="auto"/>
        </w:rPr>
        <w:t>in order to</w:t>
      </w:r>
      <w:proofErr w:type="gramEnd"/>
      <w:r w:rsidR="002307ED" w:rsidRPr="000979FA">
        <w:rPr>
          <w:color w:val="auto"/>
        </w:rPr>
        <w:t xml:space="preserve"> later compare the</w:t>
      </w:r>
      <w:r w:rsidR="002307ED" w:rsidRPr="00A86898">
        <w:rPr>
          <w:color w:val="auto"/>
        </w:rPr>
        <w:t xml:space="preserve"> values in an area of interest to that in the hemisphere </w:t>
      </w:r>
      <w:r w:rsidR="007F524A" w:rsidRPr="00A86898">
        <w:rPr>
          <w:color w:val="auto"/>
        </w:rPr>
        <w:t xml:space="preserve">(see </w:t>
      </w:r>
      <w:r w:rsidR="00C67B6E">
        <w:rPr>
          <w:color w:val="auto"/>
        </w:rPr>
        <w:t xml:space="preserve">step </w:t>
      </w:r>
      <w:r w:rsidR="007F524A" w:rsidRPr="00A86898">
        <w:rPr>
          <w:color w:val="auto"/>
        </w:rPr>
        <w:t>5.2</w:t>
      </w:r>
      <w:r w:rsidR="002307ED" w:rsidRPr="00A86898">
        <w:rPr>
          <w:color w:val="auto"/>
        </w:rPr>
        <w:t xml:space="preserve">). </w:t>
      </w:r>
    </w:p>
    <w:p w14:paraId="463C2256" w14:textId="2E953476" w:rsidR="00A7363F" w:rsidRPr="00A86898" w:rsidRDefault="00A7363F" w:rsidP="005A4ED4">
      <w:pPr>
        <w:widowControl/>
        <w:rPr>
          <w:color w:val="auto"/>
        </w:rPr>
      </w:pPr>
    </w:p>
    <w:p w14:paraId="2ECB06AA" w14:textId="0F745C05" w:rsidR="00A7363F" w:rsidRPr="002D1A55" w:rsidRDefault="00A7363F" w:rsidP="005A4ED4">
      <w:pPr>
        <w:widowControl/>
        <w:rPr>
          <w:b/>
          <w:color w:val="auto"/>
        </w:rPr>
      </w:pPr>
      <w:r w:rsidRPr="002D1A55">
        <w:rPr>
          <w:b/>
          <w:color w:val="auto"/>
        </w:rPr>
        <w:t xml:space="preserve">5. </w:t>
      </w:r>
      <w:r w:rsidR="000C321D" w:rsidRPr="002D1A55">
        <w:rPr>
          <w:b/>
          <w:color w:val="auto"/>
        </w:rPr>
        <w:t xml:space="preserve">Data </w:t>
      </w:r>
      <w:r w:rsidR="00F34173" w:rsidRPr="002D1A55">
        <w:rPr>
          <w:b/>
          <w:color w:val="auto"/>
        </w:rPr>
        <w:t>H</w:t>
      </w:r>
      <w:r w:rsidR="000C321D" w:rsidRPr="002D1A55">
        <w:rPr>
          <w:b/>
          <w:color w:val="auto"/>
        </w:rPr>
        <w:t xml:space="preserve">andling </w:t>
      </w:r>
    </w:p>
    <w:p w14:paraId="55E2E091" w14:textId="2BC42A19" w:rsidR="009A1839" w:rsidRPr="002D1A55" w:rsidRDefault="009A1839" w:rsidP="005A4ED4">
      <w:pPr>
        <w:widowControl/>
        <w:rPr>
          <w:color w:val="auto"/>
        </w:rPr>
      </w:pPr>
    </w:p>
    <w:p w14:paraId="16519606" w14:textId="141386C5" w:rsidR="00425490" w:rsidRPr="002D1A55" w:rsidRDefault="002307ED" w:rsidP="005A4ED4">
      <w:pPr>
        <w:widowControl/>
        <w:rPr>
          <w:color w:val="auto"/>
        </w:rPr>
      </w:pPr>
      <w:r w:rsidRPr="002D1A55">
        <w:rPr>
          <w:color w:val="auto"/>
        </w:rPr>
        <w:t xml:space="preserve">5.1. </w:t>
      </w:r>
      <w:r w:rsidR="00425490" w:rsidRPr="002D1A55">
        <w:rPr>
          <w:color w:val="auto"/>
        </w:rPr>
        <w:t xml:space="preserve">In case the background fluorescence is high (see </w:t>
      </w:r>
      <w:r w:rsidR="006C7392" w:rsidRPr="002D1A55">
        <w:rPr>
          <w:b/>
          <w:color w:val="auto"/>
        </w:rPr>
        <w:t>D</w:t>
      </w:r>
      <w:r w:rsidR="00425490" w:rsidRPr="002D1A55">
        <w:rPr>
          <w:b/>
          <w:color w:val="auto"/>
        </w:rPr>
        <w:t>iscussion</w:t>
      </w:r>
      <w:r w:rsidR="005E42DE" w:rsidRPr="002D1A55">
        <w:rPr>
          <w:color w:val="auto"/>
        </w:rPr>
        <w:t>)</w:t>
      </w:r>
      <w:r w:rsidR="001A59A4" w:rsidRPr="002D1A55">
        <w:rPr>
          <w:color w:val="auto"/>
        </w:rPr>
        <w:t>,</w:t>
      </w:r>
      <w:r w:rsidR="00425490" w:rsidRPr="002D1A55">
        <w:rPr>
          <w:color w:val="auto"/>
        </w:rPr>
        <w:t xml:space="preserve"> a background subtraction might be needed. For that, determine the mean fluorescence intensity for the slice processed without primary antibody against the reference protein (here: </w:t>
      </w:r>
      <w:r w:rsidR="001A59A4" w:rsidRPr="002D1A55">
        <w:rPr>
          <w:color w:val="auto"/>
        </w:rPr>
        <w:t>s</w:t>
      </w:r>
      <w:r w:rsidR="00425490" w:rsidRPr="002D1A55">
        <w:rPr>
          <w:color w:val="auto"/>
        </w:rPr>
        <w:t>ynaptophysin) and subtract that value from all values obtained for the brain regions and hemispheres.</w:t>
      </w:r>
    </w:p>
    <w:p w14:paraId="1EE721B9" w14:textId="77777777" w:rsidR="00425490" w:rsidRPr="002D1A55" w:rsidRDefault="00425490" w:rsidP="005A4ED4">
      <w:pPr>
        <w:widowControl/>
        <w:rPr>
          <w:color w:val="auto"/>
        </w:rPr>
      </w:pPr>
    </w:p>
    <w:p w14:paraId="49B49DAE" w14:textId="2454890E" w:rsidR="000C321D" w:rsidRPr="002D1A55" w:rsidRDefault="00425490" w:rsidP="005A4ED4">
      <w:pPr>
        <w:widowControl/>
        <w:rPr>
          <w:color w:val="auto"/>
        </w:rPr>
      </w:pPr>
      <w:r w:rsidRPr="002D1A55">
        <w:rPr>
          <w:color w:val="auto"/>
        </w:rPr>
        <w:t xml:space="preserve">5.2. </w:t>
      </w:r>
      <w:r w:rsidR="002307ED" w:rsidRPr="002D1A55">
        <w:rPr>
          <w:color w:val="auto"/>
        </w:rPr>
        <w:t xml:space="preserve">When the mean fluorescence intensities for the single channels for every hemisphere and every area of interest have been determined </w:t>
      </w:r>
      <w:r w:rsidR="000A043F" w:rsidRPr="002D1A55">
        <w:rPr>
          <w:color w:val="auto"/>
        </w:rPr>
        <w:t xml:space="preserve">(see </w:t>
      </w:r>
      <w:r w:rsidR="006959EE" w:rsidRPr="002D1A55">
        <w:rPr>
          <w:b/>
          <w:color w:val="auto"/>
        </w:rPr>
        <w:t>T</w:t>
      </w:r>
      <w:r w:rsidR="000A043F" w:rsidRPr="002D1A55">
        <w:rPr>
          <w:b/>
          <w:color w:val="auto"/>
        </w:rPr>
        <w:t>able 3</w:t>
      </w:r>
      <w:r w:rsidR="000A043F" w:rsidRPr="002D1A55">
        <w:rPr>
          <w:color w:val="auto"/>
        </w:rPr>
        <w:t>)</w:t>
      </w:r>
      <w:r w:rsidR="002307ED" w:rsidRPr="002D1A55">
        <w:rPr>
          <w:color w:val="auto"/>
        </w:rPr>
        <w:t xml:space="preserve">, </w:t>
      </w:r>
      <w:r w:rsidRPr="002D1A55">
        <w:rPr>
          <w:color w:val="auto"/>
        </w:rPr>
        <w:t>calculate</w:t>
      </w:r>
      <w:r w:rsidR="002307ED" w:rsidRPr="002D1A55">
        <w:rPr>
          <w:color w:val="auto"/>
        </w:rPr>
        <w:t xml:space="preserve"> the ratio of Mover to </w:t>
      </w:r>
      <w:r w:rsidR="00021104" w:rsidRPr="002D1A55">
        <w:rPr>
          <w:color w:val="auto"/>
        </w:rPr>
        <w:t>s</w:t>
      </w:r>
      <w:r w:rsidR="002307ED" w:rsidRPr="002D1A55">
        <w:rPr>
          <w:color w:val="auto"/>
        </w:rPr>
        <w:t>ynaptophysin by dividing t</w:t>
      </w:r>
      <w:r w:rsidR="00EA23C0" w:rsidRPr="002D1A55">
        <w:rPr>
          <w:color w:val="auto"/>
        </w:rPr>
        <w:t>he value for Mover by the value</w:t>
      </w:r>
      <w:r w:rsidR="002307ED" w:rsidRPr="002D1A55">
        <w:rPr>
          <w:color w:val="auto"/>
        </w:rPr>
        <w:t xml:space="preserve"> for </w:t>
      </w:r>
      <w:r w:rsidR="001F1F8A" w:rsidRPr="002D1A55">
        <w:rPr>
          <w:color w:val="auto"/>
        </w:rPr>
        <w:t>s</w:t>
      </w:r>
      <w:r w:rsidR="002307ED" w:rsidRPr="002D1A55">
        <w:rPr>
          <w:color w:val="auto"/>
        </w:rPr>
        <w:t>ynaptophysin</w:t>
      </w:r>
      <w:r w:rsidR="000A043F" w:rsidRPr="002D1A55">
        <w:rPr>
          <w:color w:val="auto"/>
        </w:rPr>
        <w:t xml:space="preserve"> (yellow in </w:t>
      </w:r>
      <w:r w:rsidR="006F4C42" w:rsidRPr="002D1A55">
        <w:rPr>
          <w:b/>
          <w:color w:val="auto"/>
        </w:rPr>
        <w:t>T</w:t>
      </w:r>
      <w:r w:rsidR="000A043F" w:rsidRPr="002D1A55">
        <w:rPr>
          <w:b/>
          <w:color w:val="auto"/>
        </w:rPr>
        <w:t>able 3</w:t>
      </w:r>
      <w:r w:rsidR="000A043F" w:rsidRPr="002D1A55">
        <w:rPr>
          <w:color w:val="auto"/>
        </w:rPr>
        <w:t>)</w:t>
      </w:r>
      <w:r w:rsidRPr="002D1A55">
        <w:rPr>
          <w:color w:val="auto"/>
        </w:rPr>
        <w:t>.</w:t>
      </w:r>
      <w:r w:rsidR="00EA23C0" w:rsidRPr="002D1A55">
        <w:rPr>
          <w:color w:val="auto"/>
        </w:rPr>
        <w:t xml:space="preserve"> Perform this action for every hemisphere and every area of interest separately. </w:t>
      </w:r>
    </w:p>
    <w:p w14:paraId="2964D387" w14:textId="1C13A050" w:rsidR="002307ED" w:rsidRPr="002D1A55" w:rsidRDefault="002307ED" w:rsidP="005A4ED4">
      <w:pPr>
        <w:widowControl/>
        <w:rPr>
          <w:color w:val="auto"/>
        </w:rPr>
      </w:pPr>
      <w:bookmarkStart w:id="1" w:name="_GoBack"/>
      <w:bookmarkEnd w:id="1"/>
    </w:p>
    <w:p w14:paraId="37F9CE5E" w14:textId="0F39F6D8" w:rsidR="002307ED" w:rsidRPr="002D1A55" w:rsidRDefault="001D58E8" w:rsidP="005A4ED4">
      <w:pPr>
        <w:widowControl/>
        <w:rPr>
          <w:color w:val="auto"/>
        </w:rPr>
      </w:pPr>
      <w:r w:rsidRPr="002D1A55">
        <w:rPr>
          <w:color w:val="auto"/>
        </w:rPr>
        <w:t>5.3</w:t>
      </w:r>
      <w:r w:rsidR="002307ED" w:rsidRPr="002D1A55">
        <w:rPr>
          <w:color w:val="auto"/>
        </w:rPr>
        <w:t xml:space="preserve">. Divide the ratio obtained </w:t>
      </w:r>
      <w:r w:rsidR="006F359F" w:rsidRPr="002D1A55">
        <w:rPr>
          <w:color w:val="auto"/>
        </w:rPr>
        <w:t>for one area of interest by the ratio</w:t>
      </w:r>
      <w:r w:rsidR="002307ED" w:rsidRPr="002D1A55">
        <w:rPr>
          <w:color w:val="auto"/>
        </w:rPr>
        <w:t xml:space="preserve"> obtained for the corresponding hemisphere</w:t>
      </w:r>
      <w:r w:rsidR="000A043F" w:rsidRPr="002D1A55">
        <w:rPr>
          <w:color w:val="auto"/>
        </w:rPr>
        <w:t xml:space="preserve"> (orange in </w:t>
      </w:r>
      <w:r w:rsidR="00385B1F" w:rsidRPr="002D1A55">
        <w:rPr>
          <w:b/>
          <w:color w:val="auto"/>
        </w:rPr>
        <w:t>T</w:t>
      </w:r>
      <w:r w:rsidR="000A043F" w:rsidRPr="002D1A55">
        <w:rPr>
          <w:b/>
          <w:color w:val="auto"/>
        </w:rPr>
        <w:t>able 3</w:t>
      </w:r>
      <w:r w:rsidR="000A043F" w:rsidRPr="002D1A55">
        <w:rPr>
          <w:color w:val="auto"/>
        </w:rPr>
        <w:t>)</w:t>
      </w:r>
      <w:r w:rsidR="002307ED" w:rsidRPr="002D1A55">
        <w:rPr>
          <w:color w:val="auto"/>
        </w:rPr>
        <w:t xml:space="preserve"> to determine the </w:t>
      </w:r>
      <w:r w:rsidR="00EA23C0" w:rsidRPr="002D1A55">
        <w:rPr>
          <w:color w:val="auto"/>
        </w:rPr>
        <w:t>ratio of the area of interest to the hemisphere.</w:t>
      </w:r>
    </w:p>
    <w:p w14:paraId="5940F5BE" w14:textId="2C205570" w:rsidR="00EA23C0" w:rsidRPr="002D1A55" w:rsidRDefault="00EA23C0" w:rsidP="005A4ED4">
      <w:pPr>
        <w:widowControl/>
        <w:rPr>
          <w:color w:val="auto"/>
        </w:rPr>
      </w:pPr>
    </w:p>
    <w:p w14:paraId="6F7A743D" w14:textId="362BCBBD" w:rsidR="00EA23C0" w:rsidRPr="00A86898" w:rsidRDefault="001D58E8" w:rsidP="005A4ED4">
      <w:pPr>
        <w:widowControl/>
        <w:rPr>
          <w:color w:val="auto"/>
        </w:rPr>
      </w:pPr>
      <w:r w:rsidRPr="002D1A55">
        <w:rPr>
          <w:color w:val="auto"/>
        </w:rPr>
        <w:t>5.4</w:t>
      </w:r>
      <w:r w:rsidR="00EA23C0" w:rsidRPr="002D1A55">
        <w:rPr>
          <w:color w:val="auto"/>
        </w:rPr>
        <w:t>. To determine the relative Mover abundance, translate the ratio obtained in 5.2 into a percentage by determining its deviation from 1</w:t>
      </w:r>
      <w:r w:rsidR="000A043F" w:rsidRPr="002D1A55">
        <w:rPr>
          <w:color w:val="auto"/>
        </w:rPr>
        <w:t xml:space="preserve"> (red in </w:t>
      </w:r>
      <w:r w:rsidR="001C5DB1" w:rsidRPr="002D1A55">
        <w:rPr>
          <w:b/>
          <w:color w:val="auto"/>
        </w:rPr>
        <w:t>T</w:t>
      </w:r>
      <w:r w:rsidR="000A043F" w:rsidRPr="002D1A55">
        <w:rPr>
          <w:b/>
          <w:color w:val="auto"/>
        </w:rPr>
        <w:t>able 3</w:t>
      </w:r>
      <w:r w:rsidR="000A043F" w:rsidRPr="002D1A55">
        <w:rPr>
          <w:color w:val="auto"/>
        </w:rPr>
        <w:t>)</w:t>
      </w:r>
      <w:r w:rsidR="00EA23C0" w:rsidRPr="002D1A55">
        <w:rPr>
          <w:color w:val="auto"/>
        </w:rPr>
        <w:t xml:space="preserve">. A ratio of 1.25 would therefore give a relative Mover abundance of 25% above average, </w:t>
      </w:r>
      <w:r w:rsidR="008100C9" w:rsidRPr="002D1A55">
        <w:rPr>
          <w:color w:val="auto"/>
        </w:rPr>
        <w:t xml:space="preserve">and </w:t>
      </w:r>
      <w:r w:rsidR="00EA23C0" w:rsidRPr="002D1A55">
        <w:rPr>
          <w:color w:val="auto"/>
        </w:rPr>
        <w:t xml:space="preserve">a ratio of 0.75 </w:t>
      </w:r>
      <w:r w:rsidR="00D64FF6" w:rsidRPr="002D1A55">
        <w:rPr>
          <w:color w:val="auto"/>
        </w:rPr>
        <w:t xml:space="preserve">would yield </w:t>
      </w:r>
      <w:r w:rsidR="00EA23C0" w:rsidRPr="002D1A55">
        <w:rPr>
          <w:color w:val="auto"/>
        </w:rPr>
        <w:t>a relative Mover abundance of 25% below average.</w:t>
      </w:r>
    </w:p>
    <w:bookmarkEnd w:id="0"/>
    <w:p w14:paraId="496AB0B4" w14:textId="7AFB4025" w:rsidR="001C1E49" w:rsidRPr="00A86898" w:rsidRDefault="001C1E49" w:rsidP="005A4ED4">
      <w:pPr>
        <w:pStyle w:val="NormalWeb"/>
        <w:widowControl/>
        <w:spacing w:before="0" w:beforeAutospacing="0" w:after="0" w:afterAutospacing="0"/>
        <w:rPr>
          <w:b/>
          <w:color w:val="auto"/>
        </w:rPr>
      </w:pPr>
    </w:p>
    <w:p w14:paraId="3E79FCA8" w14:textId="254C091D" w:rsidR="006305D7" w:rsidRPr="00A86898" w:rsidRDefault="006305D7" w:rsidP="005A4ED4">
      <w:pPr>
        <w:pStyle w:val="NormalWeb"/>
        <w:widowControl/>
        <w:spacing w:before="0" w:beforeAutospacing="0" w:after="0" w:afterAutospacing="0"/>
        <w:rPr>
          <w:color w:val="auto"/>
        </w:rPr>
      </w:pPr>
      <w:r w:rsidRPr="00A86898">
        <w:rPr>
          <w:b/>
          <w:color w:val="auto"/>
        </w:rPr>
        <w:t>REPRESENTATIVE RESULTS</w:t>
      </w:r>
      <w:r w:rsidR="00EF1462" w:rsidRPr="00A86898">
        <w:rPr>
          <w:b/>
          <w:color w:val="auto"/>
        </w:rPr>
        <w:t>:</w:t>
      </w:r>
      <w:r w:rsidR="005A4ED4" w:rsidRPr="00A86898">
        <w:rPr>
          <w:b/>
          <w:color w:val="auto"/>
        </w:rPr>
        <w:t xml:space="preserve"> </w:t>
      </w:r>
    </w:p>
    <w:p w14:paraId="2D3F820A" w14:textId="623AF985" w:rsidR="007A4DD6" w:rsidRPr="00A86898" w:rsidRDefault="00D631CB" w:rsidP="005A4ED4">
      <w:pPr>
        <w:widowControl/>
        <w:rPr>
          <w:color w:val="auto"/>
        </w:rPr>
      </w:pPr>
      <w:r w:rsidRPr="00A86898">
        <w:rPr>
          <w:color w:val="auto"/>
        </w:rPr>
        <w:t xml:space="preserve">Representative staining </w:t>
      </w:r>
      <w:r w:rsidR="00A42BBB" w:rsidRPr="00A86898">
        <w:rPr>
          <w:color w:val="auto"/>
        </w:rPr>
        <w:t>pattern</w:t>
      </w:r>
      <w:r w:rsidRPr="00A86898">
        <w:rPr>
          <w:color w:val="auto"/>
        </w:rPr>
        <w:t xml:space="preserve">s </w:t>
      </w:r>
      <w:r w:rsidR="00315E0D" w:rsidRPr="00A86898">
        <w:rPr>
          <w:color w:val="auto"/>
        </w:rPr>
        <w:t>of different ma</w:t>
      </w:r>
      <w:r w:rsidR="00D257CA" w:rsidRPr="00A86898">
        <w:rPr>
          <w:color w:val="auto"/>
        </w:rPr>
        <w:t>r</w:t>
      </w:r>
      <w:r w:rsidR="00315E0D" w:rsidRPr="00A86898">
        <w:rPr>
          <w:color w:val="auto"/>
        </w:rPr>
        <w:t xml:space="preserve">kers </w:t>
      </w:r>
      <w:r w:rsidRPr="00A86898">
        <w:rPr>
          <w:color w:val="auto"/>
        </w:rPr>
        <w:t xml:space="preserve">can be seen </w:t>
      </w:r>
      <w:r w:rsidR="0040788F" w:rsidRPr="00A86898">
        <w:rPr>
          <w:color w:val="auto"/>
        </w:rPr>
        <w:t xml:space="preserve">in </w:t>
      </w:r>
      <w:r w:rsidR="006307BA" w:rsidRPr="006307BA">
        <w:rPr>
          <w:b/>
          <w:color w:val="auto"/>
        </w:rPr>
        <w:t>F</w:t>
      </w:r>
      <w:r w:rsidR="0040788F" w:rsidRPr="006307BA">
        <w:rPr>
          <w:b/>
          <w:color w:val="auto"/>
        </w:rPr>
        <w:t>igure 1</w:t>
      </w:r>
      <w:r w:rsidR="0040788F" w:rsidRPr="00A86898">
        <w:rPr>
          <w:color w:val="auto"/>
        </w:rPr>
        <w:t>. The pattern</w:t>
      </w:r>
      <w:r w:rsidR="00A42BBB" w:rsidRPr="00A86898">
        <w:rPr>
          <w:color w:val="auto"/>
        </w:rPr>
        <w:t xml:space="preserve"> </w:t>
      </w:r>
      <w:r w:rsidR="00D257CA" w:rsidRPr="00A86898">
        <w:rPr>
          <w:color w:val="auto"/>
        </w:rPr>
        <w:t xml:space="preserve">varies </w:t>
      </w:r>
      <w:r w:rsidR="00A42BBB" w:rsidRPr="00A86898">
        <w:rPr>
          <w:color w:val="auto"/>
        </w:rPr>
        <w:t xml:space="preserve">depending on </w:t>
      </w:r>
      <w:r w:rsidR="0040788F" w:rsidRPr="00A86898">
        <w:rPr>
          <w:color w:val="auto"/>
        </w:rPr>
        <w:t xml:space="preserve">the </w:t>
      </w:r>
      <w:r w:rsidR="00A42BBB" w:rsidRPr="00A86898">
        <w:rPr>
          <w:color w:val="auto"/>
        </w:rPr>
        <w:t xml:space="preserve">distribution of </w:t>
      </w:r>
      <w:r w:rsidR="0040788F" w:rsidRPr="00A86898">
        <w:rPr>
          <w:color w:val="auto"/>
        </w:rPr>
        <w:t xml:space="preserve">the </w:t>
      </w:r>
      <w:r w:rsidR="00A42BBB" w:rsidRPr="00A86898">
        <w:rPr>
          <w:color w:val="auto"/>
        </w:rPr>
        <w:t xml:space="preserve">protein. </w:t>
      </w:r>
      <w:r w:rsidR="00006E26" w:rsidRPr="00A86898">
        <w:rPr>
          <w:color w:val="auto"/>
        </w:rPr>
        <w:t>Examples of five rostro-caudal levels are shown in columns (</w:t>
      </w:r>
      <w:r w:rsidR="00006E26" w:rsidRPr="00A86898">
        <w:rPr>
          <w:b/>
          <w:color w:val="auto"/>
        </w:rPr>
        <w:t>A</w:t>
      </w:r>
      <w:r w:rsidR="00006E26" w:rsidRPr="00A86898">
        <w:rPr>
          <w:color w:val="auto"/>
        </w:rPr>
        <w:t>)-(</w:t>
      </w:r>
      <w:r w:rsidR="00006E26" w:rsidRPr="00A86898">
        <w:rPr>
          <w:b/>
          <w:color w:val="auto"/>
        </w:rPr>
        <w:t>E</w:t>
      </w:r>
      <w:r w:rsidR="00006E26" w:rsidRPr="00A86898">
        <w:rPr>
          <w:color w:val="auto"/>
        </w:rPr>
        <w:t xml:space="preserve">). </w:t>
      </w:r>
      <w:r w:rsidR="0040788F" w:rsidRPr="00A86898">
        <w:rPr>
          <w:color w:val="auto"/>
        </w:rPr>
        <w:t>A representative</w:t>
      </w:r>
      <w:r w:rsidR="00A42BBB" w:rsidRPr="00A86898">
        <w:rPr>
          <w:color w:val="auto"/>
        </w:rPr>
        <w:t xml:space="preserve"> DAPI staining</w:t>
      </w:r>
      <w:r w:rsidR="0075031D" w:rsidRPr="00A86898">
        <w:rPr>
          <w:color w:val="auto"/>
        </w:rPr>
        <w:t xml:space="preserve"> is shown in the first</w:t>
      </w:r>
      <w:r w:rsidR="0040788F" w:rsidRPr="00A86898">
        <w:rPr>
          <w:color w:val="auto"/>
        </w:rPr>
        <w:t xml:space="preserve"> row</w:t>
      </w:r>
      <w:r w:rsidR="00A42BBB" w:rsidRPr="00A86898">
        <w:rPr>
          <w:color w:val="auto"/>
        </w:rPr>
        <w:t xml:space="preserve">: </w:t>
      </w:r>
      <w:r w:rsidR="0040788F" w:rsidRPr="00A86898">
        <w:rPr>
          <w:color w:val="auto"/>
        </w:rPr>
        <w:t xml:space="preserve">DAPI adheres to the DNA of a cell and thus </w:t>
      </w:r>
      <w:r w:rsidR="00A42BBB" w:rsidRPr="00A86898">
        <w:rPr>
          <w:color w:val="auto"/>
        </w:rPr>
        <w:t>nuclei are</w:t>
      </w:r>
      <w:r w:rsidR="0040788F" w:rsidRPr="00A86898">
        <w:rPr>
          <w:color w:val="auto"/>
        </w:rPr>
        <w:t xml:space="preserve"> stained. This results in a</w:t>
      </w:r>
      <w:r w:rsidR="00A42BBB" w:rsidRPr="00A86898">
        <w:rPr>
          <w:color w:val="auto"/>
        </w:rPr>
        <w:t xml:space="preserve"> punctate</w:t>
      </w:r>
      <w:r w:rsidR="00006E26" w:rsidRPr="00A86898">
        <w:rPr>
          <w:color w:val="auto"/>
        </w:rPr>
        <w:t xml:space="preserve"> pattern. Regions with a high cell density are brighter than regions with low cell densities.</w:t>
      </w:r>
      <w:r w:rsidR="00A42BBB" w:rsidRPr="00A86898">
        <w:rPr>
          <w:color w:val="auto"/>
        </w:rPr>
        <w:t xml:space="preserve"> </w:t>
      </w:r>
      <w:r w:rsidR="0040788F" w:rsidRPr="00A86898">
        <w:rPr>
          <w:color w:val="auto"/>
        </w:rPr>
        <w:t>An example for a heterogeneously distributed p</w:t>
      </w:r>
      <w:r w:rsidR="0075031D" w:rsidRPr="00A86898">
        <w:rPr>
          <w:color w:val="auto"/>
        </w:rPr>
        <w:t>rotein can be seen in the second</w:t>
      </w:r>
      <w:r w:rsidR="0040788F" w:rsidRPr="00A86898">
        <w:rPr>
          <w:color w:val="auto"/>
        </w:rPr>
        <w:t xml:space="preserve"> row. The M</w:t>
      </w:r>
      <w:r w:rsidR="00A42BBB" w:rsidRPr="00A86898">
        <w:rPr>
          <w:color w:val="auto"/>
        </w:rPr>
        <w:t xml:space="preserve">over staining </w:t>
      </w:r>
      <w:r w:rsidR="0040788F" w:rsidRPr="00A86898">
        <w:rPr>
          <w:color w:val="auto"/>
        </w:rPr>
        <w:t>reveals a differential distribution</w:t>
      </w:r>
      <w:r w:rsidR="00A42BBB" w:rsidRPr="00A86898">
        <w:rPr>
          <w:color w:val="auto"/>
        </w:rPr>
        <w:t xml:space="preserve"> throughout</w:t>
      </w:r>
      <w:r w:rsidR="0040788F" w:rsidRPr="00A86898">
        <w:rPr>
          <w:color w:val="auto"/>
        </w:rPr>
        <w:t xml:space="preserve"> the</w:t>
      </w:r>
      <w:r w:rsidR="00A42BBB" w:rsidRPr="00A86898">
        <w:rPr>
          <w:color w:val="auto"/>
        </w:rPr>
        <w:t xml:space="preserve"> brain</w:t>
      </w:r>
      <w:r w:rsidR="0040788F" w:rsidRPr="00A86898">
        <w:rPr>
          <w:color w:val="auto"/>
        </w:rPr>
        <w:t>, with</w:t>
      </w:r>
      <w:r w:rsidR="00A42BBB" w:rsidRPr="00A86898">
        <w:rPr>
          <w:color w:val="auto"/>
        </w:rPr>
        <w:t xml:space="preserve"> bright </w:t>
      </w:r>
      <w:r w:rsidR="0040788F" w:rsidRPr="00A86898">
        <w:rPr>
          <w:color w:val="auto"/>
        </w:rPr>
        <w:t>hotspot</w:t>
      </w:r>
      <w:r w:rsidR="00BD235D">
        <w:rPr>
          <w:color w:val="auto"/>
        </w:rPr>
        <w:t xml:space="preserve"> </w:t>
      </w:r>
      <w:r w:rsidR="00A42BBB" w:rsidRPr="00A86898">
        <w:rPr>
          <w:color w:val="auto"/>
        </w:rPr>
        <w:t xml:space="preserve">areas and dimmer areas. </w:t>
      </w:r>
      <w:r w:rsidR="0075031D" w:rsidRPr="00A86898">
        <w:rPr>
          <w:color w:val="auto"/>
        </w:rPr>
        <w:t>In the third row</w:t>
      </w:r>
      <w:r w:rsidR="0040788F" w:rsidRPr="00A86898">
        <w:rPr>
          <w:color w:val="auto"/>
        </w:rPr>
        <w:t xml:space="preserve">, an example for the more homogeneously distributed reference marker </w:t>
      </w:r>
      <w:r w:rsidR="002F4609">
        <w:rPr>
          <w:color w:val="auto"/>
        </w:rPr>
        <w:t>s</w:t>
      </w:r>
      <w:r w:rsidR="00A42BBB" w:rsidRPr="00A86898">
        <w:rPr>
          <w:color w:val="auto"/>
        </w:rPr>
        <w:t xml:space="preserve">ynaptophysin </w:t>
      </w:r>
      <w:r w:rsidR="0040788F" w:rsidRPr="00A86898">
        <w:rPr>
          <w:color w:val="auto"/>
        </w:rPr>
        <w:t>is shown.</w:t>
      </w:r>
      <w:r w:rsidR="0075031D" w:rsidRPr="00A86898">
        <w:rPr>
          <w:color w:val="auto"/>
        </w:rPr>
        <w:t xml:space="preserve"> An overlay of the two proteins (fourth row) shows the differential distribution of Mover (red) compared to the marker protein </w:t>
      </w:r>
      <w:r w:rsidR="006922F7">
        <w:rPr>
          <w:color w:val="auto"/>
        </w:rPr>
        <w:t>s</w:t>
      </w:r>
      <w:r w:rsidR="0075031D" w:rsidRPr="00A86898">
        <w:rPr>
          <w:color w:val="auto"/>
        </w:rPr>
        <w:t>ynaptophysin (green).</w:t>
      </w:r>
    </w:p>
    <w:p w14:paraId="6F188CFB" w14:textId="77777777" w:rsidR="00B725DC" w:rsidRPr="00A86898" w:rsidRDefault="00B725DC" w:rsidP="005A4ED4">
      <w:pPr>
        <w:widowControl/>
        <w:rPr>
          <w:color w:val="auto"/>
        </w:rPr>
      </w:pPr>
    </w:p>
    <w:p w14:paraId="606C24DB" w14:textId="38EFDF15" w:rsidR="00A42BBB" w:rsidRPr="00A86898" w:rsidRDefault="005A4ED4" w:rsidP="005A4ED4">
      <w:pPr>
        <w:widowControl/>
        <w:rPr>
          <w:color w:val="auto"/>
        </w:rPr>
      </w:pPr>
      <w:r w:rsidRPr="00A86898">
        <w:rPr>
          <w:b/>
          <w:color w:val="auto"/>
        </w:rPr>
        <w:t>Figure 2</w:t>
      </w:r>
      <w:r w:rsidR="00AA3642" w:rsidRPr="00A86898">
        <w:rPr>
          <w:color w:val="auto"/>
        </w:rPr>
        <w:t xml:space="preserve"> shows the q</w:t>
      </w:r>
      <w:r w:rsidR="00A42BBB" w:rsidRPr="00A86898">
        <w:rPr>
          <w:color w:val="auto"/>
        </w:rPr>
        <w:t>uantification</w:t>
      </w:r>
      <w:r w:rsidR="00AA3642" w:rsidRPr="00A86898">
        <w:rPr>
          <w:color w:val="auto"/>
        </w:rPr>
        <w:t xml:space="preserve"> described in </w:t>
      </w:r>
      <w:r w:rsidR="003B4382">
        <w:rPr>
          <w:color w:val="auto"/>
        </w:rPr>
        <w:t xml:space="preserve">step 4 of </w:t>
      </w:r>
      <w:r w:rsidR="00AA3642" w:rsidRPr="00A86898">
        <w:rPr>
          <w:color w:val="auto"/>
        </w:rPr>
        <w:t>the protocol. Shown are the mean fluorescence intensity</w:t>
      </w:r>
      <w:r w:rsidR="00A42BBB" w:rsidRPr="00A86898">
        <w:rPr>
          <w:color w:val="auto"/>
        </w:rPr>
        <w:t xml:space="preserve"> values for </w:t>
      </w:r>
      <w:r w:rsidR="00AA3642" w:rsidRPr="00A86898">
        <w:rPr>
          <w:color w:val="auto"/>
        </w:rPr>
        <w:t xml:space="preserve">the different channels across the </w:t>
      </w:r>
      <w:r w:rsidR="00A42BBB" w:rsidRPr="00A86898">
        <w:rPr>
          <w:color w:val="auto"/>
        </w:rPr>
        <w:t>hemispheres (</w:t>
      </w:r>
      <w:r w:rsidR="00AA3642" w:rsidRPr="00A86898">
        <w:rPr>
          <w:color w:val="auto"/>
        </w:rPr>
        <w:t xml:space="preserve">Mover, </w:t>
      </w:r>
      <w:r w:rsidR="0090290E">
        <w:rPr>
          <w:b/>
          <w:color w:val="auto"/>
        </w:rPr>
        <w:t>Figure 2</w:t>
      </w:r>
      <w:r w:rsidR="00A42BBB" w:rsidRPr="00A86898">
        <w:rPr>
          <w:b/>
          <w:color w:val="auto"/>
        </w:rPr>
        <w:t>A</w:t>
      </w:r>
      <w:r w:rsidR="00AA3642" w:rsidRPr="00A86898">
        <w:rPr>
          <w:color w:val="auto"/>
        </w:rPr>
        <w:t xml:space="preserve">; </w:t>
      </w:r>
      <w:r w:rsidR="00D22F1B">
        <w:rPr>
          <w:color w:val="auto"/>
        </w:rPr>
        <w:t>s</w:t>
      </w:r>
      <w:r w:rsidR="00AA3642" w:rsidRPr="00A86898">
        <w:rPr>
          <w:color w:val="auto"/>
        </w:rPr>
        <w:t xml:space="preserve">ynaptophysin, </w:t>
      </w:r>
      <w:r w:rsidR="0090290E">
        <w:rPr>
          <w:b/>
          <w:color w:val="auto"/>
        </w:rPr>
        <w:t>Figure 2</w:t>
      </w:r>
      <w:r w:rsidR="00A42BBB" w:rsidRPr="00A86898">
        <w:rPr>
          <w:b/>
          <w:color w:val="auto"/>
        </w:rPr>
        <w:t>B</w:t>
      </w:r>
      <w:r w:rsidR="00A42BBB" w:rsidRPr="00A86898">
        <w:rPr>
          <w:color w:val="auto"/>
        </w:rPr>
        <w:t xml:space="preserve">) and </w:t>
      </w:r>
      <w:r w:rsidR="00AA3642" w:rsidRPr="00A86898">
        <w:rPr>
          <w:color w:val="auto"/>
        </w:rPr>
        <w:t xml:space="preserve">across the </w:t>
      </w:r>
      <w:r w:rsidR="00A42BBB" w:rsidRPr="00A86898">
        <w:rPr>
          <w:color w:val="auto"/>
        </w:rPr>
        <w:t>areas of interest (</w:t>
      </w:r>
      <w:r w:rsidR="00AA3642" w:rsidRPr="00A86898">
        <w:rPr>
          <w:color w:val="auto"/>
        </w:rPr>
        <w:t xml:space="preserve">Mover, </w:t>
      </w:r>
      <w:r w:rsidR="0090290E">
        <w:rPr>
          <w:b/>
          <w:color w:val="auto"/>
        </w:rPr>
        <w:t>Figure 2</w:t>
      </w:r>
      <w:r w:rsidR="00A42BBB" w:rsidRPr="00A86898">
        <w:rPr>
          <w:b/>
          <w:color w:val="auto"/>
        </w:rPr>
        <w:t>C</w:t>
      </w:r>
      <w:r w:rsidR="00AA3642" w:rsidRPr="00A86898">
        <w:rPr>
          <w:color w:val="auto"/>
        </w:rPr>
        <w:t xml:space="preserve">; </w:t>
      </w:r>
      <w:r w:rsidR="00D22F1B">
        <w:rPr>
          <w:color w:val="auto"/>
        </w:rPr>
        <w:t>s</w:t>
      </w:r>
      <w:r w:rsidR="00AA3642" w:rsidRPr="00A86898">
        <w:rPr>
          <w:color w:val="auto"/>
        </w:rPr>
        <w:t xml:space="preserve">ynaptophysin, </w:t>
      </w:r>
      <w:r w:rsidR="0090290E">
        <w:rPr>
          <w:b/>
          <w:color w:val="auto"/>
        </w:rPr>
        <w:t>Figure 2</w:t>
      </w:r>
      <w:r w:rsidR="00AA3642" w:rsidRPr="00A86898">
        <w:rPr>
          <w:b/>
          <w:color w:val="auto"/>
        </w:rPr>
        <w:t>D</w:t>
      </w:r>
      <w:r w:rsidR="00AA3642" w:rsidRPr="00A86898">
        <w:rPr>
          <w:color w:val="auto"/>
        </w:rPr>
        <w:t>)</w:t>
      </w:r>
      <w:r w:rsidR="00A42BBB" w:rsidRPr="00A86898">
        <w:rPr>
          <w:color w:val="auto"/>
        </w:rPr>
        <w:t xml:space="preserve">. </w:t>
      </w:r>
      <w:r w:rsidR="00B725DC" w:rsidRPr="00A86898">
        <w:rPr>
          <w:color w:val="auto"/>
        </w:rPr>
        <w:t xml:space="preserve">To determine the Mover abundance relative to the number of synaptic vesicles, a ratio is taken of the Mover fluorescence values to </w:t>
      </w:r>
      <w:r w:rsidR="00F2175A">
        <w:rPr>
          <w:color w:val="auto"/>
        </w:rPr>
        <w:t>s</w:t>
      </w:r>
      <w:r w:rsidR="00B725DC" w:rsidRPr="00A86898">
        <w:rPr>
          <w:color w:val="auto"/>
        </w:rPr>
        <w:t>ynaptophysin fluorescence values. These ratios for the areas of interest are shown in</w:t>
      </w:r>
      <w:r w:rsidR="00A42BBB" w:rsidRPr="00A86898">
        <w:rPr>
          <w:color w:val="auto"/>
        </w:rPr>
        <w:t xml:space="preserve"> </w:t>
      </w:r>
      <w:r w:rsidR="00032C1A">
        <w:rPr>
          <w:b/>
          <w:color w:val="auto"/>
        </w:rPr>
        <w:t>Figure 2</w:t>
      </w:r>
      <w:r w:rsidR="00A42BBB" w:rsidRPr="00A86898">
        <w:rPr>
          <w:b/>
          <w:color w:val="auto"/>
        </w:rPr>
        <w:t>E</w:t>
      </w:r>
      <w:r w:rsidR="00B725DC" w:rsidRPr="00A86898">
        <w:rPr>
          <w:color w:val="auto"/>
        </w:rPr>
        <w:t>, and</w:t>
      </w:r>
      <w:r w:rsidR="00A42BBB" w:rsidRPr="00A86898">
        <w:rPr>
          <w:color w:val="auto"/>
        </w:rPr>
        <w:t xml:space="preserve"> already</w:t>
      </w:r>
      <w:r w:rsidR="00B725DC" w:rsidRPr="00A86898">
        <w:rPr>
          <w:color w:val="auto"/>
        </w:rPr>
        <w:t xml:space="preserve"> </w:t>
      </w:r>
      <w:r w:rsidR="00B725DC" w:rsidRPr="00A86898">
        <w:rPr>
          <w:color w:val="auto"/>
        </w:rPr>
        <w:lastRenderedPageBreak/>
        <w:t>provide</w:t>
      </w:r>
      <w:r w:rsidR="00A42BBB" w:rsidRPr="00A86898">
        <w:rPr>
          <w:color w:val="auto"/>
        </w:rPr>
        <w:t xml:space="preserve"> an indication of </w:t>
      </w:r>
      <w:r w:rsidR="00B725DC" w:rsidRPr="00A86898">
        <w:rPr>
          <w:color w:val="auto"/>
        </w:rPr>
        <w:t xml:space="preserve">the </w:t>
      </w:r>
      <w:r w:rsidR="00A42BBB" w:rsidRPr="00A86898">
        <w:rPr>
          <w:color w:val="auto"/>
        </w:rPr>
        <w:t>heterogeneous distribution</w:t>
      </w:r>
      <w:r w:rsidR="00B725DC" w:rsidRPr="00A86898">
        <w:rPr>
          <w:color w:val="auto"/>
        </w:rPr>
        <w:t xml:space="preserve"> of Mover</w:t>
      </w:r>
      <w:r w:rsidR="00A42BBB" w:rsidRPr="00A86898">
        <w:rPr>
          <w:color w:val="auto"/>
        </w:rPr>
        <w:t xml:space="preserve">, </w:t>
      </w:r>
      <w:r w:rsidR="00B725DC" w:rsidRPr="00A86898">
        <w:rPr>
          <w:color w:val="auto"/>
        </w:rPr>
        <w:t xml:space="preserve">with </w:t>
      </w:r>
      <w:r w:rsidR="00A42BBB" w:rsidRPr="00A86898">
        <w:rPr>
          <w:color w:val="auto"/>
        </w:rPr>
        <w:t xml:space="preserve">areas with high and low Mover levels relative to synaptic vesicles. </w:t>
      </w:r>
      <w:r w:rsidR="00B725DC" w:rsidRPr="00A86898">
        <w:rPr>
          <w:color w:val="auto"/>
        </w:rPr>
        <w:t>To additionally compensate for the inherent technical variability, the ratio in one area of interest (</w:t>
      </w:r>
      <w:r w:rsidR="00FF616F">
        <w:rPr>
          <w:b/>
          <w:color w:val="auto"/>
        </w:rPr>
        <w:t>Figure 2</w:t>
      </w:r>
      <w:r w:rsidR="00FF616F" w:rsidRPr="00A86898">
        <w:rPr>
          <w:b/>
          <w:color w:val="auto"/>
        </w:rPr>
        <w:t>E</w:t>
      </w:r>
      <w:r w:rsidR="00B725DC" w:rsidRPr="00A86898">
        <w:rPr>
          <w:color w:val="auto"/>
        </w:rPr>
        <w:t>) is compared to that across the hemisphere (not shown) and translated into a percentage. This r</w:t>
      </w:r>
      <w:r w:rsidR="00A42BBB" w:rsidRPr="00A86898">
        <w:rPr>
          <w:color w:val="auto"/>
        </w:rPr>
        <w:t>elative Mover abundance (</w:t>
      </w:r>
      <w:r w:rsidR="00D20862">
        <w:rPr>
          <w:b/>
          <w:color w:val="auto"/>
        </w:rPr>
        <w:t>Figure 2</w:t>
      </w:r>
      <w:r w:rsidR="00A42BBB" w:rsidRPr="00A86898">
        <w:rPr>
          <w:b/>
          <w:color w:val="auto"/>
        </w:rPr>
        <w:t>F</w:t>
      </w:r>
      <w:r w:rsidR="00A42BBB" w:rsidRPr="00A86898">
        <w:rPr>
          <w:color w:val="auto"/>
        </w:rPr>
        <w:t>)</w:t>
      </w:r>
      <w:r w:rsidR="00B725DC" w:rsidRPr="00A86898">
        <w:rPr>
          <w:color w:val="auto"/>
        </w:rPr>
        <w:t xml:space="preserve"> gives a measure of how much Mover is present in one area of interest relative to average.</w:t>
      </w:r>
    </w:p>
    <w:p w14:paraId="4AE7D9E2" w14:textId="77777777" w:rsidR="00B725DC" w:rsidRPr="00A86898" w:rsidRDefault="00B725DC" w:rsidP="005A4ED4">
      <w:pPr>
        <w:widowControl/>
        <w:rPr>
          <w:color w:val="auto"/>
        </w:rPr>
      </w:pPr>
    </w:p>
    <w:p w14:paraId="0FFCDBEE" w14:textId="5CA6D918" w:rsidR="00D631CB" w:rsidRPr="00A86898" w:rsidRDefault="00B725DC" w:rsidP="005A4ED4">
      <w:pPr>
        <w:widowControl/>
        <w:rPr>
          <w:color w:val="auto"/>
        </w:rPr>
      </w:pPr>
      <w:r w:rsidRPr="00A86898">
        <w:rPr>
          <w:color w:val="auto"/>
        </w:rPr>
        <w:t>As mentioned above, one of the major advantages of this technique is the ability to determine the abundance of the protein of interest across very small areas, even subregions and layers of areas of interest. One e</w:t>
      </w:r>
      <w:r w:rsidR="00D631CB" w:rsidRPr="00A86898">
        <w:rPr>
          <w:color w:val="auto"/>
        </w:rPr>
        <w:t xml:space="preserve">xample of </w:t>
      </w:r>
      <w:r w:rsidRPr="00A86898">
        <w:rPr>
          <w:color w:val="auto"/>
        </w:rPr>
        <w:t xml:space="preserve">this application is shown in </w:t>
      </w:r>
      <w:r w:rsidR="00FC2938" w:rsidRPr="0086469F">
        <w:rPr>
          <w:b/>
          <w:color w:val="auto"/>
        </w:rPr>
        <w:t>F</w:t>
      </w:r>
      <w:r w:rsidRPr="0086469F">
        <w:rPr>
          <w:b/>
          <w:color w:val="auto"/>
        </w:rPr>
        <w:t>igure 3</w:t>
      </w:r>
      <w:r w:rsidRPr="00A86898">
        <w:rPr>
          <w:color w:val="auto"/>
        </w:rPr>
        <w:t xml:space="preserve">, where the relative Mover abundance was determined for the different layers in the subfields of the hippocampus. The </w:t>
      </w:r>
      <w:r w:rsidR="004A48B6" w:rsidRPr="00A86898">
        <w:rPr>
          <w:color w:val="auto"/>
        </w:rPr>
        <w:t xml:space="preserve">quantification in the different layers shown in </w:t>
      </w:r>
      <w:r w:rsidR="00997EEB">
        <w:rPr>
          <w:b/>
          <w:color w:val="auto"/>
        </w:rPr>
        <w:t>Figure 3</w:t>
      </w:r>
      <w:r w:rsidR="004A48B6" w:rsidRPr="00A86898">
        <w:rPr>
          <w:b/>
          <w:color w:val="auto"/>
        </w:rPr>
        <w:t>D</w:t>
      </w:r>
      <w:r w:rsidR="004A48B6" w:rsidRPr="00A86898">
        <w:rPr>
          <w:color w:val="auto"/>
        </w:rPr>
        <w:t xml:space="preserve">, </w:t>
      </w:r>
      <w:r w:rsidR="00997EEB">
        <w:rPr>
          <w:b/>
          <w:color w:val="auto"/>
        </w:rPr>
        <w:t>Figure 3</w:t>
      </w:r>
      <w:r w:rsidR="004A48B6" w:rsidRPr="00A86898">
        <w:rPr>
          <w:b/>
          <w:color w:val="auto"/>
        </w:rPr>
        <w:t>F</w:t>
      </w:r>
      <w:r w:rsidR="00997EEB">
        <w:rPr>
          <w:color w:val="auto"/>
        </w:rPr>
        <w:t>,</w:t>
      </w:r>
      <w:r w:rsidR="004A48B6" w:rsidRPr="00A86898">
        <w:rPr>
          <w:color w:val="auto"/>
        </w:rPr>
        <w:t xml:space="preserve"> and </w:t>
      </w:r>
      <w:r w:rsidR="00997EEB">
        <w:rPr>
          <w:b/>
          <w:color w:val="auto"/>
        </w:rPr>
        <w:t>Figure 3</w:t>
      </w:r>
      <w:r w:rsidR="004A48B6" w:rsidRPr="00A86898">
        <w:rPr>
          <w:b/>
          <w:color w:val="auto"/>
        </w:rPr>
        <w:t>H</w:t>
      </w:r>
      <w:r w:rsidR="004A48B6" w:rsidRPr="00A86898">
        <w:rPr>
          <w:color w:val="auto"/>
        </w:rPr>
        <w:t xml:space="preserve"> corresponds to the layers shown in </w:t>
      </w:r>
      <w:r w:rsidR="00672D1B">
        <w:rPr>
          <w:b/>
          <w:color w:val="auto"/>
        </w:rPr>
        <w:t>Figure 3</w:t>
      </w:r>
      <w:r w:rsidR="004A48B6" w:rsidRPr="00A86898">
        <w:rPr>
          <w:b/>
          <w:color w:val="auto"/>
        </w:rPr>
        <w:t>C</w:t>
      </w:r>
      <w:r w:rsidR="004A48B6" w:rsidRPr="00A86898">
        <w:rPr>
          <w:color w:val="auto"/>
        </w:rPr>
        <w:t xml:space="preserve">, </w:t>
      </w:r>
      <w:r w:rsidR="00672D1B">
        <w:rPr>
          <w:b/>
          <w:color w:val="auto"/>
        </w:rPr>
        <w:t>Figure 3</w:t>
      </w:r>
      <w:r w:rsidR="004A48B6" w:rsidRPr="00A86898">
        <w:rPr>
          <w:b/>
          <w:color w:val="auto"/>
        </w:rPr>
        <w:t>E</w:t>
      </w:r>
      <w:r w:rsidR="00672D1B">
        <w:rPr>
          <w:color w:val="auto"/>
        </w:rPr>
        <w:t>,</w:t>
      </w:r>
      <w:r w:rsidR="004A48B6" w:rsidRPr="00A86898">
        <w:rPr>
          <w:color w:val="auto"/>
        </w:rPr>
        <w:t xml:space="preserve"> and </w:t>
      </w:r>
      <w:r w:rsidR="00672D1B">
        <w:rPr>
          <w:b/>
          <w:color w:val="auto"/>
        </w:rPr>
        <w:t>Figure 3</w:t>
      </w:r>
      <w:r w:rsidR="004A48B6" w:rsidRPr="00A86898">
        <w:rPr>
          <w:b/>
          <w:color w:val="auto"/>
        </w:rPr>
        <w:t>G</w:t>
      </w:r>
      <w:r w:rsidR="004A48B6" w:rsidRPr="00A86898">
        <w:rPr>
          <w:color w:val="auto"/>
        </w:rPr>
        <w:t>, with the corresponding colors. Within the hippocampus, Mover is heterogeneously distributed, with high Mover levels relative to synaptic vesicles in layers associated with intra</w:t>
      </w:r>
      <w:r w:rsidR="006F359F" w:rsidRPr="00A86898">
        <w:rPr>
          <w:color w:val="auto"/>
        </w:rPr>
        <w:t>-</w:t>
      </w:r>
      <w:r w:rsidR="004A48B6" w:rsidRPr="00A86898">
        <w:rPr>
          <w:color w:val="auto"/>
        </w:rPr>
        <w:t>hippocampal computation (</w:t>
      </w:r>
      <w:r w:rsidR="005A4ED4" w:rsidRPr="00A86898">
        <w:rPr>
          <w:i/>
          <w:color w:val="auto"/>
        </w:rPr>
        <w:t>i.e.</w:t>
      </w:r>
      <w:r w:rsidR="005A4ED4" w:rsidRPr="00F77D9C">
        <w:rPr>
          <w:color w:val="auto"/>
        </w:rPr>
        <w:t>,</w:t>
      </w:r>
      <w:r w:rsidR="004A48B6" w:rsidRPr="00A86898">
        <w:rPr>
          <w:color w:val="auto"/>
        </w:rPr>
        <w:t xml:space="preserve"> the polymorph layer of </w:t>
      </w:r>
      <w:r w:rsidR="00F77D9C" w:rsidRPr="00F77D9C">
        <w:rPr>
          <w:color w:val="auto"/>
        </w:rPr>
        <w:t xml:space="preserve">dentate gyrus </w:t>
      </w:r>
      <w:r w:rsidR="00F77D9C">
        <w:rPr>
          <w:color w:val="auto"/>
        </w:rPr>
        <w:t>[</w:t>
      </w:r>
      <w:r w:rsidR="004A48B6" w:rsidRPr="00A86898">
        <w:rPr>
          <w:color w:val="auto"/>
        </w:rPr>
        <w:t>DG</w:t>
      </w:r>
      <w:r w:rsidR="00F77D9C">
        <w:rPr>
          <w:color w:val="auto"/>
        </w:rPr>
        <w:t>]</w:t>
      </w:r>
      <w:r w:rsidR="004A48B6" w:rsidRPr="00A86898">
        <w:rPr>
          <w:color w:val="auto"/>
        </w:rPr>
        <w:t xml:space="preserve">, stratum </w:t>
      </w:r>
      <w:proofErr w:type="spellStart"/>
      <w:r w:rsidR="004A48B6" w:rsidRPr="00A86898">
        <w:rPr>
          <w:color w:val="auto"/>
        </w:rPr>
        <w:t>radiatum</w:t>
      </w:r>
      <w:proofErr w:type="spellEnd"/>
      <w:r w:rsidR="004A48B6" w:rsidRPr="00A86898">
        <w:rPr>
          <w:color w:val="auto"/>
        </w:rPr>
        <w:t xml:space="preserve">, lucidum and </w:t>
      </w:r>
      <w:proofErr w:type="spellStart"/>
      <w:r w:rsidR="004A48B6" w:rsidRPr="00A86898">
        <w:rPr>
          <w:color w:val="auto"/>
        </w:rPr>
        <w:t>oriens</w:t>
      </w:r>
      <w:proofErr w:type="spellEnd"/>
      <w:r w:rsidR="004A48B6" w:rsidRPr="00A86898">
        <w:rPr>
          <w:color w:val="auto"/>
        </w:rPr>
        <w:t xml:space="preserve"> of </w:t>
      </w:r>
      <w:proofErr w:type="spellStart"/>
      <w:r w:rsidR="002950E0" w:rsidRPr="002950E0">
        <w:rPr>
          <w:i/>
          <w:color w:val="auto"/>
        </w:rPr>
        <w:t>Cornu</w:t>
      </w:r>
      <w:proofErr w:type="spellEnd"/>
      <w:r w:rsidR="002950E0" w:rsidRPr="002950E0">
        <w:rPr>
          <w:i/>
          <w:color w:val="auto"/>
        </w:rPr>
        <w:t xml:space="preserve"> </w:t>
      </w:r>
      <w:proofErr w:type="spellStart"/>
      <w:r w:rsidR="002950E0" w:rsidRPr="002950E0">
        <w:rPr>
          <w:i/>
          <w:color w:val="auto"/>
        </w:rPr>
        <w:t>Ammonis</w:t>
      </w:r>
      <w:proofErr w:type="spellEnd"/>
      <w:r w:rsidR="002950E0">
        <w:rPr>
          <w:color w:val="auto"/>
        </w:rPr>
        <w:t xml:space="preserve"> </w:t>
      </w:r>
      <w:r w:rsidR="009C37AC">
        <w:rPr>
          <w:color w:val="auto"/>
        </w:rPr>
        <w:t xml:space="preserve">3 </w:t>
      </w:r>
      <w:r w:rsidR="002950E0">
        <w:rPr>
          <w:color w:val="auto"/>
        </w:rPr>
        <w:t>[</w:t>
      </w:r>
      <w:r w:rsidR="004A48B6" w:rsidRPr="00A86898">
        <w:rPr>
          <w:color w:val="auto"/>
        </w:rPr>
        <w:t>CA3</w:t>
      </w:r>
      <w:r w:rsidR="002950E0">
        <w:rPr>
          <w:color w:val="auto"/>
        </w:rPr>
        <w:t>]</w:t>
      </w:r>
      <w:r w:rsidR="00F55796">
        <w:rPr>
          <w:color w:val="auto"/>
        </w:rPr>
        <w:t>,</w:t>
      </w:r>
      <w:r w:rsidR="004A48B6" w:rsidRPr="00A86898">
        <w:rPr>
          <w:color w:val="auto"/>
        </w:rPr>
        <w:t xml:space="preserve"> and stratum </w:t>
      </w:r>
      <w:proofErr w:type="spellStart"/>
      <w:r w:rsidR="004A48B6" w:rsidRPr="00A86898">
        <w:rPr>
          <w:color w:val="auto"/>
        </w:rPr>
        <w:t>radiatum</w:t>
      </w:r>
      <w:proofErr w:type="spellEnd"/>
      <w:r w:rsidR="004A48B6" w:rsidRPr="00A86898">
        <w:rPr>
          <w:color w:val="auto"/>
        </w:rPr>
        <w:t xml:space="preserve"> and </w:t>
      </w:r>
      <w:proofErr w:type="spellStart"/>
      <w:r w:rsidR="004A48B6" w:rsidRPr="00A86898">
        <w:rPr>
          <w:color w:val="auto"/>
        </w:rPr>
        <w:t>oriens</w:t>
      </w:r>
      <w:proofErr w:type="spellEnd"/>
      <w:r w:rsidR="004A48B6" w:rsidRPr="00A86898">
        <w:rPr>
          <w:color w:val="auto"/>
        </w:rPr>
        <w:t xml:space="preserve"> of </w:t>
      </w:r>
      <w:proofErr w:type="spellStart"/>
      <w:r w:rsidR="00260158" w:rsidRPr="002950E0">
        <w:rPr>
          <w:i/>
          <w:color w:val="auto"/>
        </w:rPr>
        <w:t>Cornu</w:t>
      </w:r>
      <w:proofErr w:type="spellEnd"/>
      <w:r w:rsidR="00260158" w:rsidRPr="002950E0">
        <w:rPr>
          <w:i/>
          <w:color w:val="auto"/>
        </w:rPr>
        <w:t xml:space="preserve"> </w:t>
      </w:r>
      <w:proofErr w:type="spellStart"/>
      <w:r w:rsidR="00260158" w:rsidRPr="002950E0">
        <w:rPr>
          <w:i/>
          <w:color w:val="auto"/>
        </w:rPr>
        <w:t>Ammonis</w:t>
      </w:r>
      <w:proofErr w:type="spellEnd"/>
      <w:r w:rsidR="00260158">
        <w:rPr>
          <w:color w:val="auto"/>
        </w:rPr>
        <w:t xml:space="preserve"> </w:t>
      </w:r>
      <w:r w:rsidR="000937AC">
        <w:rPr>
          <w:color w:val="auto"/>
        </w:rPr>
        <w:t>1 [</w:t>
      </w:r>
      <w:r w:rsidR="004A48B6" w:rsidRPr="00A86898">
        <w:rPr>
          <w:color w:val="auto"/>
        </w:rPr>
        <w:t>CA1</w:t>
      </w:r>
      <w:r w:rsidR="000937AC">
        <w:rPr>
          <w:color w:val="auto"/>
        </w:rPr>
        <w:t>]</w:t>
      </w:r>
      <w:r w:rsidR="004A48B6" w:rsidRPr="00A86898">
        <w:rPr>
          <w:color w:val="auto"/>
        </w:rPr>
        <w:t>), and low levels in in</w:t>
      </w:r>
      <w:r w:rsidR="00315E0D" w:rsidRPr="00A86898">
        <w:rPr>
          <w:color w:val="auto"/>
        </w:rPr>
        <w:t>put</w:t>
      </w:r>
      <w:r w:rsidR="004A48B6" w:rsidRPr="00A86898">
        <w:rPr>
          <w:color w:val="auto"/>
        </w:rPr>
        <w:t>- and output layers (the inner and outer molecular layer of DG, the pyramidal cell layers of CA3 and CA1</w:t>
      </w:r>
      <w:r w:rsidR="00300A2E">
        <w:rPr>
          <w:color w:val="auto"/>
        </w:rPr>
        <w:t>,</w:t>
      </w:r>
      <w:r w:rsidR="004A48B6" w:rsidRPr="00A86898">
        <w:rPr>
          <w:color w:val="auto"/>
        </w:rPr>
        <w:t xml:space="preserve"> and the stratum </w:t>
      </w:r>
      <w:proofErr w:type="spellStart"/>
      <w:r w:rsidR="004A48B6" w:rsidRPr="00A86898">
        <w:rPr>
          <w:color w:val="auto"/>
        </w:rPr>
        <w:t>lacunosum-moleculare</w:t>
      </w:r>
      <w:proofErr w:type="spellEnd"/>
      <w:r w:rsidR="004A48B6" w:rsidRPr="00A86898">
        <w:rPr>
          <w:color w:val="auto"/>
        </w:rPr>
        <w:t xml:space="preserve"> of CA1).</w:t>
      </w:r>
    </w:p>
    <w:p w14:paraId="7F5815FC" w14:textId="3133E33C" w:rsidR="004A71E4" w:rsidRPr="00A86898" w:rsidRDefault="004A71E4" w:rsidP="005A4ED4">
      <w:pPr>
        <w:widowControl/>
        <w:rPr>
          <w:color w:val="auto"/>
        </w:rPr>
      </w:pPr>
    </w:p>
    <w:p w14:paraId="3C9083F6" w14:textId="3437F744" w:rsidR="00B32616" w:rsidRPr="00A86898" w:rsidRDefault="00B32616" w:rsidP="005A4ED4">
      <w:pPr>
        <w:widowControl/>
        <w:rPr>
          <w:bCs/>
          <w:color w:val="auto"/>
        </w:rPr>
      </w:pPr>
      <w:r w:rsidRPr="00A86898">
        <w:rPr>
          <w:b/>
          <w:color w:val="auto"/>
        </w:rPr>
        <w:t xml:space="preserve">FIGURE </w:t>
      </w:r>
      <w:r w:rsidR="0013621E" w:rsidRPr="00A86898">
        <w:rPr>
          <w:b/>
          <w:color w:val="auto"/>
        </w:rPr>
        <w:t xml:space="preserve">AND TABLE </w:t>
      </w:r>
      <w:r w:rsidRPr="00A86898">
        <w:rPr>
          <w:b/>
          <w:color w:val="auto"/>
        </w:rPr>
        <w:t>LEGENDS:</w:t>
      </w:r>
    </w:p>
    <w:p w14:paraId="4C15F57D" w14:textId="77777777" w:rsidR="00C02620" w:rsidRDefault="00C02620" w:rsidP="005A4ED4">
      <w:pPr>
        <w:widowControl/>
        <w:rPr>
          <w:b/>
          <w:color w:val="auto"/>
        </w:rPr>
      </w:pPr>
    </w:p>
    <w:p w14:paraId="6B42F946" w14:textId="1EFD031A" w:rsidR="00F519E1" w:rsidRPr="00A86898" w:rsidRDefault="005A4ED4" w:rsidP="005A4ED4">
      <w:pPr>
        <w:widowControl/>
        <w:rPr>
          <w:color w:val="auto"/>
        </w:rPr>
      </w:pPr>
      <w:r w:rsidRPr="00A86898">
        <w:rPr>
          <w:b/>
          <w:color w:val="auto"/>
        </w:rPr>
        <w:t>Figure 1</w:t>
      </w:r>
      <w:r w:rsidR="00F519E1" w:rsidRPr="00A86898">
        <w:rPr>
          <w:b/>
          <w:color w:val="auto"/>
        </w:rPr>
        <w:t>: Representative immunofl</w:t>
      </w:r>
      <w:r w:rsidR="0075031D" w:rsidRPr="00A86898">
        <w:rPr>
          <w:b/>
          <w:color w:val="auto"/>
        </w:rPr>
        <w:t xml:space="preserve">uorescence images of DAPI (first row), Mover (second row), </w:t>
      </w:r>
      <w:r w:rsidR="000530F7">
        <w:rPr>
          <w:b/>
          <w:color w:val="auto"/>
        </w:rPr>
        <w:t>s</w:t>
      </w:r>
      <w:r w:rsidR="00F519E1" w:rsidRPr="00A86898">
        <w:rPr>
          <w:b/>
          <w:color w:val="auto"/>
        </w:rPr>
        <w:t>ynap</w:t>
      </w:r>
      <w:r w:rsidR="0075031D" w:rsidRPr="00A86898">
        <w:rPr>
          <w:b/>
          <w:color w:val="auto"/>
        </w:rPr>
        <w:t>tophysin (third</w:t>
      </w:r>
      <w:r w:rsidR="00F519E1" w:rsidRPr="00A86898">
        <w:rPr>
          <w:b/>
          <w:color w:val="auto"/>
        </w:rPr>
        <w:t xml:space="preserve"> row)</w:t>
      </w:r>
      <w:r w:rsidR="000530F7">
        <w:rPr>
          <w:b/>
          <w:color w:val="auto"/>
        </w:rPr>
        <w:t>,</w:t>
      </w:r>
      <w:r w:rsidR="0075031D" w:rsidRPr="00A86898">
        <w:rPr>
          <w:b/>
          <w:color w:val="auto"/>
        </w:rPr>
        <w:t xml:space="preserve"> and their overlay (fourth row, Mover in red, </w:t>
      </w:r>
      <w:r w:rsidR="000530F7">
        <w:rPr>
          <w:b/>
          <w:color w:val="auto"/>
        </w:rPr>
        <w:t>s</w:t>
      </w:r>
      <w:r w:rsidR="0075031D" w:rsidRPr="00A86898">
        <w:rPr>
          <w:b/>
          <w:color w:val="auto"/>
        </w:rPr>
        <w:t>ynaptophysin in green)</w:t>
      </w:r>
      <w:r w:rsidR="00F519E1" w:rsidRPr="00A86898">
        <w:rPr>
          <w:b/>
          <w:color w:val="auto"/>
        </w:rPr>
        <w:t xml:space="preserve"> at the 5 rostro-caudal levels (A-E).</w:t>
      </w:r>
      <w:r w:rsidR="00F519E1" w:rsidRPr="00A86898">
        <w:rPr>
          <w:color w:val="auto"/>
        </w:rPr>
        <w:t xml:space="preserve"> </w:t>
      </w:r>
      <w:r w:rsidR="00315E0D" w:rsidRPr="00A86898">
        <w:rPr>
          <w:color w:val="auto"/>
        </w:rPr>
        <w:t xml:space="preserve">Areas of interest are shaded in grey in the upper row of panels. </w:t>
      </w:r>
      <w:r w:rsidR="00F519E1" w:rsidRPr="00A86898">
        <w:rPr>
          <w:color w:val="auto"/>
        </w:rPr>
        <w:t xml:space="preserve">M1, primary motor cortex; </w:t>
      </w:r>
      <w:proofErr w:type="spellStart"/>
      <w:r w:rsidR="00F519E1" w:rsidRPr="00A86898">
        <w:rPr>
          <w:color w:val="auto"/>
        </w:rPr>
        <w:t>IoC</w:t>
      </w:r>
      <w:proofErr w:type="spellEnd"/>
      <w:r w:rsidR="00F519E1" w:rsidRPr="00A86898">
        <w:rPr>
          <w:color w:val="auto"/>
        </w:rPr>
        <w:t xml:space="preserve">, islands of Calleja; ACC, anterior cingulate cortex; </w:t>
      </w:r>
      <w:proofErr w:type="spellStart"/>
      <w:r w:rsidR="00F519E1" w:rsidRPr="00A86898">
        <w:rPr>
          <w:color w:val="auto"/>
        </w:rPr>
        <w:t>SNu</w:t>
      </w:r>
      <w:proofErr w:type="spellEnd"/>
      <w:r w:rsidR="00F519E1" w:rsidRPr="00A86898">
        <w:rPr>
          <w:color w:val="auto"/>
        </w:rPr>
        <w:t xml:space="preserve">, septal nuclei; </w:t>
      </w:r>
      <w:proofErr w:type="spellStart"/>
      <w:r w:rsidR="00F519E1" w:rsidRPr="00A86898">
        <w:rPr>
          <w:color w:val="auto"/>
        </w:rPr>
        <w:t>VPa</w:t>
      </w:r>
      <w:proofErr w:type="spellEnd"/>
      <w:r w:rsidR="00F519E1" w:rsidRPr="00A86898">
        <w:rPr>
          <w:color w:val="auto"/>
        </w:rPr>
        <w:t xml:space="preserve">, ventral pallidum; </w:t>
      </w:r>
      <w:proofErr w:type="spellStart"/>
      <w:r w:rsidR="00F519E1" w:rsidRPr="00A86898">
        <w:rPr>
          <w:color w:val="auto"/>
        </w:rPr>
        <w:t>NuA</w:t>
      </w:r>
      <w:proofErr w:type="spellEnd"/>
      <w:r w:rsidR="00F519E1" w:rsidRPr="00A86898">
        <w:rPr>
          <w:color w:val="auto"/>
        </w:rPr>
        <w:t xml:space="preserve">, nucleus </w:t>
      </w:r>
      <w:proofErr w:type="spellStart"/>
      <w:r w:rsidR="00F519E1" w:rsidRPr="00A86898">
        <w:rPr>
          <w:color w:val="auto"/>
        </w:rPr>
        <w:t>accumbens</w:t>
      </w:r>
      <w:proofErr w:type="spellEnd"/>
      <w:r w:rsidR="00F519E1" w:rsidRPr="00A86898">
        <w:rPr>
          <w:color w:val="auto"/>
        </w:rPr>
        <w:t xml:space="preserve">; CP, caudate putamen; S1, primary somatosensory cortex; </w:t>
      </w:r>
      <w:proofErr w:type="spellStart"/>
      <w:r w:rsidR="00F519E1" w:rsidRPr="00A86898">
        <w:rPr>
          <w:color w:val="auto"/>
        </w:rPr>
        <w:t>Hc</w:t>
      </w:r>
      <w:proofErr w:type="spellEnd"/>
      <w:r w:rsidR="00F519E1" w:rsidRPr="00A86898">
        <w:rPr>
          <w:color w:val="auto"/>
        </w:rPr>
        <w:t xml:space="preserve">, hippocampus; Am, amygdala; </w:t>
      </w:r>
      <w:proofErr w:type="spellStart"/>
      <w:r w:rsidR="00F519E1" w:rsidRPr="00A86898">
        <w:rPr>
          <w:color w:val="auto"/>
        </w:rPr>
        <w:t>MHa</w:t>
      </w:r>
      <w:proofErr w:type="spellEnd"/>
      <w:r w:rsidR="00F519E1" w:rsidRPr="00A86898">
        <w:rPr>
          <w:color w:val="auto"/>
        </w:rPr>
        <w:t xml:space="preserve">, medial habenula; PAG, periaqueductal grey; SN, substantia </w:t>
      </w:r>
      <w:proofErr w:type="spellStart"/>
      <w:r w:rsidR="00F519E1" w:rsidRPr="00A86898">
        <w:rPr>
          <w:color w:val="auto"/>
        </w:rPr>
        <w:t>nigra</w:t>
      </w:r>
      <w:proofErr w:type="spellEnd"/>
      <w:r w:rsidR="00F519E1" w:rsidRPr="00A86898">
        <w:rPr>
          <w:color w:val="auto"/>
        </w:rPr>
        <w:t xml:space="preserve">; VTA, ventral tegmental area; MLC, molecular layer of the cerebellum; GLC, granular layer of the cerebellum. Scale bar </w:t>
      </w:r>
      <w:r w:rsidR="00A74476">
        <w:rPr>
          <w:color w:val="auto"/>
        </w:rPr>
        <w:t xml:space="preserve">= </w:t>
      </w:r>
      <w:r w:rsidR="00F519E1" w:rsidRPr="00A86898">
        <w:rPr>
          <w:color w:val="auto"/>
        </w:rPr>
        <w:t xml:space="preserve">500 </w:t>
      </w:r>
      <w:r w:rsidR="000307A6">
        <w:rPr>
          <w:color w:val="auto"/>
        </w:rPr>
        <w:t>µ</w:t>
      </w:r>
      <w:r w:rsidR="00F519E1" w:rsidRPr="00A86898">
        <w:rPr>
          <w:color w:val="auto"/>
        </w:rPr>
        <w:t xml:space="preserve">m. </w:t>
      </w:r>
      <w:r w:rsidR="005C1060" w:rsidRPr="00A86898">
        <w:rPr>
          <w:color w:val="auto"/>
        </w:rPr>
        <w:t>This f</w:t>
      </w:r>
      <w:r w:rsidR="00F519E1" w:rsidRPr="00A86898">
        <w:rPr>
          <w:color w:val="auto"/>
        </w:rPr>
        <w:t xml:space="preserve">igure </w:t>
      </w:r>
      <w:r w:rsidR="005C1060" w:rsidRPr="00A86898">
        <w:rPr>
          <w:color w:val="auto"/>
        </w:rPr>
        <w:t>has been modified</w:t>
      </w:r>
      <w:r w:rsidR="00F519E1" w:rsidRPr="00A86898">
        <w:rPr>
          <w:color w:val="auto"/>
        </w:rPr>
        <w:t xml:space="preserve"> from </w:t>
      </w:r>
      <w:proofErr w:type="spellStart"/>
      <w:r w:rsidR="00F519E1" w:rsidRPr="00A86898">
        <w:rPr>
          <w:color w:val="auto"/>
        </w:rPr>
        <w:t>Wallrafen</w:t>
      </w:r>
      <w:proofErr w:type="spellEnd"/>
      <w:r w:rsidR="00F519E1" w:rsidRPr="00A86898">
        <w:rPr>
          <w:color w:val="auto"/>
        </w:rPr>
        <w:t xml:space="preserve"> and Dresbach</w:t>
      </w:r>
      <w:r w:rsidR="00D86FB3" w:rsidRPr="00A86898">
        <w:rPr>
          <w:rStyle w:val="FootnoteReference"/>
          <w:color w:val="auto"/>
        </w:rPr>
        <w:fldChar w:fldCharType="begin" w:fldLock="1"/>
      </w:r>
      <w:r w:rsidR="00F715D6" w:rsidRPr="00A86898">
        <w:rPr>
          <w:color w:val="auto"/>
        </w:rPr>
        <w:instrText>ADDIN CSL_CITATION { "citationItems" : [ { "id" : "ITEM-1", "itemData" : { "DOI" : "10.3389/fnana.2018.00058", "ISSN" : "1662-5129", "abstract" : "The assembly and function of presynaptic nerve terminals relies on evolutionarily conserved proteins. A small number of presynaptic proteins occurs only in vertebrates. These proteins may add specialized functions to certain synapses, thus increasing synaptic heterogeneity. Here, we show that the vertebrate-specific synaptic vesicle protein mover is differentially distributed in the forebrain and cerebellum of the adult mouse. Using a quantitative immunofluorescence approach, we compare the expression of mover to the expression of the general synaptic vesicle marker synaptophysin in sixteen brain areas. We find that mover is particularly abundant in the septal nuclei, ventral pallidum, amygdala and hippocampus. Within the hippocampus, mover is predominantly associated with excitatory synapses. Its levels are low in layers that receive afferent input from the entorhinal cortex, and high in layers harboring intra-hippocampal circuits. In contrast, mover levels are high in all nuclei of the amygdala, and mover is associated with inhibitory synapses in the medioposterior amygdala. Our data reveal a striking heterogeneity in the abundance of mover on three levels, i.e. between brain areas, within individual brain areas and between synapse types. This distribution suggests a role for mover in providing specialization to subsets of synapses, thereby contributing to the functional diversity of brain areas.", "author" : [ { "dropping-particle" : "", "family" : "Wallrafen", "given" : "Rebecca", "non-dropping-particle" : "", "parse-names" : false, "suffix" : "" }, { "dropping-particle" : "", "family" : "Dresbach", "given" : "Thomas", "non-dropping-particle" : "", "parse-names" : false, "suffix" : "" } ], "container-title" : "Frontiers in Neuroanatomy", "id" : "ITEM-1", "issued" : { "date-parts" : [ [ "2018", "7" ] ] }, "page" : "58", "publisher" : "Frontiers", "title" : "The Presynaptic Protein Mover Is Differentially Expressed Across Brain Areas and Synapse Types", "type" : "article-journal", "volume" : "12" }, "uris" : [ "http://www.mendeley.com/documents/?uuid=d60ec59c-3d37-4889-9839-a7fa05ae431a", "http://www.mendeley.com/documents/?uuid=6ec9b6b2-6bcf-444a-875f-d8fe60481751" ] } ], "mendeley" : { "formattedCitation" : "&lt;sup&gt;1&lt;/sup&gt;", "plainTextFormattedCitation" : "1", "previouslyFormattedCitation" : "&lt;sup&gt;1&lt;/sup&gt;" }, "properties" : { "noteIndex" : 0 }, "schema" : "https://github.com/citation-style-language/schema/raw/master/csl-citation.json" }</w:instrText>
      </w:r>
      <w:r w:rsidR="00D86FB3" w:rsidRPr="00A86898">
        <w:rPr>
          <w:rStyle w:val="FootnoteReference"/>
          <w:color w:val="auto"/>
        </w:rPr>
        <w:fldChar w:fldCharType="separate"/>
      </w:r>
      <w:r w:rsidR="00D86FB3" w:rsidRPr="00A86898">
        <w:rPr>
          <w:color w:val="auto"/>
          <w:vertAlign w:val="superscript"/>
        </w:rPr>
        <w:t>1</w:t>
      </w:r>
      <w:r w:rsidR="00D86FB3" w:rsidRPr="00A86898">
        <w:rPr>
          <w:rStyle w:val="FootnoteReference"/>
          <w:color w:val="auto"/>
        </w:rPr>
        <w:fldChar w:fldCharType="end"/>
      </w:r>
      <w:r w:rsidR="00D61B53">
        <w:rPr>
          <w:color w:val="auto"/>
        </w:rPr>
        <w:t>.</w:t>
      </w:r>
    </w:p>
    <w:p w14:paraId="0361EF30" w14:textId="77777777" w:rsidR="00F519E1" w:rsidRPr="00A86898" w:rsidRDefault="00F519E1" w:rsidP="005A4ED4">
      <w:pPr>
        <w:widowControl/>
        <w:rPr>
          <w:color w:val="auto"/>
        </w:rPr>
      </w:pPr>
    </w:p>
    <w:p w14:paraId="5F21C88C" w14:textId="320E0E30" w:rsidR="00F519E1" w:rsidRPr="00A86898" w:rsidRDefault="005A4ED4" w:rsidP="005A4ED4">
      <w:pPr>
        <w:widowControl/>
        <w:rPr>
          <w:color w:val="auto"/>
        </w:rPr>
      </w:pPr>
      <w:r w:rsidRPr="00A86898">
        <w:rPr>
          <w:b/>
          <w:color w:val="auto"/>
        </w:rPr>
        <w:t>Figure 2</w:t>
      </w:r>
      <w:r w:rsidR="00F519E1" w:rsidRPr="00A86898">
        <w:rPr>
          <w:b/>
          <w:color w:val="auto"/>
        </w:rPr>
        <w:t>: Quantification of the Mover distribution across the 5 rostro-caudal levels.</w:t>
      </w:r>
      <w:r w:rsidR="00F519E1" w:rsidRPr="00A86898">
        <w:rPr>
          <w:color w:val="auto"/>
        </w:rPr>
        <w:t xml:space="preserve"> Mean fluorescence intensity of the Mover signal (</w:t>
      </w:r>
      <w:r w:rsidR="00F519E1" w:rsidRPr="00A86898">
        <w:rPr>
          <w:b/>
          <w:color w:val="auto"/>
        </w:rPr>
        <w:t>A</w:t>
      </w:r>
      <w:r w:rsidR="00F519E1" w:rsidRPr="00A86898">
        <w:rPr>
          <w:color w:val="auto"/>
        </w:rPr>
        <w:t xml:space="preserve">) and the </w:t>
      </w:r>
      <w:r w:rsidR="00C23587">
        <w:rPr>
          <w:color w:val="auto"/>
        </w:rPr>
        <w:t>s</w:t>
      </w:r>
      <w:r w:rsidR="00F519E1" w:rsidRPr="00A86898">
        <w:rPr>
          <w:color w:val="auto"/>
        </w:rPr>
        <w:t>ynaptophysin signal (</w:t>
      </w:r>
      <w:r w:rsidR="00F519E1" w:rsidRPr="00A86898">
        <w:rPr>
          <w:b/>
          <w:color w:val="auto"/>
        </w:rPr>
        <w:t>B</w:t>
      </w:r>
      <w:r w:rsidR="00F519E1" w:rsidRPr="00A86898">
        <w:rPr>
          <w:color w:val="auto"/>
        </w:rPr>
        <w:t>) at the different levels. Mean fluorescence intensity of the Mover signal (</w:t>
      </w:r>
      <w:r w:rsidR="00F519E1" w:rsidRPr="00A86898">
        <w:rPr>
          <w:b/>
          <w:color w:val="auto"/>
        </w:rPr>
        <w:t>C</w:t>
      </w:r>
      <w:r w:rsidR="00F519E1" w:rsidRPr="00A86898">
        <w:rPr>
          <w:color w:val="auto"/>
        </w:rPr>
        <w:t xml:space="preserve">) and the </w:t>
      </w:r>
      <w:r w:rsidR="002437A6">
        <w:rPr>
          <w:color w:val="auto"/>
        </w:rPr>
        <w:t>s</w:t>
      </w:r>
      <w:r w:rsidR="00F519E1" w:rsidRPr="00A86898">
        <w:rPr>
          <w:color w:val="auto"/>
        </w:rPr>
        <w:t>ynaptophysin signal (</w:t>
      </w:r>
      <w:r w:rsidR="00F519E1" w:rsidRPr="00A86898">
        <w:rPr>
          <w:b/>
          <w:color w:val="auto"/>
        </w:rPr>
        <w:t>D</w:t>
      </w:r>
      <w:r w:rsidR="00F519E1" w:rsidRPr="00A86898">
        <w:rPr>
          <w:color w:val="auto"/>
        </w:rPr>
        <w:t xml:space="preserve">) at the 16 manually delineated brain regions. </w:t>
      </w:r>
      <w:r w:rsidR="00315E0D" w:rsidRPr="00A86898">
        <w:rPr>
          <w:color w:val="auto"/>
        </w:rPr>
        <w:t>(</w:t>
      </w:r>
      <w:r w:rsidR="00315E0D" w:rsidRPr="00A86898">
        <w:rPr>
          <w:b/>
          <w:color w:val="auto"/>
        </w:rPr>
        <w:t>E</w:t>
      </w:r>
      <w:r w:rsidR="00315E0D" w:rsidRPr="00A86898">
        <w:rPr>
          <w:color w:val="auto"/>
        </w:rPr>
        <w:t xml:space="preserve">) Ratios of Mover and </w:t>
      </w:r>
      <w:r w:rsidR="00173745">
        <w:rPr>
          <w:color w:val="auto"/>
        </w:rPr>
        <w:t>s</w:t>
      </w:r>
      <w:r w:rsidR="00315E0D" w:rsidRPr="00A86898">
        <w:rPr>
          <w:color w:val="auto"/>
        </w:rPr>
        <w:t xml:space="preserve">ynaptophysin in the 16 brain areas of interest. </w:t>
      </w:r>
      <w:r w:rsidR="00F519E1" w:rsidRPr="00A86898">
        <w:rPr>
          <w:color w:val="auto"/>
        </w:rPr>
        <w:t>(</w:t>
      </w:r>
      <w:r w:rsidR="00F519E1" w:rsidRPr="00A86898">
        <w:rPr>
          <w:b/>
          <w:color w:val="auto"/>
        </w:rPr>
        <w:t>F</w:t>
      </w:r>
      <w:r w:rsidR="00F519E1" w:rsidRPr="00A86898">
        <w:rPr>
          <w:color w:val="auto"/>
        </w:rPr>
        <w:t xml:space="preserve">) Quantification </w:t>
      </w:r>
      <w:r w:rsidR="006F359F" w:rsidRPr="00A86898">
        <w:rPr>
          <w:color w:val="auto"/>
        </w:rPr>
        <w:t xml:space="preserve">of the relative Mover abundance, </w:t>
      </w:r>
      <w:r w:rsidR="00F519E1" w:rsidRPr="00A86898">
        <w:rPr>
          <w:color w:val="auto"/>
        </w:rPr>
        <w:t>comparing Mover/</w:t>
      </w:r>
      <w:r w:rsidR="00E676F4">
        <w:rPr>
          <w:color w:val="auto"/>
        </w:rPr>
        <w:t>s</w:t>
      </w:r>
      <w:r w:rsidR="00F519E1" w:rsidRPr="00A86898">
        <w:rPr>
          <w:color w:val="auto"/>
        </w:rPr>
        <w:t>ynaptophysin ratio at the respective region to the ratio of the corresponding hemisphere. M1,</w:t>
      </w:r>
      <w:r w:rsidR="00112AC4" w:rsidRPr="00A86898">
        <w:rPr>
          <w:color w:val="auto"/>
        </w:rPr>
        <w:t xml:space="preserve"> primary motor cortex</w:t>
      </w:r>
      <w:r w:rsidR="00F519E1" w:rsidRPr="00A86898">
        <w:rPr>
          <w:color w:val="auto"/>
        </w:rPr>
        <w:t xml:space="preserve">; </w:t>
      </w:r>
      <w:proofErr w:type="spellStart"/>
      <w:r w:rsidR="00F519E1" w:rsidRPr="00A86898">
        <w:rPr>
          <w:color w:val="auto"/>
        </w:rPr>
        <w:t>IoC</w:t>
      </w:r>
      <w:proofErr w:type="spellEnd"/>
      <w:r w:rsidR="00F519E1" w:rsidRPr="00A86898">
        <w:rPr>
          <w:color w:val="auto"/>
        </w:rPr>
        <w:t xml:space="preserve">, islands of Calleja; ACC, anterior cingulate cortex; </w:t>
      </w:r>
      <w:proofErr w:type="spellStart"/>
      <w:r w:rsidR="00F519E1" w:rsidRPr="00A86898">
        <w:rPr>
          <w:color w:val="auto"/>
        </w:rPr>
        <w:t>SNu</w:t>
      </w:r>
      <w:proofErr w:type="spellEnd"/>
      <w:r w:rsidR="00F519E1" w:rsidRPr="00A86898">
        <w:rPr>
          <w:color w:val="auto"/>
        </w:rPr>
        <w:t xml:space="preserve">, septal nuclei; </w:t>
      </w:r>
      <w:proofErr w:type="spellStart"/>
      <w:r w:rsidR="00F519E1" w:rsidRPr="00A86898">
        <w:rPr>
          <w:color w:val="auto"/>
        </w:rPr>
        <w:t>VPa</w:t>
      </w:r>
      <w:proofErr w:type="spellEnd"/>
      <w:r w:rsidR="00F519E1" w:rsidRPr="00A86898">
        <w:rPr>
          <w:color w:val="auto"/>
        </w:rPr>
        <w:t xml:space="preserve">, ventral pallidum; </w:t>
      </w:r>
      <w:proofErr w:type="spellStart"/>
      <w:r w:rsidR="00F519E1" w:rsidRPr="00A86898">
        <w:rPr>
          <w:color w:val="auto"/>
        </w:rPr>
        <w:t>NuA</w:t>
      </w:r>
      <w:proofErr w:type="spellEnd"/>
      <w:r w:rsidR="00F519E1" w:rsidRPr="00A86898">
        <w:rPr>
          <w:color w:val="auto"/>
        </w:rPr>
        <w:t xml:space="preserve">, nucleus </w:t>
      </w:r>
      <w:proofErr w:type="spellStart"/>
      <w:r w:rsidR="00F519E1" w:rsidRPr="00A86898">
        <w:rPr>
          <w:color w:val="auto"/>
        </w:rPr>
        <w:t>accumbens</w:t>
      </w:r>
      <w:proofErr w:type="spellEnd"/>
      <w:r w:rsidR="00F519E1" w:rsidRPr="00A86898">
        <w:rPr>
          <w:color w:val="auto"/>
        </w:rPr>
        <w:t xml:space="preserve">; CP, caudate putamen; S1, primary somatosensory cortex; </w:t>
      </w:r>
      <w:proofErr w:type="spellStart"/>
      <w:r w:rsidR="00F519E1" w:rsidRPr="00A86898">
        <w:rPr>
          <w:color w:val="auto"/>
        </w:rPr>
        <w:t>Hc</w:t>
      </w:r>
      <w:proofErr w:type="spellEnd"/>
      <w:r w:rsidR="00F519E1" w:rsidRPr="00A86898">
        <w:rPr>
          <w:color w:val="auto"/>
        </w:rPr>
        <w:t xml:space="preserve">, hippocampus; Am, amygdala; </w:t>
      </w:r>
      <w:proofErr w:type="spellStart"/>
      <w:r w:rsidR="00F519E1" w:rsidRPr="00A86898">
        <w:rPr>
          <w:color w:val="auto"/>
        </w:rPr>
        <w:t>MHa</w:t>
      </w:r>
      <w:proofErr w:type="spellEnd"/>
      <w:r w:rsidR="00F519E1" w:rsidRPr="00A86898">
        <w:rPr>
          <w:color w:val="auto"/>
        </w:rPr>
        <w:t xml:space="preserve">, medial habenula; PAG, periaqueductal grey; SN, substantia </w:t>
      </w:r>
      <w:proofErr w:type="spellStart"/>
      <w:r w:rsidR="00F519E1" w:rsidRPr="00A86898">
        <w:rPr>
          <w:color w:val="auto"/>
        </w:rPr>
        <w:t>nigra</w:t>
      </w:r>
      <w:proofErr w:type="spellEnd"/>
      <w:r w:rsidR="00F519E1" w:rsidRPr="00A86898">
        <w:rPr>
          <w:color w:val="auto"/>
        </w:rPr>
        <w:t>; VTA, ventral tegmental area; MLC, molecular layer of the cerebellum.</w:t>
      </w:r>
      <w:r w:rsidR="000955E6" w:rsidRPr="00A86898">
        <w:rPr>
          <w:color w:val="auto"/>
        </w:rPr>
        <w:t xml:space="preserve"> Black dots represent single data points. Bars show the mean ± </w:t>
      </w:r>
      <w:r w:rsidR="00EC08B3" w:rsidRPr="00EC08B3">
        <w:rPr>
          <w:color w:val="auto"/>
        </w:rPr>
        <w:t xml:space="preserve">standard error of the mean </w:t>
      </w:r>
      <w:r w:rsidR="00EC08B3">
        <w:rPr>
          <w:color w:val="auto"/>
        </w:rPr>
        <w:t>(</w:t>
      </w:r>
      <w:r w:rsidR="000955E6" w:rsidRPr="00A86898">
        <w:rPr>
          <w:color w:val="auto"/>
        </w:rPr>
        <w:t>SEM</w:t>
      </w:r>
      <w:r w:rsidR="00EC08B3">
        <w:rPr>
          <w:color w:val="auto"/>
        </w:rPr>
        <w:t>).</w:t>
      </w:r>
      <w:r w:rsidR="00F519E1" w:rsidRPr="00A86898">
        <w:rPr>
          <w:color w:val="auto"/>
        </w:rPr>
        <w:t xml:space="preserve"> </w:t>
      </w:r>
      <w:r w:rsidR="005C1060" w:rsidRPr="00A86898">
        <w:rPr>
          <w:color w:val="auto"/>
        </w:rPr>
        <w:t xml:space="preserve">This figure has been modified from </w:t>
      </w:r>
      <w:proofErr w:type="spellStart"/>
      <w:r w:rsidR="005C1060" w:rsidRPr="00A86898">
        <w:rPr>
          <w:color w:val="auto"/>
        </w:rPr>
        <w:t>Wallrafen</w:t>
      </w:r>
      <w:proofErr w:type="spellEnd"/>
      <w:r w:rsidR="005C1060" w:rsidRPr="00A86898">
        <w:rPr>
          <w:color w:val="auto"/>
        </w:rPr>
        <w:t xml:space="preserve"> and Dresbach</w:t>
      </w:r>
      <w:r w:rsidR="005C1060" w:rsidRPr="00A86898">
        <w:rPr>
          <w:rStyle w:val="FootnoteReference"/>
          <w:color w:val="auto"/>
        </w:rPr>
        <w:fldChar w:fldCharType="begin" w:fldLock="1"/>
      </w:r>
      <w:r w:rsidR="00F715D6" w:rsidRPr="00A86898">
        <w:rPr>
          <w:color w:val="auto"/>
        </w:rPr>
        <w:instrText>ADDIN CSL_CITATION { "citationItems" : [ { "id" : "ITEM-1", "itemData" : { "DOI" : "10.3389/fnana.2018.00058", "ISSN" : "1662-5129", "abstract" : "The assembly and function of presynaptic nerve terminals relies on evolutionarily conserved proteins. A small number of presynaptic proteins occurs only in vertebrates. These proteins may add specialized functions to certain synapses, thus increasing synaptic heterogeneity. Here, we show that the vertebrate-specific synaptic vesicle protein mover is differentially distributed in the forebrain and cerebellum of the adult mouse. Using a quantitative immunofluorescence approach, we compare the expression of mover to the expression of the general synaptic vesicle marker synaptophysin in sixteen brain areas. We find that mover is particularly abundant in the septal nuclei, ventral pallidum, amygdala and hippocampus. Within the hippocampus, mover is predominantly associated with excitatory synapses. Its levels are low in layers that receive afferent input from the entorhinal cortex, and high in layers harboring intra-hippocampal circuits. In contrast, mover levels are high in all nuclei of the amygdala, and mover is associated with inhibitory synapses in the medioposterior amygdala. Our data reveal a striking heterogeneity in the abundance of mover on three levels, i.e. between brain areas, within individual brain areas and between synapse types. This distribution suggests a role for mover in providing specialization to subsets of synapses, thereby contributing to the functional diversity of brain areas.", "author" : [ { "dropping-particle" : "", "family" : "Wallrafen", "given" : "Rebecca", "non-dropping-particle" : "", "parse-names" : false, "suffix" : "" }, { "dropping-particle" : "", "family" : "Dresbach", "given" : "Thomas", "non-dropping-particle" : "", "parse-names" : false, "suffix" : "" } ], "container-title" : "Frontiers in Neuroanatomy", "id" : "ITEM-1", "issued" : { "date-parts" : [ [ "2018", "7" ] ] }, "page" : "58", "publisher" : "Frontiers", "title" : "The Presynaptic Protein Mover Is Differentially Expressed Across Brain Areas and Synapse Types", "type" : "article-journal", "volume" : "12" }, "uris" : [ "http://www.mendeley.com/documents/?uuid=d60ec59c-3d37-4889-9839-a7fa05ae431a", "http://www.mendeley.com/documents/?uuid=6ec9b6b2-6bcf-444a-875f-d8fe60481751" ] } ], "mendeley" : { "formattedCitation" : "&lt;sup&gt;1&lt;/sup&gt;", "plainTextFormattedCitation" : "1", "previouslyFormattedCitation" : "&lt;sup&gt;1&lt;/sup&gt;" }, "properties" : { "noteIndex" : 0 }, "schema" : "https://github.com/citation-style-language/schema/raw/master/csl-citation.json" }</w:instrText>
      </w:r>
      <w:r w:rsidR="005C1060" w:rsidRPr="00A86898">
        <w:rPr>
          <w:rStyle w:val="FootnoteReference"/>
          <w:color w:val="auto"/>
        </w:rPr>
        <w:fldChar w:fldCharType="separate"/>
      </w:r>
      <w:r w:rsidR="005C1060" w:rsidRPr="00A86898">
        <w:rPr>
          <w:color w:val="auto"/>
          <w:vertAlign w:val="superscript"/>
        </w:rPr>
        <w:t>1</w:t>
      </w:r>
      <w:r w:rsidR="005C1060" w:rsidRPr="00A86898">
        <w:rPr>
          <w:rStyle w:val="FootnoteReference"/>
          <w:color w:val="auto"/>
        </w:rPr>
        <w:fldChar w:fldCharType="end"/>
      </w:r>
      <w:r w:rsidR="00526618">
        <w:rPr>
          <w:color w:val="auto"/>
        </w:rPr>
        <w:t>.</w:t>
      </w:r>
    </w:p>
    <w:p w14:paraId="2E1780F9" w14:textId="77777777" w:rsidR="00F519E1" w:rsidRPr="00A86898" w:rsidRDefault="00F519E1" w:rsidP="005A4ED4">
      <w:pPr>
        <w:widowControl/>
        <w:rPr>
          <w:color w:val="auto"/>
        </w:rPr>
      </w:pPr>
    </w:p>
    <w:p w14:paraId="7390302F" w14:textId="4726520C" w:rsidR="00F519E1" w:rsidRPr="00A86898" w:rsidRDefault="005A4ED4" w:rsidP="005A4ED4">
      <w:pPr>
        <w:widowControl/>
        <w:rPr>
          <w:color w:val="auto"/>
        </w:rPr>
      </w:pPr>
      <w:r w:rsidRPr="00A86898">
        <w:rPr>
          <w:b/>
          <w:color w:val="auto"/>
        </w:rPr>
        <w:t>Figure 3</w:t>
      </w:r>
      <w:r w:rsidR="00F519E1" w:rsidRPr="00A86898">
        <w:rPr>
          <w:b/>
          <w:color w:val="auto"/>
        </w:rPr>
        <w:t>: Mover distribution in the mouse hippocampus.</w:t>
      </w:r>
      <w:r w:rsidR="00F519E1" w:rsidRPr="00A86898">
        <w:rPr>
          <w:color w:val="auto"/>
        </w:rPr>
        <w:t xml:space="preserve"> Immunofluorescence </w:t>
      </w:r>
      <w:proofErr w:type="spellStart"/>
      <w:r w:rsidR="00F519E1" w:rsidRPr="00A86898">
        <w:rPr>
          <w:color w:val="auto"/>
        </w:rPr>
        <w:t>stainings</w:t>
      </w:r>
      <w:proofErr w:type="spellEnd"/>
      <w:r w:rsidR="00F519E1" w:rsidRPr="00A86898">
        <w:rPr>
          <w:color w:val="auto"/>
        </w:rPr>
        <w:t xml:space="preserve"> of coronal slices of the mouse hippocampus. Overview of the hippocampus showing the heterogeneous Mover expression pattern (</w:t>
      </w:r>
      <w:r w:rsidR="00F519E1" w:rsidRPr="00A86898">
        <w:rPr>
          <w:b/>
          <w:color w:val="auto"/>
        </w:rPr>
        <w:t>A</w:t>
      </w:r>
      <w:r w:rsidR="00F519E1" w:rsidRPr="00A86898">
        <w:rPr>
          <w:color w:val="auto"/>
        </w:rPr>
        <w:t>) and the corresponding Synaptophysin staining (</w:t>
      </w:r>
      <w:r w:rsidR="00F519E1" w:rsidRPr="00A86898">
        <w:rPr>
          <w:b/>
          <w:color w:val="auto"/>
        </w:rPr>
        <w:t>B</w:t>
      </w:r>
      <w:r w:rsidR="00F519E1" w:rsidRPr="00A86898">
        <w:rPr>
          <w:color w:val="auto"/>
        </w:rPr>
        <w:t xml:space="preserve">). The three regions of interest (DG, </w:t>
      </w:r>
      <w:r w:rsidR="00B2442A">
        <w:rPr>
          <w:b/>
          <w:color w:val="auto"/>
        </w:rPr>
        <w:t>Figure 3</w:t>
      </w:r>
      <w:r w:rsidR="00F519E1" w:rsidRPr="00A86898">
        <w:rPr>
          <w:b/>
          <w:color w:val="auto"/>
        </w:rPr>
        <w:t>C</w:t>
      </w:r>
      <w:r w:rsidR="00F519E1" w:rsidRPr="00A86898">
        <w:rPr>
          <w:color w:val="auto"/>
        </w:rPr>
        <w:t xml:space="preserve">; CA3, </w:t>
      </w:r>
      <w:r w:rsidR="00B2442A">
        <w:rPr>
          <w:b/>
          <w:color w:val="auto"/>
        </w:rPr>
        <w:t>Figure 3</w:t>
      </w:r>
      <w:r w:rsidR="00F519E1" w:rsidRPr="00A86898">
        <w:rPr>
          <w:b/>
          <w:color w:val="auto"/>
        </w:rPr>
        <w:t>E</w:t>
      </w:r>
      <w:r w:rsidR="00F519E1" w:rsidRPr="00A86898">
        <w:rPr>
          <w:color w:val="auto"/>
        </w:rPr>
        <w:t xml:space="preserve">; CA1, </w:t>
      </w:r>
      <w:r w:rsidR="00B2442A">
        <w:rPr>
          <w:b/>
          <w:color w:val="auto"/>
        </w:rPr>
        <w:t>Figure 3</w:t>
      </w:r>
      <w:r w:rsidR="00F519E1" w:rsidRPr="00A86898">
        <w:rPr>
          <w:b/>
          <w:color w:val="auto"/>
        </w:rPr>
        <w:t>G</w:t>
      </w:r>
      <w:r w:rsidR="00F519E1" w:rsidRPr="00A86898">
        <w:rPr>
          <w:color w:val="auto"/>
        </w:rPr>
        <w:t>) are delineated with white dotted lines. (</w:t>
      </w:r>
      <w:proofErr w:type="gramStart"/>
      <w:r w:rsidR="00F519E1" w:rsidRPr="00A86898">
        <w:rPr>
          <w:b/>
          <w:color w:val="auto"/>
        </w:rPr>
        <w:t>D</w:t>
      </w:r>
      <w:r w:rsidR="00F519E1" w:rsidRPr="00A86898">
        <w:rPr>
          <w:color w:val="auto"/>
        </w:rPr>
        <w:t>,</w:t>
      </w:r>
      <w:r w:rsidR="00F519E1" w:rsidRPr="00A86898">
        <w:rPr>
          <w:b/>
          <w:color w:val="auto"/>
        </w:rPr>
        <w:t>F</w:t>
      </w:r>
      <w:proofErr w:type="gramEnd"/>
      <w:r w:rsidR="00F519E1" w:rsidRPr="00A86898">
        <w:rPr>
          <w:color w:val="auto"/>
        </w:rPr>
        <w:t>,</w:t>
      </w:r>
      <w:r w:rsidR="00F519E1" w:rsidRPr="00A86898">
        <w:rPr>
          <w:b/>
          <w:color w:val="auto"/>
        </w:rPr>
        <w:t>H</w:t>
      </w:r>
      <w:r w:rsidR="00F519E1" w:rsidRPr="00A86898">
        <w:rPr>
          <w:color w:val="auto"/>
        </w:rPr>
        <w:t xml:space="preserve">) Quantification comparing the ratio in the respective layers to the ratio of the corresponding hemisphere. The colors in the bar graphs correspond to the respective shading in panels </w:t>
      </w:r>
      <w:r w:rsidR="00F519E1" w:rsidRPr="00A86898">
        <w:rPr>
          <w:b/>
          <w:color w:val="auto"/>
        </w:rPr>
        <w:t>C</w:t>
      </w:r>
      <w:r w:rsidR="00F519E1" w:rsidRPr="00A86898">
        <w:rPr>
          <w:color w:val="auto"/>
        </w:rPr>
        <w:t xml:space="preserve">, </w:t>
      </w:r>
      <w:r w:rsidR="00F519E1" w:rsidRPr="00A86898">
        <w:rPr>
          <w:b/>
          <w:color w:val="auto"/>
        </w:rPr>
        <w:t>E</w:t>
      </w:r>
      <w:r w:rsidR="00D776C9">
        <w:rPr>
          <w:color w:val="auto"/>
        </w:rPr>
        <w:t>,</w:t>
      </w:r>
      <w:r w:rsidR="00F519E1" w:rsidRPr="00A86898">
        <w:rPr>
          <w:color w:val="auto"/>
        </w:rPr>
        <w:t xml:space="preserve"> and </w:t>
      </w:r>
      <w:r w:rsidR="00F519E1" w:rsidRPr="00A86898">
        <w:rPr>
          <w:b/>
          <w:color w:val="auto"/>
        </w:rPr>
        <w:t>G</w:t>
      </w:r>
      <w:r w:rsidR="00F519E1" w:rsidRPr="00A86898">
        <w:rPr>
          <w:color w:val="auto"/>
        </w:rPr>
        <w:t>. Mover expression is high in levels associated with intra</w:t>
      </w:r>
      <w:r w:rsidR="006F359F" w:rsidRPr="00A86898">
        <w:rPr>
          <w:color w:val="auto"/>
        </w:rPr>
        <w:t>-</w:t>
      </w:r>
      <w:r w:rsidR="00F519E1" w:rsidRPr="00A86898">
        <w:rPr>
          <w:color w:val="auto"/>
        </w:rPr>
        <w:t>hippocampal computation (</w:t>
      </w:r>
      <w:r w:rsidRPr="00A86898">
        <w:rPr>
          <w:i/>
          <w:color w:val="auto"/>
        </w:rPr>
        <w:t>i.e.</w:t>
      </w:r>
      <w:r w:rsidRPr="00D776C9">
        <w:rPr>
          <w:color w:val="auto"/>
        </w:rPr>
        <w:t>,</w:t>
      </w:r>
      <w:r w:rsidR="00315E0D" w:rsidRPr="00A86898">
        <w:rPr>
          <w:color w:val="auto"/>
        </w:rPr>
        <w:t xml:space="preserve"> the polymorph layer of DG, stratum </w:t>
      </w:r>
      <w:proofErr w:type="spellStart"/>
      <w:r w:rsidR="00315E0D" w:rsidRPr="00A86898">
        <w:rPr>
          <w:color w:val="auto"/>
        </w:rPr>
        <w:t>radiatum</w:t>
      </w:r>
      <w:proofErr w:type="spellEnd"/>
      <w:r w:rsidR="00315E0D" w:rsidRPr="00A86898">
        <w:rPr>
          <w:color w:val="auto"/>
        </w:rPr>
        <w:t xml:space="preserve">, lucidum and </w:t>
      </w:r>
      <w:proofErr w:type="spellStart"/>
      <w:r w:rsidR="00315E0D" w:rsidRPr="00A86898">
        <w:rPr>
          <w:color w:val="auto"/>
        </w:rPr>
        <w:t>oriens</w:t>
      </w:r>
      <w:proofErr w:type="spellEnd"/>
      <w:r w:rsidR="00315E0D" w:rsidRPr="00A86898">
        <w:rPr>
          <w:color w:val="auto"/>
        </w:rPr>
        <w:t xml:space="preserve"> of CA3</w:t>
      </w:r>
      <w:r w:rsidR="00E7138F">
        <w:rPr>
          <w:color w:val="auto"/>
        </w:rPr>
        <w:t>,</w:t>
      </w:r>
      <w:r w:rsidR="00315E0D" w:rsidRPr="00A86898">
        <w:rPr>
          <w:color w:val="auto"/>
        </w:rPr>
        <w:t xml:space="preserve"> and stratum </w:t>
      </w:r>
      <w:proofErr w:type="spellStart"/>
      <w:r w:rsidR="00315E0D" w:rsidRPr="00A86898">
        <w:rPr>
          <w:color w:val="auto"/>
        </w:rPr>
        <w:t>radiatum</w:t>
      </w:r>
      <w:proofErr w:type="spellEnd"/>
      <w:r w:rsidR="00315E0D" w:rsidRPr="00A86898">
        <w:rPr>
          <w:color w:val="auto"/>
        </w:rPr>
        <w:t xml:space="preserve"> and </w:t>
      </w:r>
      <w:proofErr w:type="spellStart"/>
      <w:r w:rsidR="00315E0D" w:rsidRPr="00A86898">
        <w:rPr>
          <w:color w:val="auto"/>
        </w:rPr>
        <w:t>oriens</w:t>
      </w:r>
      <w:proofErr w:type="spellEnd"/>
      <w:r w:rsidR="00315E0D" w:rsidRPr="00A86898">
        <w:rPr>
          <w:color w:val="auto"/>
        </w:rPr>
        <w:t xml:space="preserve"> of CA1), and low in the main input- and output layers (the inner and outer molecular layer of DG, the pyramidal cell layers of CA3 and CA1</w:t>
      </w:r>
      <w:r w:rsidR="00E7138F">
        <w:rPr>
          <w:color w:val="auto"/>
        </w:rPr>
        <w:t>,</w:t>
      </w:r>
      <w:r w:rsidR="00315E0D" w:rsidRPr="00A86898">
        <w:rPr>
          <w:color w:val="auto"/>
        </w:rPr>
        <w:t xml:space="preserve"> and the stratum </w:t>
      </w:r>
      <w:proofErr w:type="spellStart"/>
      <w:r w:rsidR="00315E0D" w:rsidRPr="00A86898">
        <w:rPr>
          <w:color w:val="auto"/>
        </w:rPr>
        <w:t>lacunosum-moleculare</w:t>
      </w:r>
      <w:proofErr w:type="spellEnd"/>
      <w:r w:rsidR="00315E0D" w:rsidRPr="00A86898">
        <w:rPr>
          <w:color w:val="auto"/>
        </w:rPr>
        <w:t xml:space="preserve"> of CA1)</w:t>
      </w:r>
      <w:r w:rsidR="00F519E1" w:rsidRPr="00A86898">
        <w:rPr>
          <w:color w:val="auto"/>
        </w:rPr>
        <w:t>. OML, outer molecular layer</w:t>
      </w:r>
      <w:r w:rsidR="00A433D2">
        <w:rPr>
          <w:color w:val="auto"/>
        </w:rPr>
        <w:t>;</w:t>
      </w:r>
      <w:r w:rsidR="00F519E1" w:rsidRPr="00A86898">
        <w:rPr>
          <w:color w:val="auto"/>
        </w:rPr>
        <w:t xml:space="preserve"> IML, inner molecular layer</w:t>
      </w:r>
      <w:r w:rsidR="00A433D2">
        <w:rPr>
          <w:color w:val="auto"/>
        </w:rPr>
        <w:t>;</w:t>
      </w:r>
      <w:r w:rsidR="00F519E1" w:rsidRPr="00A86898">
        <w:rPr>
          <w:color w:val="auto"/>
        </w:rPr>
        <w:t xml:space="preserve"> </w:t>
      </w:r>
      <w:proofErr w:type="spellStart"/>
      <w:r w:rsidR="00F519E1" w:rsidRPr="00A86898">
        <w:rPr>
          <w:color w:val="auto"/>
        </w:rPr>
        <w:t>GrL</w:t>
      </w:r>
      <w:proofErr w:type="spellEnd"/>
      <w:r w:rsidR="00F519E1" w:rsidRPr="00A86898">
        <w:rPr>
          <w:color w:val="auto"/>
        </w:rPr>
        <w:t>, granular layer</w:t>
      </w:r>
      <w:r w:rsidR="00A433D2">
        <w:rPr>
          <w:color w:val="auto"/>
        </w:rPr>
        <w:t>;</w:t>
      </w:r>
      <w:r w:rsidR="00F519E1" w:rsidRPr="00A86898">
        <w:rPr>
          <w:color w:val="auto"/>
        </w:rPr>
        <w:t xml:space="preserve"> </w:t>
      </w:r>
      <w:proofErr w:type="spellStart"/>
      <w:r w:rsidR="00F519E1" w:rsidRPr="00A86898">
        <w:rPr>
          <w:color w:val="auto"/>
        </w:rPr>
        <w:t>PmL</w:t>
      </w:r>
      <w:proofErr w:type="spellEnd"/>
      <w:r w:rsidR="00F519E1" w:rsidRPr="00A86898">
        <w:rPr>
          <w:color w:val="auto"/>
        </w:rPr>
        <w:t>, polymorph layer/</w:t>
      </w:r>
      <w:proofErr w:type="spellStart"/>
      <w:r w:rsidR="00F519E1" w:rsidRPr="00A86898">
        <w:rPr>
          <w:color w:val="auto"/>
        </w:rPr>
        <w:t>hilus</w:t>
      </w:r>
      <w:proofErr w:type="spellEnd"/>
      <w:r w:rsidR="00F519E1" w:rsidRPr="00A86898">
        <w:rPr>
          <w:color w:val="auto"/>
        </w:rPr>
        <w:t xml:space="preserve">; SO, stratum </w:t>
      </w:r>
      <w:proofErr w:type="spellStart"/>
      <w:r w:rsidR="00F519E1" w:rsidRPr="00A86898">
        <w:rPr>
          <w:color w:val="auto"/>
        </w:rPr>
        <w:t>oriens</w:t>
      </w:r>
      <w:proofErr w:type="spellEnd"/>
      <w:r w:rsidR="00F519E1" w:rsidRPr="00A86898">
        <w:rPr>
          <w:color w:val="auto"/>
        </w:rPr>
        <w:t xml:space="preserve">; </w:t>
      </w:r>
      <w:proofErr w:type="spellStart"/>
      <w:r w:rsidR="00F519E1" w:rsidRPr="00A86898">
        <w:rPr>
          <w:color w:val="auto"/>
        </w:rPr>
        <w:t>SPy</w:t>
      </w:r>
      <w:proofErr w:type="spellEnd"/>
      <w:r w:rsidR="00F519E1" w:rsidRPr="00A86898">
        <w:rPr>
          <w:color w:val="auto"/>
        </w:rPr>
        <w:t xml:space="preserve">, stratum </w:t>
      </w:r>
      <w:proofErr w:type="spellStart"/>
      <w:r w:rsidR="00F519E1" w:rsidRPr="00A86898">
        <w:rPr>
          <w:color w:val="auto"/>
        </w:rPr>
        <w:t>pyramidale</w:t>
      </w:r>
      <w:proofErr w:type="spellEnd"/>
      <w:r w:rsidR="00F519E1" w:rsidRPr="00A86898">
        <w:rPr>
          <w:color w:val="auto"/>
        </w:rPr>
        <w:t xml:space="preserve">; </w:t>
      </w:r>
      <w:proofErr w:type="spellStart"/>
      <w:r w:rsidR="00F519E1" w:rsidRPr="00A86898">
        <w:rPr>
          <w:color w:val="auto"/>
        </w:rPr>
        <w:t>SLu</w:t>
      </w:r>
      <w:proofErr w:type="spellEnd"/>
      <w:r w:rsidR="00F519E1" w:rsidRPr="00A86898">
        <w:rPr>
          <w:color w:val="auto"/>
        </w:rPr>
        <w:t xml:space="preserve">, stratum lucidum; SR, stratum </w:t>
      </w:r>
      <w:proofErr w:type="spellStart"/>
      <w:r w:rsidR="00F519E1" w:rsidRPr="00A86898">
        <w:rPr>
          <w:color w:val="auto"/>
        </w:rPr>
        <w:t>radiatum</w:t>
      </w:r>
      <w:proofErr w:type="spellEnd"/>
      <w:r w:rsidR="00F519E1" w:rsidRPr="00A86898">
        <w:rPr>
          <w:color w:val="auto"/>
        </w:rPr>
        <w:t xml:space="preserve">; SLM, stratum </w:t>
      </w:r>
      <w:proofErr w:type="spellStart"/>
      <w:r w:rsidR="00F519E1" w:rsidRPr="00A86898">
        <w:rPr>
          <w:color w:val="auto"/>
        </w:rPr>
        <w:t>lacunosum-moleculare</w:t>
      </w:r>
      <w:proofErr w:type="spellEnd"/>
      <w:r w:rsidR="00F519E1" w:rsidRPr="00A86898">
        <w:rPr>
          <w:color w:val="auto"/>
        </w:rPr>
        <w:t xml:space="preserve">. Scale bar = 500 </w:t>
      </w:r>
      <w:r w:rsidR="000307A6">
        <w:rPr>
          <w:color w:val="auto"/>
        </w:rPr>
        <w:t>µ</w:t>
      </w:r>
      <w:r w:rsidR="00F519E1" w:rsidRPr="00A86898">
        <w:rPr>
          <w:color w:val="auto"/>
        </w:rPr>
        <w:t>m</w:t>
      </w:r>
      <w:r w:rsidR="00B03E94" w:rsidRPr="00A86898">
        <w:rPr>
          <w:color w:val="auto"/>
        </w:rPr>
        <w:t>.</w:t>
      </w:r>
      <w:r w:rsidR="000955E6" w:rsidRPr="00A86898">
        <w:rPr>
          <w:color w:val="auto"/>
        </w:rPr>
        <w:t xml:space="preserve"> Black dots represent single data points. Bars show the mean ± SEM. </w:t>
      </w:r>
      <w:r w:rsidR="005C1060" w:rsidRPr="00A86898">
        <w:rPr>
          <w:color w:val="auto"/>
        </w:rPr>
        <w:t xml:space="preserve">This figure has been modified from </w:t>
      </w:r>
      <w:proofErr w:type="spellStart"/>
      <w:r w:rsidR="005C1060" w:rsidRPr="00A86898">
        <w:rPr>
          <w:color w:val="auto"/>
        </w:rPr>
        <w:t>Wallrafen</w:t>
      </w:r>
      <w:proofErr w:type="spellEnd"/>
      <w:r w:rsidR="005C1060" w:rsidRPr="00A86898">
        <w:rPr>
          <w:color w:val="auto"/>
        </w:rPr>
        <w:t xml:space="preserve"> and Dresbach</w:t>
      </w:r>
      <w:r w:rsidR="005C1060" w:rsidRPr="00A86898">
        <w:rPr>
          <w:rStyle w:val="FootnoteReference"/>
          <w:color w:val="auto"/>
        </w:rPr>
        <w:fldChar w:fldCharType="begin" w:fldLock="1"/>
      </w:r>
      <w:r w:rsidR="00F715D6" w:rsidRPr="00A86898">
        <w:rPr>
          <w:color w:val="auto"/>
        </w:rPr>
        <w:instrText>ADDIN CSL_CITATION { "citationItems" : [ { "id" : "ITEM-1", "itemData" : { "DOI" : "10.3389/fnana.2018.00058", "ISSN" : "1662-5129", "abstract" : "The assembly and function of presynaptic nerve terminals relies on evolutionarily conserved proteins. A small number of presynaptic proteins occurs only in vertebrates. These proteins may add specialized functions to certain synapses, thus increasing synaptic heterogeneity. Here, we show that the vertebrate-specific synaptic vesicle protein mover is differentially distributed in the forebrain and cerebellum of the adult mouse. Using a quantitative immunofluorescence approach, we compare the expression of mover to the expression of the general synaptic vesicle marker synaptophysin in sixteen brain areas. We find that mover is particularly abundant in the septal nuclei, ventral pallidum, amygdala and hippocampus. Within the hippocampus, mover is predominantly associated with excitatory synapses. Its levels are low in layers that receive afferent input from the entorhinal cortex, and high in layers harboring intra-hippocampal circuits. In contrast, mover levels are high in all nuclei of the amygdala, and mover is associated with inhibitory synapses in the medioposterior amygdala. Our data reveal a striking heterogeneity in the abundance of mover on three levels, i.e. between brain areas, within individual brain areas and between synapse types. This distribution suggests a role for mover in providing specialization to subsets of synapses, thereby contributing to the functional diversity of brain areas.", "author" : [ { "dropping-particle" : "", "family" : "Wallrafen", "given" : "Rebecca", "non-dropping-particle" : "", "parse-names" : false, "suffix" : "" }, { "dropping-particle" : "", "family" : "Dresbach", "given" : "Thomas", "non-dropping-particle" : "", "parse-names" : false, "suffix" : "" } ], "container-title" : "Frontiers in Neuroanatomy", "id" : "ITEM-1", "issued" : { "date-parts" : [ [ "2018", "7" ] ] }, "page" : "58", "publisher" : "Frontiers", "title" : "The Presynaptic Protein Mover Is Differentially Expressed Across Brain Areas and Synapse Types", "type" : "article-journal", "volume" : "12" }, "uris" : [ "http://www.mendeley.com/documents/?uuid=d60ec59c-3d37-4889-9839-a7fa05ae431a", "http://www.mendeley.com/documents/?uuid=6ec9b6b2-6bcf-444a-875f-d8fe60481751" ] } ], "mendeley" : { "formattedCitation" : "&lt;sup&gt;1&lt;/sup&gt;", "plainTextFormattedCitation" : "1", "previouslyFormattedCitation" : "&lt;sup&gt;1&lt;/sup&gt;" }, "properties" : { "noteIndex" : 0 }, "schema" : "https://github.com/citation-style-language/schema/raw/master/csl-citation.json" }</w:instrText>
      </w:r>
      <w:r w:rsidR="005C1060" w:rsidRPr="00A86898">
        <w:rPr>
          <w:rStyle w:val="FootnoteReference"/>
          <w:color w:val="auto"/>
        </w:rPr>
        <w:fldChar w:fldCharType="separate"/>
      </w:r>
      <w:r w:rsidR="005C1060" w:rsidRPr="00A86898">
        <w:rPr>
          <w:color w:val="auto"/>
          <w:vertAlign w:val="superscript"/>
        </w:rPr>
        <w:t>1</w:t>
      </w:r>
      <w:r w:rsidR="005C1060" w:rsidRPr="00A86898">
        <w:rPr>
          <w:rStyle w:val="FootnoteReference"/>
          <w:color w:val="auto"/>
        </w:rPr>
        <w:fldChar w:fldCharType="end"/>
      </w:r>
      <w:r w:rsidR="00D776C9">
        <w:rPr>
          <w:color w:val="auto"/>
        </w:rPr>
        <w:t>.</w:t>
      </w:r>
    </w:p>
    <w:p w14:paraId="2DDF1050" w14:textId="77777777" w:rsidR="005C1060" w:rsidRPr="00A86898" w:rsidRDefault="005C1060" w:rsidP="005A4ED4">
      <w:pPr>
        <w:widowControl/>
        <w:rPr>
          <w:color w:val="auto"/>
        </w:rPr>
      </w:pPr>
    </w:p>
    <w:p w14:paraId="7D955EA7" w14:textId="15118DC2" w:rsidR="00F519E1" w:rsidRPr="001D38CE" w:rsidRDefault="005A4ED4" w:rsidP="005A4ED4">
      <w:pPr>
        <w:widowControl/>
        <w:rPr>
          <w:b/>
          <w:color w:val="auto"/>
        </w:rPr>
      </w:pPr>
      <w:r w:rsidRPr="001D38CE">
        <w:rPr>
          <w:b/>
          <w:color w:val="auto"/>
        </w:rPr>
        <w:t>Table 1</w:t>
      </w:r>
      <w:r w:rsidR="00F519E1" w:rsidRPr="001D38CE">
        <w:rPr>
          <w:b/>
          <w:color w:val="auto"/>
        </w:rPr>
        <w:t>: Solutions used in this protocol</w:t>
      </w:r>
      <w:r w:rsidR="008A0EAE" w:rsidRPr="001D38CE">
        <w:rPr>
          <w:b/>
          <w:color w:val="auto"/>
        </w:rPr>
        <w:t>.</w:t>
      </w:r>
    </w:p>
    <w:p w14:paraId="665D15F1" w14:textId="77777777" w:rsidR="00F519E1" w:rsidRPr="00A86898" w:rsidRDefault="00F519E1" w:rsidP="005A4ED4">
      <w:pPr>
        <w:widowControl/>
        <w:rPr>
          <w:color w:val="auto"/>
        </w:rPr>
      </w:pPr>
    </w:p>
    <w:p w14:paraId="1C1FA056" w14:textId="121A9738" w:rsidR="00F519E1" w:rsidRPr="001D38CE" w:rsidRDefault="005A4ED4" w:rsidP="005A4ED4">
      <w:pPr>
        <w:widowControl/>
        <w:rPr>
          <w:b/>
          <w:color w:val="auto"/>
        </w:rPr>
      </w:pPr>
      <w:r w:rsidRPr="001D38CE">
        <w:rPr>
          <w:b/>
          <w:color w:val="auto"/>
        </w:rPr>
        <w:t>Table 2</w:t>
      </w:r>
      <w:r w:rsidR="00F519E1" w:rsidRPr="001D38CE">
        <w:rPr>
          <w:b/>
          <w:color w:val="auto"/>
        </w:rPr>
        <w:t>: Antibodies used in this protocol</w:t>
      </w:r>
      <w:r w:rsidR="008A0EAE" w:rsidRPr="001D38CE">
        <w:rPr>
          <w:b/>
          <w:color w:val="auto"/>
        </w:rPr>
        <w:t>.</w:t>
      </w:r>
    </w:p>
    <w:p w14:paraId="08873698" w14:textId="77777777" w:rsidR="00A74385" w:rsidRPr="00A86898" w:rsidRDefault="00A74385" w:rsidP="005A4ED4">
      <w:pPr>
        <w:widowControl/>
        <w:rPr>
          <w:color w:val="auto"/>
        </w:rPr>
      </w:pPr>
    </w:p>
    <w:p w14:paraId="4646097C" w14:textId="1A60D0F8" w:rsidR="00A74385" w:rsidRPr="001D38CE" w:rsidRDefault="005A4ED4" w:rsidP="005A4ED4">
      <w:pPr>
        <w:widowControl/>
        <w:rPr>
          <w:b/>
          <w:color w:val="auto"/>
        </w:rPr>
      </w:pPr>
      <w:r w:rsidRPr="001D38CE">
        <w:rPr>
          <w:b/>
          <w:color w:val="auto"/>
        </w:rPr>
        <w:t>Table 3</w:t>
      </w:r>
      <w:r w:rsidR="00A74385" w:rsidRPr="001D38CE">
        <w:rPr>
          <w:b/>
          <w:color w:val="auto"/>
        </w:rPr>
        <w:t>: Example of data handling</w:t>
      </w:r>
      <w:r w:rsidR="008A0EAE" w:rsidRPr="001D38CE">
        <w:rPr>
          <w:b/>
          <w:color w:val="auto"/>
        </w:rPr>
        <w:t>.</w:t>
      </w:r>
    </w:p>
    <w:p w14:paraId="75182EC3" w14:textId="13D8CE6B" w:rsidR="00B32616" w:rsidRPr="00A86898" w:rsidRDefault="00B32616" w:rsidP="005A4ED4">
      <w:pPr>
        <w:widowControl/>
        <w:rPr>
          <w:color w:val="auto"/>
        </w:rPr>
      </w:pPr>
    </w:p>
    <w:p w14:paraId="14BBABDE" w14:textId="12AD9062" w:rsidR="00517AD8" w:rsidRPr="00A86898" w:rsidRDefault="006305D7" w:rsidP="005A4ED4">
      <w:pPr>
        <w:widowControl/>
        <w:rPr>
          <w:b/>
          <w:bCs/>
          <w:color w:val="auto"/>
        </w:rPr>
      </w:pPr>
      <w:r w:rsidRPr="00A86898">
        <w:rPr>
          <w:b/>
          <w:color w:val="auto"/>
        </w:rPr>
        <w:t>DISCUSSION</w:t>
      </w:r>
      <w:r w:rsidRPr="00A86898">
        <w:rPr>
          <w:b/>
          <w:bCs/>
          <w:color w:val="auto"/>
        </w:rPr>
        <w:t>:</w:t>
      </w:r>
    </w:p>
    <w:p w14:paraId="6A9FC1CA" w14:textId="5060A0B7" w:rsidR="00877EC4" w:rsidRPr="00A86898" w:rsidRDefault="00517AD8" w:rsidP="005A4ED4">
      <w:pPr>
        <w:widowControl/>
        <w:rPr>
          <w:bCs/>
          <w:color w:val="auto"/>
        </w:rPr>
      </w:pPr>
      <w:r w:rsidRPr="00A86898">
        <w:rPr>
          <w:bCs/>
          <w:color w:val="auto"/>
        </w:rPr>
        <w:t>The method presented here aims at quantifying the distribution of a protein of interest relative to the abunda</w:t>
      </w:r>
      <w:r w:rsidR="00C34049" w:rsidRPr="00A86898">
        <w:rPr>
          <w:bCs/>
          <w:color w:val="auto"/>
        </w:rPr>
        <w:t xml:space="preserve">nce of a marker protein with a </w:t>
      </w:r>
      <w:r w:rsidRPr="00A86898">
        <w:rPr>
          <w:bCs/>
          <w:color w:val="auto"/>
        </w:rPr>
        <w:t xml:space="preserve">known distribution. </w:t>
      </w:r>
      <w:r w:rsidR="00F715D6" w:rsidRPr="00A86898">
        <w:rPr>
          <w:color w:val="auto"/>
        </w:rPr>
        <w:t>Immunofluorescence staining can show a high variability of staining intensities between different slices. The quantification approach described here circumvents this problem by determining the ratio of the protein of interest to the average across the hemisphere. Therefore, different staining intensities across slices are cancelled out and allow for a quantitative description.</w:t>
      </w:r>
    </w:p>
    <w:p w14:paraId="0A3F119F" w14:textId="77777777" w:rsidR="00877EC4" w:rsidRPr="00A86898" w:rsidRDefault="00877EC4" w:rsidP="005A4ED4">
      <w:pPr>
        <w:widowControl/>
        <w:rPr>
          <w:bCs/>
          <w:color w:val="auto"/>
        </w:rPr>
      </w:pPr>
    </w:p>
    <w:p w14:paraId="51029321" w14:textId="716FD0FD" w:rsidR="00877EC4" w:rsidRPr="00A86898" w:rsidRDefault="00517AD8" w:rsidP="005A4ED4">
      <w:pPr>
        <w:widowControl/>
        <w:rPr>
          <w:bCs/>
          <w:color w:val="auto"/>
        </w:rPr>
      </w:pPr>
      <w:r w:rsidRPr="00A86898">
        <w:rPr>
          <w:bCs/>
          <w:color w:val="auto"/>
        </w:rPr>
        <w:t>As with every immunofluorescence protocol, qualitative or quantitative, several factors can influence the success and thereby confound the analysis.</w:t>
      </w:r>
      <w:r w:rsidR="00AA4F3B" w:rsidRPr="00A86898">
        <w:rPr>
          <w:bCs/>
          <w:color w:val="auto"/>
        </w:rPr>
        <w:t xml:space="preserve"> Therefore, special attention should be paid to critical steps of the protocol. First, a</w:t>
      </w:r>
      <w:r w:rsidRPr="00A86898">
        <w:rPr>
          <w:bCs/>
          <w:color w:val="auto"/>
        </w:rPr>
        <w:t xml:space="preserve"> proper fixation of the tissue is needed. This fixation can usually be achieved by a successful transcardial perfusion. The qua</w:t>
      </w:r>
      <w:r w:rsidR="00C34049" w:rsidRPr="00A86898">
        <w:rPr>
          <w:bCs/>
          <w:color w:val="auto"/>
        </w:rPr>
        <w:t>lity of perfusion can be verified</w:t>
      </w:r>
      <w:r w:rsidRPr="00A86898">
        <w:rPr>
          <w:bCs/>
          <w:color w:val="auto"/>
        </w:rPr>
        <w:t xml:space="preserve"> by checking the liver shortly after washing out the blood. </w:t>
      </w:r>
      <w:r w:rsidR="007A6441" w:rsidRPr="00A86898">
        <w:rPr>
          <w:bCs/>
          <w:color w:val="auto"/>
        </w:rPr>
        <w:t>A first indicator for a successful perfusion is the clearing of the liver and extremities</w:t>
      </w:r>
      <w:r w:rsidR="00D86FB3" w:rsidRPr="00A86898">
        <w:rPr>
          <w:rStyle w:val="FootnoteReference"/>
          <w:bCs/>
          <w:color w:val="auto"/>
        </w:rPr>
        <w:fldChar w:fldCharType="begin" w:fldLock="1"/>
      </w:r>
      <w:r w:rsidR="003C15BB" w:rsidRPr="00A86898">
        <w:rPr>
          <w:bCs/>
          <w:color w:val="auto"/>
        </w:rPr>
        <w:instrText>ADDIN CSL_CITATION { "citationItems" : [ { "id" : "ITEM-1", "itemData" : { "DOI" : "10.3791/3564", "author" : [ { "dropping-particle" : "", "family" : "Gage", "given" : "Gregory J", "non-dropping-particle" : "", "parse-names" : false, "suffix" : "" }, { "dropping-particle" : "", "family" : "Kipke", "given" : "Daryl R", "non-dropping-particle" : "", "parse-names" : false, "suffix" : "" }, { "dropping-particle" : "", "family" : "Shain", "given" : "William", "non-dropping-particle" : "", "parse-names" : false, "suffix" : "" } ], "container-title" : "Journal of Visualized Experiments", "id" : "ITEM-1", "issue" : "July", "issued" : { "date-parts" : [ [ "2012" ] ] }, "page" : "1-9", "title" : "Whole Animal Perfusion Fixation for Rodents", "type" : "article-journal" }, "uris" : [ "http://www.mendeley.com/documents/?uuid=e774b952-45fa-4d23-bfa8-5312751c6669", "http://www.mendeley.com/documents/?uuid=475f9e93-ad4d-4151-9fd0-bfa26a23afee" ] } ], "mendeley" : { "formattedCitation" : "&lt;sup&gt;28&lt;/sup&gt;", "plainTextFormattedCitation" : "28", "previouslyFormattedCitation" : "&lt;sup&gt;28&lt;/sup&gt;" }, "properties" : { "noteIndex" : 0 }, "schema" : "https://github.com/citation-style-language/schema/raw/master/csl-citation.json" }</w:instrText>
      </w:r>
      <w:r w:rsidR="00D86FB3" w:rsidRPr="00A86898">
        <w:rPr>
          <w:rStyle w:val="FootnoteReference"/>
          <w:bCs/>
          <w:color w:val="auto"/>
        </w:rPr>
        <w:fldChar w:fldCharType="separate"/>
      </w:r>
      <w:r w:rsidR="003C15BB" w:rsidRPr="00A86898">
        <w:rPr>
          <w:bCs/>
          <w:color w:val="auto"/>
          <w:vertAlign w:val="superscript"/>
        </w:rPr>
        <w:t>28</w:t>
      </w:r>
      <w:r w:rsidR="00D86FB3" w:rsidRPr="00A86898">
        <w:rPr>
          <w:rStyle w:val="FootnoteReference"/>
          <w:bCs/>
          <w:color w:val="auto"/>
        </w:rPr>
        <w:fldChar w:fldCharType="end"/>
      </w:r>
      <w:r w:rsidRPr="00A86898">
        <w:rPr>
          <w:bCs/>
          <w:color w:val="auto"/>
        </w:rPr>
        <w:t xml:space="preserve">. </w:t>
      </w:r>
      <w:r w:rsidR="007A6441" w:rsidRPr="00A86898">
        <w:rPr>
          <w:bCs/>
          <w:color w:val="auto"/>
        </w:rPr>
        <w:t xml:space="preserve">The presence of </w:t>
      </w:r>
      <w:r w:rsidRPr="00A86898">
        <w:rPr>
          <w:bCs/>
          <w:color w:val="auto"/>
        </w:rPr>
        <w:t>blood clots</w:t>
      </w:r>
      <w:r w:rsidR="007A6441" w:rsidRPr="00A86898">
        <w:rPr>
          <w:bCs/>
          <w:color w:val="auto"/>
        </w:rPr>
        <w:t xml:space="preserve"> can indicate that t</w:t>
      </w:r>
      <w:r w:rsidRPr="00A86898">
        <w:rPr>
          <w:bCs/>
          <w:color w:val="auto"/>
        </w:rPr>
        <w:t xml:space="preserve">he perfusion might have been too slow and should be performed faster next time. </w:t>
      </w:r>
      <w:r w:rsidR="00703A12" w:rsidRPr="00A86898">
        <w:rPr>
          <w:bCs/>
          <w:color w:val="auto"/>
        </w:rPr>
        <w:t>S</w:t>
      </w:r>
      <w:r w:rsidR="000B5C8A" w:rsidRPr="00A86898">
        <w:rPr>
          <w:bCs/>
          <w:color w:val="auto"/>
        </w:rPr>
        <w:t>ome proteins require different fixation protocols, as chemical fixation with PFA can cause epitope blockage</w:t>
      </w:r>
      <w:r w:rsidR="000B5C8A" w:rsidRPr="00A86898">
        <w:rPr>
          <w:rStyle w:val="FootnoteReference"/>
          <w:bCs/>
          <w:color w:val="auto"/>
        </w:rPr>
        <w:fldChar w:fldCharType="begin" w:fldLock="1"/>
      </w:r>
      <w:r w:rsidR="003C15BB" w:rsidRPr="00A86898">
        <w:rPr>
          <w:bCs/>
          <w:color w:val="auto"/>
        </w:rPr>
        <w:instrText>ADDIN CSL_CITATION { "citationItems" : [ { "id" : "ITEM-1", "itemData" : { "DOI" : "10.1038/nprot.2006.265", "author" : [ { "dropping-particle" : "", "family" : "Schneider Gasser", "given" : "Edith M", "non-dropping-particle" : "", "parse-names" : false, "suffix" : "" }, { "dropping-particle" : "", "family" : "Straub", "given" : "Carolin J", "non-dropping-particle" : "", "parse-names" : false, "suffix" : "" }, { "dropping-particle" : "", "family" : "Panzanelli", "given" : "Patrizia", "non-dropping-particle" : "", "parse-names" : false, "suffix" : "" }, { "dropping-particle" : "", "family" : "Weinmann", "given" : "Oliver", "non-dropping-particle" : "", "parse-names" : false, "suffix" : "" }, { "dropping-particle" : "", "family" : "Fritschy", "given" : "Jean-marc", "non-dropping-particle" : "", "parse-names" : false, "suffix" : "" }, { "dropping-particle" : "", "family" : "Sassoe", "given" : "Marco", "non-dropping-particle" : "", "parse-names" : false, "suffix" : "" } ], "container-title" : "Nature Protocols", "id" : "ITEM-1", "issue" : "4", "issued" : { "date-parts" : [ [ "2006" ] ] }, "page" : "1887-1897", "title" : "Immunofluorescence in brain sections : simultaneous detection of presynaptic and postsynaptic proteins in identified neurons", "type" : "article-journal", "volume" : "1" }, "uris" : [ "http://www.mendeley.com/documents/?uuid=f50f0c20-8c3c-4786-8a27-7715f07730ba", "http://www.mendeley.com/documents/?uuid=3737ad23-b086-4795-b206-cd2bd5420c7c" ] } ], "mendeley" : { "formattedCitation" : "&lt;sup&gt;30&lt;/sup&gt;", "plainTextFormattedCitation" : "30", "previouslyFormattedCitation" : "&lt;sup&gt;30&lt;/sup&gt;" }, "properties" : { "noteIndex" : 0 }, "schema" : "https://github.com/citation-style-language/schema/raw/master/csl-citation.json" }</w:instrText>
      </w:r>
      <w:r w:rsidR="000B5C8A" w:rsidRPr="00A86898">
        <w:rPr>
          <w:rStyle w:val="FootnoteReference"/>
          <w:bCs/>
          <w:color w:val="auto"/>
        </w:rPr>
        <w:fldChar w:fldCharType="separate"/>
      </w:r>
      <w:r w:rsidR="003C15BB" w:rsidRPr="00A86898">
        <w:rPr>
          <w:bCs/>
          <w:color w:val="auto"/>
          <w:vertAlign w:val="superscript"/>
        </w:rPr>
        <w:t>30</w:t>
      </w:r>
      <w:r w:rsidR="000B5C8A" w:rsidRPr="00A86898">
        <w:rPr>
          <w:rStyle w:val="FootnoteReference"/>
          <w:bCs/>
          <w:color w:val="auto"/>
        </w:rPr>
        <w:fldChar w:fldCharType="end"/>
      </w:r>
      <w:r w:rsidR="000B5C8A" w:rsidRPr="00A86898">
        <w:rPr>
          <w:bCs/>
          <w:color w:val="auto"/>
        </w:rPr>
        <w:t xml:space="preserve">. In this case, freeze fixation or fixation with a different chemical, such as methanol, should be considered. </w:t>
      </w:r>
      <w:r w:rsidR="00AA4F3B" w:rsidRPr="00A86898">
        <w:rPr>
          <w:bCs/>
          <w:color w:val="auto"/>
        </w:rPr>
        <w:t>Second, a</w:t>
      </w:r>
      <w:r w:rsidRPr="00A86898">
        <w:rPr>
          <w:bCs/>
          <w:color w:val="auto"/>
        </w:rPr>
        <w:t xml:space="preserve">fter sectioning, </w:t>
      </w:r>
      <w:r w:rsidR="000B5C8A" w:rsidRPr="00A86898">
        <w:rPr>
          <w:bCs/>
          <w:color w:val="auto"/>
        </w:rPr>
        <w:t xml:space="preserve">it is critical to stain </w:t>
      </w:r>
      <w:r w:rsidRPr="00A86898">
        <w:rPr>
          <w:bCs/>
          <w:color w:val="auto"/>
        </w:rPr>
        <w:t>the brain slices as quickly as possible, preferably on the same or the next say. Longer storage in PB can lead to bacterial infection, and while adding NaN</w:t>
      </w:r>
      <w:r w:rsidRPr="00A86898">
        <w:rPr>
          <w:bCs/>
          <w:color w:val="auto"/>
          <w:vertAlign w:val="subscript"/>
        </w:rPr>
        <w:t>3</w:t>
      </w:r>
      <w:r w:rsidRPr="00A86898">
        <w:rPr>
          <w:bCs/>
          <w:color w:val="auto"/>
        </w:rPr>
        <w:t xml:space="preserve"> can prevent this to some extent, the tissue quality usually </w:t>
      </w:r>
      <w:r w:rsidR="00703A12" w:rsidRPr="00A86898">
        <w:rPr>
          <w:bCs/>
          <w:color w:val="auto"/>
        </w:rPr>
        <w:t xml:space="preserve">deteriorates with storage time. </w:t>
      </w:r>
      <w:r w:rsidR="00AA4F3B" w:rsidRPr="00A86898">
        <w:rPr>
          <w:bCs/>
          <w:color w:val="auto"/>
        </w:rPr>
        <w:t>Third, d</w:t>
      </w:r>
      <w:r w:rsidR="000B5C8A" w:rsidRPr="00A86898">
        <w:rPr>
          <w:bCs/>
          <w:color w:val="auto"/>
        </w:rPr>
        <w:t xml:space="preserve">uring the staining procedure, it is important to </w:t>
      </w:r>
      <w:r w:rsidR="000B5C8A" w:rsidRPr="00A86898">
        <w:rPr>
          <w:bCs/>
          <w:color w:val="auto"/>
        </w:rPr>
        <w:lastRenderedPageBreak/>
        <w:t xml:space="preserve">perform washing steps well-by-well to avoid drying of the slices. </w:t>
      </w:r>
      <w:r w:rsidR="00AA4F3B" w:rsidRPr="00A86898">
        <w:rPr>
          <w:bCs/>
          <w:color w:val="auto"/>
        </w:rPr>
        <w:t>When the slices dry out, background fluorescence can increase and thus cause a bias in the analysis. Fourth, a</w:t>
      </w:r>
      <w:r w:rsidR="000B5C8A" w:rsidRPr="00A86898">
        <w:rPr>
          <w:bCs/>
          <w:color w:val="auto"/>
        </w:rPr>
        <w:t>fter application of the secondary antibody, it is vital to perform all following steps in the dark. The fluorophores are light-sensitive, and light exposure can severely distort the fluorescence signal.</w:t>
      </w:r>
      <w:r w:rsidR="00076CCD" w:rsidRPr="00A86898">
        <w:rPr>
          <w:bCs/>
          <w:color w:val="auto"/>
        </w:rPr>
        <w:t xml:space="preserve"> </w:t>
      </w:r>
    </w:p>
    <w:p w14:paraId="07D495F0" w14:textId="77777777" w:rsidR="004727B4" w:rsidRPr="00A86898" w:rsidRDefault="004727B4" w:rsidP="005A4ED4">
      <w:pPr>
        <w:widowControl/>
        <w:rPr>
          <w:bCs/>
          <w:color w:val="auto"/>
        </w:rPr>
      </w:pPr>
    </w:p>
    <w:p w14:paraId="487B7709" w14:textId="47A1B48A" w:rsidR="00BD5F89" w:rsidRPr="00A86898" w:rsidRDefault="000B5C8A" w:rsidP="005A4ED4">
      <w:pPr>
        <w:widowControl/>
        <w:rPr>
          <w:bCs/>
          <w:color w:val="auto"/>
        </w:rPr>
      </w:pPr>
      <w:r w:rsidRPr="00A86898">
        <w:rPr>
          <w:color w:val="auto"/>
        </w:rPr>
        <w:t xml:space="preserve">The optimization of the staining procedure, including the selection of adequate primary and secondary antibodies, optimal antibody concentration, and exposition time, is a prerequisite to achieve the best signal-to-noise ratio and to carry out a reliable quantitative immunofluorescence analysis. </w:t>
      </w:r>
      <w:r w:rsidRPr="00A86898">
        <w:rPr>
          <w:bCs/>
          <w:color w:val="auto"/>
        </w:rPr>
        <w:t>Antibodies verified in knock out tissue should be the preferred choi</w:t>
      </w:r>
      <w:r w:rsidR="00877EC4" w:rsidRPr="00A86898">
        <w:rPr>
          <w:bCs/>
          <w:color w:val="auto"/>
        </w:rPr>
        <w:t>ce, albeit not always available</w:t>
      </w:r>
      <w:r w:rsidRPr="00A86898">
        <w:rPr>
          <w:bCs/>
          <w:color w:val="auto"/>
        </w:rPr>
        <w:t xml:space="preserve">. Always make sure to perform proper control experiments to exclude crosstalk between different antibodies. </w:t>
      </w:r>
      <w:r w:rsidR="004727B4" w:rsidRPr="00A86898">
        <w:rPr>
          <w:bCs/>
          <w:color w:val="auto"/>
        </w:rPr>
        <w:t xml:space="preserve">The amount of background fluorescence arising from autofluorescence and unspecific binding of the secondary antibody can be estimated by imaging the slices in which the primary antibody was not applied. It is not trivial to establish how much higher the intensities of the signal need to be when compared to the background to have an acceptable signal-to-noise ratio. However, based on empirical observations, the authors would suggest </w:t>
      </w:r>
      <w:r w:rsidR="008E00E2" w:rsidRPr="00A86898">
        <w:rPr>
          <w:bCs/>
          <w:color w:val="auto"/>
        </w:rPr>
        <w:t>aiming</w:t>
      </w:r>
      <w:r w:rsidR="004727B4" w:rsidRPr="00A86898">
        <w:rPr>
          <w:bCs/>
          <w:color w:val="auto"/>
        </w:rPr>
        <w:t xml:space="preserve"> for having a signal at least 2-fold stronger than background </w:t>
      </w:r>
      <w:proofErr w:type="gramStart"/>
      <w:r w:rsidR="004727B4" w:rsidRPr="00A86898">
        <w:rPr>
          <w:bCs/>
          <w:color w:val="auto"/>
        </w:rPr>
        <w:t>in order to</w:t>
      </w:r>
      <w:proofErr w:type="gramEnd"/>
      <w:r w:rsidR="004727B4" w:rsidRPr="00A86898">
        <w:rPr>
          <w:bCs/>
          <w:color w:val="auto"/>
        </w:rPr>
        <w:t xml:space="preserve"> reliably estimate the protein distribution. In case the background fluorescence is high in control conditions (without the presence of the primary antibody)</w:t>
      </w:r>
      <w:r w:rsidR="008E00E2">
        <w:rPr>
          <w:bCs/>
          <w:color w:val="auto"/>
        </w:rPr>
        <w:t>,</w:t>
      </w:r>
      <w:r w:rsidR="004727B4" w:rsidRPr="00A86898">
        <w:rPr>
          <w:bCs/>
          <w:color w:val="auto"/>
        </w:rPr>
        <w:t xml:space="preserve"> the average background fluorescence should be subtracted from the experiment images. </w:t>
      </w:r>
    </w:p>
    <w:p w14:paraId="6DDDD9BD" w14:textId="72F70AB6" w:rsidR="00AD04CE" w:rsidRPr="00A86898" w:rsidRDefault="00AD04CE" w:rsidP="005A4ED4">
      <w:pPr>
        <w:widowControl/>
        <w:rPr>
          <w:bCs/>
          <w:color w:val="auto"/>
        </w:rPr>
      </w:pPr>
    </w:p>
    <w:p w14:paraId="0A62ED6B" w14:textId="737A2C6D" w:rsidR="00AD04CE" w:rsidRPr="00A86898" w:rsidRDefault="00AA4F3B" w:rsidP="005A4ED4">
      <w:pPr>
        <w:widowControl/>
        <w:rPr>
          <w:color w:val="auto"/>
        </w:rPr>
      </w:pPr>
      <w:r w:rsidRPr="00A86898">
        <w:rPr>
          <w:color w:val="auto"/>
        </w:rPr>
        <w:t>The major advantage of our approach is its internal reference: the immunofluorescence intensity of the target protein (</w:t>
      </w:r>
      <w:r w:rsidR="005A4ED4" w:rsidRPr="00A86898">
        <w:rPr>
          <w:i/>
          <w:color w:val="auto"/>
        </w:rPr>
        <w:t>i.e.</w:t>
      </w:r>
      <w:r w:rsidR="005A4ED4" w:rsidRPr="006D6454">
        <w:rPr>
          <w:color w:val="auto"/>
        </w:rPr>
        <w:t>,</w:t>
      </w:r>
      <w:r w:rsidRPr="00A86898">
        <w:rPr>
          <w:color w:val="auto"/>
        </w:rPr>
        <w:t xml:space="preserve"> Mover) in a region of interest is compared to a reference marker (</w:t>
      </w:r>
      <w:r w:rsidR="005A4ED4" w:rsidRPr="00A86898">
        <w:rPr>
          <w:i/>
          <w:color w:val="auto"/>
        </w:rPr>
        <w:t>i.e.</w:t>
      </w:r>
      <w:r w:rsidR="005A4ED4" w:rsidRPr="006D6454">
        <w:rPr>
          <w:color w:val="auto"/>
        </w:rPr>
        <w:t>,</w:t>
      </w:r>
      <w:r w:rsidRPr="00A86898">
        <w:rPr>
          <w:color w:val="auto"/>
        </w:rPr>
        <w:t xml:space="preserve"> </w:t>
      </w:r>
      <w:r w:rsidR="00997EEB">
        <w:rPr>
          <w:color w:val="auto"/>
        </w:rPr>
        <w:t>s</w:t>
      </w:r>
      <w:r w:rsidRPr="00A86898">
        <w:rPr>
          <w:color w:val="auto"/>
        </w:rPr>
        <w:t>ynaptophysin) and to the overall intensity of these proteins across the entire hemisphere. Thus, from the calculation we perform</w:t>
      </w:r>
      <w:r w:rsidR="006D6454">
        <w:rPr>
          <w:color w:val="auto"/>
        </w:rPr>
        <w:t>,</w:t>
      </w:r>
      <w:r w:rsidRPr="00A86898">
        <w:rPr>
          <w:color w:val="auto"/>
        </w:rPr>
        <w:t xml:space="preserve"> one can unequivocally conclude that the abundance of the target protein is x fold higher</w:t>
      </w:r>
      <w:r w:rsidR="005A4ED4" w:rsidRPr="00A86898">
        <w:rPr>
          <w:color w:val="auto"/>
        </w:rPr>
        <w:t>/</w:t>
      </w:r>
      <w:r w:rsidR="006D6454">
        <w:rPr>
          <w:color w:val="auto"/>
        </w:rPr>
        <w:t>l</w:t>
      </w:r>
      <w:r w:rsidRPr="00A86898">
        <w:rPr>
          <w:color w:val="auto"/>
        </w:rPr>
        <w:t>ower in a certain region of interest than the abundance of the reference protein relative to the distribution of the proteins across the entire hemisphere at this level relative to Bregma</w:t>
      </w:r>
      <w:r w:rsidRPr="00A86898">
        <w:rPr>
          <w:rStyle w:val="FootnoteReference"/>
          <w:color w:val="auto"/>
        </w:rPr>
        <w:fldChar w:fldCharType="begin" w:fldLock="1"/>
      </w:r>
      <w:r w:rsidRPr="00A86898">
        <w:rPr>
          <w:color w:val="auto"/>
        </w:rPr>
        <w:instrText>ADDIN CSL_CITATION { "citationItems" : [ { "id" : "ITEM-1", "itemData" : { "ISBN" : "0125476361", "author" : [ { "dropping-particle" : "", "family" : "Paxinos", "given" : "George", "non-dropping-particle" : "", "parse-names" : false, "suffix" : "" }, { "dropping-particle" : "", "family" : "Franklin", "given" : "Keith B J", "non-dropping-particle" : "", "parse-names" : false, "suffix" : "" } ], "edition" : "2nd editio", "id" : "ITEM-1", "issued" : { "date-parts" : [ [ "2001" ] ] }, "publisher" : "ACADEMIC PRESS", "publisher-place" : "San Diego", "title" : "The Mouse Brain in Stereotaxic Coordinates", "type" : "book" }, "uris" : [ "http://www.mendeley.com/documents/?uuid=3d50e3f4-4300-4dbe-b5fd-48379f4b9e88" ] } ], "mendeley" : { "formattedCitation" : "&lt;sup&gt;31&lt;/sup&gt;", "plainTextFormattedCitation" : "31", "previouslyFormattedCitation" : "&lt;sup&gt;31&lt;/sup&gt;" }, "properties" : { "noteIndex" : 0 }, "schema" : "https://github.com/citation-style-language/schema/raw/master/csl-citation.json" }</w:instrText>
      </w:r>
      <w:r w:rsidRPr="00A86898">
        <w:rPr>
          <w:rStyle w:val="FootnoteReference"/>
          <w:color w:val="auto"/>
        </w:rPr>
        <w:fldChar w:fldCharType="separate"/>
      </w:r>
      <w:r w:rsidRPr="00A86898">
        <w:rPr>
          <w:bCs/>
          <w:color w:val="auto"/>
          <w:vertAlign w:val="superscript"/>
        </w:rPr>
        <w:t>31</w:t>
      </w:r>
      <w:r w:rsidRPr="00A86898">
        <w:rPr>
          <w:rStyle w:val="FootnoteReference"/>
          <w:color w:val="auto"/>
        </w:rPr>
        <w:fldChar w:fldCharType="end"/>
      </w:r>
      <w:r w:rsidRPr="00A86898">
        <w:rPr>
          <w:color w:val="auto"/>
        </w:rPr>
        <w:t>. This allows for the comparison of results using different antibodies, different microscopes</w:t>
      </w:r>
      <w:r w:rsidR="006D6454">
        <w:rPr>
          <w:color w:val="auto"/>
        </w:rPr>
        <w:t>,</w:t>
      </w:r>
      <w:r w:rsidRPr="00A86898">
        <w:rPr>
          <w:color w:val="auto"/>
        </w:rPr>
        <w:t xml:space="preserve"> or even across different studies. This consistency across different samples comes from the comparative nature of this method: variability is compensated for by taking the ratio between the fluorescence </w:t>
      </w:r>
      <w:proofErr w:type="gramStart"/>
      <w:r w:rsidRPr="00A86898">
        <w:rPr>
          <w:color w:val="auto"/>
        </w:rPr>
        <w:t>in the area of</w:t>
      </w:r>
      <w:proofErr w:type="gramEnd"/>
      <w:r w:rsidRPr="00A86898">
        <w:rPr>
          <w:color w:val="auto"/>
        </w:rPr>
        <w:t xml:space="preserve"> interest and that of the hemisphere. Therefore, dissimilarities in absolute values arising from technical differences are nullified. </w:t>
      </w:r>
      <w:r w:rsidR="00BD5F89" w:rsidRPr="00A86898">
        <w:rPr>
          <w:color w:val="auto"/>
        </w:rPr>
        <w:t>Another major advantage of this technique is the fact that the areas of interest can be as small as you want them to be,</w:t>
      </w:r>
      <w:r w:rsidR="00233908" w:rsidRPr="00A86898">
        <w:rPr>
          <w:color w:val="auto"/>
        </w:rPr>
        <w:t xml:space="preserve"> only limited by the resolution of the microscope</w:t>
      </w:r>
      <w:r w:rsidR="00BD5F89" w:rsidRPr="00A86898">
        <w:rPr>
          <w:color w:val="auto"/>
        </w:rPr>
        <w:t>. Quantifying protein levels with biochemical methods, for example Western Blot</w:t>
      </w:r>
      <w:r w:rsidR="00F715D6" w:rsidRPr="00A86898">
        <w:rPr>
          <w:color w:val="auto"/>
        </w:rPr>
        <w:t xml:space="preserve"> or mass spectrometry</w:t>
      </w:r>
      <w:r w:rsidR="00D86FB3" w:rsidRPr="00A86898">
        <w:rPr>
          <w:rStyle w:val="FootnoteReference"/>
          <w:color w:val="auto"/>
        </w:rPr>
        <w:fldChar w:fldCharType="begin" w:fldLock="1"/>
      </w:r>
      <w:r w:rsidR="003C15BB" w:rsidRPr="00A86898">
        <w:rPr>
          <w:color w:val="auto"/>
        </w:rPr>
        <w:instrText>ADDIN CSL_CITATION { "citationItems" : [ { "id" : "ITEM-1", "itemData" : { "DOI" : "10.1007/s12033-013-9672-6", "author" : [ { "dropping-particle" : "", "family" : "Taylor", "given" : "Sean C", "non-dropping-particle" : "", "parse-names" : false, "suffix" : "" }, { "dropping-particle" : "", "family" : "Berkelman", "given" : "Thomas", "non-dropping-particle" : "", "parse-names" : false, "suffix" : "" }, { "dropping-particle" : "", "family" : "Yadav", "given" : "Geetha", "non-dropping-particle" : "", "parse-names" : false, "suffix" : "" }, { "dropping-particle" : "", "family" : "Hammond", "given" : "Matt", "non-dropping-particle" : "", "parse-names" : false, "suffix" : "" } ], "id" : "ITEM-1", "issued" : { "date-parts" : [ [ "2013" ] ] }, "title" : "A Defined Methodology for Reliable Quantification of Western Blot Data", "type" : "article-journal" }, "uris" : [ "http://www.mendeley.com/documents/?uuid=e8b052b6-381b-43c0-8914-aa47dfccfea4", "http://www.mendeley.com/documents/?uuid=a89f4456-50ac-478f-a150-7e1272ad81f8" ] }, { "id" : "ITEM-2", "itemData" : { "DOI" : "10.1016/j.jim.2009.12.007", "ISSN" : "0022-1759", "author" : [ { "dropping-particle" : "", "family" : "Charette", "given" : "Steve J", "non-dropping-particle" : "", "parse-names" : false, "suffix" : "" }, { "dropping-particle" : "", "family" : "Lambert", "given" : "Herman", "non-dropping-particle" : "", "parse-names" : false, "suffix" : "" }, { "dropping-particle" : "", "family" : "Nadeau", "given" : "Philippe J", "non-dropping-particle" : "", "parse-names" : false, "suffix" : "" }, { "dropping-particle" : "", "family" : "Landry", "given" : "Jacques", "non-dropping-particle" : "", "parse-names" : false, "suffix" : "" } ], "container-title" : "Journal of Immunological Methods", "id" : "ITEM-2", "issue" : "1-2", "issued" : { "date-parts" : [ [ "2010" ] ] }, "page" : "148-150", "publisher" : "Elsevier B.V.", "title" : "Protein quantification by chemiluminescent Western blotting : Elimination of the antibody factor by dilution series and calibration curve", "type" : "article-journal", "volume" : "353" }, "uris" : [ "http://www.mendeley.com/documents/?uuid=fb800981-afc1-42e0-aa90-af60fe243f51", "http://www.mendeley.com/documents/?uuid=6f8431dd-3462-4c63-983b-8ab05d101f24", "http://www.mendeley.com/documents/?uuid=d0e1aadb-2848-41a3-b54b-b36535af13e8" ] }, { "id" : "ITEM-3", "itemData" : { "DOI" : "10.1016/j.jim.2009.03.018", "ISSN" : "0022-1759", "author" : [ { "dropping-particle" : "", "family" : "Heidebrecht", "given" : "F", "non-dropping-particle" : "", "parse-names" : false, "suffix" : "" }, { "dropping-particle" : "", "family" : "Heidebrecht", "given" : "A", "non-dropping-particle" : "", "parse-names" : false, "suffix" : "" }, { "dropping-particle" : "", "family" : "Schulz", "given" : "I", "non-dropping-particle" : "", "parse-names" : false, "suffix" : "" }, { "dropping-particle" : "", "family" : "Behrens", "given" : "S", "non-dropping-particle" : "", "parse-names" : false, "suffix" : "" }, { "dropping-particle" : "", "family" : "Bader", "given" : "A", "non-dropping-particle" : "", "parse-names" : false, "suffix" : "" } ], "container-title" : "Journal of Immunological Methods", "id" : "ITEM-3", "issue" : "1-2", "issued" : { "date-parts" : [ [ "2009" ] ] }, "page" : "40-48", "publisher" : "Elsevier B.V.", "title" : "Improved semiquantitative Western blot technique with increased quantification range", "type" : "article-journal", "volume" : "345" }, "uris" : [ "http://www.mendeley.com/documents/?uuid=1a5414a9-d9bc-4834-95b1-0def0c8b0bdc", "http://www.mendeley.com/documents/?uuid=c1e829f2-ebf1-41ae-95fb-9c98dfe9199a", "http://www.mendeley.com/documents/?uuid=79a31e67-8071-4562-b92e-d19f032958c7" ] }, { "id" : "ITEM-4", "itemData" : { "DOI" : "10.1038/labinvest.2016.148", "ISSN" : "0023-6837", "author" : [ { "dropping-particle" : "", "family" : "Toki", "given" : "Maria I", "non-dropping-particle" : "", "parse-names" : false, "suffix" : "" }, { "dropping-particle" : "", "family" : "Cecchi", "given" : "Fabiola", "non-dropping-particle" : "", "parse-names" : false, "suffix" : "" }, { "dropping-particle" : "", "family" : "Hembrough", "given" : "Todd", "non-dropping-particle" : "", "parse-names" : false, "suffix" : "" }, { "dropping-particle" : "", "family" : "Syrigos", "given" : "Konstantinos N", "non-dropping-particle" : "", "parse-names" : false, "suffix" : "" }, { "dropping-particle" : "", "family" : "Rimm", "given" : "David L", "non-dropping-particle" : "", "parse-names" : false, "suffix" : "" } ], "container-title" : "Laboratory Investigation", "id" : "ITEM-4", "issue" : "3", "issued" : { "date-parts" : [ [ "2017" ] ] }, "page" : "329-334", "publisher" : "Nature Publishing Group", "title" : "Proof of the quantitative potential of immunofluorescence by mass spectrometry", "type" : "article-journal", "volume" : "97" }, "uris" : [ "http://www.mendeley.com/documents/?uuid=fb5f226b-b349-428a-b877-04adf32250c3" ] } ], "mendeley" : { "formattedCitation" : "&lt;sup&gt;6\u20139&lt;/sup&gt;", "plainTextFormattedCitation" : "6\u20139", "previouslyFormattedCitation" : "&lt;sup&gt;6\u20139&lt;/sup&gt;" }, "properties" : { "noteIndex" : 0 }, "schema" : "https://github.com/citation-style-language/schema/raw/master/csl-citation.json" }</w:instrText>
      </w:r>
      <w:r w:rsidR="00D86FB3" w:rsidRPr="00A86898">
        <w:rPr>
          <w:rStyle w:val="FootnoteReference"/>
          <w:color w:val="auto"/>
        </w:rPr>
        <w:fldChar w:fldCharType="separate"/>
      </w:r>
      <w:r w:rsidR="003C15BB" w:rsidRPr="00A86898">
        <w:rPr>
          <w:color w:val="auto"/>
          <w:vertAlign w:val="superscript"/>
        </w:rPr>
        <w:t>6</w:t>
      </w:r>
      <w:r w:rsidR="006D6454">
        <w:rPr>
          <w:color w:val="auto"/>
          <w:vertAlign w:val="superscript"/>
        </w:rPr>
        <w:t>-</w:t>
      </w:r>
      <w:r w:rsidR="003C15BB" w:rsidRPr="00A86898">
        <w:rPr>
          <w:color w:val="auto"/>
          <w:vertAlign w:val="superscript"/>
        </w:rPr>
        <w:t>9</w:t>
      </w:r>
      <w:r w:rsidR="00D86FB3" w:rsidRPr="00A86898">
        <w:rPr>
          <w:rStyle w:val="FootnoteReference"/>
          <w:color w:val="auto"/>
        </w:rPr>
        <w:fldChar w:fldCharType="end"/>
      </w:r>
      <w:r w:rsidR="00BD5F89" w:rsidRPr="00A86898">
        <w:rPr>
          <w:color w:val="auto"/>
        </w:rPr>
        <w:t>, require</w:t>
      </w:r>
      <w:r w:rsidR="00AA480B" w:rsidRPr="00A86898">
        <w:rPr>
          <w:color w:val="auto"/>
        </w:rPr>
        <w:t>s</w:t>
      </w:r>
      <w:r w:rsidR="00BD5F89" w:rsidRPr="00A86898">
        <w:rPr>
          <w:color w:val="auto"/>
        </w:rPr>
        <w:t xml:space="preserve"> a dissection of the tissue into the area of interest. This dissection is hard for regions of the brain, such as the primary somatosensory cortex, and becomes virtually impossible when aiming for subregions, such as the different layers of the cortex or the hippocampus.</w:t>
      </w:r>
    </w:p>
    <w:p w14:paraId="672C1297" w14:textId="77777777" w:rsidR="00F715D6" w:rsidRPr="00A86898" w:rsidRDefault="00F715D6" w:rsidP="005A4ED4">
      <w:pPr>
        <w:widowControl/>
        <w:rPr>
          <w:color w:val="auto"/>
        </w:rPr>
      </w:pPr>
    </w:p>
    <w:p w14:paraId="526D8118" w14:textId="1B4E8FE3" w:rsidR="00EA20F6" w:rsidRPr="00A86898" w:rsidRDefault="00EA20F6" w:rsidP="005A4ED4">
      <w:pPr>
        <w:widowControl/>
        <w:rPr>
          <w:color w:val="auto"/>
        </w:rPr>
      </w:pPr>
      <w:r w:rsidRPr="00A86898">
        <w:rPr>
          <w:color w:val="auto"/>
        </w:rPr>
        <w:t>A</w:t>
      </w:r>
      <w:r w:rsidR="00D336BB" w:rsidRPr="00A86898">
        <w:rPr>
          <w:color w:val="auto"/>
        </w:rPr>
        <w:t xml:space="preserve"> </w:t>
      </w:r>
      <w:r w:rsidR="00F715D6" w:rsidRPr="00A86898">
        <w:rPr>
          <w:color w:val="auto"/>
        </w:rPr>
        <w:t>caveat</w:t>
      </w:r>
      <w:r w:rsidRPr="00A86898">
        <w:rPr>
          <w:color w:val="auto"/>
        </w:rPr>
        <w:t xml:space="preserve"> of the approach is that the different levels in the brain cannot directly be compared with each othe</w:t>
      </w:r>
      <w:r w:rsidR="00F20DDB" w:rsidRPr="00A86898">
        <w:rPr>
          <w:color w:val="auto"/>
        </w:rPr>
        <w:t>r.</w:t>
      </w:r>
      <w:r w:rsidRPr="00A86898">
        <w:rPr>
          <w:color w:val="auto"/>
        </w:rPr>
        <w:t xml:space="preserve"> Hemispheres with many regions rich in the protein of interest will have a different average value than hemispheres with only few protein-rich regions. Values of 20% above average</w:t>
      </w:r>
      <w:r w:rsidR="001B3520" w:rsidRPr="00A86898">
        <w:rPr>
          <w:color w:val="auto"/>
        </w:rPr>
        <w:t>,</w:t>
      </w:r>
      <w:r w:rsidRPr="00A86898">
        <w:rPr>
          <w:color w:val="auto"/>
        </w:rPr>
        <w:t xml:space="preserve"> for ex</w:t>
      </w:r>
      <w:r w:rsidR="00F20DDB" w:rsidRPr="00A86898">
        <w:rPr>
          <w:color w:val="auto"/>
        </w:rPr>
        <w:t>amp</w:t>
      </w:r>
      <w:r w:rsidRPr="00A86898">
        <w:rPr>
          <w:color w:val="auto"/>
        </w:rPr>
        <w:t>le</w:t>
      </w:r>
      <w:r w:rsidR="001B3520" w:rsidRPr="00A86898">
        <w:rPr>
          <w:color w:val="auto"/>
        </w:rPr>
        <w:t>,</w:t>
      </w:r>
      <w:r w:rsidRPr="00A86898">
        <w:rPr>
          <w:color w:val="auto"/>
        </w:rPr>
        <w:t xml:space="preserve"> will therefore reflect a different absolute quantity of protein in one level relative to Bregma as compared to a second one. </w:t>
      </w:r>
      <w:r w:rsidR="009E333F" w:rsidRPr="00A86898">
        <w:rPr>
          <w:color w:val="auto"/>
        </w:rPr>
        <w:t xml:space="preserve">One </w:t>
      </w:r>
      <w:proofErr w:type="gramStart"/>
      <w:r w:rsidR="009E333F" w:rsidRPr="00A86898">
        <w:rPr>
          <w:color w:val="auto"/>
        </w:rPr>
        <w:t>has to</w:t>
      </w:r>
      <w:proofErr w:type="gramEnd"/>
      <w:r w:rsidR="009E333F" w:rsidRPr="00A86898">
        <w:rPr>
          <w:color w:val="auto"/>
        </w:rPr>
        <w:t xml:space="preserve"> keep in mind as well that </w:t>
      </w:r>
      <w:r w:rsidR="009E333F" w:rsidRPr="00A86898">
        <w:rPr>
          <w:color w:val="auto"/>
        </w:rPr>
        <w:lastRenderedPageBreak/>
        <w:t>this method does not allow the determination of absolute protein levels, only the relative abundance compared to the internal reference marker and the average across the hemisphere.</w:t>
      </w:r>
    </w:p>
    <w:p w14:paraId="47CDCFA9" w14:textId="3DA46C4C" w:rsidR="00BD5F89" w:rsidRPr="00A86898" w:rsidRDefault="00BD5F89" w:rsidP="005A4ED4">
      <w:pPr>
        <w:widowControl/>
        <w:rPr>
          <w:color w:val="auto"/>
        </w:rPr>
      </w:pPr>
    </w:p>
    <w:p w14:paraId="67DB7AA5" w14:textId="4B25C7D8" w:rsidR="00BD5F89" w:rsidRPr="00A86898" w:rsidRDefault="008C2459" w:rsidP="005A4ED4">
      <w:pPr>
        <w:widowControl/>
        <w:rPr>
          <w:color w:val="auto"/>
        </w:rPr>
      </w:pPr>
      <w:r w:rsidRPr="00A86898">
        <w:rPr>
          <w:color w:val="auto"/>
        </w:rPr>
        <w:t>This method</w:t>
      </w:r>
      <w:r w:rsidR="00BD5F89" w:rsidRPr="00A86898">
        <w:rPr>
          <w:color w:val="auto"/>
        </w:rPr>
        <w:t xml:space="preserve"> can be easily adapted to determine the distribution of the protein of interest relative to markers for different neuronal compartments, not only presynaptic sites. </w:t>
      </w:r>
      <w:r w:rsidR="00233908" w:rsidRPr="00A86898">
        <w:rPr>
          <w:color w:val="auto"/>
        </w:rPr>
        <w:t xml:space="preserve">It can also be </w:t>
      </w:r>
      <w:r w:rsidR="00AB3033" w:rsidRPr="00A86898">
        <w:rPr>
          <w:color w:val="auto"/>
        </w:rPr>
        <w:t xml:space="preserve">easily </w:t>
      </w:r>
      <w:r w:rsidR="00233908" w:rsidRPr="00A86898">
        <w:rPr>
          <w:color w:val="auto"/>
        </w:rPr>
        <w:t>adapted for tissues other than the brain and – with suitable antibodies – other model systems than mice</w:t>
      </w:r>
      <w:r w:rsidR="00D86FB3" w:rsidRPr="00A86898">
        <w:rPr>
          <w:rStyle w:val="FootnoteReference"/>
          <w:color w:val="auto"/>
        </w:rPr>
        <w:fldChar w:fldCharType="begin" w:fldLock="1"/>
      </w:r>
      <w:r w:rsidR="00F715D6" w:rsidRPr="00A86898">
        <w:rPr>
          <w:color w:val="auto"/>
        </w:rPr>
        <w:instrText>ADDIN CSL_CITATION { "citationItems" : [ { "id" : "ITEM-1", "itemData" : { "DOI" : "10.3791/56188", "author" : [ { "dropping-particle" : "", "family" : "Sun", "given" : "Yulong", "non-dropping-particle" : "", "parse-names" : false, "suffix" : "" }, { "dropping-particle" : "", "family" : "Ip", "given" : "Philbert", "non-dropping-particle" : "", "parse-names" : false, "suffix" : "" }, { "dropping-particle" : "", "family" : "Chakrabartty", "given" : "Avijit", "non-dropping-particle" : "", "parse-names" : false, "suffix" : "" } ], "container-title" : "Journal of Visualized Experiments", "id" : "ITEM-1", "issue" : "September", "issued" : { "date-parts" : [ [ "2017" ] ] }, "page" : "1-6", "title" : "Simple Elimination of Background Fluorescence in Formalin-Fixed Human Brain Tissue for Immunofluorescence Microscopy", "type" : "article-journal" }, "uris" : [ "http://www.mendeley.com/documents/?uuid=2450f8b1-5983-4a6f-ac6c-f1cf4634eab1", "http://www.mendeley.com/documents/?uuid=5a79d68d-e574-4a00-9be3-48d4461e8945" ] }, { "id" : "ITEM-2", "itemData" : { "author" : [ { "dropping-particle" : "", "family" : "Poole", "given" : "A R", "non-dropping-particle" : "", "parse-names" : false, "suffix" : "" }, { "dropping-particle" : "", "family" : "Dingle", "given" : "J T", "non-dropping-particle" : "", "parse-names" : false, "suffix" : "" }, { "dropping-particle" : "", "family" : "Mallia", "given" : "A K", "non-dropping-particle" : "", "parse-names" : false, "suffix" : "" } ], "container-title" : "Journal of Cell Science", "id" : "ITEM-2", "issued" : { "date-parts" : [ [ "1975" ] ] }, "page" : "379-394", "title" : "The localization of retinol-binding protein in rat liver by immunofluorescence microscopy.", "type" : "article-journal", "volume" : "394" }, "uris" : [ "http://www.mendeley.com/documents/?uuid=331cd1f3-aec0-4a2d-bbdf-d2314aa75835", "http://www.mendeley.com/documents/?uuid=b4b52ad3-fb48-4553-bd79-404ce722cc0c" ] } ], "mendeley" : { "formattedCitation" : "&lt;sup&gt;32,33&lt;/sup&gt;", "plainTextFormattedCitation" : "32,33", "previouslyFormattedCitation" : "&lt;sup&gt;32,33&lt;/sup&gt;" }, "properties" : { "noteIndex" : 0 }, "schema" : "https://github.com/citation-style-language/schema/raw/master/csl-citation.json" }</w:instrText>
      </w:r>
      <w:r w:rsidR="00D86FB3" w:rsidRPr="00A86898">
        <w:rPr>
          <w:rStyle w:val="FootnoteReference"/>
          <w:color w:val="auto"/>
        </w:rPr>
        <w:fldChar w:fldCharType="separate"/>
      </w:r>
      <w:r w:rsidR="00F715D6" w:rsidRPr="00A86898">
        <w:rPr>
          <w:bCs/>
          <w:color w:val="auto"/>
          <w:vertAlign w:val="superscript"/>
        </w:rPr>
        <w:t>32,33</w:t>
      </w:r>
      <w:r w:rsidR="00D86FB3" w:rsidRPr="00A86898">
        <w:rPr>
          <w:rStyle w:val="FootnoteReference"/>
          <w:color w:val="auto"/>
        </w:rPr>
        <w:fldChar w:fldCharType="end"/>
      </w:r>
      <w:r w:rsidR="00233908" w:rsidRPr="00A86898">
        <w:rPr>
          <w:color w:val="auto"/>
        </w:rPr>
        <w:t xml:space="preserve">. </w:t>
      </w:r>
      <w:r w:rsidR="00D336BB" w:rsidRPr="00A86898">
        <w:rPr>
          <w:color w:val="auto"/>
        </w:rPr>
        <w:t xml:space="preserve">While the use of a confocal microscope is the authors’ method of choice, a combination of epifluorescence microscopy and deconvolution software should yield the same data quality and thus expand the usability of the protocol. </w:t>
      </w:r>
      <w:r w:rsidR="00BD5F89" w:rsidRPr="00A86898">
        <w:rPr>
          <w:color w:val="auto"/>
        </w:rPr>
        <w:t xml:space="preserve">Additionally, the same </w:t>
      </w:r>
      <w:proofErr w:type="spellStart"/>
      <w:r w:rsidR="00BD5F89" w:rsidRPr="00A86898">
        <w:rPr>
          <w:color w:val="auto"/>
        </w:rPr>
        <w:t>stainings</w:t>
      </w:r>
      <w:proofErr w:type="spellEnd"/>
      <w:r w:rsidR="00BD5F89" w:rsidRPr="00A86898">
        <w:rPr>
          <w:color w:val="auto"/>
        </w:rPr>
        <w:t xml:space="preserve"> can be used </w:t>
      </w:r>
      <w:r w:rsidR="0001316A" w:rsidRPr="00A86898">
        <w:rPr>
          <w:color w:val="auto"/>
        </w:rPr>
        <w:t>to determine the subcellular distribution, for example with super-resolution microscopy.</w:t>
      </w:r>
    </w:p>
    <w:p w14:paraId="78728D18" w14:textId="2788B57A" w:rsidR="00014314" w:rsidRPr="00A86898" w:rsidRDefault="00014314" w:rsidP="005A4ED4">
      <w:pPr>
        <w:widowControl/>
        <w:rPr>
          <w:color w:val="auto"/>
        </w:rPr>
      </w:pPr>
    </w:p>
    <w:p w14:paraId="1734505F" w14:textId="3D482E39" w:rsidR="00AA03DF" w:rsidRPr="00A86898" w:rsidRDefault="00AA03DF" w:rsidP="005A4ED4">
      <w:pPr>
        <w:pStyle w:val="NormalWeb"/>
        <w:widowControl/>
        <w:spacing w:before="0" w:beforeAutospacing="0" w:after="0" w:afterAutospacing="0"/>
        <w:rPr>
          <w:color w:val="auto"/>
        </w:rPr>
      </w:pPr>
      <w:r w:rsidRPr="00A86898">
        <w:rPr>
          <w:b/>
          <w:bCs/>
          <w:color w:val="auto"/>
        </w:rPr>
        <w:t>ACKNOWLEDG</w:t>
      </w:r>
      <w:r w:rsidR="003E3995" w:rsidRPr="00A86898">
        <w:rPr>
          <w:b/>
          <w:bCs/>
          <w:color w:val="auto"/>
        </w:rPr>
        <w:t>E</w:t>
      </w:r>
      <w:r w:rsidRPr="00A86898">
        <w:rPr>
          <w:b/>
          <w:bCs/>
          <w:color w:val="auto"/>
        </w:rPr>
        <w:t>MENTS:</w:t>
      </w:r>
    </w:p>
    <w:p w14:paraId="246DCD94" w14:textId="1E1906D4" w:rsidR="007A4DD6" w:rsidRPr="00A86898" w:rsidRDefault="001703CB" w:rsidP="005A4ED4">
      <w:pPr>
        <w:widowControl/>
        <w:rPr>
          <w:color w:val="auto"/>
        </w:rPr>
      </w:pPr>
      <w:r w:rsidRPr="00A86898">
        <w:rPr>
          <w:color w:val="auto"/>
        </w:rPr>
        <w:t xml:space="preserve">We thank Irmgard Weiss for excellent technical assistance. </w:t>
      </w:r>
      <w:r w:rsidR="00233908" w:rsidRPr="00A86898">
        <w:rPr>
          <w:color w:val="auto"/>
        </w:rPr>
        <w:t xml:space="preserve">The authors acknowledge support by Hermes </w:t>
      </w:r>
      <w:proofErr w:type="spellStart"/>
      <w:r w:rsidR="00233908" w:rsidRPr="00A86898">
        <w:rPr>
          <w:color w:val="auto"/>
        </w:rPr>
        <w:t>Pofantis</w:t>
      </w:r>
      <w:proofErr w:type="spellEnd"/>
      <w:r w:rsidR="00233908" w:rsidRPr="00A86898">
        <w:rPr>
          <w:color w:val="auto"/>
        </w:rPr>
        <w:t xml:space="preserve"> and </w:t>
      </w:r>
      <w:proofErr w:type="spellStart"/>
      <w:r w:rsidR="00233908" w:rsidRPr="00A86898">
        <w:rPr>
          <w:color w:val="auto"/>
        </w:rPr>
        <w:t>Andoniya</w:t>
      </w:r>
      <w:proofErr w:type="spellEnd"/>
      <w:r w:rsidR="00233908" w:rsidRPr="00A86898">
        <w:rPr>
          <w:color w:val="auto"/>
        </w:rPr>
        <w:t xml:space="preserve"> </w:t>
      </w:r>
      <w:proofErr w:type="spellStart"/>
      <w:r w:rsidR="00233908" w:rsidRPr="00A86898">
        <w:rPr>
          <w:color w:val="auto"/>
        </w:rPr>
        <w:t>Petkova</w:t>
      </w:r>
      <w:proofErr w:type="spellEnd"/>
      <w:r w:rsidR="00233908" w:rsidRPr="00A86898">
        <w:rPr>
          <w:color w:val="auto"/>
        </w:rPr>
        <w:t xml:space="preserve">. </w:t>
      </w:r>
      <w:r w:rsidR="004728B7" w:rsidRPr="00A86898">
        <w:rPr>
          <w:color w:val="auto"/>
        </w:rPr>
        <w:t xml:space="preserve">The authors also thank the European Neuroscience Institute for the usage of the LSM800 and technical assistance, especially by Dr. Nils </w:t>
      </w:r>
      <w:proofErr w:type="spellStart"/>
      <w:r w:rsidR="004728B7" w:rsidRPr="00A86898">
        <w:rPr>
          <w:color w:val="auto"/>
        </w:rPr>
        <w:t>Halbs</w:t>
      </w:r>
      <w:r w:rsidR="00363FB5" w:rsidRPr="00A86898">
        <w:rPr>
          <w:color w:val="auto"/>
        </w:rPr>
        <w:t>gut</w:t>
      </w:r>
      <w:proofErr w:type="spellEnd"/>
      <w:r w:rsidR="00363FB5" w:rsidRPr="00A86898">
        <w:rPr>
          <w:color w:val="auto"/>
        </w:rPr>
        <w:t xml:space="preserve">. </w:t>
      </w:r>
      <w:r w:rsidRPr="00A86898">
        <w:rPr>
          <w:color w:val="auto"/>
        </w:rPr>
        <w:t>This work was funded by the University Medical Center Göttingen.</w:t>
      </w:r>
      <w:r w:rsidR="005A4ED4" w:rsidRPr="00A86898">
        <w:rPr>
          <w:color w:val="auto"/>
        </w:rPr>
        <w:t xml:space="preserve"> </w:t>
      </w:r>
      <w:r w:rsidRPr="00A86898">
        <w:rPr>
          <w:color w:val="auto"/>
        </w:rPr>
        <w:t>JSV acknowledges support by the C</w:t>
      </w:r>
      <w:r w:rsidR="00247F17" w:rsidRPr="00A86898">
        <w:rPr>
          <w:color w:val="auto"/>
        </w:rPr>
        <w:t>enter for Nanoscale Microscopy and Molecular Physiology of the Brain (CNMPB)</w:t>
      </w:r>
      <w:r w:rsidRPr="00A86898">
        <w:rPr>
          <w:color w:val="auto"/>
        </w:rPr>
        <w:t>.</w:t>
      </w:r>
    </w:p>
    <w:p w14:paraId="2D96E92E" w14:textId="72F287DC" w:rsidR="00AA03DF" w:rsidRPr="00A86898" w:rsidRDefault="00AA03DF" w:rsidP="005A4ED4">
      <w:pPr>
        <w:widowControl/>
        <w:rPr>
          <w:b/>
          <w:bCs/>
          <w:color w:val="auto"/>
        </w:rPr>
      </w:pPr>
    </w:p>
    <w:p w14:paraId="5D52ED8B" w14:textId="0B8EBDB8" w:rsidR="00AA03DF" w:rsidRPr="00A86898" w:rsidRDefault="00AA03DF" w:rsidP="005A4ED4">
      <w:pPr>
        <w:pStyle w:val="NormalWeb"/>
        <w:widowControl/>
        <w:spacing w:before="0" w:beforeAutospacing="0" w:after="0" w:afterAutospacing="0"/>
        <w:rPr>
          <w:color w:val="auto"/>
        </w:rPr>
      </w:pPr>
      <w:r w:rsidRPr="00A86898">
        <w:rPr>
          <w:b/>
          <w:color w:val="auto"/>
        </w:rPr>
        <w:t>DISCLOSURES</w:t>
      </w:r>
      <w:r w:rsidRPr="00A86898">
        <w:rPr>
          <w:b/>
          <w:bCs/>
          <w:color w:val="auto"/>
        </w:rPr>
        <w:t>:</w:t>
      </w:r>
    </w:p>
    <w:p w14:paraId="4E0C3135" w14:textId="64B16E4B" w:rsidR="007A4DD6" w:rsidRPr="00A86898" w:rsidRDefault="001703CB" w:rsidP="005A4ED4">
      <w:pPr>
        <w:widowControl/>
        <w:rPr>
          <w:color w:val="auto"/>
        </w:rPr>
      </w:pPr>
      <w:r w:rsidRPr="00A86898">
        <w:rPr>
          <w:color w:val="auto"/>
        </w:rPr>
        <w:t>The authors have nothing to disclose.</w:t>
      </w:r>
    </w:p>
    <w:p w14:paraId="66030076" w14:textId="77777777" w:rsidR="00AA03DF" w:rsidRPr="00A86898" w:rsidRDefault="00AA03DF" w:rsidP="005A4ED4">
      <w:pPr>
        <w:widowControl/>
        <w:rPr>
          <w:color w:val="auto"/>
        </w:rPr>
      </w:pPr>
    </w:p>
    <w:p w14:paraId="315B4FAD" w14:textId="0A7E4460" w:rsidR="00B32616" w:rsidRPr="00A86898" w:rsidRDefault="009726EE" w:rsidP="005A4ED4">
      <w:pPr>
        <w:widowControl/>
        <w:rPr>
          <w:b/>
          <w:color w:val="auto"/>
        </w:rPr>
      </w:pPr>
      <w:r w:rsidRPr="00A86898">
        <w:rPr>
          <w:b/>
          <w:bCs/>
          <w:color w:val="auto"/>
        </w:rPr>
        <w:t>REFERENCES</w:t>
      </w:r>
      <w:r w:rsidR="00D04760" w:rsidRPr="00A86898">
        <w:rPr>
          <w:b/>
          <w:bCs/>
          <w:color w:val="auto"/>
        </w:rPr>
        <w:t>:</w:t>
      </w:r>
    </w:p>
    <w:p w14:paraId="4ECDE162" w14:textId="150C204B" w:rsidR="003C15BB" w:rsidRPr="00A86898" w:rsidRDefault="00363FB5" w:rsidP="005A4ED4">
      <w:pPr>
        <w:widowControl/>
        <w:rPr>
          <w:color w:val="auto"/>
        </w:rPr>
      </w:pPr>
      <w:r w:rsidRPr="00A86898">
        <w:rPr>
          <w:color w:val="auto"/>
        </w:rPr>
        <w:fldChar w:fldCharType="begin" w:fldLock="1"/>
      </w:r>
      <w:r w:rsidRPr="00A86898">
        <w:rPr>
          <w:color w:val="auto"/>
        </w:rPr>
        <w:instrText xml:space="preserve">ADDIN Mendeley Bibliography CSL_BIBLIOGRAPHY </w:instrText>
      </w:r>
      <w:r w:rsidRPr="00A86898">
        <w:rPr>
          <w:color w:val="auto"/>
        </w:rPr>
        <w:fldChar w:fldCharType="separate"/>
      </w:r>
      <w:r w:rsidR="003C15BB" w:rsidRPr="00A86898">
        <w:rPr>
          <w:color w:val="auto"/>
        </w:rPr>
        <w:t>1.</w:t>
      </w:r>
      <w:r w:rsidR="003C15BB" w:rsidRPr="00A86898">
        <w:rPr>
          <w:color w:val="auto"/>
        </w:rPr>
        <w:tab/>
        <w:t>Wallrafen, R.</w:t>
      </w:r>
      <w:r w:rsidR="00EC1F02">
        <w:rPr>
          <w:color w:val="auto"/>
        </w:rPr>
        <w:t>,</w:t>
      </w:r>
      <w:r w:rsidR="003C15BB" w:rsidRPr="00A86898">
        <w:rPr>
          <w:color w:val="auto"/>
        </w:rPr>
        <w:t xml:space="preserve"> Dresbach, T. The Presynaptic Protein Mover Is Differentially Expressed Across Brain Areas and Synapse Types. </w:t>
      </w:r>
      <w:r w:rsidR="003C15BB" w:rsidRPr="00A86898">
        <w:rPr>
          <w:i/>
          <w:iCs/>
          <w:color w:val="auto"/>
        </w:rPr>
        <w:t>Frontiers in Neuroanatomy</w:t>
      </w:r>
      <w:r w:rsidR="003C15BB" w:rsidRPr="00A86898">
        <w:rPr>
          <w:color w:val="auto"/>
        </w:rPr>
        <w:t xml:space="preserve"> </w:t>
      </w:r>
      <w:r w:rsidR="003C15BB" w:rsidRPr="00A86898">
        <w:rPr>
          <w:b/>
          <w:bCs/>
          <w:color w:val="auto"/>
        </w:rPr>
        <w:t>12,</w:t>
      </w:r>
      <w:r w:rsidR="003C15BB" w:rsidRPr="00A86898">
        <w:rPr>
          <w:color w:val="auto"/>
        </w:rPr>
        <w:t xml:space="preserve"> 58 (2018).</w:t>
      </w:r>
    </w:p>
    <w:p w14:paraId="4B4C5A39" w14:textId="7C53BAA8" w:rsidR="003C15BB" w:rsidRPr="00A86898" w:rsidRDefault="003C15BB" w:rsidP="005A4ED4">
      <w:pPr>
        <w:widowControl/>
        <w:rPr>
          <w:color w:val="auto"/>
        </w:rPr>
      </w:pPr>
      <w:r w:rsidRPr="00A86898">
        <w:rPr>
          <w:color w:val="auto"/>
        </w:rPr>
        <w:t>2.</w:t>
      </w:r>
      <w:r w:rsidRPr="00A86898">
        <w:rPr>
          <w:color w:val="auto"/>
        </w:rPr>
        <w:tab/>
        <w:t>Augustin, I., Betz, A., Herrmann, C., Jo, T.</w:t>
      </w:r>
      <w:r w:rsidR="00EC1F02">
        <w:rPr>
          <w:color w:val="auto"/>
        </w:rPr>
        <w:t>,</w:t>
      </w:r>
      <w:r w:rsidRPr="00A86898">
        <w:rPr>
          <w:color w:val="auto"/>
        </w:rPr>
        <w:t xml:space="preserve"> Brose, N. Differential expression of two novel Munc13 proteins in rat brain. </w:t>
      </w:r>
      <w:r w:rsidRPr="00A86898">
        <w:rPr>
          <w:i/>
          <w:iCs/>
          <w:color w:val="auto"/>
        </w:rPr>
        <w:t>Biochemical Journal</w:t>
      </w:r>
      <w:r w:rsidRPr="00A86898">
        <w:rPr>
          <w:color w:val="auto"/>
        </w:rPr>
        <w:t xml:space="preserve"> </w:t>
      </w:r>
      <w:r w:rsidRPr="00A86898">
        <w:rPr>
          <w:b/>
          <w:bCs/>
          <w:color w:val="auto"/>
        </w:rPr>
        <w:t>337,</w:t>
      </w:r>
      <w:r w:rsidRPr="00A86898">
        <w:rPr>
          <w:color w:val="auto"/>
        </w:rPr>
        <w:t xml:space="preserve"> 363</w:t>
      </w:r>
      <w:r w:rsidR="00B62BC8">
        <w:rPr>
          <w:color w:val="auto"/>
        </w:rPr>
        <w:t>-</w:t>
      </w:r>
      <w:r w:rsidRPr="00A86898">
        <w:rPr>
          <w:color w:val="auto"/>
        </w:rPr>
        <w:t>371 (1999).</w:t>
      </w:r>
    </w:p>
    <w:p w14:paraId="4B2E0C95" w14:textId="279CE274" w:rsidR="003C15BB" w:rsidRPr="00A86898" w:rsidRDefault="003C15BB" w:rsidP="005A4ED4">
      <w:pPr>
        <w:widowControl/>
        <w:rPr>
          <w:color w:val="auto"/>
        </w:rPr>
      </w:pPr>
      <w:r w:rsidRPr="00A86898">
        <w:rPr>
          <w:color w:val="auto"/>
        </w:rPr>
        <w:t>3.</w:t>
      </w:r>
      <w:r w:rsidRPr="00A86898">
        <w:rPr>
          <w:color w:val="auto"/>
        </w:rPr>
        <w:tab/>
        <w:t>Rosenmund, C.</w:t>
      </w:r>
      <w:r w:rsidR="005A4ED4" w:rsidRPr="00A86898">
        <w:rPr>
          <w:i/>
          <w:color w:val="auto"/>
        </w:rPr>
        <w:t xml:space="preserve"> </w:t>
      </w:r>
      <w:r w:rsidR="002B0555">
        <w:rPr>
          <w:i/>
          <w:color w:val="auto"/>
        </w:rPr>
        <w:t>et al.</w:t>
      </w:r>
      <w:r w:rsidRPr="00A86898">
        <w:rPr>
          <w:color w:val="auto"/>
        </w:rPr>
        <w:t xml:space="preserve"> Differential Control of Vesicle Priming and Short-Term Plasticity by Munc13 Isoforms. </w:t>
      </w:r>
      <w:r w:rsidRPr="00A86898">
        <w:rPr>
          <w:i/>
          <w:iCs/>
          <w:color w:val="auto"/>
        </w:rPr>
        <w:t>Neuron</w:t>
      </w:r>
      <w:r w:rsidRPr="00A86898">
        <w:rPr>
          <w:color w:val="auto"/>
        </w:rPr>
        <w:t xml:space="preserve"> </w:t>
      </w:r>
      <w:r w:rsidRPr="00A86898">
        <w:rPr>
          <w:b/>
          <w:bCs/>
          <w:color w:val="auto"/>
        </w:rPr>
        <w:t>33,</w:t>
      </w:r>
      <w:r w:rsidRPr="00A86898">
        <w:rPr>
          <w:color w:val="auto"/>
        </w:rPr>
        <w:t xml:space="preserve"> 411</w:t>
      </w:r>
      <w:r w:rsidR="00B62BC8">
        <w:rPr>
          <w:color w:val="auto"/>
        </w:rPr>
        <w:t>-</w:t>
      </w:r>
      <w:r w:rsidRPr="00A86898">
        <w:rPr>
          <w:color w:val="auto"/>
        </w:rPr>
        <w:t>424 (2002).</w:t>
      </w:r>
    </w:p>
    <w:p w14:paraId="40A57BBB" w14:textId="5517BC28" w:rsidR="003C15BB" w:rsidRPr="00A86898" w:rsidRDefault="003C15BB" w:rsidP="005A4ED4">
      <w:pPr>
        <w:widowControl/>
        <w:rPr>
          <w:color w:val="auto"/>
        </w:rPr>
      </w:pPr>
      <w:r w:rsidRPr="00A86898">
        <w:rPr>
          <w:color w:val="auto"/>
        </w:rPr>
        <w:t>4.</w:t>
      </w:r>
      <w:r w:rsidRPr="00A86898">
        <w:rPr>
          <w:color w:val="auto"/>
        </w:rPr>
        <w:tab/>
        <w:t>Breustedt, J.</w:t>
      </w:r>
      <w:r w:rsidR="005A4ED4" w:rsidRPr="00A86898">
        <w:rPr>
          <w:i/>
          <w:color w:val="auto"/>
        </w:rPr>
        <w:t xml:space="preserve"> </w:t>
      </w:r>
      <w:r w:rsidR="002B0555">
        <w:rPr>
          <w:i/>
          <w:color w:val="auto"/>
        </w:rPr>
        <w:t>et al.</w:t>
      </w:r>
      <w:r w:rsidRPr="00A86898">
        <w:rPr>
          <w:color w:val="auto"/>
        </w:rPr>
        <w:t xml:space="preserve"> Munc13-2 differentially affects hippocampal synaptic transmission and plasticity. </w:t>
      </w:r>
      <w:r w:rsidRPr="00A86898">
        <w:rPr>
          <w:i/>
          <w:iCs/>
          <w:color w:val="auto"/>
        </w:rPr>
        <w:t>Cerebral cortex</w:t>
      </w:r>
      <w:r w:rsidRPr="00A86898">
        <w:rPr>
          <w:color w:val="auto"/>
        </w:rPr>
        <w:t xml:space="preserve"> </w:t>
      </w:r>
      <w:r w:rsidRPr="00A86898">
        <w:rPr>
          <w:b/>
          <w:bCs/>
          <w:color w:val="auto"/>
        </w:rPr>
        <w:t>20,</w:t>
      </w:r>
      <w:r w:rsidRPr="00A86898">
        <w:rPr>
          <w:color w:val="auto"/>
        </w:rPr>
        <w:t xml:space="preserve"> 1109</w:t>
      </w:r>
      <w:r w:rsidR="00B62BC8">
        <w:rPr>
          <w:color w:val="auto"/>
        </w:rPr>
        <w:t>-</w:t>
      </w:r>
      <w:r w:rsidRPr="00A86898">
        <w:rPr>
          <w:color w:val="auto"/>
        </w:rPr>
        <w:t>20 (2010).</w:t>
      </w:r>
    </w:p>
    <w:p w14:paraId="27889957" w14:textId="44DB3D71" w:rsidR="003C15BB" w:rsidRPr="00A86898" w:rsidRDefault="003C15BB" w:rsidP="005A4ED4">
      <w:pPr>
        <w:widowControl/>
        <w:rPr>
          <w:color w:val="auto"/>
        </w:rPr>
      </w:pPr>
      <w:r w:rsidRPr="00A86898">
        <w:rPr>
          <w:color w:val="auto"/>
        </w:rPr>
        <w:t>5.</w:t>
      </w:r>
      <w:r w:rsidRPr="00A86898">
        <w:rPr>
          <w:color w:val="auto"/>
        </w:rPr>
        <w:tab/>
        <w:t>Chen, Z., Cooper, B., Kalla, S., Varoqueaux, F.</w:t>
      </w:r>
      <w:r w:rsidR="00EC1F02">
        <w:rPr>
          <w:color w:val="auto"/>
        </w:rPr>
        <w:t>,</w:t>
      </w:r>
      <w:r w:rsidRPr="00A86898">
        <w:rPr>
          <w:color w:val="auto"/>
        </w:rPr>
        <w:t xml:space="preserve"> Young, S. M. The Munc13 Proteins Differentially Regulate Readily Releasable Pool Dynamics and Calcium-Dependent Recovery at a Central Synapse. </w:t>
      </w:r>
      <w:r w:rsidRPr="00A86898">
        <w:rPr>
          <w:i/>
          <w:iCs/>
          <w:color w:val="auto"/>
        </w:rPr>
        <w:t>The Journal of Neuroscience</w:t>
      </w:r>
      <w:r w:rsidRPr="00A86898">
        <w:rPr>
          <w:color w:val="auto"/>
        </w:rPr>
        <w:t xml:space="preserve"> </w:t>
      </w:r>
      <w:r w:rsidRPr="00A86898">
        <w:rPr>
          <w:b/>
          <w:bCs/>
          <w:color w:val="auto"/>
        </w:rPr>
        <w:t>33,</w:t>
      </w:r>
      <w:r w:rsidRPr="00A86898">
        <w:rPr>
          <w:color w:val="auto"/>
        </w:rPr>
        <w:t xml:space="preserve"> 8336</w:t>
      </w:r>
      <w:r w:rsidR="00B62BC8">
        <w:rPr>
          <w:color w:val="auto"/>
        </w:rPr>
        <w:t>-</w:t>
      </w:r>
      <w:r w:rsidRPr="00A86898">
        <w:rPr>
          <w:color w:val="auto"/>
        </w:rPr>
        <w:t>8351 (2013).</w:t>
      </w:r>
    </w:p>
    <w:p w14:paraId="3E6F615E" w14:textId="7BCA5C32" w:rsidR="003C15BB" w:rsidRPr="00A86898" w:rsidRDefault="003C15BB" w:rsidP="005A4ED4">
      <w:pPr>
        <w:widowControl/>
        <w:rPr>
          <w:color w:val="auto"/>
        </w:rPr>
      </w:pPr>
      <w:r w:rsidRPr="00A86898">
        <w:rPr>
          <w:color w:val="auto"/>
        </w:rPr>
        <w:t>6.</w:t>
      </w:r>
      <w:r w:rsidRPr="00A86898">
        <w:rPr>
          <w:color w:val="auto"/>
        </w:rPr>
        <w:tab/>
        <w:t>Taylor, S. C., Berkelman, T., Yadav, G.</w:t>
      </w:r>
      <w:r w:rsidR="00EC1F02">
        <w:rPr>
          <w:color w:val="auto"/>
        </w:rPr>
        <w:t>,</w:t>
      </w:r>
      <w:r w:rsidRPr="00A86898">
        <w:rPr>
          <w:color w:val="auto"/>
        </w:rPr>
        <w:t xml:space="preserve"> Hammond, M. A Defined Methodology for Reliable Quantification of Western Blot Data. (2013). doi:10.1007/s12033-013-9672-6</w:t>
      </w:r>
    </w:p>
    <w:p w14:paraId="51F726EB" w14:textId="4FA4B352" w:rsidR="003C15BB" w:rsidRPr="00A86898" w:rsidRDefault="003C15BB" w:rsidP="005A4ED4">
      <w:pPr>
        <w:widowControl/>
        <w:rPr>
          <w:color w:val="auto"/>
        </w:rPr>
      </w:pPr>
      <w:r w:rsidRPr="00A86898">
        <w:rPr>
          <w:color w:val="auto"/>
        </w:rPr>
        <w:t>7.</w:t>
      </w:r>
      <w:r w:rsidRPr="00A86898">
        <w:rPr>
          <w:color w:val="auto"/>
        </w:rPr>
        <w:tab/>
        <w:t>Charette, S. J., Lambert, H., Nadeau, P. J.</w:t>
      </w:r>
      <w:r w:rsidR="00EC1F02">
        <w:rPr>
          <w:color w:val="auto"/>
        </w:rPr>
        <w:t>,</w:t>
      </w:r>
      <w:r w:rsidRPr="00A86898">
        <w:rPr>
          <w:color w:val="auto"/>
        </w:rPr>
        <w:t xml:space="preserve"> Landry, J. Protein quantification by chemiluminescent Western blotting : Elimination of the antibody factor by dilution series and calibration curve. </w:t>
      </w:r>
      <w:r w:rsidRPr="00A86898">
        <w:rPr>
          <w:i/>
          <w:iCs/>
          <w:color w:val="auto"/>
        </w:rPr>
        <w:t>Journal of Immunological Methods</w:t>
      </w:r>
      <w:r w:rsidRPr="00A86898">
        <w:rPr>
          <w:color w:val="auto"/>
        </w:rPr>
        <w:t xml:space="preserve"> </w:t>
      </w:r>
      <w:r w:rsidRPr="00A86898">
        <w:rPr>
          <w:b/>
          <w:bCs/>
          <w:color w:val="auto"/>
        </w:rPr>
        <w:t>353,</w:t>
      </w:r>
      <w:r w:rsidRPr="00A86898">
        <w:rPr>
          <w:color w:val="auto"/>
        </w:rPr>
        <w:t xml:space="preserve"> 148</w:t>
      </w:r>
      <w:r w:rsidR="00B62BC8">
        <w:rPr>
          <w:color w:val="auto"/>
        </w:rPr>
        <w:t>-</w:t>
      </w:r>
      <w:r w:rsidRPr="00A86898">
        <w:rPr>
          <w:color w:val="auto"/>
        </w:rPr>
        <w:t>150 (2010).</w:t>
      </w:r>
    </w:p>
    <w:p w14:paraId="119CE210" w14:textId="032663DF" w:rsidR="003C15BB" w:rsidRPr="00A86898" w:rsidRDefault="003C15BB" w:rsidP="005A4ED4">
      <w:pPr>
        <w:widowControl/>
        <w:rPr>
          <w:color w:val="auto"/>
        </w:rPr>
      </w:pPr>
      <w:r w:rsidRPr="00A86898">
        <w:rPr>
          <w:color w:val="auto"/>
        </w:rPr>
        <w:t>8.</w:t>
      </w:r>
      <w:r w:rsidRPr="00A86898">
        <w:rPr>
          <w:color w:val="auto"/>
        </w:rPr>
        <w:tab/>
        <w:t>Heidebrecht, F., Heidebrecht, A., Schulz, I., Behrens, S.</w:t>
      </w:r>
      <w:r w:rsidR="00EC1F02">
        <w:rPr>
          <w:color w:val="auto"/>
        </w:rPr>
        <w:t>,</w:t>
      </w:r>
      <w:r w:rsidRPr="00A86898">
        <w:rPr>
          <w:color w:val="auto"/>
        </w:rPr>
        <w:t xml:space="preserve"> Bader, A. Improved semiquantitative Western blot technique with increased quantification range. </w:t>
      </w:r>
      <w:r w:rsidRPr="00A86898">
        <w:rPr>
          <w:i/>
          <w:iCs/>
          <w:color w:val="auto"/>
        </w:rPr>
        <w:t>Journal of Immunological Methods</w:t>
      </w:r>
      <w:r w:rsidRPr="00A86898">
        <w:rPr>
          <w:color w:val="auto"/>
        </w:rPr>
        <w:t xml:space="preserve"> </w:t>
      </w:r>
      <w:r w:rsidRPr="00A86898">
        <w:rPr>
          <w:b/>
          <w:bCs/>
          <w:color w:val="auto"/>
        </w:rPr>
        <w:t>345,</w:t>
      </w:r>
      <w:r w:rsidRPr="00A86898">
        <w:rPr>
          <w:color w:val="auto"/>
        </w:rPr>
        <w:t xml:space="preserve"> 40</w:t>
      </w:r>
      <w:r w:rsidR="00B62BC8">
        <w:rPr>
          <w:color w:val="auto"/>
        </w:rPr>
        <w:t>-</w:t>
      </w:r>
      <w:r w:rsidRPr="00A86898">
        <w:rPr>
          <w:color w:val="auto"/>
        </w:rPr>
        <w:t>48 (2009).</w:t>
      </w:r>
    </w:p>
    <w:p w14:paraId="4A992760" w14:textId="5B642A65" w:rsidR="003C15BB" w:rsidRPr="00A86898" w:rsidRDefault="003C15BB" w:rsidP="005A4ED4">
      <w:pPr>
        <w:widowControl/>
        <w:rPr>
          <w:color w:val="auto"/>
        </w:rPr>
      </w:pPr>
      <w:r w:rsidRPr="00A86898">
        <w:rPr>
          <w:color w:val="auto"/>
        </w:rPr>
        <w:lastRenderedPageBreak/>
        <w:t>9.</w:t>
      </w:r>
      <w:r w:rsidRPr="00A86898">
        <w:rPr>
          <w:color w:val="auto"/>
        </w:rPr>
        <w:tab/>
        <w:t>Toki, M. I., Cecchi, F., Hembrough, T., Syrigos, K. N.</w:t>
      </w:r>
      <w:r w:rsidR="00EC1F02">
        <w:rPr>
          <w:color w:val="auto"/>
        </w:rPr>
        <w:t>,</w:t>
      </w:r>
      <w:r w:rsidRPr="00A86898">
        <w:rPr>
          <w:color w:val="auto"/>
        </w:rPr>
        <w:t xml:space="preserve"> Rimm, D. L. Proof of the quantitative potential of immunofluorescence by mass spectrometry. </w:t>
      </w:r>
      <w:r w:rsidRPr="00A86898">
        <w:rPr>
          <w:i/>
          <w:iCs/>
          <w:color w:val="auto"/>
        </w:rPr>
        <w:t>Laboratory Investigation</w:t>
      </w:r>
      <w:r w:rsidRPr="00A86898">
        <w:rPr>
          <w:color w:val="auto"/>
        </w:rPr>
        <w:t xml:space="preserve"> </w:t>
      </w:r>
      <w:r w:rsidRPr="00A86898">
        <w:rPr>
          <w:b/>
          <w:bCs/>
          <w:color w:val="auto"/>
        </w:rPr>
        <w:t>97,</w:t>
      </w:r>
      <w:r w:rsidRPr="00A86898">
        <w:rPr>
          <w:color w:val="auto"/>
        </w:rPr>
        <w:t xml:space="preserve"> 329</w:t>
      </w:r>
      <w:r w:rsidR="00B62BC8">
        <w:rPr>
          <w:color w:val="auto"/>
        </w:rPr>
        <w:t>-</w:t>
      </w:r>
      <w:r w:rsidRPr="00A86898">
        <w:rPr>
          <w:color w:val="auto"/>
        </w:rPr>
        <w:t>334 (2017).</w:t>
      </w:r>
    </w:p>
    <w:p w14:paraId="7088641D" w14:textId="441EF0D0" w:rsidR="003C15BB" w:rsidRPr="00A86898" w:rsidRDefault="003C15BB" w:rsidP="005A4ED4">
      <w:pPr>
        <w:widowControl/>
        <w:rPr>
          <w:color w:val="auto"/>
        </w:rPr>
      </w:pPr>
      <w:r w:rsidRPr="00A86898">
        <w:rPr>
          <w:color w:val="auto"/>
        </w:rPr>
        <w:t>10.</w:t>
      </w:r>
      <w:r w:rsidRPr="00A86898">
        <w:rPr>
          <w:color w:val="auto"/>
        </w:rPr>
        <w:tab/>
        <w:t>Wilhelm, B. G.</w:t>
      </w:r>
      <w:r w:rsidR="005A4ED4" w:rsidRPr="00A86898">
        <w:rPr>
          <w:i/>
          <w:color w:val="auto"/>
        </w:rPr>
        <w:t xml:space="preserve"> </w:t>
      </w:r>
      <w:r w:rsidR="002B0555">
        <w:rPr>
          <w:i/>
          <w:color w:val="auto"/>
        </w:rPr>
        <w:t>et al.</w:t>
      </w:r>
      <w:r w:rsidRPr="00A86898">
        <w:rPr>
          <w:color w:val="auto"/>
        </w:rPr>
        <w:t xml:space="preserve"> Composition of isolated synaptic boutons reveals the amounts of vesicle trafficking proteins. </w:t>
      </w:r>
      <w:r w:rsidRPr="00A86898">
        <w:rPr>
          <w:i/>
          <w:iCs/>
          <w:color w:val="auto"/>
        </w:rPr>
        <w:t>Science</w:t>
      </w:r>
      <w:r w:rsidRPr="00A86898">
        <w:rPr>
          <w:color w:val="auto"/>
        </w:rPr>
        <w:t xml:space="preserve"> </w:t>
      </w:r>
      <w:r w:rsidRPr="00A86898">
        <w:rPr>
          <w:b/>
          <w:bCs/>
          <w:color w:val="auto"/>
        </w:rPr>
        <w:t>344,</w:t>
      </w:r>
      <w:r w:rsidRPr="00A86898">
        <w:rPr>
          <w:color w:val="auto"/>
        </w:rPr>
        <w:t xml:space="preserve"> 1023</w:t>
      </w:r>
      <w:r w:rsidR="00B62BC8">
        <w:rPr>
          <w:color w:val="auto"/>
        </w:rPr>
        <w:t>-</w:t>
      </w:r>
      <w:r w:rsidRPr="00A86898">
        <w:rPr>
          <w:color w:val="auto"/>
        </w:rPr>
        <w:t>1028 (2014).</w:t>
      </w:r>
    </w:p>
    <w:p w14:paraId="3B75AF5C" w14:textId="50B37A2E" w:rsidR="003C15BB" w:rsidRPr="00A86898" w:rsidRDefault="003C15BB" w:rsidP="005A4ED4">
      <w:pPr>
        <w:widowControl/>
        <w:rPr>
          <w:color w:val="auto"/>
        </w:rPr>
      </w:pPr>
      <w:r w:rsidRPr="00A86898">
        <w:rPr>
          <w:color w:val="auto"/>
        </w:rPr>
        <w:t>11.</w:t>
      </w:r>
      <w:r w:rsidRPr="00A86898">
        <w:rPr>
          <w:color w:val="auto"/>
        </w:rPr>
        <w:tab/>
        <w:t>Navone, F.</w:t>
      </w:r>
      <w:r w:rsidR="005A4ED4" w:rsidRPr="00A86898">
        <w:rPr>
          <w:i/>
          <w:color w:val="auto"/>
        </w:rPr>
        <w:t xml:space="preserve"> </w:t>
      </w:r>
      <w:r w:rsidR="002B0555">
        <w:rPr>
          <w:i/>
          <w:color w:val="auto"/>
        </w:rPr>
        <w:t>et al.</w:t>
      </w:r>
      <w:r w:rsidRPr="00A86898">
        <w:rPr>
          <w:color w:val="auto"/>
        </w:rPr>
        <w:t xml:space="preserve"> Protein p38: An integral membrane protein specific for small vesicles of neurons and neuroendocrine cells. </w:t>
      </w:r>
      <w:r w:rsidRPr="00A86898">
        <w:rPr>
          <w:i/>
          <w:iCs/>
          <w:color w:val="auto"/>
        </w:rPr>
        <w:t>Journal of Cell Biology</w:t>
      </w:r>
      <w:r w:rsidRPr="00A86898">
        <w:rPr>
          <w:color w:val="auto"/>
        </w:rPr>
        <w:t xml:space="preserve"> </w:t>
      </w:r>
      <w:r w:rsidRPr="00A86898">
        <w:rPr>
          <w:b/>
          <w:bCs/>
          <w:color w:val="auto"/>
        </w:rPr>
        <w:t>103,</w:t>
      </w:r>
      <w:r w:rsidRPr="00A86898">
        <w:rPr>
          <w:color w:val="auto"/>
        </w:rPr>
        <w:t xml:space="preserve"> 2511</w:t>
      </w:r>
      <w:r w:rsidR="00B62BC8">
        <w:rPr>
          <w:color w:val="auto"/>
        </w:rPr>
        <w:t>-</w:t>
      </w:r>
      <w:r w:rsidRPr="00A86898">
        <w:rPr>
          <w:color w:val="auto"/>
        </w:rPr>
        <w:t>2527 (1986).</w:t>
      </w:r>
    </w:p>
    <w:p w14:paraId="2CD53BF5" w14:textId="36A129DE" w:rsidR="003C15BB" w:rsidRPr="00A86898" w:rsidRDefault="003C15BB" w:rsidP="005A4ED4">
      <w:pPr>
        <w:widowControl/>
        <w:rPr>
          <w:color w:val="auto"/>
        </w:rPr>
      </w:pPr>
      <w:r w:rsidRPr="00A86898">
        <w:rPr>
          <w:color w:val="auto"/>
        </w:rPr>
        <w:t>12.</w:t>
      </w:r>
      <w:r w:rsidRPr="00A86898">
        <w:rPr>
          <w:color w:val="auto"/>
        </w:rPr>
        <w:tab/>
        <w:t>Gundelfinger, E. D., Reissner, C.</w:t>
      </w:r>
      <w:r w:rsidR="00EC1F02">
        <w:rPr>
          <w:color w:val="auto"/>
        </w:rPr>
        <w:t>,</w:t>
      </w:r>
      <w:r w:rsidRPr="00A86898">
        <w:rPr>
          <w:color w:val="auto"/>
        </w:rPr>
        <w:t xml:space="preserve"> Garner, C. C. Role of Bassoon and Piccolo in Assembly and Molecular Organization of the Active Zone. </w:t>
      </w:r>
      <w:r w:rsidRPr="00A86898">
        <w:rPr>
          <w:i/>
          <w:iCs/>
          <w:color w:val="auto"/>
        </w:rPr>
        <w:t>Frontiers in Synaptic Neuroscience</w:t>
      </w:r>
      <w:r w:rsidRPr="00A86898">
        <w:rPr>
          <w:color w:val="auto"/>
        </w:rPr>
        <w:t xml:space="preserve"> </w:t>
      </w:r>
      <w:r w:rsidRPr="00A86898">
        <w:rPr>
          <w:b/>
          <w:bCs/>
          <w:color w:val="auto"/>
        </w:rPr>
        <w:t>7,</w:t>
      </w:r>
      <w:r w:rsidRPr="00A86898">
        <w:rPr>
          <w:color w:val="auto"/>
        </w:rPr>
        <w:t xml:space="preserve"> (2016).</w:t>
      </w:r>
    </w:p>
    <w:p w14:paraId="0B69F030" w14:textId="440A136A" w:rsidR="003C15BB" w:rsidRPr="00A86898" w:rsidRDefault="003C15BB" w:rsidP="005A4ED4">
      <w:pPr>
        <w:widowControl/>
        <w:rPr>
          <w:color w:val="auto"/>
        </w:rPr>
      </w:pPr>
      <w:r w:rsidRPr="00A86898">
        <w:rPr>
          <w:color w:val="auto"/>
        </w:rPr>
        <w:t>13.</w:t>
      </w:r>
      <w:r w:rsidRPr="00A86898">
        <w:rPr>
          <w:color w:val="auto"/>
        </w:rPr>
        <w:tab/>
        <w:t>Ziegler, D. R., Cullinan, W. E.</w:t>
      </w:r>
      <w:r w:rsidR="00EC1F02">
        <w:rPr>
          <w:color w:val="auto"/>
        </w:rPr>
        <w:t>,</w:t>
      </w:r>
      <w:r w:rsidRPr="00A86898">
        <w:rPr>
          <w:color w:val="auto"/>
        </w:rPr>
        <w:t xml:space="preserve"> Herman, J. P. Distribution of vesicular glutamate transporter mRNA in rat hypothalamus. </w:t>
      </w:r>
      <w:r w:rsidRPr="00A86898">
        <w:rPr>
          <w:i/>
          <w:iCs/>
          <w:color w:val="auto"/>
        </w:rPr>
        <w:t>Journal of Comparative Neurology</w:t>
      </w:r>
      <w:r w:rsidRPr="00A86898">
        <w:rPr>
          <w:color w:val="auto"/>
        </w:rPr>
        <w:t xml:space="preserve"> </w:t>
      </w:r>
      <w:r w:rsidRPr="00A86898">
        <w:rPr>
          <w:b/>
          <w:bCs/>
          <w:color w:val="auto"/>
        </w:rPr>
        <w:t>448,</w:t>
      </w:r>
      <w:r w:rsidRPr="00A86898">
        <w:rPr>
          <w:color w:val="auto"/>
        </w:rPr>
        <w:t xml:space="preserve"> 217</w:t>
      </w:r>
      <w:r w:rsidR="00B62BC8">
        <w:rPr>
          <w:color w:val="auto"/>
        </w:rPr>
        <w:t>-</w:t>
      </w:r>
      <w:r w:rsidRPr="00A86898">
        <w:rPr>
          <w:color w:val="auto"/>
        </w:rPr>
        <w:t>229 (2002).</w:t>
      </w:r>
    </w:p>
    <w:p w14:paraId="7A300E2B" w14:textId="4AF13705" w:rsidR="003C15BB" w:rsidRPr="00A86898" w:rsidRDefault="003C15BB" w:rsidP="005A4ED4">
      <w:pPr>
        <w:widowControl/>
        <w:rPr>
          <w:color w:val="auto"/>
        </w:rPr>
      </w:pPr>
      <w:r w:rsidRPr="00A86898">
        <w:rPr>
          <w:color w:val="auto"/>
        </w:rPr>
        <w:t>14.</w:t>
      </w:r>
      <w:r w:rsidRPr="00A86898">
        <w:rPr>
          <w:color w:val="auto"/>
        </w:rPr>
        <w:tab/>
        <w:t xml:space="preserve">Chaudhry, F. </w:t>
      </w:r>
      <w:r w:rsidR="000749EB">
        <w:rPr>
          <w:color w:val="auto"/>
        </w:rPr>
        <w:t>A</w:t>
      </w:r>
      <w:r w:rsidRPr="00A86898">
        <w:rPr>
          <w:color w:val="auto"/>
        </w:rPr>
        <w:t>.</w:t>
      </w:r>
      <w:r w:rsidR="005A4ED4" w:rsidRPr="00A86898">
        <w:rPr>
          <w:i/>
          <w:color w:val="auto"/>
        </w:rPr>
        <w:t xml:space="preserve"> </w:t>
      </w:r>
      <w:r w:rsidR="002B0555">
        <w:rPr>
          <w:i/>
          <w:color w:val="auto"/>
        </w:rPr>
        <w:t>et al.</w:t>
      </w:r>
      <w:r w:rsidRPr="00A86898">
        <w:rPr>
          <w:color w:val="auto"/>
        </w:rPr>
        <w:t xml:space="preserve"> The vesicular GABA transporter, VGAT, localizes to synaptic vesicles in sets of glycinergic as well as GABAergic neurons. </w:t>
      </w:r>
      <w:r w:rsidRPr="00A86898">
        <w:rPr>
          <w:i/>
          <w:iCs/>
          <w:color w:val="auto"/>
        </w:rPr>
        <w:t>Journal of Neuroscience</w:t>
      </w:r>
      <w:r w:rsidRPr="00A86898">
        <w:rPr>
          <w:color w:val="auto"/>
        </w:rPr>
        <w:t xml:space="preserve"> </w:t>
      </w:r>
      <w:r w:rsidRPr="00A86898">
        <w:rPr>
          <w:b/>
          <w:bCs/>
          <w:color w:val="auto"/>
        </w:rPr>
        <w:t>18,</w:t>
      </w:r>
      <w:r w:rsidRPr="00A86898">
        <w:rPr>
          <w:color w:val="auto"/>
        </w:rPr>
        <w:t xml:space="preserve"> 9733</w:t>
      </w:r>
      <w:r w:rsidR="00B62BC8">
        <w:rPr>
          <w:color w:val="auto"/>
        </w:rPr>
        <w:t>-</w:t>
      </w:r>
      <w:r w:rsidRPr="00A86898">
        <w:rPr>
          <w:color w:val="auto"/>
        </w:rPr>
        <w:t>9750 (1998).</w:t>
      </w:r>
    </w:p>
    <w:p w14:paraId="209C7252" w14:textId="0B14D00E" w:rsidR="003C15BB" w:rsidRPr="00A86898" w:rsidRDefault="003C15BB" w:rsidP="005A4ED4">
      <w:pPr>
        <w:widowControl/>
        <w:rPr>
          <w:color w:val="auto"/>
        </w:rPr>
      </w:pPr>
      <w:r w:rsidRPr="00A86898">
        <w:rPr>
          <w:color w:val="auto"/>
        </w:rPr>
        <w:t>15.</w:t>
      </w:r>
      <w:r w:rsidRPr="00A86898">
        <w:rPr>
          <w:color w:val="auto"/>
        </w:rPr>
        <w:tab/>
        <w:t>Aoki, C.</w:t>
      </w:r>
      <w:r w:rsidR="005A4ED4" w:rsidRPr="00A86898">
        <w:rPr>
          <w:i/>
          <w:color w:val="auto"/>
        </w:rPr>
        <w:t xml:space="preserve"> </w:t>
      </w:r>
      <w:r w:rsidR="002B0555">
        <w:rPr>
          <w:i/>
          <w:color w:val="auto"/>
        </w:rPr>
        <w:t>et al.</w:t>
      </w:r>
      <w:r w:rsidRPr="00A86898">
        <w:rPr>
          <w:color w:val="auto"/>
        </w:rPr>
        <w:t xml:space="preserve"> Electron Microscopic Immunocytochemical SAP-97 at Postsynaptic, Presynaptic, and Nonsynaptic Sites of Adult and Neonatal Rat Visual Cortex. </w:t>
      </w:r>
      <w:r w:rsidRPr="00A86898">
        <w:rPr>
          <w:i/>
          <w:iCs/>
          <w:color w:val="auto"/>
        </w:rPr>
        <w:t>Synapse</w:t>
      </w:r>
      <w:r w:rsidRPr="00A86898">
        <w:rPr>
          <w:color w:val="auto"/>
        </w:rPr>
        <w:t xml:space="preserve"> </w:t>
      </w:r>
      <w:r w:rsidRPr="00A86898">
        <w:rPr>
          <w:b/>
          <w:bCs/>
          <w:color w:val="auto"/>
        </w:rPr>
        <w:t>257,</w:t>
      </w:r>
      <w:r w:rsidRPr="00A86898">
        <w:rPr>
          <w:color w:val="auto"/>
        </w:rPr>
        <w:t xml:space="preserve"> 239</w:t>
      </w:r>
      <w:r w:rsidR="00B62BC8">
        <w:rPr>
          <w:color w:val="auto"/>
        </w:rPr>
        <w:t>-</w:t>
      </w:r>
      <w:r w:rsidRPr="00A86898">
        <w:rPr>
          <w:color w:val="auto"/>
        </w:rPr>
        <w:t>257 (2001).</w:t>
      </w:r>
    </w:p>
    <w:p w14:paraId="2CDA8071" w14:textId="6F4925CA" w:rsidR="003C15BB" w:rsidRPr="00A86898" w:rsidRDefault="003C15BB" w:rsidP="005A4ED4">
      <w:pPr>
        <w:widowControl/>
        <w:rPr>
          <w:color w:val="auto"/>
        </w:rPr>
      </w:pPr>
      <w:r w:rsidRPr="00A86898">
        <w:rPr>
          <w:color w:val="auto"/>
        </w:rPr>
        <w:t>16.</w:t>
      </w:r>
      <w:r w:rsidRPr="00A86898">
        <w:rPr>
          <w:color w:val="auto"/>
        </w:rPr>
        <w:tab/>
        <w:t>Valtschanoff, J. G.</w:t>
      </w:r>
      <w:r w:rsidR="005A4ED4" w:rsidRPr="00A86898">
        <w:rPr>
          <w:i/>
          <w:color w:val="auto"/>
        </w:rPr>
        <w:t xml:space="preserve"> </w:t>
      </w:r>
      <w:r w:rsidR="002B0555">
        <w:rPr>
          <w:i/>
          <w:color w:val="auto"/>
        </w:rPr>
        <w:t>et al.</w:t>
      </w:r>
      <w:r w:rsidRPr="00A86898">
        <w:rPr>
          <w:color w:val="auto"/>
        </w:rPr>
        <w:t xml:space="preserve"> Expression of NR2 Receptor Subunit in Rat Somatic Sensory Cortex : Synaptic Distribution and Colocalization With NR1 and PSD-95. </w:t>
      </w:r>
      <w:r w:rsidRPr="00A86898">
        <w:rPr>
          <w:i/>
          <w:iCs/>
          <w:color w:val="auto"/>
        </w:rPr>
        <w:t>Journal of Comparative Neurology</w:t>
      </w:r>
      <w:r w:rsidRPr="00A86898">
        <w:rPr>
          <w:color w:val="auto"/>
        </w:rPr>
        <w:t xml:space="preserve"> </w:t>
      </w:r>
      <w:r w:rsidRPr="00A86898">
        <w:rPr>
          <w:b/>
          <w:bCs/>
          <w:color w:val="auto"/>
        </w:rPr>
        <w:t>611,</w:t>
      </w:r>
      <w:r w:rsidRPr="00A86898">
        <w:rPr>
          <w:color w:val="auto"/>
        </w:rPr>
        <w:t xml:space="preserve"> 599</w:t>
      </w:r>
      <w:r w:rsidR="00B62BC8">
        <w:rPr>
          <w:color w:val="auto"/>
        </w:rPr>
        <w:t>-</w:t>
      </w:r>
      <w:r w:rsidRPr="00A86898">
        <w:rPr>
          <w:color w:val="auto"/>
        </w:rPr>
        <w:t>611 (1999).</w:t>
      </w:r>
    </w:p>
    <w:p w14:paraId="557E41EC" w14:textId="34D71952" w:rsidR="003C15BB" w:rsidRPr="00A86898" w:rsidRDefault="003C15BB" w:rsidP="005A4ED4">
      <w:pPr>
        <w:widowControl/>
        <w:rPr>
          <w:color w:val="auto"/>
        </w:rPr>
      </w:pPr>
      <w:r w:rsidRPr="00A86898">
        <w:rPr>
          <w:color w:val="auto"/>
        </w:rPr>
        <w:t>17.</w:t>
      </w:r>
      <w:r w:rsidRPr="00A86898">
        <w:rPr>
          <w:color w:val="auto"/>
        </w:rPr>
        <w:tab/>
        <w:t>Hunt, A., Schenker, L. J.</w:t>
      </w:r>
      <w:r w:rsidR="00EC1F02">
        <w:rPr>
          <w:color w:val="auto"/>
        </w:rPr>
        <w:t>,</w:t>
      </w:r>
      <w:r w:rsidRPr="00A86898">
        <w:rPr>
          <w:color w:val="auto"/>
        </w:rPr>
        <w:t xml:space="preserve"> Kennedy, B. PSD-95 Is Associated with the Postsynaptic Density and Not with the Presynaptic Membrane at Forebrain Synapses. </w:t>
      </w:r>
      <w:r w:rsidRPr="00A86898">
        <w:rPr>
          <w:i/>
          <w:iCs/>
          <w:color w:val="auto"/>
        </w:rPr>
        <w:t>Journal of Neuroscience</w:t>
      </w:r>
      <w:r w:rsidRPr="00A86898">
        <w:rPr>
          <w:color w:val="auto"/>
        </w:rPr>
        <w:t xml:space="preserve"> </w:t>
      </w:r>
      <w:r w:rsidRPr="00A86898">
        <w:rPr>
          <w:b/>
          <w:bCs/>
          <w:color w:val="auto"/>
        </w:rPr>
        <w:t>76,</w:t>
      </w:r>
      <w:r w:rsidRPr="00A86898">
        <w:rPr>
          <w:color w:val="auto"/>
        </w:rPr>
        <w:t xml:space="preserve"> 1380</w:t>
      </w:r>
      <w:r w:rsidR="00B62BC8">
        <w:rPr>
          <w:color w:val="auto"/>
        </w:rPr>
        <w:t>-</w:t>
      </w:r>
      <w:r w:rsidRPr="00A86898">
        <w:rPr>
          <w:color w:val="auto"/>
        </w:rPr>
        <w:t>1388 (1996).</w:t>
      </w:r>
    </w:p>
    <w:p w14:paraId="67B3D086" w14:textId="35BDBD96" w:rsidR="003C15BB" w:rsidRPr="00A86898" w:rsidRDefault="003C15BB" w:rsidP="005A4ED4">
      <w:pPr>
        <w:widowControl/>
        <w:rPr>
          <w:color w:val="auto"/>
        </w:rPr>
      </w:pPr>
      <w:r w:rsidRPr="00A86898">
        <w:rPr>
          <w:color w:val="auto"/>
        </w:rPr>
        <w:t>18.</w:t>
      </w:r>
      <w:r w:rsidRPr="00A86898">
        <w:rPr>
          <w:color w:val="auto"/>
        </w:rPr>
        <w:tab/>
        <w:t>Luscher, B., Fuchs, T.</w:t>
      </w:r>
      <w:r w:rsidR="00EC1F02">
        <w:rPr>
          <w:color w:val="auto"/>
        </w:rPr>
        <w:t>,</w:t>
      </w:r>
      <w:r w:rsidRPr="00A86898">
        <w:rPr>
          <w:color w:val="auto"/>
        </w:rPr>
        <w:t xml:space="preserve"> Kilpatrick, C. L. GABA A Receptor Trafficking-Mediated Plasticity of Inhibitory Synapses. </w:t>
      </w:r>
      <w:r w:rsidRPr="00A86898">
        <w:rPr>
          <w:i/>
          <w:iCs/>
          <w:color w:val="auto"/>
        </w:rPr>
        <w:t>Neuron</w:t>
      </w:r>
      <w:r w:rsidRPr="00A86898">
        <w:rPr>
          <w:color w:val="auto"/>
        </w:rPr>
        <w:t xml:space="preserve"> </w:t>
      </w:r>
      <w:r w:rsidRPr="00A86898">
        <w:rPr>
          <w:b/>
          <w:bCs/>
          <w:color w:val="auto"/>
        </w:rPr>
        <w:t>70,</w:t>
      </w:r>
      <w:r w:rsidRPr="00A86898">
        <w:rPr>
          <w:color w:val="auto"/>
        </w:rPr>
        <w:t xml:space="preserve"> 385</w:t>
      </w:r>
      <w:r w:rsidR="00B62BC8">
        <w:rPr>
          <w:color w:val="auto"/>
        </w:rPr>
        <w:t>-</w:t>
      </w:r>
      <w:r w:rsidRPr="00A86898">
        <w:rPr>
          <w:color w:val="auto"/>
        </w:rPr>
        <w:t>409 (2011).</w:t>
      </w:r>
    </w:p>
    <w:p w14:paraId="7853A40E" w14:textId="3EFCC942" w:rsidR="003C15BB" w:rsidRPr="00A86898" w:rsidRDefault="003C15BB" w:rsidP="005A4ED4">
      <w:pPr>
        <w:widowControl/>
        <w:rPr>
          <w:color w:val="auto"/>
        </w:rPr>
      </w:pPr>
      <w:r w:rsidRPr="00A86898">
        <w:rPr>
          <w:color w:val="auto"/>
        </w:rPr>
        <w:t>19.</w:t>
      </w:r>
      <w:r w:rsidRPr="00A86898">
        <w:rPr>
          <w:color w:val="auto"/>
        </w:rPr>
        <w:tab/>
        <w:t xml:space="preserve">Kirby, M. Understanding the molecular diversity of GABAergic synapses. </w:t>
      </w:r>
      <w:r w:rsidRPr="00A86898">
        <w:rPr>
          <w:b/>
          <w:bCs/>
          <w:color w:val="auto"/>
        </w:rPr>
        <w:t>5,</w:t>
      </w:r>
      <w:r w:rsidRPr="00A86898">
        <w:rPr>
          <w:color w:val="auto"/>
        </w:rPr>
        <w:t xml:space="preserve"> 1</w:t>
      </w:r>
      <w:r w:rsidR="00B62BC8">
        <w:rPr>
          <w:color w:val="auto"/>
        </w:rPr>
        <w:t>-</w:t>
      </w:r>
      <w:r w:rsidRPr="00A86898">
        <w:rPr>
          <w:color w:val="auto"/>
        </w:rPr>
        <w:t>12 (2011).</w:t>
      </w:r>
    </w:p>
    <w:p w14:paraId="3BC9A532" w14:textId="62526113" w:rsidR="003C15BB" w:rsidRPr="00A86898" w:rsidRDefault="003C15BB" w:rsidP="005A4ED4">
      <w:pPr>
        <w:widowControl/>
        <w:rPr>
          <w:color w:val="auto"/>
        </w:rPr>
      </w:pPr>
      <w:r w:rsidRPr="00A86898">
        <w:rPr>
          <w:color w:val="auto"/>
        </w:rPr>
        <w:t>20.</w:t>
      </w:r>
      <w:r w:rsidRPr="00A86898">
        <w:rPr>
          <w:color w:val="auto"/>
        </w:rPr>
        <w:tab/>
        <w:t>Harris, K. M., Weinberg, R. J.</w:t>
      </w:r>
      <w:r w:rsidR="00EC1F02">
        <w:rPr>
          <w:color w:val="auto"/>
        </w:rPr>
        <w:t>,</w:t>
      </w:r>
      <w:r w:rsidRPr="00A86898">
        <w:rPr>
          <w:color w:val="auto"/>
        </w:rPr>
        <w:t xml:space="preserve"> Verrall, A. W. Ultrastructure of Synapses in the Mammalian Brain. </w:t>
      </w:r>
      <w:r w:rsidRPr="00A86898">
        <w:rPr>
          <w:i/>
          <w:iCs/>
          <w:color w:val="auto"/>
        </w:rPr>
        <w:t>Cold Spring Harbor Perspectives in Biology</w:t>
      </w:r>
      <w:r w:rsidRPr="00A86898">
        <w:rPr>
          <w:color w:val="auto"/>
        </w:rPr>
        <w:t xml:space="preserve"> 1</w:t>
      </w:r>
      <w:r w:rsidR="00B62BC8">
        <w:rPr>
          <w:color w:val="auto"/>
        </w:rPr>
        <w:t>-</w:t>
      </w:r>
      <w:r w:rsidRPr="00A86898">
        <w:rPr>
          <w:color w:val="auto"/>
        </w:rPr>
        <w:t>30 (2012).</w:t>
      </w:r>
    </w:p>
    <w:p w14:paraId="41D34F99" w14:textId="496B9EBF" w:rsidR="003C15BB" w:rsidRPr="00A86898" w:rsidRDefault="003C15BB" w:rsidP="005A4ED4">
      <w:pPr>
        <w:widowControl/>
        <w:rPr>
          <w:color w:val="auto"/>
        </w:rPr>
      </w:pPr>
      <w:r w:rsidRPr="00A86898">
        <w:rPr>
          <w:color w:val="auto"/>
        </w:rPr>
        <w:t>21.</w:t>
      </w:r>
      <w:r w:rsidRPr="00A86898">
        <w:rPr>
          <w:color w:val="auto"/>
        </w:rPr>
        <w:tab/>
        <w:t>Heise, C.</w:t>
      </w:r>
      <w:r w:rsidR="005A4ED4" w:rsidRPr="00A86898">
        <w:rPr>
          <w:i/>
          <w:color w:val="auto"/>
        </w:rPr>
        <w:t xml:space="preserve"> </w:t>
      </w:r>
      <w:r w:rsidR="002B0555">
        <w:rPr>
          <w:i/>
          <w:color w:val="auto"/>
        </w:rPr>
        <w:t>et al.</w:t>
      </w:r>
      <w:r w:rsidRPr="00A86898">
        <w:rPr>
          <w:color w:val="auto"/>
        </w:rPr>
        <w:t xml:space="preserve"> Selective Localization of Shanks to VGLUT1-Positive Excitatory Synapses in the Mouse Hippocampus. </w:t>
      </w:r>
      <w:r w:rsidRPr="00A86898">
        <w:rPr>
          <w:i/>
          <w:iCs/>
          <w:color w:val="auto"/>
        </w:rPr>
        <w:t>Frontiers in Cellular Neuroscience</w:t>
      </w:r>
      <w:r w:rsidRPr="00A86898">
        <w:rPr>
          <w:color w:val="auto"/>
        </w:rPr>
        <w:t xml:space="preserve"> </w:t>
      </w:r>
      <w:r w:rsidRPr="00A86898">
        <w:rPr>
          <w:b/>
          <w:bCs/>
          <w:color w:val="auto"/>
        </w:rPr>
        <w:t>10,</w:t>
      </w:r>
      <w:r w:rsidRPr="00A86898">
        <w:rPr>
          <w:color w:val="auto"/>
        </w:rPr>
        <w:t xml:space="preserve"> (2016).</w:t>
      </w:r>
    </w:p>
    <w:p w14:paraId="62A171A7" w14:textId="1AEF9D13" w:rsidR="003C15BB" w:rsidRPr="00A86898" w:rsidRDefault="003C15BB" w:rsidP="005A4ED4">
      <w:pPr>
        <w:widowControl/>
        <w:rPr>
          <w:color w:val="auto"/>
        </w:rPr>
      </w:pPr>
      <w:r w:rsidRPr="00A86898">
        <w:rPr>
          <w:color w:val="auto"/>
        </w:rPr>
        <w:t>22.</w:t>
      </w:r>
      <w:r w:rsidRPr="00A86898">
        <w:rPr>
          <w:color w:val="auto"/>
        </w:rPr>
        <w:tab/>
        <w:t>Peters, P. J., Yuan, L. C., Biology, C.</w:t>
      </w:r>
      <w:r w:rsidR="00EC1F02">
        <w:rPr>
          <w:color w:val="auto"/>
        </w:rPr>
        <w:t>,</w:t>
      </w:r>
      <w:r w:rsidRPr="00A86898">
        <w:rPr>
          <w:color w:val="auto"/>
        </w:rPr>
        <w:t xml:space="preserve"> Branch, M. Localization of TGN38 to the trans-Golgi network: involvement of a cytoplasmic tyrosine-containing sequence. </w:t>
      </w:r>
      <w:r w:rsidRPr="00A86898">
        <w:rPr>
          <w:i/>
          <w:iCs/>
          <w:color w:val="auto"/>
        </w:rPr>
        <w:t>Journal of Cell Biology</w:t>
      </w:r>
      <w:r w:rsidRPr="00A86898">
        <w:rPr>
          <w:color w:val="auto"/>
        </w:rPr>
        <w:t xml:space="preserve"> </w:t>
      </w:r>
      <w:r w:rsidRPr="00A86898">
        <w:rPr>
          <w:b/>
          <w:bCs/>
          <w:color w:val="auto"/>
        </w:rPr>
        <w:t>120,</w:t>
      </w:r>
      <w:r w:rsidRPr="00A86898">
        <w:rPr>
          <w:color w:val="auto"/>
        </w:rPr>
        <w:t xml:space="preserve"> 1123</w:t>
      </w:r>
      <w:r w:rsidR="00B62BC8">
        <w:rPr>
          <w:color w:val="auto"/>
        </w:rPr>
        <w:t>-</w:t>
      </w:r>
      <w:r w:rsidRPr="00A86898">
        <w:rPr>
          <w:color w:val="auto"/>
        </w:rPr>
        <w:t>1135 (1993).</w:t>
      </w:r>
    </w:p>
    <w:p w14:paraId="66920209" w14:textId="793CB861" w:rsidR="003C15BB" w:rsidRPr="00A86898" w:rsidRDefault="003C15BB" w:rsidP="005A4ED4">
      <w:pPr>
        <w:widowControl/>
        <w:rPr>
          <w:color w:val="auto"/>
        </w:rPr>
      </w:pPr>
      <w:r w:rsidRPr="00A86898">
        <w:rPr>
          <w:color w:val="auto"/>
        </w:rPr>
        <w:t>23.</w:t>
      </w:r>
      <w:r w:rsidRPr="00A86898">
        <w:rPr>
          <w:color w:val="auto"/>
        </w:rPr>
        <w:tab/>
        <w:t>Antonini, D.</w:t>
      </w:r>
      <w:r w:rsidR="005A4ED4" w:rsidRPr="00A86898">
        <w:rPr>
          <w:i/>
          <w:color w:val="auto"/>
        </w:rPr>
        <w:t xml:space="preserve"> </w:t>
      </w:r>
      <w:r w:rsidR="002B0555">
        <w:rPr>
          <w:i/>
          <w:color w:val="auto"/>
        </w:rPr>
        <w:t>et al.</w:t>
      </w:r>
      <w:r w:rsidRPr="00A86898">
        <w:rPr>
          <w:color w:val="auto"/>
        </w:rPr>
        <w:t xml:space="preserve"> Tprg, a gene predominantly expressed in skin, is a direct target of the transcription factor p63. </w:t>
      </w:r>
      <w:r w:rsidRPr="00A86898">
        <w:rPr>
          <w:i/>
          <w:iCs/>
          <w:color w:val="auto"/>
        </w:rPr>
        <w:t>Journal of Investigative Dermatology</w:t>
      </w:r>
      <w:r w:rsidRPr="00A86898">
        <w:rPr>
          <w:color w:val="auto"/>
        </w:rPr>
        <w:t xml:space="preserve"> </w:t>
      </w:r>
      <w:r w:rsidRPr="00A86898">
        <w:rPr>
          <w:b/>
          <w:bCs/>
          <w:color w:val="auto"/>
        </w:rPr>
        <w:t>128,</w:t>
      </w:r>
      <w:r w:rsidRPr="00A86898">
        <w:rPr>
          <w:color w:val="auto"/>
        </w:rPr>
        <w:t xml:space="preserve"> 1676</w:t>
      </w:r>
      <w:r w:rsidR="00B62BC8">
        <w:rPr>
          <w:color w:val="auto"/>
        </w:rPr>
        <w:t>-</w:t>
      </w:r>
      <w:r w:rsidRPr="00A86898">
        <w:rPr>
          <w:color w:val="auto"/>
        </w:rPr>
        <w:t>1685 (2008).</w:t>
      </w:r>
    </w:p>
    <w:p w14:paraId="0A650277" w14:textId="64710743" w:rsidR="003C15BB" w:rsidRPr="00A86898" w:rsidRDefault="003C15BB" w:rsidP="005A4ED4">
      <w:pPr>
        <w:widowControl/>
        <w:rPr>
          <w:color w:val="auto"/>
        </w:rPr>
      </w:pPr>
      <w:r w:rsidRPr="00A86898">
        <w:rPr>
          <w:color w:val="auto"/>
        </w:rPr>
        <w:t>24.</w:t>
      </w:r>
      <w:r w:rsidRPr="00A86898">
        <w:rPr>
          <w:color w:val="auto"/>
        </w:rPr>
        <w:tab/>
        <w:t>Burré, J.</w:t>
      </w:r>
      <w:r w:rsidR="005A4ED4" w:rsidRPr="00A86898">
        <w:rPr>
          <w:i/>
          <w:color w:val="auto"/>
        </w:rPr>
        <w:t xml:space="preserve"> </w:t>
      </w:r>
      <w:r w:rsidR="002B0555">
        <w:rPr>
          <w:i/>
          <w:color w:val="auto"/>
        </w:rPr>
        <w:t>et al.</w:t>
      </w:r>
      <w:r w:rsidRPr="00A86898">
        <w:rPr>
          <w:color w:val="auto"/>
        </w:rPr>
        <w:t xml:space="preserve"> Synaptic vesicle proteins under conditions of rest and activation: Analysis by 2-D difference gel electrophoresis. </w:t>
      </w:r>
      <w:r w:rsidRPr="00A86898">
        <w:rPr>
          <w:i/>
          <w:iCs/>
          <w:color w:val="auto"/>
        </w:rPr>
        <w:t>Electrophoresis</w:t>
      </w:r>
      <w:r w:rsidRPr="00A86898">
        <w:rPr>
          <w:color w:val="auto"/>
        </w:rPr>
        <w:t xml:space="preserve"> </w:t>
      </w:r>
      <w:r w:rsidRPr="00A86898">
        <w:rPr>
          <w:b/>
          <w:bCs/>
          <w:color w:val="auto"/>
        </w:rPr>
        <w:t>27,</w:t>
      </w:r>
      <w:r w:rsidRPr="00A86898">
        <w:rPr>
          <w:color w:val="auto"/>
        </w:rPr>
        <w:t xml:space="preserve"> 3488</w:t>
      </w:r>
      <w:r w:rsidR="00B62BC8">
        <w:rPr>
          <w:color w:val="auto"/>
        </w:rPr>
        <w:t>-</w:t>
      </w:r>
      <w:r w:rsidRPr="00A86898">
        <w:rPr>
          <w:color w:val="auto"/>
        </w:rPr>
        <w:t>3496 (2006).</w:t>
      </w:r>
    </w:p>
    <w:p w14:paraId="601C57FC" w14:textId="31B0D3D7" w:rsidR="003C15BB" w:rsidRPr="00A86898" w:rsidRDefault="003C15BB" w:rsidP="005A4ED4">
      <w:pPr>
        <w:widowControl/>
        <w:rPr>
          <w:color w:val="auto"/>
        </w:rPr>
      </w:pPr>
      <w:r w:rsidRPr="00A86898">
        <w:rPr>
          <w:color w:val="auto"/>
        </w:rPr>
        <w:t>25.</w:t>
      </w:r>
      <w:r w:rsidRPr="00A86898">
        <w:rPr>
          <w:color w:val="auto"/>
        </w:rPr>
        <w:tab/>
        <w:t>Kremer, T.</w:t>
      </w:r>
      <w:r w:rsidR="005A4ED4" w:rsidRPr="00A86898">
        <w:rPr>
          <w:i/>
          <w:color w:val="auto"/>
        </w:rPr>
        <w:t xml:space="preserve"> </w:t>
      </w:r>
      <w:r w:rsidR="002B0555">
        <w:rPr>
          <w:i/>
          <w:color w:val="auto"/>
        </w:rPr>
        <w:t>et al.</w:t>
      </w:r>
      <w:r w:rsidRPr="00A86898">
        <w:rPr>
          <w:color w:val="auto"/>
        </w:rPr>
        <w:t xml:space="preserve"> Mover is a novel vertebrate-specific presynaptic protein with differential distribution at subsets of CNS synapses. </w:t>
      </w:r>
      <w:r w:rsidRPr="00A86898">
        <w:rPr>
          <w:i/>
          <w:iCs/>
          <w:color w:val="auto"/>
        </w:rPr>
        <w:t>FEBS Letters</w:t>
      </w:r>
      <w:r w:rsidRPr="00A86898">
        <w:rPr>
          <w:color w:val="auto"/>
        </w:rPr>
        <w:t xml:space="preserve"> </w:t>
      </w:r>
      <w:r w:rsidRPr="00A86898">
        <w:rPr>
          <w:b/>
          <w:bCs/>
          <w:color w:val="auto"/>
        </w:rPr>
        <w:t>581,</w:t>
      </w:r>
      <w:r w:rsidRPr="00A86898">
        <w:rPr>
          <w:color w:val="auto"/>
        </w:rPr>
        <w:t xml:space="preserve"> 4727</w:t>
      </w:r>
      <w:r w:rsidR="00B62BC8">
        <w:rPr>
          <w:color w:val="auto"/>
        </w:rPr>
        <w:t>-</w:t>
      </w:r>
      <w:r w:rsidRPr="00A86898">
        <w:rPr>
          <w:color w:val="auto"/>
        </w:rPr>
        <w:t>4733 (2007).</w:t>
      </w:r>
    </w:p>
    <w:p w14:paraId="3A6846B3" w14:textId="476AEA8D" w:rsidR="003C15BB" w:rsidRPr="00A86898" w:rsidRDefault="003C15BB" w:rsidP="005A4ED4">
      <w:pPr>
        <w:widowControl/>
        <w:rPr>
          <w:color w:val="auto"/>
        </w:rPr>
      </w:pPr>
      <w:r w:rsidRPr="00A86898">
        <w:rPr>
          <w:color w:val="auto"/>
        </w:rPr>
        <w:t>26.</w:t>
      </w:r>
      <w:r w:rsidRPr="00A86898">
        <w:rPr>
          <w:color w:val="auto"/>
        </w:rPr>
        <w:tab/>
        <w:t>Ahmed, S.</w:t>
      </w:r>
      <w:r w:rsidR="005A4ED4" w:rsidRPr="00A86898">
        <w:rPr>
          <w:i/>
          <w:color w:val="auto"/>
        </w:rPr>
        <w:t xml:space="preserve"> </w:t>
      </w:r>
      <w:r w:rsidR="002B0555">
        <w:rPr>
          <w:i/>
          <w:color w:val="auto"/>
        </w:rPr>
        <w:t>et al.</w:t>
      </w:r>
      <w:r w:rsidRPr="00A86898">
        <w:rPr>
          <w:color w:val="auto"/>
        </w:rPr>
        <w:t xml:space="preserve"> Mover Is a Homomeric Phospho-Protein Present on Synaptic Vesicles. </w:t>
      </w:r>
      <w:r w:rsidRPr="00A86898">
        <w:rPr>
          <w:i/>
          <w:iCs/>
          <w:color w:val="auto"/>
        </w:rPr>
        <w:t>PLoS ONE</w:t>
      </w:r>
      <w:r w:rsidRPr="00A86898">
        <w:rPr>
          <w:color w:val="auto"/>
        </w:rPr>
        <w:t xml:space="preserve"> </w:t>
      </w:r>
      <w:r w:rsidRPr="00A86898">
        <w:rPr>
          <w:b/>
          <w:bCs/>
          <w:color w:val="auto"/>
        </w:rPr>
        <w:t>8,</w:t>
      </w:r>
      <w:r w:rsidRPr="00A86898">
        <w:rPr>
          <w:color w:val="auto"/>
        </w:rPr>
        <w:t xml:space="preserve"> (2013).</w:t>
      </w:r>
    </w:p>
    <w:p w14:paraId="4D6D06EF" w14:textId="1DAB8B17" w:rsidR="003C15BB" w:rsidRPr="00A86898" w:rsidRDefault="003C15BB" w:rsidP="005A4ED4">
      <w:pPr>
        <w:widowControl/>
        <w:rPr>
          <w:color w:val="auto"/>
        </w:rPr>
      </w:pPr>
      <w:r w:rsidRPr="00A86898">
        <w:rPr>
          <w:color w:val="auto"/>
        </w:rPr>
        <w:t>27.</w:t>
      </w:r>
      <w:r w:rsidRPr="00A86898">
        <w:rPr>
          <w:color w:val="auto"/>
        </w:rPr>
        <w:tab/>
        <w:t>Körber, C.</w:t>
      </w:r>
      <w:r w:rsidR="005A4ED4" w:rsidRPr="00A86898">
        <w:rPr>
          <w:i/>
          <w:color w:val="auto"/>
        </w:rPr>
        <w:t xml:space="preserve"> </w:t>
      </w:r>
      <w:r w:rsidR="002B0555">
        <w:rPr>
          <w:i/>
          <w:color w:val="auto"/>
        </w:rPr>
        <w:t>et al.</w:t>
      </w:r>
      <w:r w:rsidRPr="00A86898">
        <w:rPr>
          <w:color w:val="auto"/>
        </w:rPr>
        <w:t xml:space="preserve"> Modulation of Presynaptic Release Probability by the Vertebrate-Specific Protein Mover. </w:t>
      </w:r>
      <w:r w:rsidRPr="00A86898">
        <w:rPr>
          <w:i/>
          <w:iCs/>
          <w:color w:val="auto"/>
        </w:rPr>
        <w:t>Neuron</w:t>
      </w:r>
      <w:r w:rsidRPr="00A86898">
        <w:rPr>
          <w:color w:val="auto"/>
        </w:rPr>
        <w:t xml:space="preserve"> </w:t>
      </w:r>
      <w:r w:rsidRPr="00A86898">
        <w:rPr>
          <w:b/>
          <w:bCs/>
          <w:color w:val="auto"/>
        </w:rPr>
        <w:t>87,</w:t>
      </w:r>
      <w:r w:rsidRPr="00A86898">
        <w:rPr>
          <w:color w:val="auto"/>
        </w:rPr>
        <w:t xml:space="preserve"> 521</w:t>
      </w:r>
      <w:r w:rsidR="00B62BC8">
        <w:rPr>
          <w:color w:val="auto"/>
        </w:rPr>
        <w:t>-</w:t>
      </w:r>
      <w:r w:rsidRPr="00A86898">
        <w:rPr>
          <w:color w:val="auto"/>
        </w:rPr>
        <w:t>533 (2015).</w:t>
      </w:r>
    </w:p>
    <w:p w14:paraId="6AAFEAB8" w14:textId="29443F3C" w:rsidR="003C15BB" w:rsidRPr="00A86898" w:rsidRDefault="003C15BB" w:rsidP="005A4ED4">
      <w:pPr>
        <w:widowControl/>
        <w:rPr>
          <w:color w:val="auto"/>
        </w:rPr>
      </w:pPr>
      <w:r w:rsidRPr="00A86898">
        <w:rPr>
          <w:color w:val="auto"/>
        </w:rPr>
        <w:lastRenderedPageBreak/>
        <w:t>28.</w:t>
      </w:r>
      <w:r w:rsidRPr="00A86898">
        <w:rPr>
          <w:color w:val="auto"/>
        </w:rPr>
        <w:tab/>
        <w:t>Gage, G. J., Kipke, D. R.</w:t>
      </w:r>
      <w:r w:rsidR="00EC1F02">
        <w:rPr>
          <w:color w:val="auto"/>
        </w:rPr>
        <w:t>,</w:t>
      </w:r>
      <w:r w:rsidRPr="00A86898">
        <w:rPr>
          <w:color w:val="auto"/>
        </w:rPr>
        <w:t xml:space="preserve"> Shain, W. Whole Animal Perfusion Fixation for Rodents. </w:t>
      </w:r>
      <w:r w:rsidRPr="00A86898">
        <w:rPr>
          <w:i/>
          <w:iCs/>
          <w:color w:val="auto"/>
        </w:rPr>
        <w:t>Journal of Visualized Experiments</w:t>
      </w:r>
      <w:r w:rsidRPr="00A86898">
        <w:rPr>
          <w:color w:val="auto"/>
        </w:rPr>
        <w:t xml:space="preserve"> 1</w:t>
      </w:r>
      <w:r w:rsidR="00B62BC8">
        <w:rPr>
          <w:color w:val="auto"/>
        </w:rPr>
        <w:t>-</w:t>
      </w:r>
      <w:r w:rsidRPr="00A86898">
        <w:rPr>
          <w:color w:val="auto"/>
        </w:rPr>
        <w:t>9 (2012). doi:10.3791/3564</w:t>
      </w:r>
    </w:p>
    <w:p w14:paraId="79CC8442" w14:textId="7A61F3EA" w:rsidR="003C15BB" w:rsidRPr="00A86898" w:rsidRDefault="003C15BB" w:rsidP="005A4ED4">
      <w:pPr>
        <w:widowControl/>
        <w:rPr>
          <w:color w:val="auto"/>
        </w:rPr>
      </w:pPr>
      <w:r w:rsidRPr="00A86898">
        <w:rPr>
          <w:color w:val="auto"/>
        </w:rPr>
        <w:t>29.</w:t>
      </w:r>
      <w:r w:rsidRPr="00A86898">
        <w:rPr>
          <w:color w:val="auto"/>
        </w:rPr>
        <w:tab/>
        <w:t>Schindelin, J.</w:t>
      </w:r>
      <w:r w:rsidR="005A4ED4" w:rsidRPr="00A86898">
        <w:rPr>
          <w:i/>
          <w:color w:val="auto"/>
        </w:rPr>
        <w:t xml:space="preserve"> </w:t>
      </w:r>
      <w:r w:rsidR="002B0555">
        <w:rPr>
          <w:i/>
          <w:color w:val="auto"/>
        </w:rPr>
        <w:t>et al.</w:t>
      </w:r>
      <w:r w:rsidRPr="00A86898">
        <w:rPr>
          <w:color w:val="auto"/>
        </w:rPr>
        <w:t xml:space="preserve"> Fiji: an open-source platform for biological-image analysis. </w:t>
      </w:r>
      <w:r w:rsidRPr="00A86898">
        <w:rPr>
          <w:i/>
          <w:iCs/>
          <w:color w:val="auto"/>
        </w:rPr>
        <w:t>Nature Methods</w:t>
      </w:r>
      <w:r w:rsidRPr="00A86898">
        <w:rPr>
          <w:color w:val="auto"/>
        </w:rPr>
        <w:t xml:space="preserve"> </w:t>
      </w:r>
      <w:r w:rsidRPr="00A86898">
        <w:rPr>
          <w:b/>
          <w:bCs/>
          <w:color w:val="auto"/>
        </w:rPr>
        <w:t>9,</w:t>
      </w:r>
      <w:r w:rsidRPr="00A86898">
        <w:rPr>
          <w:color w:val="auto"/>
        </w:rPr>
        <w:t xml:space="preserve"> (2012).</w:t>
      </w:r>
    </w:p>
    <w:p w14:paraId="35FADC00" w14:textId="0BB0B3DA" w:rsidR="003C15BB" w:rsidRPr="00A86898" w:rsidRDefault="003C15BB" w:rsidP="005A4ED4">
      <w:pPr>
        <w:widowControl/>
        <w:rPr>
          <w:color w:val="auto"/>
        </w:rPr>
      </w:pPr>
      <w:r w:rsidRPr="00A86898">
        <w:rPr>
          <w:color w:val="auto"/>
        </w:rPr>
        <w:t>30.</w:t>
      </w:r>
      <w:r w:rsidRPr="00A86898">
        <w:rPr>
          <w:color w:val="auto"/>
        </w:rPr>
        <w:tab/>
        <w:t>Schneider Gasser, E. M.</w:t>
      </w:r>
      <w:r w:rsidR="005A4ED4" w:rsidRPr="00A86898">
        <w:rPr>
          <w:i/>
          <w:color w:val="auto"/>
        </w:rPr>
        <w:t xml:space="preserve"> </w:t>
      </w:r>
      <w:r w:rsidR="002B0555">
        <w:rPr>
          <w:i/>
          <w:color w:val="auto"/>
        </w:rPr>
        <w:t>et al.</w:t>
      </w:r>
      <w:r w:rsidRPr="00A86898">
        <w:rPr>
          <w:color w:val="auto"/>
        </w:rPr>
        <w:t xml:space="preserve"> Immunofluorescence in brain sections: simultaneous detection of presynaptic and postsynaptic proteins in identified neurons. </w:t>
      </w:r>
      <w:r w:rsidRPr="00A86898">
        <w:rPr>
          <w:i/>
          <w:iCs/>
          <w:color w:val="auto"/>
        </w:rPr>
        <w:t>Nature Protocols</w:t>
      </w:r>
      <w:r w:rsidRPr="00A86898">
        <w:rPr>
          <w:color w:val="auto"/>
        </w:rPr>
        <w:t xml:space="preserve"> </w:t>
      </w:r>
      <w:r w:rsidRPr="00A86898">
        <w:rPr>
          <w:b/>
          <w:bCs/>
          <w:color w:val="auto"/>
        </w:rPr>
        <w:t>1,</w:t>
      </w:r>
      <w:r w:rsidRPr="00A86898">
        <w:rPr>
          <w:color w:val="auto"/>
        </w:rPr>
        <w:t xml:space="preserve"> 1887</w:t>
      </w:r>
      <w:r w:rsidR="00B62BC8">
        <w:rPr>
          <w:color w:val="auto"/>
        </w:rPr>
        <w:t>-</w:t>
      </w:r>
      <w:r w:rsidRPr="00A86898">
        <w:rPr>
          <w:color w:val="auto"/>
        </w:rPr>
        <w:t>1897 (2006).</w:t>
      </w:r>
    </w:p>
    <w:p w14:paraId="73D6C7EF" w14:textId="15EB31DD" w:rsidR="003C15BB" w:rsidRPr="00A86898" w:rsidRDefault="003C15BB" w:rsidP="005A4ED4">
      <w:pPr>
        <w:widowControl/>
        <w:rPr>
          <w:color w:val="auto"/>
        </w:rPr>
      </w:pPr>
      <w:r w:rsidRPr="00A86898">
        <w:rPr>
          <w:color w:val="auto"/>
        </w:rPr>
        <w:t>31.</w:t>
      </w:r>
      <w:r w:rsidRPr="00A86898">
        <w:rPr>
          <w:color w:val="auto"/>
        </w:rPr>
        <w:tab/>
        <w:t>Paxinos, G.</w:t>
      </w:r>
      <w:r w:rsidR="00EC1F02">
        <w:rPr>
          <w:color w:val="auto"/>
        </w:rPr>
        <w:t>,</w:t>
      </w:r>
      <w:r w:rsidRPr="00A86898">
        <w:rPr>
          <w:color w:val="auto"/>
        </w:rPr>
        <w:t xml:space="preserve"> Franklin, K. B. J. </w:t>
      </w:r>
      <w:r w:rsidRPr="00A86898">
        <w:rPr>
          <w:i/>
          <w:iCs/>
          <w:color w:val="auto"/>
        </w:rPr>
        <w:t>The Mouse Brain in Stereotaxic Coordinates</w:t>
      </w:r>
      <w:r w:rsidRPr="00A86898">
        <w:rPr>
          <w:color w:val="auto"/>
        </w:rPr>
        <w:t>. (ACADEMIC PRESS, 2001).</w:t>
      </w:r>
    </w:p>
    <w:p w14:paraId="11C11729" w14:textId="742082E3" w:rsidR="003C15BB" w:rsidRPr="00A86898" w:rsidRDefault="003C15BB" w:rsidP="005A4ED4">
      <w:pPr>
        <w:widowControl/>
        <w:rPr>
          <w:color w:val="auto"/>
        </w:rPr>
      </w:pPr>
      <w:r w:rsidRPr="00A86898">
        <w:rPr>
          <w:color w:val="auto"/>
        </w:rPr>
        <w:t>32.</w:t>
      </w:r>
      <w:r w:rsidRPr="00A86898">
        <w:rPr>
          <w:color w:val="auto"/>
        </w:rPr>
        <w:tab/>
        <w:t>Sun, Y., Ip, P.</w:t>
      </w:r>
      <w:r w:rsidR="00EC1F02">
        <w:rPr>
          <w:color w:val="auto"/>
        </w:rPr>
        <w:t>,</w:t>
      </w:r>
      <w:r w:rsidRPr="00A86898">
        <w:rPr>
          <w:color w:val="auto"/>
        </w:rPr>
        <w:t xml:space="preserve"> Chakrabartty, A. Simple Elimination of Background Fluorescence in Formalin-Fixed Human Brain Tissue for Immunofluorescence Microscopy. </w:t>
      </w:r>
      <w:r w:rsidRPr="00A86898">
        <w:rPr>
          <w:i/>
          <w:iCs/>
          <w:color w:val="auto"/>
        </w:rPr>
        <w:t>Journal of Visualized Experiments</w:t>
      </w:r>
      <w:r w:rsidRPr="00A86898">
        <w:rPr>
          <w:color w:val="auto"/>
        </w:rPr>
        <w:t xml:space="preserve"> 1</w:t>
      </w:r>
      <w:r w:rsidR="00B62BC8">
        <w:rPr>
          <w:color w:val="auto"/>
        </w:rPr>
        <w:t>-</w:t>
      </w:r>
      <w:r w:rsidRPr="00A86898">
        <w:rPr>
          <w:color w:val="auto"/>
        </w:rPr>
        <w:t xml:space="preserve">6 (2017). </w:t>
      </w:r>
    </w:p>
    <w:p w14:paraId="37A232C6" w14:textId="3E225D24" w:rsidR="003C15BB" w:rsidRPr="00A86898" w:rsidRDefault="003C15BB" w:rsidP="005A4ED4">
      <w:pPr>
        <w:widowControl/>
        <w:rPr>
          <w:color w:val="auto"/>
        </w:rPr>
      </w:pPr>
      <w:r w:rsidRPr="00A86898">
        <w:rPr>
          <w:color w:val="auto"/>
        </w:rPr>
        <w:t>33.</w:t>
      </w:r>
      <w:r w:rsidRPr="00A86898">
        <w:rPr>
          <w:color w:val="auto"/>
        </w:rPr>
        <w:tab/>
        <w:t>Poole, A. R., Dingle, J. T.</w:t>
      </w:r>
      <w:r w:rsidR="00EC1F02">
        <w:rPr>
          <w:color w:val="auto"/>
        </w:rPr>
        <w:t>,</w:t>
      </w:r>
      <w:r w:rsidRPr="00A86898">
        <w:rPr>
          <w:color w:val="auto"/>
        </w:rPr>
        <w:t xml:space="preserve"> Mallia, A. K. The localization of retinol-binding protein in rat liver by immunofluorescence microscopy. </w:t>
      </w:r>
      <w:r w:rsidRPr="00A86898">
        <w:rPr>
          <w:i/>
          <w:iCs/>
          <w:color w:val="auto"/>
        </w:rPr>
        <w:t>Journal of Cell Science</w:t>
      </w:r>
      <w:r w:rsidRPr="00A86898">
        <w:rPr>
          <w:color w:val="auto"/>
        </w:rPr>
        <w:t xml:space="preserve"> </w:t>
      </w:r>
      <w:r w:rsidRPr="00A86898">
        <w:rPr>
          <w:b/>
          <w:bCs/>
          <w:color w:val="auto"/>
        </w:rPr>
        <w:t>394,</w:t>
      </w:r>
      <w:r w:rsidRPr="00A86898">
        <w:rPr>
          <w:color w:val="auto"/>
        </w:rPr>
        <w:t xml:space="preserve"> 379</w:t>
      </w:r>
      <w:r w:rsidR="00B62BC8">
        <w:rPr>
          <w:color w:val="auto"/>
        </w:rPr>
        <w:t>-</w:t>
      </w:r>
      <w:r w:rsidRPr="00A86898">
        <w:rPr>
          <w:color w:val="auto"/>
        </w:rPr>
        <w:t>394 (1975).</w:t>
      </w:r>
    </w:p>
    <w:p w14:paraId="020A8F28" w14:textId="111EDB33" w:rsidR="009726EE" w:rsidRPr="00A86898" w:rsidRDefault="00363FB5" w:rsidP="005A4ED4">
      <w:pPr>
        <w:widowControl/>
        <w:rPr>
          <w:color w:val="auto"/>
        </w:rPr>
      </w:pPr>
      <w:r w:rsidRPr="00A86898">
        <w:rPr>
          <w:color w:val="auto"/>
        </w:rPr>
        <w:fldChar w:fldCharType="end"/>
      </w:r>
    </w:p>
    <w:sectPr w:rsidR="009726EE" w:rsidRPr="00A86898" w:rsidSect="005A4ED4">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5ACB9" w14:textId="77777777" w:rsidR="00E415C2" w:rsidRDefault="00E415C2" w:rsidP="00621C4E">
      <w:r>
        <w:separator/>
      </w:r>
    </w:p>
  </w:endnote>
  <w:endnote w:type="continuationSeparator" w:id="0">
    <w:p w14:paraId="56ED62FD" w14:textId="77777777" w:rsidR="00E415C2" w:rsidRDefault="00E415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47B60" w:rsidRDefault="00347B6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358F9" w14:textId="77777777" w:rsidR="00E415C2" w:rsidRDefault="00E415C2" w:rsidP="00621C4E">
      <w:r>
        <w:separator/>
      </w:r>
    </w:p>
  </w:footnote>
  <w:footnote w:type="continuationSeparator" w:id="0">
    <w:p w14:paraId="3A357894" w14:textId="77777777" w:rsidR="00E415C2" w:rsidRDefault="00E415C2"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2CC"/>
    <w:multiLevelType w:val="hybridMultilevel"/>
    <w:tmpl w:val="1B48E8CA"/>
    <w:lvl w:ilvl="0" w:tplc="2514E26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C474C"/>
    <w:multiLevelType w:val="hybridMultilevel"/>
    <w:tmpl w:val="6304F594"/>
    <w:lvl w:ilvl="0" w:tplc="2514E26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C20D2"/>
    <w:multiLevelType w:val="hybridMultilevel"/>
    <w:tmpl w:val="40C050C0"/>
    <w:lvl w:ilvl="0" w:tplc="2514E26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C38B4"/>
    <w:multiLevelType w:val="hybridMultilevel"/>
    <w:tmpl w:val="8C5C1CBC"/>
    <w:lvl w:ilvl="0" w:tplc="0407000F">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53B83"/>
    <w:multiLevelType w:val="multilevel"/>
    <w:tmpl w:val="9F9CA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BA2C6B"/>
    <w:multiLevelType w:val="hybridMultilevel"/>
    <w:tmpl w:val="F778531A"/>
    <w:lvl w:ilvl="0" w:tplc="2DF6AD40">
      <w:start w:val="1"/>
      <w:numFmt w:val="decimal"/>
      <w:lvlText w:val="%1."/>
      <w:lvlJc w:val="left"/>
      <w:pPr>
        <w:ind w:left="0" w:firstLine="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E70C5"/>
    <w:multiLevelType w:val="hybridMultilevel"/>
    <w:tmpl w:val="EB5020EC"/>
    <w:lvl w:ilvl="0" w:tplc="2514E266">
      <w:start w:val="1"/>
      <w:numFmt w:val="decimal"/>
      <w:lvlText w:val="%1."/>
      <w:lvlJc w:val="left"/>
      <w:pPr>
        <w:ind w:left="1080" w:hanging="360"/>
      </w:pPr>
      <w:rPr>
        <w:rFonts w:hint="default"/>
        <w:color w:val="8080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42C40"/>
    <w:multiLevelType w:val="hybridMultilevel"/>
    <w:tmpl w:val="B5BA1F9A"/>
    <w:lvl w:ilvl="0" w:tplc="2514E266">
      <w:start w:val="1"/>
      <w:numFmt w:val="decimal"/>
      <w:lvlText w:val="%1."/>
      <w:lvlJc w:val="left"/>
      <w:pPr>
        <w:ind w:left="1080" w:hanging="360"/>
      </w:pPr>
      <w:rPr>
        <w:rFonts w:hint="default"/>
        <w:color w:val="8080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ED51005"/>
    <w:multiLevelType w:val="hybridMultilevel"/>
    <w:tmpl w:val="469A00F8"/>
    <w:lvl w:ilvl="0" w:tplc="590478A8">
      <w:start w:val="1"/>
      <w:numFmt w:val="decimal"/>
      <w:lvlText w:val="%1."/>
      <w:lvlJc w:val="left"/>
      <w:pPr>
        <w:ind w:left="0" w:firstLine="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1695D"/>
    <w:multiLevelType w:val="hybridMultilevel"/>
    <w:tmpl w:val="32A69772"/>
    <w:lvl w:ilvl="0" w:tplc="C8EA4A14">
      <w:start w:val="1"/>
      <w:numFmt w:val="decimal"/>
      <w:lvlText w:val="%1."/>
      <w:lvlJc w:val="left"/>
      <w:pPr>
        <w:tabs>
          <w:tab w:val="num" w:pos="0"/>
        </w:tabs>
        <w:ind w:left="0" w:firstLine="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31914"/>
    <w:multiLevelType w:val="hybridMultilevel"/>
    <w:tmpl w:val="E514D038"/>
    <w:lvl w:ilvl="0" w:tplc="B84AA5E6">
      <w:start w:val="1"/>
      <w:numFmt w:val="decimal"/>
      <w:lvlText w:val="%1."/>
      <w:lvlJc w:val="left"/>
      <w:pPr>
        <w:ind w:left="0" w:firstLine="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5067F"/>
    <w:multiLevelType w:val="hybridMultilevel"/>
    <w:tmpl w:val="CB0AB55C"/>
    <w:lvl w:ilvl="0" w:tplc="C4104C34">
      <w:start w:val="1"/>
      <w:numFmt w:val="decimal"/>
      <w:lvlText w:val="%1."/>
      <w:lvlJc w:val="left"/>
      <w:pPr>
        <w:tabs>
          <w:tab w:val="num" w:pos="0"/>
        </w:tabs>
        <w:ind w:left="0" w:firstLine="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1A2A"/>
    <w:multiLevelType w:val="hybridMultilevel"/>
    <w:tmpl w:val="066CA386"/>
    <w:lvl w:ilvl="0" w:tplc="2514E26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A06706"/>
    <w:multiLevelType w:val="hybridMultilevel"/>
    <w:tmpl w:val="91A02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4"/>
  </w:num>
  <w:num w:numId="3">
    <w:abstractNumId w:val="5"/>
  </w:num>
  <w:num w:numId="4">
    <w:abstractNumId w:val="22"/>
  </w:num>
  <w:num w:numId="5">
    <w:abstractNumId w:val="13"/>
  </w:num>
  <w:num w:numId="6">
    <w:abstractNumId w:val="20"/>
  </w:num>
  <w:num w:numId="7">
    <w:abstractNumId w:val="1"/>
  </w:num>
  <w:num w:numId="8">
    <w:abstractNumId w:val="15"/>
  </w:num>
  <w:num w:numId="9">
    <w:abstractNumId w:val="16"/>
  </w:num>
  <w:num w:numId="10">
    <w:abstractNumId w:val="23"/>
  </w:num>
  <w:num w:numId="11">
    <w:abstractNumId w:val="27"/>
  </w:num>
  <w:num w:numId="12">
    <w:abstractNumId w:val="2"/>
  </w:num>
  <w:num w:numId="13">
    <w:abstractNumId w:val="25"/>
  </w:num>
  <w:num w:numId="14">
    <w:abstractNumId w:val="33"/>
  </w:num>
  <w:num w:numId="15">
    <w:abstractNumId w:val="17"/>
  </w:num>
  <w:num w:numId="16">
    <w:abstractNumId w:val="12"/>
  </w:num>
  <w:num w:numId="17">
    <w:abstractNumId w:val="26"/>
  </w:num>
  <w:num w:numId="18">
    <w:abstractNumId w:val="18"/>
  </w:num>
  <w:num w:numId="19">
    <w:abstractNumId w:val="28"/>
  </w:num>
  <w:num w:numId="20">
    <w:abstractNumId w:val="3"/>
  </w:num>
  <w:num w:numId="21">
    <w:abstractNumId w:val="32"/>
  </w:num>
  <w:num w:numId="22">
    <w:abstractNumId w:val="7"/>
  </w:num>
  <w:num w:numId="23">
    <w:abstractNumId w:val="19"/>
  </w:num>
  <w:num w:numId="24">
    <w:abstractNumId w:val="21"/>
  </w:num>
  <w:num w:numId="25">
    <w:abstractNumId w:val="30"/>
  </w:num>
  <w:num w:numId="26">
    <w:abstractNumId w:val="29"/>
  </w:num>
  <w:num w:numId="27">
    <w:abstractNumId w:val="0"/>
  </w:num>
  <w:num w:numId="28">
    <w:abstractNumId w:val="11"/>
  </w:num>
  <w:num w:numId="29">
    <w:abstractNumId w:val="14"/>
  </w:num>
  <w:num w:numId="30">
    <w:abstractNumId w:val="31"/>
  </w:num>
  <w:num w:numId="31">
    <w:abstractNumId w:val="10"/>
  </w:num>
  <w:num w:numId="32">
    <w:abstractNumId w:val="6"/>
  </w:num>
  <w:num w:numId="33">
    <w:abstractNumId w:val="4"/>
  </w:num>
  <w:num w:numId="34">
    <w:abstractNumId w:val="34"/>
  </w:num>
  <w:num w:numId="3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45A"/>
    <w:rsid w:val="00002547"/>
    <w:rsid w:val="0000511A"/>
    <w:rsid w:val="00005815"/>
    <w:rsid w:val="000064DF"/>
    <w:rsid w:val="00006E26"/>
    <w:rsid w:val="00007A2F"/>
    <w:rsid w:val="00007DBC"/>
    <w:rsid w:val="00007EA1"/>
    <w:rsid w:val="000100F0"/>
    <w:rsid w:val="000110D9"/>
    <w:rsid w:val="0001154E"/>
    <w:rsid w:val="00012FF9"/>
    <w:rsid w:val="0001316A"/>
    <w:rsid w:val="00013A9A"/>
    <w:rsid w:val="00014314"/>
    <w:rsid w:val="00016659"/>
    <w:rsid w:val="00021104"/>
    <w:rsid w:val="00021434"/>
    <w:rsid w:val="00021774"/>
    <w:rsid w:val="00021DF3"/>
    <w:rsid w:val="00023869"/>
    <w:rsid w:val="00024598"/>
    <w:rsid w:val="000256B2"/>
    <w:rsid w:val="000307A6"/>
    <w:rsid w:val="00030C48"/>
    <w:rsid w:val="00032769"/>
    <w:rsid w:val="00032C1A"/>
    <w:rsid w:val="00037B58"/>
    <w:rsid w:val="00042B83"/>
    <w:rsid w:val="00046800"/>
    <w:rsid w:val="00047E64"/>
    <w:rsid w:val="00051B73"/>
    <w:rsid w:val="000530F7"/>
    <w:rsid w:val="000551CA"/>
    <w:rsid w:val="00060ABE"/>
    <w:rsid w:val="00061A50"/>
    <w:rsid w:val="00064104"/>
    <w:rsid w:val="00066025"/>
    <w:rsid w:val="00066CB4"/>
    <w:rsid w:val="000701D1"/>
    <w:rsid w:val="00073720"/>
    <w:rsid w:val="000749EB"/>
    <w:rsid w:val="0007674E"/>
    <w:rsid w:val="00076CCD"/>
    <w:rsid w:val="00080A20"/>
    <w:rsid w:val="00081E55"/>
    <w:rsid w:val="00082796"/>
    <w:rsid w:val="00083B59"/>
    <w:rsid w:val="00086C50"/>
    <w:rsid w:val="00087C0A"/>
    <w:rsid w:val="000937AC"/>
    <w:rsid w:val="00093BC4"/>
    <w:rsid w:val="000955E6"/>
    <w:rsid w:val="00097929"/>
    <w:rsid w:val="000979FA"/>
    <w:rsid w:val="000A043F"/>
    <w:rsid w:val="000A1E80"/>
    <w:rsid w:val="000A3B70"/>
    <w:rsid w:val="000A5153"/>
    <w:rsid w:val="000B10AE"/>
    <w:rsid w:val="000B30BF"/>
    <w:rsid w:val="000B566B"/>
    <w:rsid w:val="000B5C8A"/>
    <w:rsid w:val="000B662E"/>
    <w:rsid w:val="000B7294"/>
    <w:rsid w:val="000B75D0"/>
    <w:rsid w:val="000C0DD9"/>
    <w:rsid w:val="000C16E9"/>
    <w:rsid w:val="000C1C09"/>
    <w:rsid w:val="000C1CF8"/>
    <w:rsid w:val="000C1F37"/>
    <w:rsid w:val="000C321D"/>
    <w:rsid w:val="000C49CF"/>
    <w:rsid w:val="000C51A2"/>
    <w:rsid w:val="000C52E9"/>
    <w:rsid w:val="000C5740"/>
    <w:rsid w:val="000C5CDC"/>
    <w:rsid w:val="000C65DC"/>
    <w:rsid w:val="000C66F3"/>
    <w:rsid w:val="000C6900"/>
    <w:rsid w:val="000C7C10"/>
    <w:rsid w:val="000D31E8"/>
    <w:rsid w:val="000D5C47"/>
    <w:rsid w:val="000D6AE6"/>
    <w:rsid w:val="000D7267"/>
    <w:rsid w:val="000D76E4"/>
    <w:rsid w:val="000E3816"/>
    <w:rsid w:val="000E4F77"/>
    <w:rsid w:val="000E6254"/>
    <w:rsid w:val="000F1F0D"/>
    <w:rsid w:val="000F265C"/>
    <w:rsid w:val="000F2E17"/>
    <w:rsid w:val="000F3AFA"/>
    <w:rsid w:val="000F5712"/>
    <w:rsid w:val="000F6611"/>
    <w:rsid w:val="000F7E22"/>
    <w:rsid w:val="001028C8"/>
    <w:rsid w:val="00102F5F"/>
    <w:rsid w:val="00107D07"/>
    <w:rsid w:val="001104F3"/>
    <w:rsid w:val="00112AC4"/>
    <w:rsid w:val="00112EEB"/>
    <w:rsid w:val="00113DA2"/>
    <w:rsid w:val="00114B95"/>
    <w:rsid w:val="00115507"/>
    <w:rsid w:val="0012563A"/>
    <w:rsid w:val="00126FCA"/>
    <w:rsid w:val="00127DE2"/>
    <w:rsid w:val="001313A7"/>
    <w:rsid w:val="0013276F"/>
    <w:rsid w:val="001345DD"/>
    <w:rsid w:val="00134BAC"/>
    <w:rsid w:val="00134BEF"/>
    <w:rsid w:val="0013621E"/>
    <w:rsid w:val="0013642E"/>
    <w:rsid w:val="00141E1B"/>
    <w:rsid w:val="00152A23"/>
    <w:rsid w:val="001530B8"/>
    <w:rsid w:val="00154833"/>
    <w:rsid w:val="00156964"/>
    <w:rsid w:val="001611D2"/>
    <w:rsid w:val="00162CB7"/>
    <w:rsid w:val="001703CB"/>
    <w:rsid w:val="00171E5B"/>
    <w:rsid w:val="00171F94"/>
    <w:rsid w:val="00173745"/>
    <w:rsid w:val="00175D4E"/>
    <w:rsid w:val="0017668A"/>
    <w:rsid w:val="001766FE"/>
    <w:rsid w:val="001771E7"/>
    <w:rsid w:val="00186587"/>
    <w:rsid w:val="00187221"/>
    <w:rsid w:val="001907FB"/>
    <w:rsid w:val="001911FF"/>
    <w:rsid w:val="00192006"/>
    <w:rsid w:val="00192215"/>
    <w:rsid w:val="00193180"/>
    <w:rsid w:val="00193B03"/>
    <w:rsid w:val="001A1DD1"/>
    <w:rsid w:val="001A537B"/>
    <w:rsid w:val="001A59A4"/>
    <w:rsid w:val="001B1519"/>
    <w:rsid w:val="001B2E2D"/>
    <w:rsid w:val="001B3520"/>
    <w:rsid w:val="001B43C3"/>
    <w:rsid w:val="001B5CD2"/>
    <w:rsid w:val="001B66EB"/>
    <w:rsid w:val="001C015C"/>
    <w:rsid w:val="001C0BEE"/>
    <w:rsid w:val="001C0CB9"/>
    <w:rsid w:val="001C1E49"/>
    <w:rsid w:val="001C2A98"/>
    <w:rsid w:val="001C35D4"/>
    <w:rsid w:val="001C526A"/>
    <w:rsid w:val="001C52A6"/>
    <w:rsid w:val="001C5DB1"/>
    <w:rsid w:val="001D1BC4"/>
    <w:rsid w:val="001D38CE"/>
    <w:rsid w:val="001D3D7D"/>
    <w:rsid w:val="001D3FFF"/>
    <w:rsid w:val="001D58E8"/>
    <w:rsid w:val="001D625F"/>
    <w:rsid w:val="001D6874"/>
    <w:rsid w:val="001D7576"/>
    <w:rsid w:val="001E0573"/>
    <w:rsid w:val="001E14A0"/>
    <w:rsid w:val="001E7376"/>
    <w:rsid w:val="001F1F8A"/>
    <w:rsid w:val="001F225C"/>
    <w:rsid w:val="001F3387"/>
    <w:rsid w:val="001F6036"/>
    <w:rsid w:val="00201CFA"/>
    <w:rsid w:val="00202034"/>
    <w:rsid w:val="0020220D"/>
    <w:rsid w:val="00202448"/>
    <w:rsid w:val="00202D15"/>
    <w:rsid w:val="002032B3"/>
    <w:rsid w:val="00212842"/>
    <w:rsid w:val="00212EAE"/>
    <w:rsid w:val="00214BEE"/>
    <w:rsid w:val="002152D2"/>
    <w:rsid w:val="00217F27"/>
    <w:rsid w:val="002205B8"/>
    <w:rsid w:val="00225720"/>
    <w:rsid w:val="002259E5"/>
    <w:rsid w:val="00225A17"/>
    <w:rsid w:val="00225BB2"/>
    <w:rsid w:val="00226140"/>
    <w:rsid w:val="002274F3"/>
    <w:rsid w:val="002307ED"/>
    <w:rsid w:val="0023094C"/>
    <w:rsid w:val="00232200"/>
    <w:rsid w:val="0023314D"/>
    <w:rsid w:val="00233908"/>
    <w:rsid w:val="00234715"/>
    <w:rsid w:val="00234BE3"/>
    <w:rsid w:val="00235A90"/>
    <w:rsid w:val="0024123B"/>
    <w:rsid w:val="00241E48"/>
    <w:rsid w:val="0024214E"/>
    <w:rsid w:val="00242623"/>
    <w:rsid w:val="00242DF0"/>
    <w:rsid w:val="002437A6"/>
    <w:rsid w:val="00246499"/>
    <w:rsid w:val="00247F17"/>
    <w:rsid w:val="00250558"/>
    <w:rsid w:val="00255B12"/>
    <w:rsid w:val="00260158"/>
    <w:rsid w:val="00260652"/>
    <w:rsid w:val="00261C36"/>
    <w:rsid w:val="00261F25"/>
    <w:rsid w:val="0026218B"/>
    <w:rsid w:val="002648A9"/>
    <w:rsid w:val="0026536F"/>
    <w:rsid w:val="0026553C"/>
    <w:rsid w:val="00266B6E"/>
    <w:rsid w:val="00267DD5"/>
    <w:rsid w:val="002745A4"/>
    <w:rsid w:val="00274A0A"/>
    <w:rsid w:val="00277593"/>
    <w:rsid w:val="0027772C"/>
    <w:rsid w:val="00280918"/>
    <w:rsid w:val="00282AF6"/>
    <w:rsid w:val="002843FC"/>
    <w:rsid w:val="00285F70"/>
    <w:rsid w:val="00287085"/>
    <w:rsid w:val="00290AF9"/>
    <w:rsid w:val="00292046"/>
    <w:rsid w:val="002950E0"/>
    <w:rsid w:val="002967CF"/>
    <w:rsid w:val="00297788"/>
    <w:rsid w:val="00297DA8"/>
    <w:rsid w:val="002A484B"/>
    <w:rsid w:val="002A64A6"/>
    <w:rsid w:val="002A6AA4"/>
    <w:rsid w:val="002B0555"/>
    <w:rsid w:val="002B3D81"/>
    <w:rsid w:val="002C0B5B"/>
    <w:rsid w:val="002C47D4"/>
    <w:rsid w:val="002D0F38"/>
    <w:rsid w:val="002D1A55"/>
    <w:rsid w:val="002D304D"/>
    <w:rsid w:val="002D48BD"/>
    <w:rsid w:val="002D5BFA"/>
    <w:rsid w:val="002D77E3"/>
    <w:rsid w:val="002E20E2"/>
    <w:rsid w:val="002E38CE"/>
    <w:rsid w:val="002E4B99"/>
    <w:rsid w:val="002E6734"/>
    <w:rsid w:val="002F1A2B"/>
    <w:rsid w:val="002F2859"/>
    <w:rsid w:val="002F3FD9"/>
    <w:rsid w:val="002F4609"/>
    <w:rsid w:val="002F5C63"/>
    <w:rsid w:val="002F6B71"/>
    <w:rsid w:val="002F6E3C"/>
    <w:rsid w:val="002F70AB"/>
    <w:rsid w:val="00300A2E"/>
    <w:rsid w:val="0030117D"/>
    <w:rsid w:val="00301F30"/>
    <w:rsid w:val="0030297F"/>
    <w:rsid w:val="00303C87"/>
    <w:rsid w:val="0030462F"/>
    <w:rsid w:val="00305F07"/>
    <w:rsid w:val="003108E5"/>
    <w:rsid w:val="003114F5"/>
    <w:rsid w:val="003120CB"/>
    <w:rsid w:val="00315E0D"/>
    <w:rsid w:val="00320153"/>
    <w:rsid w:val="00320367"/>
    <w:rsid w:val="00322871"/>
    <w:rsid w:val="0032418F"/>
    <w:rsid w:val="00326FB3"/>
    <w:rsid w:val="003316D4"/>
    <w:rsid w:val="00333822"/>
    <w:rsid w:val="0033469B"/>
    <w:rsid w:val="003347FB"/>
    <w:rsid w:val="0033596B"/>
    <w:rsid w:val="00336715"/>
    <w:rsid w:val="003370CA"/>
    <w:rsid w:val="00340DFD"/>
    <w:rsid w:val="00344954"/>
    <w:rsid w:val="00345460"/>
    <w:rsid w:val="00347B60"/>
    <w:rsid w:val="00350762"/>
    <w:rsid w:val="00350CD7"/>
    <w:rsid w:val="0035291E"/>
    <w:rsid w:val="003546EA"/>
    <w:rsid w:val="00356F6C"/>
    <w:rsid w:val="00360C17"/>
    <w:rsid w:val="003621C6"/>
    <w:rsid w:val="003622B8"/>
    <w:rsid w:val="00363FB5"/>
    <w:rsid w:val="00364374"/>
    <w:rsid w:val="00366B76"/>
    <w:rsid w:val="00372436"/>
    <w:rsid w:val="00372629"/>
    <w:rsid w:val="00373051"/>
    <w:rsid w:val="00373896"/>
    <w:rsid w:val="00373B8F"/>
    <w:rsid w:val="00376D95"/>
    <w:rsid w:val="00377FBB"/>
    <w:rsid w:val="00383EE0"/>
    <w:rsid w:val="00385140"/>
    <w:rsid w:val="00385B1F"/>
    <w:rsid w:val="00386CAF"/>
    <w:rsid w:val="00387467"/>
    <w:rsid w:val="003A16FC"/>
    <w:rsid w:val="003A2BAD"/>
    <w:rsid w:val="003A3771"/>
    <w:rsid w:val="003A4B4C"/>
    <w:rsid w:val="003A4FCD"/>
    <w:rsid w:val="003A5453"/>
    <w:rsid w:val="003A7786"/>
    <w:rsid w:val="003B0944"/>
    <w:rsid w:val="003B1593"/>
    <w:rsid w:val="003B4104"/>
    <w:rsid w:val="003B4381"/>
    <w:rsid w:val="003B4382"/>
    <w:rsid w:val="003B5DB7"/>
    <w:rsid w:val="003C0E96"/>
    <w:rsid w:val="003C1043"/>
    <w:rsid w:val="003C15BB"/>
    <w:rsid w:val="003C1A30"/>
    <w:rsid w:val="003C39A4"/>
    <w:rsid w:val="003C6779"/>
    <w:rsid w:val="003D21A2"/>
    <w:rsid w:val="003D2998"/>
    <w:rsid w:val="003D2F0A"/>
    <w:rsid w:val="003D3891"/>
    <w:rsid w:val="003D5D84"/>
    <w:rsid w:val="003E0052"/>
    <w:rsid w:val="003E0F08"/>
    <w:rsid w:val="003E0F4F"/>
    <w:rsid w:val="003E18AC"/>
    <w:rsid w:val="003E210B"/>
    <w:rsid w:val="003E2A12"/>
    <w:rsid w:val="003E3384"/>
    <w:rsid w:val="003E3995"/>
    <w:rsid w:val="003E548E"/>
    <w:rsid w:val="003F1D2A"/>
    <w:rsid w:val="003F4820"/>
    <w:rsid w:val="003F4873"/>
    <w:rsid w:val="003F6EF4"/>
    <w:rsid w:val="003F711B"/>
    <w:rsid w:val="0040788F"/>
    <w:rsid w:val="00407EB1"/>
    <w:rsid w:val="004148E1"/>
    <w:rsid w:val="00414CFA"/>
    <w:rsid w:val="00420BE9"/>
    <w:rsid w:val="00422222"/>
    <w:rsid w:val="00423AD8"/>
    <w:rsid w:val="00424A78"/>
    <w:rsid w:val="00424C85"/>
    <w:rsid w:val="00425490"/>
    <w:rsid w:val="00425A55"/>
    <w:rsid w:val="004260BD"/>
    <w:rsid w:val="0042673C"/>
    <w:rsid w:val="0043012F"/>
    <w:rsid w:val="00430619"/>
    <w:rsid w:val="00430F1F"/>
    <w:rsid w:val="004326EA"/>
    <w:rsid w:val="00444197"/>
    <w:rsid w:val="0044434C"/>
    <w:rsid w:val="0044456B"/>
    <w:rsid w:val="004451C4"/>
    <w:rsid w:val="00447BD1"/>
    <w:rsid w:val="004507F3"/>
    <w:rsid w:val="004509EC"/>
    <w:rsid w:val="00450A85"/>
    <w:rsid w:val="00450AF4"/>
    <w:rsid w:val="0045679C"/>
    <w:rsid w:val="00457279"/>
    <w:rsid w:val="00460863"/>
    <w:rsid w:val="00461B5F"/>
    <w:rsid w:val="00464611"/>
    <w:rsid w:val="004671C7"/>
    <w:rsid w:val="00467B49"/>
    <w:rsid w:val="004727B4"/>
    <w:rsid w:val="004728B7"/>
    <w:rsid w:val="00472F4D"/>
    <w:rsid w:val="004730BF"/>
    <w:rsid w:val="00474DCB"/>
    <w:rsid w:val="0047535C"/>
    <w:rsid w:val="00483108"/>
    <w:rsid w:val="00485870"/>
    <w:rsid w:val="00485A10"/>
    <w:rsid w:val="00485FE8"/>
    <w:rsid w:val="004867E9"/>
    <w:rsid w:val="00490FC3"/>
    <w:rsid w:val="0049150C"/>
    <w:rsid w:val="00492EB5"/>
    <w:rsid w:val="004934CA"/>
    <w:rsid w:val="00493C08"/>
    <w:rsid w:val="00494F77"/>
    <w:rsid w:val="00497721"/>
    <w:rsid w:val="004A0229"/>
    <w:rsid w:val="004A1A1E"/>
    <w:rsid w:val="004A35D2"/>
    <w:rsid w:val="004A4855"/>
    <w:rsid w:val="004A48B6"/>
    <w:rsid w:val="004A5E2B"/>
    <w:rsid w:val="004A71E4"/>
    <w:rsid w:val="004B2F00"/>
    <w:rsid w:val="004B6E31"/>
    <w:rsid w:val="004C0A76"/>
    <w:rsid w:val="004C0B28"/>
    <w:rsid w:val="004C1D66"/>
    <w:rsid w:val="004C3081"/>
    <w:rsid w:val="004C31D7"/>
    <w:rsid w:val="004C4572"/>
    <w:rsid w:val="004C4AD2"/>
    <w:rsid w:val="004D1F21"/>
    <w:rsid w:val="004D59D8"/>
    <w:rsid w:val="004D5DA1"/>
    <w:rsid w:val="004E150F"/>
    <w:rsid w:val="004E1DCA"/>
    <w:rsid w:val="004E1E67"/>
    <w:rsid w:val="004E23A1"/>
    <w:rsid w:val="004E3489"/>
    <w:rsid w:val="004E358A"/>
    <w:rsid w:val="004E3AFA"/>
    <w:rsid w:val="004E5262"/>
    <w:rsid w:val="004E6588"/>
    <w:rsid w:val="004F658C"/>
    <w:rsid w:val="00501999"/>
    <w:rsid w:val="00502A0A"/>
    <w:rsid w:val="0050497D"/>
    <w:rsid w:val="005053D7"/>
    <w:rsid w:val="0050554D"/>
    <w:rsid w:val="00507C50"/>
    <w:rsid w:val="00517AD8"/>
    <w:rsid w:val="00517C3A"/>
    <w:rsid w:val="00521EF1"/>
    <w:rsid w:val="005247B0"/>
    <w:rsid w:val="00525C12"/>
    <w:rsid w:val="00526618"/>
    <w:rsid w:val="00527BF4"/>
    <w:rsid w:val="005324BE"/>
    <w:rsid w:val="00534F6C"/>
    <w:rsid w:val="00535994"/>
    <w:rsid w:val="0053646D"/>
    <w:rsid w:val="0053734C"/>
    <w:rsid w:val="00540AAD"/>
    <w:rsid w:val="005419DC"/>
    <w:rsid w:val="00543B69"/>
    <w:rsid w:val="00543EC1"/>
    <w:rsid w:val="00546458"/>
    <w:rsid w:val="00550376"/>
    <w:rsid w:val="0055087C"/>
    <w:rsid w:val="00552CB3"/>
    <w:rsid w:val="00552DE1"/>
    <w:rsid w:val="00553413"/>
    <w:rsid w:val="00556549"/>
    <w:rsid w:val="00560E31"/>
    <w:rsid w:val="0056493F"/>
    <w:rsid w:val="00565143"/>
    <w:rsid w:val="00573C4F"/>
    <w:rsid w:val="00581B23"/>
    <w:rsid w:val="0058219C"/>
    <w:rsid w:val="005856A1"/>
    <w:rsid w:val="0058707F"/>
    <w:rsid w:val="005931FE"/>
    <w:rsid w:val="00597F9B"/>
    <w:rsid w:val="005A0F5B"/>
    <w:rsid w:val="005A0FEB"/>
    <w:rsid w:val="005A4ED4"/>
    <w:rsid w:val="005B0072"/>
    <w:rsid w:val="005B0732"/>
    <w:rsid w:val="005B0778"/>
    <w:rsid w:val="005B38A0"/>
    <w:rsid w:val="005B3F1F"/>
    <w:rsid w:val="005B491C"/>
    <w:rsid w:val="005B4DBF"/>
    <w:rsid w:val="005B5DE2"/>
    <w:rsid w:val="005B674C"/>
    <w:rsid w:val="005C1060"/>
    <w:rsid w:val="005C1BD3"/>
    <w:rsid w:val="005C7561"/>
    <w:rsid w:val="005C7F0F"/>
    <w:rsid w:val="005D0F7C"/>
    <w:rsid w:val="005D1E57"/>
    <w:rsid w:val="005D2727"/>
    <w:rsid w:val="005D2F57"/>
    <w:rsid w:val="005D34F6"/>
    <w:rsid w:val="005D3681"/>
    <w:rsid w:val="005D38C5"/>
    <w:rsid w:val="005D3AFD"/>
    <w:rsid w:val="005D4F1A"/>
    <w:rsid w:val="005D7953"/>
    <w:rsid w:val="005E1884"/>
    <w:rsid w:val="005E42DE"/>
    <w:rsid w:val="005E4600"/>
    <w:rsid w:val="005F373A"/>
    <w:rsid w:val="005F4F87"/>
    <w:rsid w:val="005F6B0E"/>
    <w:rsid w:val="005F760E"/>
    <w:rsid w:val="005F7B1D"/>
    <w:rsid w:val="006010B3"/>
    <w:rsid w:val="006016A3"/>
    <w:rsid w:val="006018B2"/>
    <w:rsid w:val="0060222A"/>
    <w:rsid w:val="00606416"/>
    <w:rsid w:val="00610C21"/>
    <w:rsid w:val="00611907"/>
    <w:rsid w:val="00612B07"/>
    <w:rsid w:val="00613116"/>
    <w:rsid w:val="00617F90"/>
    <w:rsid w:val="006202A6"/>
    <w:rsid w:val="0062054B"/>
    <w:rsid w:val="00621C4E"/>
    <w:rsid w:val="006223DD"/>
    <w:rsid w:val="006236E2"/>
    <w:rsid w:val="00624EAE"/>
    <w:rsid w:val="006300A5"/>
    <w:rsid w:val="006305D7"/>
    <w:rsid w:val="006307BA"/>
    <w:rsid w:val="00633A01"/>
    <w:rsid w:val="00633B97"/>
    <w:rsid w:val="006341F7"/>
    <w:rsid w:val="00635014"/>
    <w:rsid w:val="006369CE"/>
    <w:rsid w:val="006411CA"/>
    <w:rsid w:val="006460C1"/>
    <w:rsid w:val="00647664"/>
    <w:rsid w:val="00657A48"/>
    <w:rsid w:val="006619C8"/>
    <w:rsid w:val="00670045"/>
    <w:rsid w:val="00671710"/>
    <w:rsid w:val="00672D1B"/>
    <w:rsid w:val="00673414"/>
    <w:rsid w:val="00673F80"/>
    <w:rsid w:val="00674B96"/>
    <w:rsid w:val="00676079"/>
    <w:rsid w:val="00676E12"/>
    <w:rsid w:val="00676ECD"/>
    <w:rsid w:val="00677D0A"/>
    <w:rsid w:val="0068185F"/>
    <w:rsid w:val="00682DCB"/>
    <w:rsid w:val="006863E4"/>
    <w:rsid w:val="00686C2B"/>
    <w:rsid w:val="006922F7"/>
    <w:rsid w:val="00695474"/>
    <w:rsid w:val="006959EE"/>
    <w:rsid w:val="006975EA"/>
    <w:rsid w:val="006A01CF"/>
    <w:rsid w:val="006A0928"/>
    <w:rsid w:val="006A60DD"/>
    <w:rsid w:val="006B074C"/>
    <w:rsid w:val="006B3122"/>
    <w:rsid w:val="006B3B84"/>
    <w:rsid w:val="006B4E7C"/>
    <w:rsid w:val="006B5D8C"/>
    <w:rsid w:val="006B67C4"/>
    <w:rsid w:val="006B72D4"/>
    <w:rsid w:val="006B79C8"/>
    <w:rsid w:val="006C11CC"/>
    <w:rsid w:val="006C1AEB"/>
    <w:rsid w:val="006C2B22"/>
    <w:rsid w:val="006C2BBE"/>
    <w:rsid w:val="006C57FE"/>
    <w:rsid w:val="006C7392"/>
    <w:rsid w:val="006D6454"/>
    <w:rsid w:val="006D6744"/>
    <w:rsid w:val="006D6A5C"/>
    <w:rsid w:val="006E0989"/>
    <w:rsid w:val="006E0FB2"/>
    <w:rsid w:val="006E1995"/>
    <w:rsid w:val="006E1B0C"/>
    <w:rsid w:val="006E4B63"/>
    <w:rsid w:val="006E78BC"/>
    <w:rsid w:val="006F0152"/>
    <w:rsid w:val="006F06E4"/>
    <w:rsid w:val="006F359F"/>
    <w:rsid w:val="006F4C42"/>
    <w:rsid w:val="006F7B41"/>
    <w:rsid w:val="006F7B9F"/>
    <w:rsid w:val="00702B5D"/>
    <w:rsid w:val="0070326B"/>
    <w:rsid w:val="00703A12"/>
    <w:rsid w:val="00703ED2"/>
    <w:rsid w:val="007070C1"/>
    <w:rsid w:val="00707B8D"/>
    <w:rsid w:val="0071075C"/>
    <w:rsid w:val="00713636"/>
    <w:rsid w:val="00714B8C"/>
    <w:rsid w:val="00714D7A"/>
    <w:rsid w:val="0071675D"/>
    <w:rsid w:val="007273F4"/>
    <w:rsid w:val="00730023"/>
    <w:rsid w:val="00733BA0"/>
    <w:rsid w:val="00735CF5"/>
    <w:rsid w:val="007372B6"/>
    <w:rsid w:val="0074063A"/>
    <w:rsid w:val="00742AA4"/>
    <w:rsid w:val="0074399F"/>
    <w:rsid w:val="00743BA1"/>
    <w:rsid w:val="00745374"/>
    <w:rsid w:val="00745F1E"/>
    <w:rsid w:val="00746575"/>
    <w:rsid w:val="0075031D"/>
    <w:rsid w:val="007515FE"/>
    <w:rsid w:val="00751670"/>
    <w:rsid w:val="00753728"/>
    <w:rsid w:val="007601D0"/>
    <w:rsid w:val="007606C2"/>
    <w:rsid w:val="0076109D"/>
    <w:rsid w:val="00762D60"/>
    <w:rsid w:val="00764164"/>
    <w:rsid w:val="00767107"/>
    <w:rsid w:val="007671A5"/>
    <w:rsid w:val="007727C4"/>
    <w:rsid w:val="00773BFD"/>
    <w:rsid w:val="007743B3"/>
    <w:rsid w:val="00774490"/>
    <w:rsid w:val="00775D61"/>
    <w:rsid w:val="007819FF"/>
    <w:rsid w:val="00784737"/>
    <w:rsid w:val="00784A4C"/>
    <w:rsid w:val="00784BC6"/>
    <w:rsid w:val="0078523D"/>
    <w:rsid w:val="00792277"/>
    <w:rsid w:val="007931DF"/>
    <w:rsid w:val="007A0172"/>
    <w:rsid w:val="007A2511"/>
    <w:rsid w:val="007A260E"/>
    <w:rsid w:val="007A4559"/>
    <w:rsid w:val="007A4D4C"/>
    <w:rsid w:val="007A4DD6"/>
    <w:rsid w:val="007A5CB9"/>
    <w:rsid w:val="007A6441"/>
    <w:rsid w:val="007B01C2"/>
    <w:rsid w:val="007B0290"/>
    <w:rsid w:val="007B1660"/>
    <w:rsid w:val="007B298F"/>
    <w:rsid w:val="007B2B1A"/>
    <w:rsid w:val="007B33FD"/>
    <w:rsid w:val="007B6B07"/>
    <w:rsid w:val="007B6D43"/>
    <w:rsid w:val="007B749A"/>
    <w:rsid w:val="007B7C6E"/>
    <w:rsid w:val="007C0BC0"/>
    <w:rsid w:val="007C1464"/>
    <w:rsid w:val="007D08FB"/>
    <w:rsid w:val="007D3433"/>
    <w:rsid w:val="007D44D7"/>
    <w:rsid w:val="007D621A"/>
    <w:rsid w:val="007E058A"/>
    <w:rsid w:val="007E22D0"/>
    <w:rsid w:val="007E2887"/>
    <w:rsid w:val="007E3A78"/>
    <w:rsid w:val="007E5278"/>
    <w:rsid w:val="007E5506"/>
    <w:rsid w:val="007E749C"/>
    <w:rsid w:val="007F1252"/>
    <w:rsid w:val="007F1B5C"/>
    <w:rsid w:val="007F524A"/>
    <w:rsid w:val="00801257"/>
    <w:rsid w:val="00803B0A"/>
    <w:rsid w:val="00804DED"/>
    <w:rsid w:val="0080585D"/>
    <w:rsid w:val="00805B96"/>
    <w:rsid w:val="008100C9"/>
    <w:rsid w:val="008105BE"/>
    <w:rsid w:val="008107A3"/>
    <w:rsid w:val="008108AD"/>
    <w:rsid w:val="008115A5"/>
    <w:rsid w:val="00811D46"/>
    <w:rsid w:val="0081415D"/>
    <w:rsid w:val="00815FD7"/>
    <w:rsid w:val="00820229"/>
    <w:rsid w:val="00822448"/>
    <w:rsid w:val="00822ABE"/>
    <w:rsid w:val="008244D1"/>
    <w:rsid w:val="00827F51"/>
    <w:rsid w:val="0083104E"/>
    <w:rsid w:val="008329DA"/>
    <w:rsid w:val="008343BE"/>
    <w:rsid w:val="008375A8"/>
    <w:rsid w:val="00837F9F"/>
    <w:rsid w:val="00840CD6"/>
    <w:rsid w:val="00840FB4"/>
    <w:rsid w:val="008410B2"/>
    <w:rsid w:val="00843297"/>
    <w:rsid w:val="00844225"/>
    <w:rsid w:val="00844931"/>
    <w:rsid w:val="00846487"/>
    <w:rsid w:val="008476E3"/>
    <w:rsid w:val="008500A0"/>
    <w:rsid w:val="008518A1"/>
    <w:rsid w:val="008524E5"/>
    <w:rsid w:val="0085351C"/>
    <w:rsid w:val="00853CB3"/>
    <w:rsid w:val="008549CA"/>
    <w:rsid w:val="00855330"/>
    <w:rsid w:val="008556C3"/>
    <w:rsid w:val="00855787"/>
    <w:rsid w:val="0085687C"/>
    <w:rsid w:val="00863A35"/>
    <w:rsid w:val="0086469F"/>
    <w:rsid w:val="008706C5"/>
    <w:rsid w:val="0087168E"/>
    <w:rsid w:val="00872675"/>
    <w:rsid w:val="00873707"/>
    <w:rsid w:val="00874B20"/>
    <w:rsid w:val="008763E1"/>
    <w:rsid w:val="0087775C"/>
    <w:rsid w:val="00877BAB"/>
    <w:rsid w:val="00877EC4"/>
    <w:rsid w:val="00877EC8"/>
    <w:rsid w:val="00880F36"/>
    <w:rsid w:val="00881759"/>
    <w:rsid w:val="00885530"/>
    <w:rsid w:val="00886BB3"/>
    <w:rsid w:val="0088731B"/>
    <w:rsid w:val="008910D1"/>
    <w:rsid w:val="0089296C"/>
    <w:rsid w:val="00896ABD"/>
    <w:rsid w:val="008970F4"/>
    <w:rsid w:val="008A0EAE"/>
    <w:rsid w:val="008A3380"/>
    <w:rsid w:val="008A7336"/>
    <w:rsid w:val="008A7A9C"/>
    <w:rsid w:val="008B2326"/>
    <w:rsid w:val="008B4A8E"/>
    <w:rsid w:val="008B5218"/>
    <w:rsid w:val="008B7102"/>
    <w:rsid w:val="008C2459"/>
    <w:rsid w:val="008C2999"/>
    <w:rsid w:val="008C3B7D"/>
    <w:rsid w:val="008C3D78"/>
    <w:rsid w:val="008C5856"/>
    <w:rsid w:val="008D0B87"/>
    <w:rsid w:val="008D0F90"/>
    <w:rsid w:val="008D3055"/>
    <w:rsid w:val="008D3715"/>
    <w:rsid w:val="008D5465"/>
    <w:rsid w:val="008D73D4"/>
    <w:rsid w:val="008D7EB7"/>
    <w:rsid w:val="008E00E2"/>
    <w:rsid w:val="008E05B6"/>
    <w:rsid w:val="008E3684"/>
    <w:rsid w:val="008E3DD1"/>
    <w:rsid w:val="008E3F47"/>
    <w:rsid w:val="008E57F5"/>
    <w:rsid w:val="008E7606"/>
    <w:rsid w:val="008F1DAA"/>
    <w:rsid w:val="008F3EBD"/>
    <w:rsid w:val="008F6048"/>
    <w:rsid w:val="008F60B2"/>
    <w:rsid w:val="008F7C41"/>
    <w:rsid w:val="00901789"/>
    <w:rsid w:val="0090290E"/>
    <w:rsid w:val="009031E2"/>
    <w:rsid w:val="00907CEB"/>
    <w:rsid w:val="0091276C"/>
    <w:rsid w:val="009165AC"/>
    <w:rsid w:val="0091686D"/>
    <w:rsid w:val="0092053F"/>
    <w:rsid w:val="00921158"/>
    <w:rsid w:val="00921C47"/>
    <w:rsid w:val="0092340A"/>
    <w:rsid w:val="00924AA9"/>
    <w:rsid w:val="009313D9"/>
    <w:rsid w:val="00935B7F"/>
    <w:rsid w:val="00941293"/>
    <w:rsid w:val="00946372"/>
    <w:rsid w:val="00946C7C"/>
    <w:rsid w:val="00950A9F"/>
    <w:rsid w:val="00950C17"/>
    <w:rsid w:val="00951FAF"/>
    <w:rsid w:val="0095381C"/>
    <w:rsid w:val="00954740"/>
    <w:rsid w:val="00956092"/>
    <w:rsid w:val="00957547"/>
    <w:rsid w:val="00963ABC"/>
    <w:rsid w:val="00963F52"/>
    <w:rsid w:val="00965D21"/>
    <w:rsid w:val="00967764"/>
    <w:rsid w:val="00970B0E"/>
    <w:rsid w:val="00970BB9"/>
    <w:rsid w:val="0097221D"/>
    <w:rsid w:val="009726EE"/>
    <w:rsid w:val="009729A6"/>
    <w:rsid w:val="00975573"/>
    <w:rsid w:val="00976D03"/>
    <w:rsid w:val="00977B30"/>
    <w:rsid w:val="00982F41"/>
    <w:rsid w:val="00985090"/>
    <w:rsid w:val="00987710"/>
    <w:rsid w:val="009904AB"/>
    <w:rsid w:val="00992D82"/>
    <w:rsid w:val="00995688"/>
    <w:rsid w:val="009958A6"/>
    <w:rsid w:val="00996456"/>
    <w:rsid w:val="00997A4F"/>
    <w:rsid w:val="00997EEB"/>
    <w:rsid w:val="009A04F5"/>
    <w:rsid w:val="009A15EF"/>
    <w:rsid w:val="009A1839"/>
    <w:rsid w:val="009A38A5"/>
    <w:rsid w:val="009A395C"/>
    <w:rsid w:val="009A604F"/>
    <w:rsid w:val="009B118B"/>
    <w:rsid w:val="009B1737"/>
    <w:rsid w:val="009B3D4B"/>
    <w:rsid w:val="009B424B"/>
    <w:rsid w:val="009B5B99"/>
    <w:rsid w:val="009B6EFC"/>
    <w:rsid w:val="009B7886"/>
    <w:rsid w:val="009B7905"/>
    <w:rsid w:val="009C03D8"/>
    <w:rsid w:val="009C0BC3"/>
    <w:rsid w:val="009C2DF8"/>
    <w:rsid w:val="009C31BF"/>
    <w:rsid w:val="009C37AC"/>
    <w:rsid w:val="009C68B7"/>
    <w:rsid w:val="009D0834"/>
    <w:rsid w:val="009D0A1E"/>
    <w:rsid w:val="009D2AE3"/>
    <w:rsid w:val="009D52BC"/>
    <w:rsid w:val="009D7D0A"/>
    <w:rsid w:val="009E09D9"/>
    <w:rsid w:val="009E1E79"/>
    <w:rsid w:val="009E333F"/>
    <w:rsid w:val="009F01B1"/>
    <w:rsid w:val="009F0DBB"/>
    <w:rsid w:val="009F29A0"/>
    <w:rsid w:val="009F2E7F"/>
    <w:rsid w:val="009F3887"/>
    <w:rsid w:val="009F6174"/>
    <w:rsid w:val="009F732B"/>
    <w:rsid w:val="00A00DAC"/>
    <w:rsid w:val="00A01FE0"/>
    <w:rsid w:val="00A10656"/>
    <w:rsid w:val="00A113C0"/>
    <w:rsid w:val="00A12FA6"/>
    <w:rsid w:val="00A1339B"/>
    <w:rsid w:val="00A14ABA"/>
    <w:rsid w:val="00A16081"/>
    <w:rsid w:val="00A20C4F"/>
    <w:rsid w:val="00A238AD"/>
    <w:rsid w:val="00A24CB6"/>
    <w:rsid w:val="00A26CD2"/>
    <w:rsid w:val="00A27667"/>
    <w:rsid w:val="00A323F0"/>
    <w:rsid w:val="00A32979"/>
    <w:rsid w:val="00A32ACE"/>
    <w:rsid w:val="00A34A67"/>
    <w:rsid w:val="00A3569D"/>
    <w:rsid w:val="00A37462"/>
    <w:rsid w:val="00A42BBB"/>
    <w:rsid w:val="00A433D2"/>
    <w:rsid w:val="00A459E1"/>
    <w:rsid w:val="00A50DA5"/>
    <w:rsid w:val="00A52296"/>
    <w:rsid w:val="00A55661"/>
    <w:rsid w:val="00A55B5F"/>
    <w:rsid w:val="00A577E4"/>
    <w:rsid w:val="00A60EA3"/>
    <w:rsid w:val="00A61B70"/>
    <w:rsid w:val="00A61FA8"/>
    <w:rsid w:val="00A637F4"/>
    <w:rsid w:val="00A65485"/>
    <w:rsid w:val="00A66E05"/>
    <w:rsid w:val="00A70753"/>
    <w:rsid w:val="00A712D2"/>
    <w:rsid w:val="00A71BC6"/>
    <w:rsid w:val="00A72447"/>
    <w:rsid w:val="00A7363F"/>
    <w:rsid w:val="00A74385"/>
    <w:rsid w:val="00A74476"/>
    <w:rsid w:val="00A76DD6"/>
    <w:rsid w:val="00A82C8A"/>
    <w:rsid w:val="00A8346B"/>
    <w:rsid w:val="00A852FF"/>
    <w:rsid w:val="00A85F01"/>
    <w:rsid w:val="00A86898"/>
    <w:rsid w:val="00A872FF"/>
    <w:rsid w:val="00A87337"/>
    <w:rsid w:val="00A90C97"/>
    <w:rsid w:val="00A92A2A"/>
    <w:rsid w:val="00A92F48"/>
    <w:rsid w:val="00A960C8"/>
    <w:rsid w:val="00A96604"/>
    <w:rsid w:val="00A96CE3"/>
    <w:rsid w:val="00A9763E"/>
    <w:rsid w:val="00AA03DF"/>
    <w:rsid w:val="00AA0624"/>
    <w:rsid w:val="00AA1380"/>
    <w:rsid w:val="00AA1B4F"/>
    <w:rsid w:val="00AA21D8"/>
    <w:rsid w:val="00AA2627"/>
    <w:rsid w:val="00AA323D"/>
    <w:rsid w:val="00AA3642"/>
    <w:rsid w:val="00AA480B"/>
    <w:rsid w:val="00AA4F3B"/>
    <w:rsid w:val="00AA512B"/>
    <w:rsid w:val="00AA54F3"/>
    <w:rsid w:val="00AA6B43"/>
    <w:rsid w:val="00AB2C2C"/>
    <w:rsid w:val="00AB3033"/>
    <w:rsid w:val="00AB367A"/>
    <w:rsid w:val="00AC01D1"/>
    <w:rsid w:val="00AC12C3"/>
    <w:rsid w:val="00AC52A5"/>
    <w:rsid w:val="00AC6EFD"/>
    <w:rsid w:val="00AC7151"/>
    <w:rsid w:val="00AC7E5E"/>
    <w:rsid w:val="00AD04CE"/>
    <w:rsid w:val="00AD460A"/>
    <w:rsid w:val="00AD5C38"/>
    <w:rsid w:val="00AD6A05"/>
    <w:rsid w:val="00AD77DF"/>
    <w:rsid w:val="00AE272B"/>
    <w:rsid w:val="00AE3E3A"/>
    <w:rsid w:val="00AE67F4"/>
    <w:rsid w:val="00AE77B4"/>
    <w:rsid w:val="00AE7C1A"/>
    <w:rsid w:val="00AE7DF8"/>
    <w:rsid w:val="00AF0D9C"/>
    <w:rsid w:val="00AF13AB"/>
    <w:rsid w:val="00AF1D36"/>
    <w:rsid w:val="00AF280B"/>
    <w:rsid w:val="00AF431E"/>
    <w:rsid w:val="00AF5F75"/>
    <w:rsid w:val="00AF6001"/>
    <w:rsid w:val="00B01A16"/>
    <w:rsid w:val="00B03E94"/>
    <w:rsid w:val="00B04477"/>
    <w:rsid w:val="00B05328"/>
    <w:rsid w:val="00B0581C"/>
    <w:rsid w:val="00B07F45"/>
    <w:rsid w:val="00B1021A"/>
    <w:rsid w:val="00B12472"/>
    <w:rsid w:val="00B1481A"/>
    <w:rsid w:val="00B14B92"/>
    <w:rsid w:val="00B15A1F"/>
    <w:rsid w:val="00B15FE9"/>
    <w:rsid w:val="00B171F0"/>
    <w:rsid w:val="00B2148A"/>
    <w:rsid w:val="00B220C2"/>
    <w:rsid w:val="00B2442A"/>
    <w:rsid w:val="00B25B32"/>
    <w:rsid w:val="00B27540"/>
    <w:rsid w:val="00B32616"/>
    <w:rsid w:val="00B33AFA"/>
    <w:rsid w:val="00B36C42"/>
    <w:rsid w:val="00B40474"/>
    <w:rsid w:val="00B42EA7"/>
    <w:rsid w:val="00B43799"/>
    <w:rsid w:val="00B43821"/>
    <w:rsid w:val="00B4612F"/>
    <w:rsid w:val="00B50009"/>
    <w:rsid w:val="00B51061"/>
    <w:rsid w:val="00B52BF1"/>
    <w:rsid w:val="00B5337C"/>
    <w:rsid w:val="00B53FDE"/>
    <w:rsid w:val="00B56397"/>
    <w:rsid w:val="00B56B1C"/>
    <w:rsid w:val="00B6027B"/>
    <w:rsid w:val="00B61BBF"/>
    <w:rsid w:val="00B62BC8"/>
    <w:rsid w:val="00B62E43"/>
    <w:rsid w:val="00B65EDB"/>
    <w:rsid w:val="00B67AFF"/>
    <w:rsid w:val="00B70B59"/>
    <w:rsid w:val="00B725DC"/>
    <w:rsid w:val="00B73657"/>
    <w:rsid w:val="00B8284D"/>
    <w:rsid w:val="00B831EF"/>
    <w:rsid w:val="00B83C9B"/>
    <w:rsid w:val="00B86C4A"/>
    <w:rsid w:val="00B901AE"/>
    <w:rsid w:val="00B90AFB"/>
    <w:rsid w:val="00B90FF9"/>
    <w:rsid w:val="00B938CA"/>
    <w:rsid w:val="00B975EA"/>
    <w:rsid w:val="00BA1735"/>
    <w:rsid w:val="00BA19FA"/>
    <w:rsid w:val="00BA4288"/>
    <w:rsid w:val="00BA737C"/>
    <w:rsid w:val="00BB48E5"/>
    <w:rsid w:val="00BB5607"/>
    <w:rsid w:val="00BB5ACA"/>
    <w:rsid w:val="00BB627F"/>
    <w:rsid w:val="00BC3823"/>
    <w:rsid w:val="00BC3E3F"/>
    <w:rsid w:val="00BC5841"/>
    <w:rsid w:val="00BD041B"/>
    <w:rsid w:val="00BD235D"/>
    <w:rsid w:val="00BD484E"/>
    <w:rsid w:val="00BD5F89"/>
    <w:rsid w:val="00BD60B4"/>
    <w:rsid w:val="00BD796B"/>
    <w:rsid w:val="00BE326F"/>
    <w:rsid w:val="00BE34BE"/>
    <w:rsid w:val="00BE40C0"/>
    <w:rsid w:val="00BE5F4A"/>
    <w:rsid w:val="00BE7AEF"/>
    <w:rsid w:val="00BF09B0"/>
    <w:rsid w:val="00BF1544"/>
    <w:rsid w:val="00BF1B53"/>
    <w:rsid w:val="00BF1F08"/>
    <w:rsid w:val="00BF207A"/>
    <w:rsid w:val="00BF246D"/>
    <w:rsid w:val="00BF2DB8"/>
    <w:rsid w:val="00BF60CD"/>
    <w:rsid w:val="00BF64BA"/>
    <w:rsid w:val="00C0027B"/>
    <w:rsid w:val="00C02620"/>
    <w:rsid w:val="00C06F06"/>
    <w:rsid w:val="00C15285"/>
    <w:rsid w:val="00C20FAD"/>
    <w:rsid w:val="00C2281B"/>
    <w:rsid w:val="00C234E3"/>
    <w:rsid w:val="00C23587"/>
    <w:rsid w:val="00C2375F"/>
    <w:rsid w:val="00C247CB"/>
    <w:rsid w:val="00C270E0"/>
    <w:rsid w:val="00C32E66"/>
    <w:rsid w:val="00C3355F"/>
    <w:rsid w:val="00C34049"/>
    <w:rsid w:val="00C35171"/>
    <w:rsid w:val="00C3569A"/>
    <w:rsid w:val="00C368A0"/>
    <w:rsid w:val="00C43337"/>
    <w:rsid w:val="00C43F48"/>
    <w:rsid w:val="00C448FF"/>
    <w:rsid w:val="00C45D33"/>
    <w:rsid w:val="00C45E57"/>
    <w:rsid w:val="00C46DF9"/>
    <w:rsid w:val="00C52F29"/>
    <w:rsid w:val="00C56CE6"/>
    <w:rsid w:val="00C5745F"/>
    <w:rsid w:val="00C60005"/>
    <w:rsid w:val="00C61A98"/>
    <w:rsid w:val="00C62537"/>
    <w:rsid w:val="00C626E0"/>
    <w:rsid w:val="00C63201"/>
    <w:rsid w:val="00C64E62"/>
    <w:rsid w:val="00C651D5"/>
    <w:rsid w:val="00C6585C"/>
    <w:rsid w:val="00C65CCC"/>
    <w:rsid w:val="00C67B6E"/>
    <w:rsid w:val="00C74D34"/>
    <w:rsid w:val="00C7618F"/>
    <w:rsid w:val="00C765A9"/>
    <w:rsid w:val="00C76B44"/>
    <w:rsid w:val="00C772C1"/>
    <w:rsid w:val="00C8162D"/>
    <w:rsid w:val="00C82B4C"/>
    <w:rsid w:val="00C83A0B"/>
    <w:rsid w:val="00C83E9C"/>
    <w:rsid w:val="00C842D0"/>
    <w:rsid w:val="00C84ED1"/>
    <w:rsid w:val="00C9038F"/>
    <w:rsid w:val="00C92AAB"/>
    <w:rsid w:val="00C97B09"/>
    <w:rsid w:val="00CA1A34"/>
    <w:rsid w:val="00CA2435"/>
    <w:rsid w:val="00CA4068"/>
    <w:rsid w:val="00CA5836"/>
    <w:rsid w:val="00CB2139"/>
    <w:rsid w:val="00CB37F8"/>
    <w:rsid w:val="00CB7DC3"/>
    <w:rsid w:val="00CC6CAD"/>
    <w:rsid w:val="00CC7261"/>
    <w:rsid w:val="00CD0E2F"/>
    <w:rsid w:val="00CD1D49"/>
    <w:rsid w:val="00CD2F20"/>
    <w:rsid w:val="00CD2F58"/>
    <w:rsid w:val="00CD6B20"/>
    <w:rsid w:val="00CE1339"/>
    <w:rsid w:val="00CE1495"/>
    <w:rsid w:val="00CE5010"/>
    <w:rsid w:val="00CE61CC"/>
    <w:rsid w:val="00CE6482"/>
    <w:rsid w:val="00CE64E7"/>
    <w:rsid w:val="00CE6E42"/>
    <w:rsid w:val="00CF03C1"/>
    <w:rsid w:val="00CF152E"/>
    <w:rsid w:val="00CF20B7"/>
    <w:rsid w:val="00CF6692"/>
    <w:rsid w:val="00CF7441"/>
    <w:rsid w:val="00CF7912"/>
    <w:rsid w:val="00D00D16"/>
    <w:rsid w:val="00D03C6C"/>
    <w:rsid w:val="00D04760"/>
    <w:rsid w:val="00D04A95"/>
    <w:rsid w:val="00D06288"/>
    <w:rsid w:val="00D068C7"/>
    <w:rsid w:val="00D06AA8"/>
    <w:rsid w:val="00D0702A"/>
    <w:rsid w:val="00D076C7"/>
    <w:rsid w:val="00D128A4"/>
    <w:rsid w:val="00D1405E"/>
    <w:rsid w:val="00D15131"/>
    <w:rsid w:val="00D16FA2"/>
    <w:rsid w:val="00D20862"/>
    <w:rsid w:val="00D20954"/>
    <w:rsid w:val="00D21C39"/>
    <w:rsid w:val="00D21FC6"/>
    <w:rsid w:val="00D2243A"/>
    <w:rsid w:val="00D22F1B"/>
    <w:rsid w:val="00D23AF7"/>
    <w:rsid w:val="00D24B35"/>
    <w:rsid w:val="00D257CA"/>
    <w:rsid w:val="00D27EE9"/>
    <w:rsid w:val="00D27EF3"/>
    <w:rsid w:val="00D33393"/>
    <w:rsid w:val="00D336BB"/>
    <w:rsid w:val="00D339F4"/>
    <w:rsid w:val="00D33D36"/>
    <w:rsid w:val="00D34D94"/>
    <w:rsid w:val="00D35193"/>
    <w:rsid w:val="00D409E2"/>
    <w:rsid w:val="00D427D7"/>
    <w:rsid w:val="00D44631"/>
    <w:rsid w:val="00D44E62"/>
    <w:rsid w:val="00D45730"/>
    <w:rsid w:val="00D501D9"/>
    <w:rsid w:val="00D51570"/>
    <w:rsid w:val="00D556AD"/>
    <w:rsid w:val="00D55AD0"/>
    <w:rsid w:val="00D60381"/>
    <w:rsid w:val="00D612B9"/>
    <w:rsid w:val="00D616DE"/>
    <w:rsid w:val="00D61B53"/>
    <w:rsid w:val="00D62201"/>
    <w:rsid w:val="00D631CB"/>
    <w:rsid w:val="00D64FF6"/>
    <w:rsid w:val="00D651D1"/>
    <w:rsid w:val="00D717BB"/>
    <w:rsid w:val="00D7226B"/>
    <w:rsid w:val="00D72707"/>
    <w:rsid w:val="00D737F1"/>
    <w:rsid w:val="00D75A9C"/>
    <w:rsid w:val="00D776C9"/>
    <w:rsid w:val="00D8311F"/>
    <w:rsid w:val="00D86FB3"/>
    <w:rsid w:val="00D874B9"/>
    <w:rsid w:val="00D90871"/>
    <w:rsid w:val="00D9155F"/>
    <w:rsid w:val="00D9403F"/>
    <w:rsid w:val="00D959B4"/>
    <w:rsid w:val="00DA44DE"/>
    <w:rsid w:val="00DB0417"/>
    <w:rsid w:val="00DB1CE8"/>
    <w:rsid w:val="00DB2528"/>
    <w:rsid w:val="00DB2C60"/>
    <w:rsid w:val="00DB4E16"/>
    <w:rsid w:val="00DB620A"/>
    <w:rsid w:val="00DC0E36"/>
    <w:rsid w:val="00DC0F23"/>
    <w:rsid w:val="00DC148B"/>
    <w:rsid w:val="00DC3832"/>
    <w:rsid w:val="00DC3E8F"/>
    <w:rsid w:val="00DC7A51"/>
    <w:rsid w:val="00DD3B1E"/>
    <w:rsid w:val="00DD6981"/>
    <w:rsid w:val="00DD6D56"/>
    <w:rsid w:val="00DE5B5F"/>
    <w:rsid w:val="00DE684D"/>
    <w:rsid w:val="00DF1291"/>
    <w:rsid w:val="00DF443D"/>
    <w:rsid w:val="00DF7A79"/>
    <w:rsid w:val="00E00696"/>
    <w:rsid w:val="00E02A34"/>
    <w:rsid w:val="00E03651"/>
    <w:rsid w:val="00E03808"/>
    <w:rsid w:val="00E060C2"/>
    <w:rsid w:val="00E06324"/>
    <w:rsid w:val="00E07F49"/>
    <w:rsid w:val="00E12FB0"/>
    <w:rsid w:val="00E1428B"/>
    <w:rsid w:val="00E14814"/>
    <w:rsid w:val="00E1591B"/>
    <w:rsid w:val="00E16A50"/>
    <w:rsid w:val="00E218EA"/>
    <w:rsid w:val="00E22CA2"/>
    <w:rsid w:val="00E23BCC"/>
    <w:rsid w:val="00E249D5"/>
    <w:rsid w:val="00E26AF5"/>
    <w:rsid w:val="00E26F73"/>
    <w:rsid w:val="00E31CB5"/>
    <w:rsid w:val="00E31DBE"/>
    <w:rsid w:val="00E33C68"/>
    <w:rsid w:val="00E34EEB"/>
    <w:rsid w:val="00E35C17"/>
    <w:rsid w:val="00E360D9"/>
    <w:rsid w:val="00E3687C"/>
    <w:rsid w:val="00E37A88"/>
    <w:rsid w:val="00E415C2"/>
    <w:rsid w:val="00E42092"/>
    <w:rsid w:val="00E4329E"/>
    <w:rsid w:val="00E44EB9"/>
    <w:rsid w:val="00E45B09"/>
    <w:rsid w:val="00E46358"/>
    <w:rsid w:val="00E471DC"/>
    <w:rsid w:val="00E50EB4"/>
    <w:rsid w:val="00E532FC"/>
    <w:rsid w:val="00E559B4"/>
    <w:rsid w:val="00E55BB0"/>
    <w:rsid w:val="00E6056A"/>
    <w:rsid w:val="00E609E5"/>
    <w:rsid w:val="00E60F27"/>
    <w:rsid w:val="00E64D93"/>
    <w:rsid w:val="00E64EF6"/>
    <w:rsid w:val="00E65EDB"/>
    <w:rsid w:val="00E66927"/>
    <w:rsid w:val="00E676F4"/>
    <w:rsid w:val="00E677B8"/>
    <w:rsid w:val="00E67FA1"/>
    <w:rsid w:val="00E7138F"/>
    <w:rsid w:val="00E7387D"/>
    <w:rsid w:val="00E73D53"/>
    <w:rsid w:val="00E73F52"/>
    <w:rsid w:val="00E75111"/>
    <w:rsid w:val="00E77296"/>
    <w:rsid w:val="00E87905"/>
    <w:rsid w:val="00E87B0B"/>
    <w:rsid w:val="00E9112F"/>
    <w:rsid w:val="00E93763"/>
    <w:rsid w:val="00E96C4C"/>
    <w:rsid w:val="00EA20F6"/>
    <w:rsid w:val="00EA23C0"/>
    <w:rsid w:val="00EA2AAE"/>
    <w:rsid w:val="00EA2EC0"/>
    <w:rsid w:val="00EA3F1F"/>
    <w:rsid w:val="00EA427A"/>
    <w:rsid w:val="00EA723B"/>
    <w:rsid w:val="00EA7A3D"/>
    <w:rsid w:val="00EB39D3"/>
    <w:rsid w:val="00EB6350"/>
    <w:rsid w:val="00EB687A"/>
    <w:rsid w:val="00EC08B3"/>
    <w:rsid w:val="00EC1F02"/>
    <w:rsid w:val="00EC2F62"/>
    <w:rsid w:val="00EC4E78"/>
    <w:rsid w:val="00EC62EB"/>
    <w:rsid w:val="00EC6E9F"/>
    <w:rsid w:val="00ED3395"/>
    <w:rsid w:val="00ED44F0"/>
    <w:rsid w:val="00ED4B33"/>
    <w:rsid w:val="00ED5C97"/>
    <w:rsid w:val="00ED7DD6"/>
    <w:rsid w:val="00EE060B"/>
    <w:rsid w:val="00EE15A1"/>
    <w:rsid w:val="00EE2A7C"/>
    <w:rsid w:val="00EE2C42"/>
    <w:rsid w:val="00EE341B"/>
    <w:rsid w:val="00EE4453"/>
    <w:rsid w:val="00EE4854"/>
    <w:rsid w:val="00EE5FCE"/>
    <w:rsid w:val="00EE6BBD"/>
    <w:rsid w:val="00EE6E1E"/>
    <w:rsid w:val="00EE705F"/>
    <w:rsid w:val="00EF1462"/>
    <w:rsid w:val="00EF1AA9"/>
    <w:rsid w:val="00EF2248"/>
    <w:rsid w:val="00EF23E9"/>
    <w:rsid w:val="00EF54FD"/>
    <w:rsid w:val="00EF5826"/>
    <w:rsid w:val="00EF75C0"/>
    <w:rsid w:val="00F0264B"/>
    <w:rsid w:val="00F03F00"/>
    <w:rsid w:val="00F10207"/>
    <w:rsid w:val="00F10725"/>
    <w:rsid w:val="00F122F8"/>
    <w:rsid w:val="00F13112"/>
    <w:rsid w:val="00F15E80"/>
    <w:rsid w:val="00F16FE6"/>
    <w:rsid w:val="00F1774C"/>
    <w:rsid w:val="00F20DDB"/>
    <w:rsid w:val="00F2175A"/>
    <w:rsid w:val="00F238BD"/>
    <w:rsid w:val="00F24992"/>
    <w:rsid w:val="00F31924"/>
    <w:rsid w:val="00F32F2F"/>
    <w:rsid w:val="00F33F3F"/>
    <w:rsid w:val="00F34173"/>
    <w:rsid w:val="00F35BDD"/>
    <w:rsid w:val="00F403FD"/>
    <w:rsid w:val="00F41E72"/>
    <w:rsid w:val="00F436E2"/>
    <w:rsid w:val="00F456A9"/>
    <w:rsid w:val="00F45BDF"/>
    <w:rsid w:val="00F47D76"/>
    <w:rsid w:val="00F50300"/>
    <w:rsid w:val="00F519E1"/>
    <w:rsid w:val="00F55796"/>
    <w:rsid w:val="00F568C6"/>
    <w:rsid w:val="00F56E39"/>
    <w:rsid w:val="00F623E9"/>
    <w:rsid w:val="00F63951"/>
    <w:rsid w:val="00F63C86"/>
    <w:rsid w:val="00F6793C"/>
    <w:rsid w:val="00F715D6"/>
    <w:rsid w:val="00F71C81"/>
    <w:rsid w:val="00F72271"/>
    <w:rsid w:val="00F72EC2"/>
    <w:rsid w:val="00F766BE"/>
    <w:rsid w:val="00F76F60"/>
    <w:rsid w:val="00F7785A"/>
    <w:rsid w:val="00F77AB3"/>
    <w:rsid w:val="00F77D9C"/>
    <w:rsid w:val="00F77DC5"/>
    <w:rsid w:val="00F77EB9"/>
    <w:rsid w:val="00F80635"/>
    <w:rsid w:val="00F815D1"/>
    <w:rsid w:val="00F81E1C"/>
    <w:rsid w:val="00F81E7E"/>
    <w:rsid w:val="00F81F0F"/>
    <w:rsid w:val="00F825F4"/>
    <w:rsid w:val="00F92AA1"/>
    <w:rsid w:val="00F932DE"/>
    <w:rsid w:val="00F963DD"/>
    <w:rsid w:val="00F9641A"/>
    <w:rsid w:val="00F97004"/>
    <w:rsid w:val="00F970AF"/>
    <w:rsid w:val="00FA2045"/>
    <w:rsid w:val="00FA28F1"/>
    <w:rsid w:val="00FA335B"/>
    <w:rsid w:val="00FA3DC8"/>
    <w:rsid w:val="00FA7A66"/>
    <w:rsid w:val="00FB1AA9"/>
    <w:rsid w:val="00FB4B5A"/>
    <w:rsid w:val="00FB5963"/>
    <w:rsid w:val="00FB5DAA"/>
    <w:rsid w:val="00FC04B9"/>
    <w:rsid w:val="00FC161A"/>
    <w:rsid w:val="00FC1B1F"/>
    <w:rsid w:val="00FC23D5"/>
    <w:rsid w:val="00FC2938"/>
    <w:rsid w:val="00FC4C1A"/>
    <w:rsid w:val="00FC5CEE"/>
    <w:rsid w:val="00FC6468"/>
    <w:rsid w:val="00FC6D49"/>
    <w:rsid w:val="00FD0DA4"/>
    <w:rsid w:val="00FD4922"/>
    <w:rsid w:val="00FD5B29"/>
    <w:rsid w:val="00FD6461"/>
    <w:rsid w:val="00FE0281"/>
    <w:rsid w:val="00FE199F"/>
    <w:rsid w:val="00FE68C2"/>
    <w:rsid w:val="00FE7083"/>
    <w:rsid w:val="00FF019F"/>
    <w:rsid w:val="00FF1B2A"/>
    <w:rsid w:val="00FF30DE"/>
    <w:rsid w:val="00FF50B1"/>
    <w:rsid w:val="00FF571E"/>
    <w:rsid w:val="00FF616F"/>
    <w:rsid w:val="00FF644B"/>
    <w:rsid w:val="00FF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5A84104-5258-4D22-BBC8-3C7E833E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F31924"/>
    <w:rPr>
      <w:color w:val="605E5C"/>
      <w:shd w:val="clear" w:color="auto" w:fill="E1DFDD"/>
    </w:rPr>
  </w:style>
  <w:style w:type="paragraph" w:styleId="DocumentMap">
    <w:name w:val="Document Map"/>
    <w:basedOn w:val="Normal"/>
    <w:link w:val="DocumentMapChar"/>
    <w:uiPriority w:val="99"/>
    <w:semiHidden/>
    <w:unhideWhenUsed/>
    <w:rsid w:val="000E6254"/>
    <w:rPr>
      <w:rFonts w:ascii="Lucida Grande" w:hAnsi="Lucida Grande" w:cs="Lucida Grande"/>
    </w:rPr>
  </w:style>
  <w:style w:type="character" w:customStyle="1" w:styleId="DocumentMapChar">
    <w:name w:val="Document Map Char"/>
    <w:basedOn w:val="DefaultParagraphFont"/>
    <w:link w:val="DocumentMap"/>
    <w:uiPriority w:val="99"/>
    <w:semiHidden/>
    <w:rsid w:val="000E6254"/>
    <w:rPr>
      <w:rFonts w:ascii="Lucida Grande" w:hAnsi="Lucida Grande" w:cs="Lucida Grande"/>
      <w:color w:val="000000"/>
      <w:sz w:val="24"/>
      <w:szCs w:val="24"/>
    </w:rPr>
  </w:style>
  <w:style w:type="paragraph" w:styleId="FootnoteText">
    <w:name w:val="footnote text"/>
    <w:basedOn w:val="Normal"/>
    <w:link w:val="FootnoteTextChar"/>
    <w:uiPriority w:val="99"/>
    <w:semiHidden/>
    <w:unhideWhenUsed/>
    <w:rsid w:val="00D86FB3"/>
    <w:rPr>
      <w:sz w:val="20"/>
      <w:szCs w:val="20"/>
    </w:rPr>
  </w:style>
  <w:style w:type="character" w:customStyle="1" w:styleId="FootnoteTextChar">
    <w:name w:val="Footnote Text Char"/>
    <w:basedOn w:val="DefaultParagraphFont"/>
    <w:link w:val="FootnoteText"/>
    <w:uiPriority w:val="99"/>
    <w:semiHidden/>
    <w:rsid w:val="00D86FB3"/>
    <w:rPr>
      <w:rFonts w:ascii="Calibri" w:hAnsi="Calibri" w:cs="Calibri"/>
      <w:color w:val="000000"/>
    </w:rPr>
  </w:style>
  <w:style w:type="character" w:styleId="FootnoteReference">
    <w:name w:val="footnote reference"/>
    <w:basedOn w:val="DefaultParagraphFont"/>
    <w:uiPriority w:val="99"/>
    <w:semiHidden/>
    <w:unhideWhenUsed/>
    <w:rsid w:val="00D86FB3"/>
    <w:rPr>
      <w:vertAlign w:val="superscript"/>
    </w:rPr>
  </w:style>
  <w:style w:type="character" w:styleId="LineNumber">
    <w:name w:val="line number"/>
    <w:basedOn w:val="DefaultParagraphFont"/>
    <w:uiPriority w:val="99"/>
    <w:semiHidden/>
    <w:unhideWhenUsed/>
    <w:rsid w:val="005A4ED4"/>
  </w:style>
  <w:style w:type="character" w:styleId="UnresolvedMention">
    <w:name w:val="Unresolved Mention"/>
    <w:basedOn w:val="DefaultParagraphFont"/>
    <w:uiPriority w:val="99"/>
    <w:semiHidden/>
    <w:unhideWhenUsed/>
    <w:rsid w:val="0011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7196062">
      <w:bodyDiv w:val="1"/>
      <w:marLeft w:val="0"/>
      <w:marRight w:val="0"/>
      <w:marTop w:val="0"/>
      <w:marBottom w:val="0"/>
      <w:divBdr>
        <w:top w:val="none" w:sz="0" w:space="0" w:color="auto"/>
        <w:left w:val="none" w:sz="0" w:space="0" w:color="auto"/>
        <w:bottom w:val="none" w:sz="0" w:space="0" w:color="auto"/>
        <w:right w:val="none" w:sz="0" w:space="0" w:color="auto"/>
      </w:divBdr>
      <w:divsChild>
        <w:div w:id="590511132">
          <w:marLeft w:val="0"/>
          <w:marRight w:val="0"/>
          <w:marTop w:val="0"/>
          <w:marBottom w:val="0"/>
          <w:divBdr>
            <w:top w:val="none" w:sz="0" w:space="0" w:color="auto"/>
            <w:left w:val="none" w:sz="0" w:space="0" w:color="auto"/>
            <w:bottom w:val="none" w:sz="0" w:space="0" w:color="auto"/>
            <w:right w:val="none" w:sz="0" w:space="0" w:color="auto"/>
          </w:divBdr>
          <w:divsChild>
            <w:div w:id="1783331416">
              <w:marLeft w:val="0"/>
              <w:marRight w:val="0"/>
              <w:marTop w:val="0"/>
              <w:marBottom w:val="0"/>
              <w:divBdr>
                <w:top w:val="none" w:sz="0" w:space="0" w:color="auto"/>
                <w:left w:val="none" w:sz="0" w:space="0" w:color="auto"/>
                <w:bottom w:val="none" w:sz="0" w:space="0" w:color="auto"/>
                <w:right w:val="none" w:sz="0" w:space="0" w:color="auto"/>
              </w:divBdr>
              <w:divsChild>
                <w:div w:id="20296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wallrafen@med.uni-goetting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omas.dresbach@med.uni-goett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ED28F-CC39-4142-9C5B-5425218C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13</Pages>
  <Words>18734</Words>
  <Characters>106788</Characters>
  <Application>Microsoft Office Word</Application>
  <DocSecurity>0</DocSecurity>
  <Lines>889</Lines>
  <Paragraphs>250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125272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762</cp:revision>
  <cp:lastPrinted>2013-05-29T14:32:00Z</cp:lastPrinted>
  <dcterms:created xsi:type="dcterms:W3CDTF">2018-09-19T14:54:00Z</dcterms:created>
  <dcterms:modified xsi:type="dcterms:W3CDTF">2018-09-21T18:06:00Z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http://www.zotero.org/styles/bba-molecular-basis-of-disease</vt:lpwstr>
  </property>
  <property fmtid="{D5CDD505-2E9C-101B-9397-08002B2CF9AE}" pid="15" name="Mendeley Recent Style Name 3_1">
    <vt:lpwstr>BBA - Molecular Basis of Disease</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(author-date)</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6b58d958-e9d1-3ff0-b934-f2bde1c406ef</vt:lpwstr>
  </property>
  <property fmtid="{D5CDD505-2E9C-101B-9397-08002B2CF9AE}" pid="30" name="Mendeley Citation Style_1">
    <vt:lpwstr>http://www.zotero.org/styles/nature</vt:lpwstr>
  </property>
</Properties>
</file>