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Bio-energetics Investigation of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Using Real-time Extracellular Flux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Sundararajan Venkatesh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Manju Chauhan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Carolyn Suzuki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Neeraj Chauhan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Microbiology, Biochemistry and Molecular Genetics, Rutgers-New Jersey Medical School, The State University of New Jersey, 225 Warren Street Newark, NJ 07103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Public Health Research Institute, The State University of New Jersey, 225 Warren Street Newark, NJ 07103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Neeraj Chauhan</w:t>
      </w:r>
      <w:r>
        <w:rPr>
          <w:rFonts w:ascii="Calibri" w:hAnsi="Calibri" w:cs="Calibri" w:eastAsia="Calibri"/>
          <w:color w:val="auto"/>
          <w:spacing w:val="0"/>
          <w:position w:val="0"/>
          <w:sz w:val="24"/>
          <w:shd w:fill="auto" w:val="clear"/>
          <w:vertAlign w:val="superscript"/>
        </w:rPr>
        <w:tab/>
        <w:tab/>
      </w:r>
      <w:r>
        <w:rPr>
          <w:rFonts w:ascii="Calibri" w:hAnsi="Calibri" w:cs="Calibri" w:eastAsia="Calibri"/>
          <w:color w:val="auto"/>
          <w:spacing w:val="0"/>
          <w:position w:val="0"/>
          <w:sz w:val="24"/>
          <w:shd w:fill="auto" w:val="clear"/>
        </w:rPr>
        <w:t xml:space="preserve">(chauhan1@njms.rutgers.edu)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Sundararajan Venkatesh </w:t>
        <w:tab/>
        <w:t xml:space="preserve">(sundarve@njms.rutgers.edu)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Manju Chauhan </w:t>
        <w:tab/>
        <w:tab/>
        <w:t xml:space="preserve">(cm1068@njms.rutgers.edu)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Carolyn Suzuki </w:t>
        <w:tab/>
        <w:tab/>
        <w:t xml:space="preserve">(suzukick@njms.rutgers.edu)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bioenergetics, metabolism, mitochondria, respiration, oxygen consumption, extracellular acidification, glycolysis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stepwise protocol to investigate the mitochondrial respiration and glycolytic function in </w:t>
      </w:r>
      <w:r>
        <w:rPr>
          <w:rFonts w:ascii="Calibri" w:hAnsi="Calibri" w:cs="Calibri" w:eastAsia="Calibri"/>
          <w:i/>
          <w:color w:val="auto"/>
          <w:spacing w:val="0"/>
          <w:position w:val="0"/>
          <w:sz w:val="24"/>
          <w:shd w:fill="auto" w:val="clear"/>
        </w:rPr>
        <w:t xml:space="preserve">Candida Albicans </w:t>
      </w:r>
      <w:r>
        <w:rPr>
          <w:rFonts w:ascii="Calibri" w:hAnsi="Calibri" w:cs="Calibri" w:eastAsia="Calibri"/>
          <w:color w:val="auto"/>
          <w:spacing w:val="0"/>
          <w:position w:val="0"/>
          <w:sz w:val="24"/>
          <w:shd w:fill="auto" w:val="clear"/>
        </w:rPr>
        <w:t xml:space="preserve">using an extra flux analyzer.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 are essential organelles for the cellular metabolism and survival. </w:t>
      </w:r>
      <w:r>
        <w:rPr>
          <w:rFonts w:ascii="Calibri" w:hAnsi="Calibri" w:cs="Calibri" w:eastAsia="Calibri"/>
          <w:color w:val="auto"/>
          <w:spacing w:val="0"/>
          <w:position w:val="0"/>
          <w:sz w:val="24"/>
          <w:shd w:fill="FFFFFF" w:val="clear"/>
        </w:rPr>
        <w:t xml:space="preserve">A variety of key events take place in mitochondria, such as cellular respiration, oxidative metabolism, signal transduction, and apoptosis. </w:t>
      </w:r>
      <w:r>
        <w:rPr>
          <w:rFonts w:ascii="Calibri" w:hAnsi="Calibri" w:cs="Calibri" w:eastAsia="Calibri"/>
          <w:color w:val="auto"/>
          <w:spacing w:val="0"/>
          <w:position w:val="0"/>
          <w:sz w:val="24"/>
          <w:shd w:fill="auto" w:val="clear"/>
        </w:rPr>
        <w:t xml:space="preserve">Consequently, mitochondrial dysfunction is reported to play an important role in the antifungal drug tolerance and virulence of pathogenic fungi. </w:t>
      </w:r>
      <w:r>
        <w:rPr>
          <w:rFonts w:ascii="Calibri" w:hAnsi="Calibri" w:cs="Calibri" w:eastAsia="Calibri"/>
          <w:color w:val="auto"/>
          <w:spacing w:val="0"/>
          <w:position w:val="0"/>
          <w:sz w:val="24"/>
          <w:shd w:fill="FFFFFF" w:val="clear"/>
        </w:rPr>
        <w:t xml:space="preserve">Recent data have also led to the recognition of the importance of the mitochondria as an important contributor to fungal pathogenesis. </w:t>
      </w:r>
      <w:r>
        <w:rPr>
          <w:rFonts w:ascii="Calibri" w:hAnsi="Calibri" w:cs="Calibri" w:eastAsia="Calibri"/>
          <w:color w:val="auto"/>
          <w:spacing w:val="0"/>
          <w:position w:val="0"/>
          <w:sz w:val="24"/>
          <w:shd w:fill="auto" w:val="clear"/>
        </w:rPr>
        <w:t xml:space="preserve">Despite the importance of the mitochondria in fungal biology, standardized methods to understand its function are poorly developed. Here, we present a procedure to study the basal oxygen consumption rate (OCR), a measure of mitochondrial respiration, and extracellular acidification rates (ECAR), a measure of glycolytic function in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strains. The method described herein can be applied to any </w:t>
      </w:r>
      <w:r>
        <w:rPr>
          <w:rFonts w:ascii="Calibri" w:hAnsi="Calibri" w:cs="Calibri" w:eastAsia="Calibri"/>
          <w:i/>
          <w:color w:val="auto"/>
          <w:spacing w:val="0"/>
          <w:position w:val="0"/>
          <w:sz w:val="24"/>
          <w:shd w:fill="auto" w:val="clear"/>
        </w:rPr>
        <w:t xml:space="preserve">Candida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spp.</w:t>
      </w:r>
      <w:r>
        <w:rPr>
          <w:rFonts w:ascii="Calibri" w:hAnsi="Calibri" w:cs="Calibri" w:eastAsia="Calibri"/>
          <w:color w:val="auto"/>
          <w:spacing w:val="0"/>
          <w:position w:val="0"/>
          <w:sz w:val="24"/>
          <w:shd w:fill="auto" w:val="clear"/>
        </w:rPr>
        <w:t xml:space="preserve"> strains without the need to purify mitochondria from the intact fungal cells. Furthermore, this protocol can also be customized to screen for inhibitors of mitochondrial function in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strains.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Invasive fungal infections kill over 1.5 million people a year worldwide. This number is on the rise due to an increase in the numbers of people living with compromised immunity, including the elderly, premature infants, transplant recipients, and cancer patients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is an opportunistic human fungal pathogen that is a part of the human microflora. It also inhabits mucosal surfaces and the gastrointestinal tract as a commensal organism.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produces serious systemic disease in people who have immune deficiencies, who have undergone surgery, or who have been treated with long courses of antibiotics. The </w:t>
      </w:r>
      <w:r>
        <w:rPr>
          <w:rFonts w:ascii="Calibri" w:hAnsi="Calibri" w:cs="Calibri" w:eastAsia="Calibri"/>
          <w:i/>
          <w:color w:val="auto"/>
          <w:spacing w:val="0"/>
          <w:position w:val="0"/>
          <w:sz w:val="24"/>
          <w:shd w:fill="auto" w:val="clear"/>
        </w:rPr>
        <w:t xml:space="preserve">Candida </w:t>
      </w:r>
      <w:r>
        <w:rPr>
          <w:rFonts w:ascii="Calibri" w:hAnsi="Calibri" w:cs="Calibri" w:eastAsia="Calibri"/>
          <w:color w:val="auto"/>
          <w:spacing w:val="0"/>
          <w:position w:val="0"/>
          <w:sz w:val="24"/>
          <w:shd w:fill="auto" w:val="clear"/>
        </w:rPr>
        <w:t xml:space="preserve">species rank among the top three to four causes of nosocomial infectious diseases (NID) in humans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annual global number of</w:t>
      </w:r>
      <w:r>
        <w:rPr>
          <w:rFonts w:ascii="Calibri" w:hAnsi="Calibri" w:cs="Calibri" w:eastAsia="Calibri"/>
          <w:i/>
          <w:color w:val="auto"/>
          <w:spacing w:val="0"/>
          <w:position w:val="0"/>
          <w:sz w:val="24"/>
          <w:shd w:fill="auto" w:val="clear"/>
        </w:rPr>
        <w:t xml:space="preserve"> Candida </w:t>
      </w:r>
      <w:r>
        <w:rPr>
          <w:rFonts w:ascii="Calibri" w:hAnsi="Calibri" w:cs="Calibri" w:eastAsia="Calibri"/>
          <w:color w:val="auto"/>
          <w:spacing w:val="0"/>
          <w:position w:val="0"/>
          <w:sz w:val="24"/>
          <w:shd w:fill="auto" w:val="clear"/>
        </w:rPr>
        <w:t xml:space="preserve">bloodstream infections is estimated to be ~400,000 cases, with associated mortalities of 46-75%</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annual mortality because of candidiasis is roughly 10,000 in the United States alone. The extent of NID caused by fungi is also reflected in astronomical patient expenses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the United States, the yearly expense for the treatment of invasive fungal infections surpasses $2 billion, adding a huge strain to already overburdened health care system. Currently, available standard antifungal therapies are limited because of toxicity, increasingly prevalent drug resistance, and drug-drug interactions. Therefore, there is an urgent need to identify new antifungal drug targets that will result in better treatment options for high-risk patients. However, the discovery of new drugs acting on fungal targets is complicated because fungi are eukaryotes. This greatly limits the number of fungal-specific drug targets.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studies have indicated that mitochondria are a critical contributor to the fungal virulence and tolerance to antifungal drugs since mitochondria are important for</w:t>
      </w:r>
      <w:r>
        <w:rPr>
          <w:rFonts w:ascii="Calibri" w:hAnsi="Calibri" w:cs="Calibri" w:eastAsia="Calibri"/>
          <w:color w:val="auto"/>
          <w:spacing w:val="0"/>
          <w:position w:val="0"/>
          <w:sz w:val="24"/>
          <w:shd w:fill="FFFFFF" w:val="clear"/>
        </w:rPr>
        <w:t xml:space="preserve"> cellular respiration, oxidative metabolism, signal transduction, and apoptosis</w:t>
      </w:r>
      <w:r>
        <w:rPr>
          <w:rFonts w:ascii="Calibri" w:hAnsi="Calibri" w:cs="Calibri" w:eastAsia="Calibri"/>
          <w:color w:val="auto"/>
          <w:spacing w:val="0"/>
          <w:position w:val="0"/>
          <w:sz w:val="24"/>
          <w:shd w:fill="FFFFFF" w:val="clear"/>
          <w:vertAlign w:val="superscript"/>
        </w:rPr>
        <w:t xml:space="preserve">8-11</w:t>
      </w:r>
      <w:r>
        <w:rPr>
          <w:rFonts w:ascii="Calibri" w:hAnsi="Calibri" w:cs="Calibri" w:eastAsia="Calibri"/>
          <w:color w:val="auto"/>
          <w:spacing w:val="0"/>
          <w:position w:val="0"/>
          <w:sz w:val="24"/>
          <w:shd w:fill="auto" w:val="clear"/>
        </w:rPr>
        <w:t xml:space="preserve">. Both glycolytic and non-glycolytic metabolism are essential for the survival of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in the mammalian host</w:t>
      </w:r>
      <w:r>
        <w:rPr>
          <w:rFonts w:ascii="Calibri" w:hAnsi="Calibri" w:cs="Calibri" w:eastAsia="Calibri"/>
          <w:color w:val="auto"/>
          <w:spacing w:val="0"/>
          <w:position w:val="0"/>
          <w:sz w:val="24"/>
          <w:shd w:fill="auto" w:val="clear"/>
          <w:vertAlign w:val="superscript"/>
        </w:rPr>
        <w:t xml:space="preserve">12-16</w:t>
      </w:r>
      <w:r>
        <w:rPr>
          <w:rFonts w:ascii="Calibri" w:hAnsi="Calibri" w:cs="Calibri" w:eastAsia="Calibri"/>
          <w:color w:val="auto"/>
          <w:spacing w:val="0"/>
          <w:position w:val="0"/>
          <w:sz w:val="24"/>
          <w:shd w:fill="auto" w:val="clear"/>
        </w:rPr>
        <w:t xml:space="preserve">. Furthermore, several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mutants lacking mitochondrial proteins, such as Goa1, Srr1, Gem1, Sam37 etc. have been shown to be defective in filamentation, an important virulence factor of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vertAlign w:val="superscript"/>
        </w:rPr>
        <w:t xml:space="preserve">17-22</w:t>
      </w:r>
      <w:r>
        <w:rPr>
          <w:rFonts w:ascii="Calibri" w:hAnsi="Calibri" w:cs="Calibri" w:eastAsia="Calibri"/>
          <w:color w:val="auto"/>
          <w:spacing w:val="0"/>
          <w:position w:val="0"/>
          <w:sz w:val="24"/>
          <w:shd w:fill="auto" w:val="clear"/>
        </w:rPr>
        <w:t xml:space="preserve">. In addition, these mutants were also shown to be attenuated for virulence in a mouse model of disseminated candidiasis</w:t>
      </w:r>
      <w:r>
        <w:rPr>
          <w:rFonts w:ascii="Calibri" w:hAnsi="Calibri" w:cs="Calibri" w:eastAsia="Calibri"/>
          <w:color w:val="auto"/>
          <w:spacing w:val="0"/>
          <w:position w:val="0"/>
          <w:sz w:val="24"/>
          <w:shd w:fill="auto" w:val="clear"/>
          <w:vertAlign w:val="superscript"/>
        </w:rPr>
        <w:t xml:space="preserve">17-22</w:t>
      </w:r>
      <w:r>
        <w:rPr>
          <w:rFonts w:ascii="Calibri" w:hAnsi="Calibri" w:cs="Calibri" w:eastAsia="Calibri"/>
          <w:color w:val="auto"/>
          <w:spacing w:val="0"/>
          <w:position w:val="0"/>
          <w:sz w:val="24"/>
          <w:shd w:fill="auto" w:val="clear"/>
        </w:rPr>
        <w:t xml:space="preserve">. Thus, fungal mitochondria represent an attractive target for drug discovery. However, the study of mitochondrial function in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is challenging because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is petite negative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which means that it cannot survive without the mitochondrial genome.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protocol that can be used to investigate mitochondrial and glycolytic function in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without the need to purify mitochondria. This method can also be optimized to investigate the effect of the genetic manipulation or chemical modulators on mitochondrial and glycolytic pathways in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detailed stepwise protocol of the assay is described below, and the schematic protocol is shown in </w:t>
      </w:r>
      <w:r>
        <w:rPr>
          <w:rFonts w:ascii="Calibri" w:hAnsi="Calibri" w:cs="Calibri" w:eastAsia="Calibri"/>
          <w:b/>
          <w:color w:val="auto"/>
          <w:spacing w:val="0"/>
          <w:position w:val="0"/>
          <w:sz w:val="24"/>
          <w:shd w:fill="auto" w:val="clear"/>
        </w:rPr>
        <w:t xml:space="preserve">Figure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r>
      <w:r>
        <w:rPr>
          <w:rFonts w:ascii="Calibri" w:hAnsi="Calibri" w:cs="Calibri" w:eastAsia="Calibri"/>
          <w:b/>
          <w:i/>
          <w:color w:val="auto"/>
          <w:spacing w:val="0"/>
          <w:position w:val="0"/>
          <w:sz w:val="24"/>
          <w:shd w:fill="auto" w:val="clear"/>
        </w:rPr>
        <w:t xml:space="preserve">C. albicans</w:t>
      </w:r>
      <w:r>
        <w:rPr>
          <w:rFonts w:ascii="Calibri" w:hAnsi="Calibri" w:cs="Calibri" w:eastAsia="Calibri"/>
          <w:b/>
          <w:color w:val="auto"/>
          <w:spacing w:val="0"/>
          <w:position w:val="0"/>
          <w:sz w:val="24"/>
          <w:shd w:fill="auto" w:val="clear"/>
        </w:rPr>
        <w:t xml:space="preserve"> strains and growth conditions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color w:val="auto"/>
          <w:spacing w:val="0"/>
          <w:position w:val="0"/>
          <w:sz w:val="24"/>
          <w:shd w:fill="FFFFFF" w:val="clear"/>
        </w:rPr>
        <w:t xml:space="preserve">Grow the </w:t>
      </w:r>
      <w:r>
        <w:rPr>
          <w:rFonts w:ascii="Calibri" w:hAnsi="Calibri" w:cs="Calibri" w:eastAsia="Calibri"/>
          <w:i/>
          <w:color w:val="auto"/>
          <w:spacing w:val="0"/>
          <w:position w:val="0"/>
          <w:sz w:val="24"/>
          <w:shd w:fill="FFFFFF" w:val="clear"/>
        </w:rPr>
        <w:t xml:space="preserve">C. albicans </w:t>
      </w:r>
      <w:r>
        <w:rPr>
          <w:rFonts w:ascii="Calibri" w:hAnsi="Calibri" w:cs="Calibri" w:eastAsia="Calibri"/>
          <w:color w:val="auto"/>
          <w:spacing w:val="0"/>
          <w:position w:val="0"/>
          <w:sz w:val="24"/>
          <w:shd w:fill="FFFFFF" w:val="clear"/>
        </w:rPr>
        <w:t xml:space="preserve">strains</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in liquid Yeast Extract-Peptone-Dextrose (YPD) medium at 30 &amp;#176;</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FFFFFF" w:val="clear"/>
        </w:rPr>
        <w:t xml:space="preserve"> in an incubator shaker overnight.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Maintain </w:t>
      </w:r>
      <w:r>
        <w:rPr>
          <w:rFonts w:ascii="Calibri" w:hAnsi="Calibri" w:cs="Calibri" w:eastAsia="Calibri"/>
          <w:i/>
          <w:color w:val="auto"/>
          <w:spacing w:val="0"/>
          <w:position w:val="0"/>
          <w:sz w:val="24"/>
          <w:shd w:fill="FFFFFF" w:val="clear"/>
        </w:rPr>
        <w:t xml:space="preserve">Candida</w:t>
      </w:r>
      <w:r>
        <w:rPr>
          <w:rFonts w:ascii="Calibri" w:hAnsi="Calibri" w:cs="Calibri" w:eastAsia="Calibri"/>
          <w:color w:val="auto"/>
          <w:spacing w:val="0"/>
          <w:position w:val="0"/>
          <w:sz w:val="24"/>
          <w:shd w:fill="FFFFFF" w:val="clear"/>
        </w:rPr>
        <w:t xml:space="preserve"> strains as frozen stocks and grow on YPD agar (1 % yeast extract, 2% peptone, 2% dextrose, and 2% agar).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reagents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Prepare the assay medium as follows: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For mitochondrial function assay, dissolve 1.04 g R</w:t>
      </w:r>
      <w:r>
        <w:rPr>
          <w:rFonts w:ascii="Calibri" w:hAnsi="Calibri" w:cs="Calibri" w:eastAsia="Calibri"/>
          <w:color w:val="auto"/>
          <w:spacing w:val="0"/>
          <w:position w:val="0"/>
          <w:sz w:val="24"/>
          <w:shd w:fill="FFFFFF" w:val="clear"/>
        </w:rPr>
        <w:t xml:space="preserve">oswell Park Memorial Institute (</w:t>
      </w:r>
      <w:r>
        <w:rPr>
          <w:rFonts w:ascii="Calibri" w:hAnsi="Calibri" w:cs="Calibri" w:eastAsia="Calibri"/>
          <w:color w:val="auto"/>
          <w:spacing w:val="0"/>
          <w:position w:val="0"/>
          <w:sz w:val="24"/>
          <w:shd w:fill="auto" w:val="clear"/>
        </w:rPr>
        <w:t xml:space="preserve">RPMI) 1640 powder and 2 g glucose (2%) in 90 mL sterile water and warm the media to 37 </w:t>
      </w:r>
      <w:r>
        <w:rPr>
          <w:rFonts w:ascii="Calibri" w:hAnsi="Calibri" w:cs="Calibri" w:eastAsia="Calibri"/>
          <w:color w:val="auto"/>
          <w:spacing w:val="0"/>
          <w:position w:val="0"/>
          <w:sz w:val="24"/>
          <w:shd w:fill="FFFFFF" w:val="clear"/>
        </w:rPr>
        <w:t xml:space="preserve">&amp;#176;</w:t>
      </w:r>
      <w:r>
        <w:rPr>
          <w:rFonts w:ascii="Calibri" w:hAnsi="Calibri" w:cs="Calibri" w:eastAsia="Calibri"/>
          <w:color w:val="auto"/>
          <w:spacing w:val="0"/>
          <w:position w:val="0"/>
          <w:sz w:val="24"/>
          <w:shd w:fill="auto" w:val="clear"/>
        </w:rPr>
        <w:t xml:space="preserve">C. Adjust the pH to 7.4 using 5 M NaOH and make up the volume to 100 mL with sterile water.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For glycolytic stress assay, dissolve 1.04 g RPMI 1640 powder alone in 90 mL sterile water, warm the media to 37 </w:t>
      </w:r>
      <w:r>
        <w:rPr>
          <w:rFonts w:ascii="Calibri" w:hAnsi="Calibri" w:cs="Calibri" w:eastAsia="Calibri"/>
          <w:color w:val="000000"/>
          <w:spacing w:val="0"/>
          <w:position w:val="0"/>
          <w:sz w:val="24"/>
          <w:shd w:fill="FFFFFF" w:val="clear"/>
        </w:rPr>
        <w:t xml:space="preserve">&amp;#176;</w:t>
      </w:r>
      <w:r>
        <w:rPr>
          <w:rFonts w:ascii="Calibri" w:hAnsi="Calibri" w:cs="Calibri" w:eastAsia="Calibri"/>
          <w:color w:val="auto"/>
          <w:spacing w:val="0"/>
          <w:position w:val="0"/>
          <w:sz w:val="24"/>
          <w:shd w:fill="auto" w:val="clear"/>
        </w:rPr>
        <w:t xml:space="preserve">C and adjust the pH to 7.4. Make up the volume to 100 mL with sterile water. RPMI 1640 powder has no bicarbonate, which is critical to monitor the pH change as a measure of glycolysis during the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Injection compounds.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Prepare 1 M glucose stock in sterile water and store at -20 </w:t>
      </w:r>
      <w:r>
        <w:rPr>
          <w:rFonts w:ascii="Calibri" w:hAnsi="Calibri" w:cs="Calibri" w:eastAsia="Calibri"/>
          <w:color w:val="000000"/>
          <w:spacing w:val="0"/>
          <w:position w:val="0"/>
          <w:sz w:val="24"/>
          <w:shd w:fill="FFFFFF" w:val="clear"/>
        </w:rPr>
        <w:t xml:space="preserve">&amp;#176;</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Prepare 100 mM oligomycin stock in dimethyl sulfoxide (DMSO), aliquot in small volumes and store at -20 </w:t>
      </w:r>
      <w:r>
        <w:rPr>
          <w:rFonts w:ascii="Calibri" w:hAnsi="Calibri" w:cs="Calibri" w:eastAsia="Calibri"/>
          <w:color w:val="000000"/>
          <w:spacing w:val="0"/>
          <w:position w:val="0"/>
          <w:sz w:val="24"/>
          <w:shd w:fill="FFFFFF" w:val="clear"/>
        </w:rPr>
        <w:t xml:space="preserve">&amp;#176;</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Prepare 100 mM antimycin A stock in DMSO, aliquot in small volumes and store at -20 </w:t>
      </w:r>
      <w:r>
        <w:rPr>
          <w:rFonts w:ascii="Calibri" w:hAnsi="Calibri" w:cs="Calibri" w:eastAsia="Calibri"/>
          <w:color w:val="000000"/>
          <w:spacing w:val="0"/>
          <w:position w:val="0"/>
          <w:sz w:val="24"/>
          <w:shd w:fill="FFFFFF" w:val="clear"/>
        </w:rPr>
        <w:t xml:space="preserve">&amp;#176;</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Prepare 100 mM SHAM (</w:t>
      </w:r>
      <w:r>
        <w:rPr>
          <w:rFonts w:ascii="Calibri" w:hAnsi="Calibri" w:cs="Calibri" w:eastAsia="Calibri"/>
          <w:color w:val="auto"/>
          <w:spacing w:val="0"/>
          <w:position w:val="0"/>
          <w:sz w:val="24"/>
          <w:shd w:fill="FFFFFF" w:val="clear"/>
        </w:rPr>
        <w:t xml:space="preserve">salicylhydroxamic acid</w:t>
      </w:r>
      <w:r>
        <w:rPr>
          <w:rFonts w:ascii="Calibri" w:hAnsi="Calibri" w:cs="Calibri" w:eastAsia="Calibri"/>
          <w:color w:val="auto"/>
          <w:spacing w:val="0"/>
          <w:position w:val="0"/>
          <w:sz w:val="24"/>
          <w:shd w:fill="auto" w:val="clear"/>
        </w:rPr>
        <w:t xml:space="preserve">) stock in ethanol on the day of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Prepare 1 M KCN in the sterile water on the day of the assay.</w:t>
      </w:r>
    </w:p>
    <w:p>
      <w:pPr>
        <w:tabs>
          <w:tab w:val="left" w:pos="1620" w:leader="none"/>
        </w:tabs>
        <w:spacing w:before="0" w:after="0" w:line="240"/>
        <w:ind w:right="0" w:left="0" w:firstLine="0"/>
        <w:jc w:val="both"/>
        <w:rPr>
          <w:rFonts w:ascii="Calibri Light" w:hAnsi="Calibri Light" w:cs="Calibri Light" w:eastAsia="Calibri Light"/>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Coating of the assay plate with Poly-D-Lysine (PDL)</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71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all the below steps in a laminar hood.</w:t>
      </w:r>
    </w:p>
    <w:p>
      <w:pPr>
        <w:tabs>
          <w:tab w:val="left" w:pos="171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620" w:leader="none"/>
          <w:tab w:val="left" w:pos="225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Dissolve Poly-D Lysine in tissue culture grade water to make 50 &amp;#181;g/mL final concentration. Mix it well and aliquot into a 1.5 mL microcentrifuge tubes and store at -20 </w:t>
      </w:r>
      <w:r>
        <w:rPr>
          <w:rFonts w:ascii="Calibri" w:hAnsi="Calibri" w:cs="Calibri" w:eastAsia="Calibri"/>
          <w:color w:val="000000"/>
          <w:spacing w:val="0"/>
          <w:position w:val="0"/>
          <w:sz w:val="24"/>
          <w:shd w:fill="FFFFFF" w:val="clear"/>
        </w:rPr>
        <w:t xml:space="preserve">&amp;#176;</w:t>
      </w:r>
      <w:r>
        <w:rPr>
          <w:rFonts w:ascii="Calibri" w:hAnsi="Calibri" w:cs="Calibri" w:eastAsia="Calibri"/>
          <w:color w:val="auto"/>
          <w:spacing w:val="0"/>
          <w:position w:val="0"/>
          <w:sz w:val="24"/>
          <w:shd w:fill="FFFF00" w:val="clear"/>
        </w:rPr>
        <w:t xml:space="preserve">C for the long term. </w:t>
      </w:r>
    </w:p>
    <w:p>
      <w:pPr>
        <w:tabs>
          <w:tab w:val="left" w:pos="1620" w:leader="none"/>
          <w:tab w:val="left" w:pos="225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620" w:leader="none"/>
          <w:tab w:val="left" w:pos="22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50 &amp;#181;L per well is needed, and for 24 wells, 1.2 mL is required. Therefore, aliquot at least 1.3 mL per microcentrifuge tube.</w:t>
      </w:r>
    </w:p>
    <w:p>
      <w:pPr>
        <w:tabs>
          <w:tab w:val="left" w:pos="1620" w:leader="none"/>
          <w:tab w:val="left" w:pos="225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620" w:leader="none"/>
          <w:tab w:val="left" w:pos="225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Add 50 &amp;#181;L per well and incubate at room temperature with the lid covered for 1-2 h.</w:t>
      </w:r>
    </w:p>
    <w:p>
      <w:pPr>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1620" w:leader="none"/>
          <w:tab w:val="left" w:pos="225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Aspirate the solution and rinse one time with 500 &amp;#181;L sterile tissue culture grade water.</w:t>
      </w:r>
    </w:p>
    <w:p>
      <w:pPr>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1620" w:leader="none"/>
          <w:tab w:val="left" w:pos="225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Open the lid and allow the wells to air dry. Use the plate on the same day or store at 4 </w:t>
      </w:r>
      <w:r>
        <w:rPr>
          <w:rFonts w:ascii="Calibri" w:hAnsi="Calibri" w:cs="Calibri" w:eastAsia="Calibri"/>
          <w:color w:val="000000"/>
          <w:spacing w:val="0"/>
          <w:position w:val="0"/>
          <w:sz w:val="24"/>
          <w:shd w:fill="FFFFFF" w:val="clear"/>
        </w:rPr>
        <w:t xml:space="preserve">&amp;#176;</w:t>
      </w:r>
      <w:r>
        <w:rPr>
          <w:rFonts w:ascii="Calibri" w:hAnsi="Calibri" w:cs="Calibri" w:eastAsia="Calibri"/>
          <w:color w:val="auto"/>
          <w:spacing w:val="0"/>
          <w:position w:val="0"/>
          <w:sz w:val="24"/>
          <w:shd w:fill="FFFF00" w:val="clear"/>
        </w:rPr>
        <w:t xml:space="preserve">C for a maximum of 2-3 days.</w:t>
      </w:r>
    </w:p>
    <w:p>
      <w:pPr>
        <w:tabs>
          <w:tab w:val="left" w:pos="162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Hydration of sensor cartridge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this step one day before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Open the extra flux Assay Kit and remove the contents. Place the sensor cartridge upside down next to the utility plate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Fill each well of the utility plate with 1 mL of calibrant and place the sensor cartridge back. Make sure the sensors which contain fluorophores (to measure the oxygen and pH) are submerged in the calibrant.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Incubate the sensor cartridge overnight in a non-CO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at 37 </w:t>
      </w:r>
      <w:r>
        <w:rPr>
          <w:rFonts w:ascii="Calibri" w:hAnsi="Calibri" w:cs="Calibri" w:eastAsia="Calibri"/>
          <w:color w:val="auto"/>
          <w:spacing w:val="0"/>
          <w:position w:val="0"/>
          <w:sz w:val="24"/>
          <w:shd w:fill="FFFFFF" w:val="clear"/>
        </w:rPr>
        <w:t xml:space="preserve">&amp;#176;</w:t>
      </w:r>
      <w:r>
        <w:rPr>
          <w:rFonts w:ascii="Calibri" w:hAnsi="Calibri" w:cs="Calibri" w:eastAsia="Calibri"/>
          <w:color w:val="auto"/>
          <w:spacing w:val="0"/>
          <w:position w:val="0"/>
          <w:sz w:val="24"/>
          <w:shd w:fill="FFFF00"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Growing and seeding cells in the PDL-coated plates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Inoculate </w:t>
      </w:r>
      <w:r>
        <w:rPr>
          <w:rFonts w:ascii="Calibri" w:hAnsi="Calibri" w:cs="Calibri" w:eastAsia="Calibri"/>
          <w:i/>
          <w:color w:val="auto"/>
          <w:spacing w:val="0"/>
          <w:position w:val="0"/>
          <w:sz w:val="24"/>
          <w:shd w:fill="FFFF00" w:val="clear"/>
        </w:rPr>
        <w:t xml:space="preserve">C. albicans</w:t>
      </w:r>
      <w:r>
        <w:rPr>
          <w:rFonts w:ascii="Calibri" w:hAnsi="Calibri" w:cs="Calibri" w:eastAsia="Calibri"/>
          <w:color w:val="auto"/>
          <w:spacing w:val="0"/>
          <w:position w:val="0"/>
          <w:sz w:val="24"/>
          <w:shd w:fill="FFFF00" w:val="clear"/>
        </w:rPr>
        <w:t xml:space="preserve"> in the YPD broth and grow overnight at 30 </w:t>
      </w:r>
      <w:r>
        <w:rPr>
          <w:rFonts w:ascii="Calibri" w:hAnsi="Calibri" w:cs="Calibri" w:eastAsia="Calibri"/>
          <w:color w:val="auto"/>
          <w:spacing w:val="0"/>
          <w:position w:val="0"/>
          <w:sz w:val="24"/>
          <w:shd w:fill="FFFFFF" w:val="clear"/>
        </w:rPr>
        <w:t xml:space="preserve">&amp;#176;</w:t>
      </w:r>
      <w:r>
        <w:rPr>
          <w:rFonts w:ascii="Calibri" w:hAnsi="Calibri" w:cs="Calibri" w:eastAsia="Calibri"/>
          <w:color w:val="auto"/>
          <w:spacing w:val="0"/>
          <w:position w:val="0"/>
          <w:sz w:val="24"/>
          <w:shd w:fill="FFFF00" w:val="clear"/>
        </w:rPr>
        <w:t xml:space="preserve">C in a shaker at 200 rpm.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Based on the assay design and the interest,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can also be grown in YPG or minimal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On the day of assay, dilute an appropriate number of cells in the assay medium to yield a final concentration of 100,000 cells per 100 &amp;#181;L.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Add 100 &amp;#181;L of the diluted cells into each well of the assay plate except wells A1, B4, C3, and D6, in which add only 100 &amp;#181;L of the assay medium for background correction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Transfer the plate to a non-CO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incubator at 37 </w:t>
      </w:r>
      <w:r>
        <w:rPr>
          <w:rFonts w:ascii="Calibri" w:hAnsi="Calibri" w:cs="Calibri" w:eastAsia="Calibri"/>
          <w:color w:val="000000"/>
          <w:spacing w:val="0"/>
          <w:position w:val="0"/>
          <w:sz w:val="24"/>
          <w:shd w:fill="FFFFFF" w:val="clear"/>
        </w:rPr>
        <w:t xml:space="preserve">&amp;#176;</w:t>
      </w:r>
      <w:r>
        <w:rPr>
          <w:rFonts w:ascii="Calibri" w:hAnsi="Calibri" w:cs="Calibri" w:eastAsia="Calibri"/>
          <w:color w:val="auto"/>
          <w:spacing w:val="0"/>
          <w:position w:val="0"/>
          <w:sz w:val="24"/>
          <w:shd w:fill="FFFF00" w:val="clear"/>
        </w:rPr>
        <w:t xml:space="preserve">C and incubate for 60 min, which will let the cells adhere to the plate surface.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Assay 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protocol outlined here is for the 24-well format of the instrument. Volumes will need to be adjusted if another format is used.</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Mitochondrial function assay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 Preparation of compounds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6.1.1.1. Prepare compounds at 10x concentration for mitochondrial function assay: Prepare 20 mM SHAM, 100 &amp;#181;M Oligomycin, 100 mM KCN, and 20 &amp;#181;M Antimycin A in the corresponding assay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6.1.1.2. Add 50 &amp;#181;L SHAM into the port A, 55 &amp;#181;L Oligomycin into port B, 62 &amp;#181;L KCN into port C and 68 &amp;#181;L Antimycin A into port D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 2. Glycolytic stress assay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w:t>
        <w:tab/>
        <w:t xml:space="preserve">Preparation of compounds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6.2.1.1. Prepare compounds at 10x concentration for glycolytic stress assay. Prepare 100 mM glucose, 100 &amp;#181;M Oligomycin, 500 mM 2-Deoxy Glucose (2DG) and 20 &amp;#181;M Antimycin A in the corresponding assay medium.</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6.2.1.2. Add 50 &amp;#181;L glucose into port A, 55 &amp;#181;L Oligomycin into port B, 62 &amp;#181;L 2-DG into port C and 68 &amp;#181;L Antimycin A into port D.</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Employ extra flux analyzer, which </w:t>
      </w:r>
      <w:r>
        <w:rPr>
          <w:rFonts w:ascii="Calibri" w:hAnsi="Calibri" w:cs="Calibri" w:eastAsia="Calibri"/>
          <w:color w:val="202020"/>
          <w:spacing w:val="0"/>
          <w:position w:val="0"/>
          <w:sz w:val="24"/>
          <w:shd w:fill="FFFFFF" w:val="clear"/>
        </w:rPr>
        <w:t xml:space="preserve">measures oxygen consumption rate (OCR) and extracellular acidification rate (ECAR) of live cells in a 24-well plate format.</w:t>
      </w:r>
      <w:r>
        <w:rPr>
          <w:rFonts w:ascii="Calibri" w:hAnsi="Calibri" w:cs="Calibri" w:eastAsia="Calibri"/>
          <w:color w:val="auto"/>
          <w:spacing w:val="0"/>
          <w:position w:val="0"/>
          <w:sz w:val="24"/>
          <w:shd w:fill="FFFF00" w:val="clear"/>
        </w:rPr>
        <w:t xml:space="preserve"> Set up the assay protocol in advance.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Open the extra flux analyzer and set up the assay template by using the assay wizard tab and follow step by step instruction to fill out all the information that pops out during the setup. Generate the group layout as similar to shown in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Set up the protocol as shown in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Set up these layouts well ahead before assay and save in the computer. At the time of assay, restore the saved protocol by opening the corresponding file in the </w:t>
      </w:r>
      <w:r>
        <w:rPr>
          <w:rFonts w:ascii="Calibri" w:hAnsi="Calibri" w:cs="Calibri" w:eastAsia="Calibri"/>
          <w:b/>
          <w:color w:val="auto"/>
          <w:spacing w:val="0"/>
          <w:position w:val="0"/>
          <w:sz w:val="24"/>
          <w:shd w:fill="FFFF00" w:val="clear"/>
        </w:rPr>
        <w:t xml:space="preserve">open file</w:t>
      </w:r>
      <w:r>
        <w:rPr>
          <w:rFonts w:ascii="Calibri" w:hAnsi="Calibri" w:cs="Calibri" w:eastAsia="Calibri"/>
          <w:color w:val="auto"/>
          <w:spacing w:val="0"/>
          <w:position w:val="0"/>
          <w:sz w:val="24"/>
          <w:shd w:fill="FFFF00" w:val="clear"/>
        </w:rPr>
        <w:t xml:space="preserve"> option in the assay wizard tab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6.5. Load the 10x compounds in the respective ports of the hydrated sensor cartridge containing the calibrant and load in the carrier tray of the extra flux analyzer. Start the calibration by pressing the </w:t>
      </w:r>
      <w:r>
        <w:rPr>
          <w:rFonts w:ascii="Calibri" w:hAnsi="Calibri" w:cs="Calibri" w:eastAsia="Calibri"/>
          <w:b/>
          <w:color w:val="auto"/>
          <w:spacing w:val="0"/>
          <w:position w:val="0"/>
          <w:sz w:val="24"/>
          <w:shd w:fill="FFFF00" w:val="clear"/>
        </w:rPr>
        <w:t xml:space="preserve">Start </w:t>
      </w:r>
      <w:r>
        <w:rPr>
          <w:rFonts w:ascii="Calibri" w:hAnsi="Calibri" w:cs="Calibri" w:eastAsia="Calibri"/>
          <w:color w:val="auto"/>
          <w:spacing w:val="0"/>
          <w:position w:val="0"/>
          <w:sz w:val="24"/>
          <w:shd w:fill="FFFF00" w:val="clear"/>
        </w:rPr>
        <w:t xml:space="preserve">button on the screen.</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6.6. Add 350 &amp;#181;L of the assay medium gently to the cell plate along the side of the wells to minimize cell disturbance to bring the final volume to 450 &amp;#181;L.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6.7. Replace the utility plate containing the calibrant with the assay plate and continue.</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6.8. Remove the sensor cartridge and the plate once the assay is completed. Save the file in the appropriate destination folder.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b/>
          <w:color w:val="auto"/>
          <w:spacing w:val="0"/>
          <w:position w:val="0"/>
          <w:sz w:val="24"/>
          <w:shd w:fill="auto" w:val="clear"/>
        </w:rPr>
        <w:t xml:space="preserve">Data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Use the area under the curve- analysis of variance (AUC-ANOVA) analysis tab in the software to calculate the significant difference between the groups by selecting the respective parameters (OCR or ECAR) as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Select the groups that need to be compared.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Add to the analysis groups for ANOVA and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AUC ANOVA analysis will add a new sheet to the file in which the AUC is calculated for each group and compared between them by ANOVA. This will give a table of p values to show the significance.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focus of this protocol is to determine the bioenergetic functions of</w:t>
      </w:r>
      <w:r>
        <w:rPr>
          <w:rFonts w:ascii="Calibri" w:hAnsi="Calibri" w:cs="Calibri" w:eastAsia="Calibri"/>
          <w:i/>
          <w:color w:val="auto"/>
          <w:spacing w:val="0"/>
          <w:position w:val="0"/>
          <w:sz w:val="24"/>
          <w:shd w:fill="auto" w:val="clear"/>
        </w:rPr>
        <w:t xml:space="preserve"> C. albicans </w:t>
      </w:r>
      <w:r>
        <w:rPr>
          <w:rFonts w:ascii="Calibri" w:hAnsi="Calibri" w:cs="Calibri" w:eastAsia="Calibri"/>
          <w:color w:val="auto"/>
          <w:spacing w:val="0"/>
          <w:position w:val="0"/>
          <w:sz w:val="24"/>
          <w:shd w:fill="auto" w:val="clear"/>
        </w:rPr>
        <w:t xml:space="preserve">assessed by extra flux analyzer. A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mutant lacking mitochondrial protein Mam33 is also included along with its complement strain,</w:t>
      </w:r>
      <w:r>
        <w:rPr>
          <w:rFonts w:ascii="Calibri" w:hAnsi="Calibri" w:cs="Calibri" w:eastAsia="Calibri"/>
          <w:i/>
          <w:color w:val="auto"/>
          <w:spacing w:val="0"/>
          <w:position w:val="0"/>
          <w:sz w:val="24"/>
          <w:shd w:fill="auto" w:val="clear"/>
        </w:rPr>
        <w:t xml:space="preserve"> mam33</w:t>
      </w:r>
      <w:r>
        <w:rPr>
          <w:rFonts w:ascii="Calibri" w:hAnsi="Calibri" w:cs="Calibri" w:eastAsia="Calibri"/>
          <w:i/>
          <w:color w:val="auto"/>
          <w:spacing w:val="0"/>
          <w:position w:val="0"/>
          <w:sz w:val="24"/>
          <w:shd w:fill="auto" w:val="clear"/>
        </w:rPr>
        <w:t xml:space="preserve">Δ/Δ::MAM33</w:t>
      </w:r>
      <w:r>
        <w:rPr>
          <w:rFonts w:ascii="Calibri" w:hAnsi="Calibri" w:cs="Calibri" w:eastAsia="Calibri"/>
          <w:color w:val="auto"/>
          <w:spacing w:val="0"/>
          <w:position w:val="0"/>
          <w:sz w:val="24"/>
          <w:shd w:fill="auto" w:val="clear"/>
        </w:rPr>
        <w:t xml:space="preserve"> to study the effects of the deletion of a mitochondrial protein on OCR and ECAR. </w:t>
      </w:r>
      <w:r>
        <w:rPr>
          <w:rFonts w:ascii="Calibri" w:hAnsi="Calibri" w:cs="Calibri" w:eastAsia="Calibri"/>
          <w:i/>
          <w:color w:val="auto"/>
          <w:spacing w:val="0"/>
          <w:position w:val="0"/>
          <w:sz w:val="24"/>
          <w:shd w:fill="auto" w:val="clear"/>
        </w:rPr>
        <w:t xml:space="preserve">MAM33</w:t>
      </w:r>
      <w:r>
        <w:rPr>
          <w:rFonts w:ascii="Calibri" w:hAnsi="Calibri" w:cs="Calibri" w:eastAsia="Calibri"/>
          <w:color w:val="auto"/>
          <w:spacing w:val="0"/>
          <w:position w:val="0"/>
          <w:sz w:val="24"/>
          <w:shd w:fill="auto" w:val="clear"/>
        </w:rPr>
        <w:t xml:space="preserve"> encodes for a putative mitochondrial acidic matrix protein and its function in </w:t>
      </w:r>
      <w:r>
        <w:rPr>
          <w:rFonts w:ascii="Calibri" w:hAnsi="Calibri" w:cs="Calibri" w:eastAsia="Calibri"/>
          <w:i/>
          <w:color w:val="auto"/>
          <w:spacing w:val="0"/>
          <w:position w:val="0"/>
          <w:sz w:val="24"/>
          <w:shd w:fill="auto" w:val="clear"/>
        </w:rPr>
        <w:t xml:space="preserve">Candida</w:t>
      </w:r>
      <w:r>
        <w:rPr>
          <w:rFonts w:ascii="Calibri" w:hAnsi="Calibri" w:cs="Calibri" w:eastAsia="Calibri"/>
          <w:color w:val="auto"/>
          <w:spacing w:val="0"/>
          <w:position w:val="0"/>
          <w:sz w:val="24"/>
          <w:shd w:fill="auto" w:val="clear"/>
        </w:rPr>
        <w:t xml:space="preserve"> is not known.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Cell numbers for extra flux assay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employed 1x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wild type cells per well in the extra flux assay, which showed an OCR of 145 pmol/min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which is within the optimal range of 100-300 pmol/min for any extracellular flux assay. It is also important to titrate the cell number to obtain an optimal OCR before the assay or when there is a change in growth medium composition between different assays.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Analysis of data</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area under the curve- analysis of variance (AUC-ANOVA) analysis tab in the software was used to calculate the significant difference between the groups by selecting the respective parameters (OCR or ECAR) as shown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This analysis added a new sheet to the file in which the AUC was calculated for each group and compared between them by ANOVA automatically, which gave a table of p values.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Mitochondrial function assay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mitochondrial stress test, the assay starts with measuring the basal oxygen consumption rate (OCR) followed by injection of inhibitors of an alternate oxidase (AOX), ATP synthase, and electron transport chain complexes, IV and III. In addition to the classical respiratory chain,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also utilizes the </w:t>
      </w:r>
      <w:r>
        <w:rPr>
          <w:rFonts w:ascii="Calibri" w:hAnsi="Calibri" w:cs="Calibri" w:eastAsia="Calibri"/>
          <w:color w:val="2A2A2A"/>
          <w:spacing w:val="0"/>
          <w:position w:val="0"/>
          <w:sz w:val="24"/>
          <w:shd w:fill="FFFFFF" w:val="clear"/>
        </w:rPr>
        <w:t xml:space="preserve">AOX pathway for energy generation</w:t>
      </w:r>
      <w:r>
        <w:rPr>
          <w:rFonts w:ascii="Calibri" w:hAnsi="Calibri" w:cs="Calibri" w:eastAsia="Calibri"/>
          <w:color w:val="2A2A2A"/>
          <w:spacing w:val="0"/>
          <w:position w:val="0"/>
          <w:sz w:val="24"/>
          <w:shd w:fill="FFFFFF" w:val="clear"/>
          <w:vertAlign w:val="superscript"/>
        </w:rPr>
        <w:t xml:space="preserve">24</w:t>
      </w:r>
      <w:r>
        <w:rPr>
          <w:rFonts w:ascii="Calibri" w:hAnsi="Calibri" w:cs="Calibri" w:eastAsia="Calibri"/>
          <w:color w:val="2A2A2A"/>
          <w:spacing w:val="0"/>
          <w:position w:val="0"/>
          <w:sz w:val="24"/>
          <w:shd w:fill="FFFFFF" w:val="clear"/>
        </w:rPr>
        <w:t xml:space="preserve">. Therefore, we investigated the effect of AOX system on OCR by inhibiting its activity by using salicylhydroxamic acid (SHAM)</w:t>
      </w:r>
      <w:r>
        <w:rPr>
          <w:rFonts w:ascii="Calibri" w:hAnsi="Calibri" w:cs="Calibri" w:eastAsia="Calibri"/>
          <w:color w:val="2A2A2A"/>
          <w:spacing w:val="0"/>
          <w:position w:val="0"/>
          <w:sz w:val="24"/>
          <w:shd w:fill="FFFFFF" w:val="clear"/>
          <w:vertAlign w:val="superscript"/>
        </w:rPr>
        <w:t xml:space="preserve">25</w:t>
      </w:r>
      <w:r>
        <w:rPr>
          <w:rFonts w:ascii="Calibri" w:hAnsi="Calibri" w:cs="Calibri" w:eastAsia="Calibri"/>
          <w:color w:val="2A2A2A"/>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The mitochondrial function, which was measured as an oxygen consumption rate (OCR) in pmol/min at basal and after injecting respective inhibitors is shown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basal OCR of wild type, </w:t>
      </w:r>
      <w:r>
        <w:rPr>
          <w:rFonts w:ascii="Calibri" w:hAnsi="Calibri" w:cs="Calibri" w:eastAsia="Calibri"/>
          <w:i/>
          <w:color w:val="auto"/>
          <w:spacing w:val="0"/>
          <w:position w:val="0"/>
          <w:sz w:val="24"/>
          <w:shd w:fill="auto" w:val="clear"/>
        </w:rPr>
        <w:t xml:space="preserve">mam33</w:t>
      </w:r>
      <w:r>
        <w:rPr>
          <w:rFonts w:ascii="Calibri" w:hAnsi="Calibri" w:cs="Calibri" w:eastAsia="Calibri"/>
          <w:i/>
          <w:color w:val="auto"/>
          <w:spacing w:val="0"/>
          <w:position w:val="0"/>
          <w:sz w:val="24"/>
          <w:shd w:fill="auto" w:val="clear"/>
        </w:rPr>
        <w:t xml:space="preserve">Δ/Δ,</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mam33Δ/Δ::MAM33</w:t>
      </w:r>
      <w:r>
        <w:rPr>
          <w:rFonts w:ascii="Calibri" w:hAnsi="Calibri" w:cs="Calibri" w:eastAsia="Calibri"/>
          <w:color w:val="auto"/>
          <w:spacing w:val="0"/>
          <w:position w:val="0"/>
          <w:sz w:val="24"/>
          <w:shd w:fill="auto" w:val="clear"/>
        </w:rPr>
        <w:t xml:space="preserve"> strains showed no differences (</w:t>
      </w:r>
      <w:r>
        <w:rPr>
          <w:rFonts w:ascii="Calibri" w:hAnsi="Calibri" w:cs="Calibri" w:eastAsia="Calibri"/>
          <w:b/>
          <w:color w:val="auto"/>
          <w:spacing w:val="0"/>
          <w:position w:val="0"/>
          <w:sz w:val="24"/>
          <w:shd w:fill="auto" w:val="clear"/>
        </w:rPr>
        <w:t xml:space="preserve">Figure 7A and B</w:t>
      </w:r>
      <w:r>
        <w:rPr>
          <w:rFonts w:ascii="Calibri" w:hAnsi="Calibri" w:cs="Calibri" w:eastAsia="Calibri"/>
          <w:color w:val="auto"/>
          <w:spacing w:val="0"/>
          <w:position w:val="0"/>
          <w:sz w:val="24"/>
          <w:shd w:fill="auto" w:val="clear"/>
        </w:rPr>
        <w:t xml:space="preserve">). Similarly, no significant difference in the basal ECAR was observed between these strains (</w:t>
      </w:r>
      <w:r>
        <w:rPr>
          <w:rFonts w:ascii="Calibri" w:hAnsi="Calibri" w:cs="Calibri" w:eastAsia="Calibri"/>
          <w:b/>
          <w:color w:val="auto"/>
          <w:spacing w:val="0"/>
          <w:position w:val="0"/>
          <w:sz w:val="24"/>
          <w:shd w:fill="auto" w:val="clear"/>
        </w:rPr>
        <w:t xml:space="preserve">Figure 7C and D</w:t>
      </w:r>
      <w:r>
        <w:rPr>
          <w:rFonts w:ascii="Calibri" w:hAnsi="Calibri" w:cs="Calibri" w:eastAsia="Calibri"/>
          <w:color w:val="auto"/>
          <w:spacing w:val="0"/>
          <w:position w:val="0"/>
          <w:sz w:val="24"/>
          <w:shd w:fill="auto" w:val="clear"/>
        </w:rPr>
        <w:t xml:space="preserve">). However, by inhibiting complex IV by KCN, wild type and </w:t>
      </w:r>
      <w:r>
        <w:rPr>
          <w:rFonts w:ascii="Calibri" w:hAnsi="Calibri" w:cs="Calibri" w:eastAsia="Calibri"/>
          <w:i/>
          <w:color w:val="auto"/>
          <w:spacing w:val="0"/>
          <w:position w:val="0"/>
          <w:sz w:val="24"/>
          <w:shd w:fill="auto" w:val="clear"/>
        </w:rPr>
        <w:t xml:space="preserve">mam33Δ/Δ::MAM33</w:t>
      </w:r>
      <w:r>
        <w:rPr>
          <w:rFonts w:ascii="Calibri" w:hAnsi="Calibri" w:cs="Calibri" w:eastAsia="Calibri"/>
          <w:color w:val="auto"/>
          <w:spacing w:val="0"/>
          <w:position w:val="0"/>
          <w:sz w:val="24"/>
          <w:shd w:fill="auto" w:val="clear"/>
        </w:rPr>
        <w:t xml:space="preserve"> showed a substantial shift toward the glycolysis in contrast to </w:t>
      </w:r>
      <w:r>
        <w:rPr>
          <w:rFonts w:ascii="Calibri" w:hAnsi="Calibri" w:cs="Calibri" w:eastAsia="Calibri"/>
          <w:i/>
          <w:color w:val="auto"/>
          <w:spacing w:val="0"/>
          <w:position w:val="0"/>
          <w:sz w:val="24"/>
          <w:shd w:fill="auto" w:val="clear"/>
        </w:rPr>
        <w:t xml:space="preserve">mam33Δ/Δ</w:t>
      </w:r>
      <w:r>
        <w:rPr>
          <w:rFonts w:ascii="Calibri" w:hAnsi="Calibri" w:cs="Calibri" w:eastAsia="Calibri"/>
          <w:color w:val="auto"/>
          <w:spacing w:val="0"/>
          <w:position w:val="0"/>
          <w:sz w:val="24"/>
          <w:shd w:fill="auto" w:val="clear"/>
        </w:rPr>
        <w:t xml:space="preserve">, which significantly failed to show a compensatory glycolytic shift (</w:t>
      </w:r>
      <w:r>
        <w:rPr>
          <w:rFonts w:ascii="Calibri" w:hAnsi="Calibri" w:cs="Calibri" w:eastAsia="Calibri"/>
          <w:b/>
          <w:color w:val="auto"/>
          <w:spacing w:val="0"/>
          <w:position w:val="0"/>
          <w:sz w:val="24"/>
          <w:shd w:fill="auto" w:val="clear"/>
        </w:rPr>
        <w:t xml:space="preserve">Figure 7E</w:t>
      </w:r>
      <w:r>
        <w:rPr>
          <w:rFonts w:ascii="Calibri" w:hAnsi="Calibri" w:cs="Calibri" w:eastAsia="Calibri"/>
          <w:color w:val="auto"/>
          <w:spacing w:val="0"/>
          <w:position w:val="0"/>
          <w:sz w:val="24"/>
          <w:shd w:fill="auto" w:val="clear"/>
        </w:rPr>
        <w:t xml:space="preserve">), suggesting that C-IV dependent glycolytic pathway is impaired in the </w:t>
      </w:r>
      <w:r>
        <w:rPr>
          <w:rFonts w:ascii="Calibri" w:hAnsi="Calibri" w:cs="Calibri" w:eastAsia="Calibri"/>
          <w:i/>
          <w:color w:val="auto"/>
          <w:spacing w:val="0"/>
          <w:position w:val="0"/>
          <w:sz w:val="24"/>
          <w:shd w:fill="auto" w:val="clear"/>
        </w:rPr>
        <w:t xml:space="preserve">mam33Δ/Δ</w:t>
      </w:r>
      <w:r>
        <w:rPr>
          <w:rFonts w:ascii="Calibri" w:hAnsi="Calibri" w:cs="Calibri" w:eastAsia="Calibri"/>
          <w:color w:val="auto"/>
          <w:spacing w:val="0"/>
          <w:position w:val="0"/>
          <w:sz w:val="24"/>
          <w:shd w:fill="auto" w:val="clear"/>
        </w:rPr>
        <w:t xml:space="preserve"> mutant compared to wild type and </w:t>
      </w:r>
      <w:r>
        <w:rPr>
          <w:rFonts w:ascii="Calibri" w:hAnsi="Calibri" w:cs="Calibri" w:eastAsia="Calibri"/>
          <w:i/>
          <w:color w:val="auto"/>
          <w:spacing w:val="0"/>
          <w:position w:val="0"/>
          <w:sz w:val="24"/>
          <w:shd w:fill="auto" w:val="clear"/>
        </w:rPr>
        <w:t xml:space="preserve">mam33Δ/Δ::MAM33</w:t>
      </w:r>
      <w:r>
        <w:rPr>
          <w:rFonts w:ascii="Calibri" w:hAnsi="Calibri" w:cs="Calibri" w:eastAsia="Calibri"/>
          <w:color w:val="auto"/>
          <w:spacing w:val="0"/>
          <w:position w:val="0"/>
          <w:sz w:val="24"/>
          <w:shd w:fill="auto" w:val="clear"/>
        </w:rPr>
        <w:t xml:space="preserve"> strains.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Glycolytic stress assay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glycolytic stress test, cells were starved for glucose for 1 h and the basal OCR and ECAR was measured. Upon starvation, </w:t>
      </w:r>
      <w:r>
        <w:rPr>
          <w:rFonts w:ascii="Calibri" w:hAnsi="Calibri" w:cs="Calibri" w:eastAsia="Calibri"/>
          <w:i/>
          <w:color w:val="auto"/>
          <w:spacing w:val="0"/>
          <w:position w:val="0"/>
          <w:sz w:val="24"/>
          <w:shd w:fill="auto" w:val="clear"/>
        </w:rPr>
        <w:t xml:space="preserve">mam33</w:t>
      </w:r>
      <w:r>
        <w:rPr>
          <w:rFonts w:ascii="Calibri" w:hAnsi="Calibri" w:cs="Calibri" w:eastAsia="Calibri"/>
          <w:i/>
          <w:color w:val="auto"/>
          <w:spacing w:val="0"/>
          <w:position w:val="0"/>
          <w:sz w:val="24"/>
          <w:shd w:fill="auto" w:val="clear"/>
        </w:rPr>
        <w:t xml:space="preserve">Δ/Δ</w:t>
      </w:r>
      <w:r>
        <w:rPr>
          <w:rFonts w:ascii="Calibri" w:hAnsi="Calibri" w:cs="Calibri" w:eastAsia="Calibri"/>
          <w:color w:val="auto"/>
          <w:spacing w:val="0"/>
          <w:position w:val="0"/>
          <w:sz w:val="24"/>
          <w:shd w:fill="auto" w:val="clear"/>
        </w:rPr>
        <w:t xml:space="preserve"> showed significantly lower OCR (</w:t>
      </w:r>
      <w:r>
        <w:rPr>
          <w:rFonts w:ascii="Calibri" w:hAnsi="Calibri" w:cs="Calibri" w:eastAsia="Calibri"/>
          <w:b/>
          <w:color w:val="auto"/>
          <w:spacing w:val="0"/>
          <w:position w:val="0"/>
          <w:sz w:val="24"/>
          <w:shd w:fill="auto" w:val="clear"/>
        </w:rPr>
        <w:t xml:space="preserve">Figure 8A and B</w:t>
      </w:r>
      <w:r>
        <w:rPr>
          <w:rFonts w:ascii="Calibri" w:hAnsi="Calibri" w:cs="Calibri" w:eastAsia="Calibri"/>
          <w:color w:val="auto"/>
          <w:spacing w:val="0"/>
          <w:position w:val="0"/>
          <w:sz w:val="24"/>
          <w:shd w:fill="auto" w:val="clear"/>
        </w:rPr>
        <w:t xml:space="preserve">) and ECAR (</w:t>
      </w:r>
      <w:r>
        <w:rPr>
          <w:rFonts w:ascii="Calibri" w:hAnsi="Calibri" w:cs="Calibri" w:eastAsia="Calibri"/>
          <w:b/>
          <w:color w:val="auto"/>
          <w:spacing w:val="0"/>
          <w:position w:val="0"/>
          <w:sz w:val="24"/>
          <w:shd w:fill="auto" w:val="clear"/>
        </w:rPr>
        <w:t xml:space="preserve">Figure 8C and D</w:t>
      </w:r>
      <w:r>
        <w:rPr>
          <w:rFonts w:ascii="Calibri" w:hAnsi="Calibri" w:cs="Calibri" w:eastAsia="Calibri"/>
          <w:color w:val="auto"/>
          <w:spacing w:val="0"/>
          <w:position w:val="0"/>
          <w:sz w:val="24"/>
          <w:shd w:fill="auto" w:val="clear"/>
        </w:rPr>
        <w:t xml:space="preserve">) compared to the wild type and </w:t>
      </w:r>
      <w:r>
        <w:rPr>
          <w:rFonts w:ascii="Calibri" w:hAnsi="Calibri" w:cs="Calibri" w:eastAsia="Calibri"/>
          <w:i/>
          <w:color w:val="auto"/>
          <w:spacing w:val="0"/>
          <w:position w:val="0"/>
          <w:sz w:val="24"/>
          <w:shd w:fill="auto" w:val="clear"/>
        </w:rPr>
        <w:t xml:space="preserve">mam33Δ/Δ::MAM33</w:t>
      </w:r>
      <w:r>
        <w:rPr>
          <w:rFonts w:ascii="Calibri" w:hAnsi="Calibri" w:cs="Calibri" w:eastAsia="Calibri"/>
          <w:color w:val="auto"/>
          <w:spacing w:val="0"/>
          <w:position w:val="0"/>
          <w:sz w:val="24"/>
          <w:shd w:fill="auto" w:val="clear"/>
        </w:rPr>
        <w:t xml:space="preserve"> strains suggesting an impaired utilization of glucose for both respiration and glycolysis when cells are forced to the starvation condition. After injecting glucose, all strains showed stimulation of both OCR and ECAR. Although oligomycin has less effect on both OCR and ECAR, 2-DG, which is a competitive inhibitor of glycolysis, inhibits both OCR and ECAR. Specifically, 2-DG partially inhibits OCR, which is further inhibited by Antimycin A. In contrast, 2-DG almost completely inhibits ECAR.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Protocol commands for the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of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Sensor cartridge (green) placed upside down near the utility plate before adding the calibrant.</w:t>
      </w:r>
      <w:r>
        <w:rPr>
          <w:rFonts w:ascii="Calibri" w:hAnsi="Calibri" w:cs="Calibri" w:eastAsia="Calibri"/>
          <w:color w:val="auto"/>
          <w:spacing w:val="0"/>
          <w:position w:val="0"/>
          <w:sz w:val="24"/>
          <w:shd w:fill="auto" w:val="clear"/>
        </w:rPr>
        <w:t xml:space="preserve"> Fluorophores are indicated by arrows.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Cell culture plate showing background wells A1, B4, C3, and D6.</w:t>
      </w:r>
      <w:r>
        <w:rPr>
          <w:rFonts w:ascii="Calibri" w:hAnsi="Calibri" w:cs="Calibri" w:eastAsia="Calibri"/>
          <w:color w:val="auto"/>
          <w:spacing w:val="0"/>
          <w:position w:val="0"/>
          <w:sz w:val="24"/>
          <w:shd w:fill="auto" w:val="clear"/>
        </w:rPr>
        <w:t xml:space="preserve"> The blue mark shows the notch, oriented to the lower left.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top portion of the sensor cartridge showing ports A, B, C and D.</w:t>
      </w:r>
      <w:r>
        <w:rPr>
          <w:rFonts w:ascii="Calibri" w:hAnsi="Calibri" w:cs="Calibri" w:eastAsia="Calibri"/>
          <w:color w:val="auto"/>
          <w:spacing w:val="0"/>
          <w:position w:val="0"/>
          <w:sz w:val="24"/>
          <w:shd w:fill="auto" w:val="clear"/>
        </w:rPr>
        <w:t xml:space="preserve"> The arrow mark shows the notch, oriented to the lower left.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The layout of wells and group assignment as visualized in the software.</w:t>
      </w:r>
      <w:r>
        <w:rPr>
          <w:rFonts w:ascii="Calibri" w:hAnsi="Calibri" w:cs="Calibri" w:eastAsia="Calibri"/>
          <w:color w:val="auto"/>
          <w:spacing w:val="0"/>
          <w:position w:val="0"/>
          <w:sz w:val="24"/>
          <w:shd w:fill="auto" w:val="clear"/>
        </w:rPr>
        <w:t xml:space="preserve"> WT- wild type; MT-</w:t>
      </w:r>
      <w:r>
        <w:rPr>
          <w:rFonts w:ascii="Calibri" w:hAnsi="Calibri" w:cs="Calibri" w:eastAsia="Calibri"/>
          <w:i/>
          <w:color w:val="auto"/>
          <w:spacing w:val="0"/>
          <w:position w:val="0"/>
          <w:sz w:val="24"/>
          <w:shd w:fill="auto" w:val="clear"/>
        </w:rPr>
        <w:t xml:space="preserve"> mam33</w:t>
      </w:r>
      <w:r>
        <w:rPr>
          <w:rFonts w:ascii="Calibri" w:hAnsi="Calibri" w:cs="Calibri" w:eastAsia="Calibri"/>
          <w:i/>
          <w:color w:val="auto"/>
          <w:spacing w:val="0"/>
          <w:position w:val="0"/>
          <w:sz w:val="24"/>
          <w:shd w:fill="auto" w:val="clear"/>
        </w:rPr>
        <w:t xml:space="preserve">Δ/Δ </w:t>
      </w:r>
      <w:r>
        <w:rPr>
          <w:rFonts w:ascii="Calibri" w:hAnsi="Calibri" w:cs="Calibri" w:eastAsia="Calibri"/>
          <w:color w:val="auto"/>
          <w:spacing w:val="0"/>
          <w:position w:val="0"/>
          <w:sz w:val="24"/>
          <w:shd w:fill="auto" w:val="clear"/>
        </w:rPr>
        <w:t xml:space="preserve">mutant</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COMP</w:t>
      </w:r>
      <w:r>
        <w:rPr>
          <w:rFonts w:ascii="Calibri" w:hAnsi="Calibri" w:cs="Calibri" w:eastAsia="Calibri"/>
          <w:i/>
          <w:color w:val="auto"/>
          <w:spacing w:val="0"/>
          <w:position w:val="0"/>
          <w:sz w:val="24"/>
          <w:shd w:fill="auto" w:val="clear"/>
        </w:rPr>
        <w:t xml:space="preserve">- mam33Δ/Δ::MAM33 </w:t>
      </w:r>
      <w:r>
        <w:rPr>
          <w:rFonts w:ascii="Calibri" w:hAnsi="Calibri" w:cs="Calibri" w:eastAsia="Calibri"/>
          <w:color w:val="auto"/>
          <w:spacing w:val="0"/>
          <w:position w:val="0"/>
          <w:sz w:val="24"/>
          <w:shd w:fill="auto" w:val="clear"/>
        </w:rPr>
        <w:t xml:space="preserve">complement strain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Arrow mark shows the open file tab.</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The area under the curve (AUC) ANOVA analysis tab to calculate the significance between the groups.</w:t>
      </w:r>
      <w:r>
        <w:rPr>
          <w:rFonts w:ascii="Calibri" w:hAnsi="Calibri" w:cs="Calibri" w:eastAsia="Calibri"/>
          <w:color w:val="auto"/>
          <w:spacing w:val="0"/>
          <w:position w:val="0"/>
          <w:sz w:val="24"/>
          <w:shd w:fill="auto" w:val="clear"/>
        </w:rPr>
        <w:t xml:space="preserve"> Select the groups that need to be compared and add to the analysis groups for ANOVA and click ok. This AUC ANOVA analysis will add a new sheet to the file in which the AUC is calculated for each group and compared between them by ANOVA. This will give a table of p values to show the significance.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Mitochondrial function assay in </w:t>
      </w:r>
      <w:r>
        <w:rPr>
          <w:rFonts w:ascii="Calibri" w:hAnsi="Calibri" w:cs="Calibri" w:eastAsia="Calibri"/>
          <w:b/>
          <w:i/>
          <w:color w:val="auto"/>
          <w:spacing w:val="0"/>
          <w:position w:val="0"/>
          <w:sz w:val="24"/>
          <w:shd w:fill="auto" w:val="clear"/>
        </w:rPr>
        <w:t xml:space="preserve">C. albicans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Oxygen consumption and extracellular acidification rates were measured in wild type, </w:t>
      </w:r>
      <w:r>
        <w:rPr>
          <w:rFonts w:ascii="Calibri" w:hAnsi="Calibri" w:cs="Calibri" w:eastAsia="Calibri"/>
          <w:i/>
          <w:color w:val="auto"/>
          <w:spacing w:val="0"/>
          <w:position w:val="0"/>
          <w:sz w:val="24"/>
          <w:shd w:fill="auto" w:val="clear"/>
        </w:rPr>
        <w:t xml:space="preserve">mam33 </w:t>
      </w:r>
      <w:r>
        <w:rPr>
          <w:rFonts w:ascii="Calibri" w:hAnsi="Calibri" w:cs="Calibri" w:eastAsia="Calibri"/>
          <w:i/>
          <w:color w:val="auto"/>
          <w:spacing w:val="0"/>
          <w:position w:val="0"/>
          <w:sz w:val="24"/>
          <w:shd w:fill="auto" w:val="clear"/>
        </w:rPr>
        <w:t xml:space="preserve">Δ/Δ,</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mam33 Δ/Δ::MAM33</w:t>
      </w:r>
      <w:r>
        <w:rPr>
          <w:rFonts w:ascii="Calibri" w:hAnsi="Calibri" w:cs="Calibri" w:eastAsia="Calibri"/>
          <w:color w:val="auto"/>
          <w:spacing w:val="0"/>
          <w:position w:val="0"/>
          <w:sz w:val="24"/>
          <w:shd w:fill="auto" w:val="clear"/>
        </w:rPr>
        <w:t xml:space="preserve"> strains of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A) A real-time graph of oxygen consumption rate (OCR) at basal respiration followed by sequential injection of SHAM (2 mM), Oligomycin (10 &amp;#181;M), KCN (10 mM), and Antimycin A (2 &amp;#181;M). B) Comparison of area under the curve (AUC) basal OCR between wild type, </w:t>
      </w:r>
      <w:r>
        <w:rPr>
          <w:rFonts w:ascii="Calibri" w:hAnsi="Calibri" w:cs="Calibri" w:eastAsia="Calibri"/>
          <w:i/>
          <w:color w:val="auto"/>
          <w:spacing w:val="0"/>
          <w:position w:val="0"/>
          <w:sz w:val="24"/>
          <w:shd w:fill="auto" w:val="clear"/>
        </w:rPr>
        <w:t xml:space="preserve">mam33Δ/Δ,</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mam33Δ/Δ::MAM33</w:t>
      </w:r>
      <w:r>
        <w:rPr>
          <w:rFonts w:ascii="Calibri" w:hAnsi="Calibri" w:cs="Calibri" w:eastAsia="Calibri"/>
          <w:color w:val="auto"/>
          <w:spacing w:val="0"/>
          <w:position w:val="0"/>
          <w:sz w:val="24"/>
          <w:shd w:fill="auto" w:val="clear"/>
        </w:rPr>
        <w:t xml:space="preserve"> strains of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show no significant difference. C) A real-time graph of extracellular acidification rate (ECAR) at basal glycolysis followed by sequential injection of SHAM (2 mM), Oligomycin (10 &amp;#181;M), KCN (10 mM), and Antimycin A (2 &amp;#181;M). D) Comparison of area under the curve (AUC) basal ECAR between wild type, </w:t>
      </w:r>
      <w:r>
        <w:rPr>
          <w:rFonts w:ascii="Calibri" w:hAnsi="Calibri" w:cs="Calibri" w:eastAsia="Calibri"/>
          <w:i/>
          <w:color w:val="auto"/>
          <w:spacing w:val="0"/>
          <w:position w:val="0"/>
          <w:sz w:val="24"/>
          <w:shd w:fill="auto" w:val="clear"/>
        </w:rPr>
        <w:t xml:space="preserve">mam33Δ/Δ,</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mam33Δ/Δ::MAM33</w:t>
      </w:r>
      <w:r>
        <w:rPr>
          <w:rFonts w:ascii="Calibri" w:hAnsi="Calibri" w:cs="Calibri" w:eastAsia="Calibri"/>
          <w:color w:val="auto"/>
          <w:spacing w:val="0"/>
          <w:position w:val="0"/>
          <w:sz w:val="24"/>
          <w:shd w:fill="auto" w:val="clear"/>
        </w:rPr>
        <w:t xml:space="preserve"> strains of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show no significant difference. E) Comparison of area under curve (AUC) ECAR between wild type, </w:t>
      </w:r>
      <w:r>
        <w:rPr>
          <w:rFonts w:ascii="Calibri" w:hAnsi="Calibri" w:cs="Calibri" w:eastAsia="Calibri"/>
          <w:i/>
          <w:color w:val="auto"/>
          <w:spacing w:val="0"/>
          <w:position w:val="0"/>
          <w:sz w:val="24"/>
          <w:shd w:fill="auto" w:val="clear"/>
        </w:rPr>
        <w:t xml:space="preserve">mam33Δ/Δ</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mam33 Δ/Δ::MAM33</w:t>
      </w:r>
      <w:r>
        <w:rPr>
          <w:rFonts w:ascii="Calibri" w:hAnsi="Calibri" w:cs="Calibri" w:eastAsia="Calibri"/>
          <w:color w:val="auto"/>
          <w:spacing w:val="0"/>
          <w:position w:val="0"/>
          <w:sz w:val="24"/>
          <w:shd w:fill="auto" w:val="clear"/>
        </w:rPr>
        <w:t xml:space="preserve"> strains of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after the injection of C-IV inhibitor KCN show significant decrease in glycolytic shift in </w:t>
      </w:r>
      <w:r>
        <w:rPr>
          <w:rFonts w:ascii="Calibri" w:hAnsi="Calibri" w:cs="Calibri" w:eastAsia="Calibri"/>
          <w:i/>
          <w:color w:val="auto"/>
          <w:spacing w:val="0"/>
          <w:position w:val="0"/>
          <w:sz w:val="24"/>
          <w:shd w:fill="auto" w:val="clear"/>
        </w:rPr>
        <w:t xml:space="preserve">mam33Δ/Δ</w:t>
      </w:r>
      <w:r>
        <w:rPr>
          <w:rFonts w:ascii="Calibri" w:hAnsi="Calibri" w:cs="Calibri" w:eastAsia="Calibri"/>
          <w:color w:val="auto"/>
          <w:spacing w:val="0"/>
          <w:position w:val="0"/>
          <w:sz w:val="24"/>
          <w:shd w:fill="auto" w:val="clear"/>
        </w:rPr>
        <w:t xml:space="preserve"> mutant compared to wild type and complementary strains Values are expressed as average &amp;plusmn; standard error mean. * p&amp;lt;0.05, ** p&amp;lt;0.001 is considered as significant by one-way ANOVA.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Glycolytic stress assay in </w:t>
      </w:r>
      <w:r>
        <w:rPr>
          <w:rFonts w:ascii="Calibri" w:hAnsi="Calibri" w:cs="Calibri" w:eastAsia="Calibri"/>
          <w:b/>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Oxygen consumption and extracellular acidification were measured in wild type, </w:t>
      </w:r>
      <w:r>
        <w:rPr>
          <w:rFonts w:ascii="Calibri" w:hAnsi="Calibri" w:cs="Calibri" w:eastAsia="Calibri"/>
          <w:i/>
          <w:color w:val="auto"/>
          <w:spacing w:val="0"/>
          <w:position w:val="0"/>
          <w:sz w:val="24"/>
          <w:shd w:fill="auto" w:val="clear"/>
        </w:rPr>
        <w:t xml:space="preserve">mam33</w:t>
      </w:r>
      <w:r>
        <w:rPr>
          <w:rFonts w:ascii="Calibri" w:hAnsi="Calibri" w:cs="Calibri" w:eastAsia="Calibri"/>
          <w:i/>
          <w:color w:val="auto"/>
          <w:spacing w:val="0"/>
          <w:position w:val="0"/>
          <w:sz w:val="24"/>
          <w:shd w:fill="auto" w:val="clear"/>
        </w:rPr>
        <w:t xml:space="preserve">Δ/Δ</w:t>
      </w:r>
      <w:r>
        <w:rPr>
          <w:rFonts w:ascii="Calibri" w:hAnsi="Calibri" w:cs="Calibri" w:eastAsia="Calibri"/>
          <w:color w:val="auto"/>
          <w:spacing w:val="0"/>
          <w:position w:val="0"/>
          <w:sz w:val="24"/>
          <w:shd w:fill="auto" w:val="clear"/>
        </w:rPr>
        <w:t xml:space="preserve"> mutant after they were starved for glucose followed by acute injection of saturated glucose concentration. A) A real-time graph of oxygen consumption rate after cells were subjected to basal ECAR followed by sequential injection of glucose (10 mM), Oligomycin (1 &amp;#181;M), 2-DG (40 mM), and Antimycin A (2 &amp;#181;M).  </w:t>
      </w:r>
      <w:r>
        <w:rPr>
          <w:rFonts w:ascii="Segoe UI Emoji" w:hAnsi="Segoe UI Emoji" w:cs="Segoe UI Emoji" w:eastAsia="Segoe UI Emoj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Bar graph showing the area under the curve ECAR of basal glycolysis between wild type, </w:t>
      </w:r>
      <w:r>
        <w:rPr>
          <w:rFonts w:ascii="Calibri" w:hAnsi="Calibri" w:cs="Calibri" w:eastAsia="Calibri"/>
          <w:i/>
          <w:color w:val="auto"/>
          <w:spacing w:val="0"/>
          <w:position w:val="0"/>
          <w:sz w:val="24"/>
          <w:shd w:fill="auto" w:val="clear"/>
        </w:rPr>
        <w:t xml:space="preserve">mam33</w:t>
      </w:r>
      <w:r>
        <w:rPr>
          <w:rFonts w:ascii="Calibri" w:hAnsi="Calibri" w:cs="Calibri" w:eastAsia="Calibri"/>
          <w:i/>
          <w:color w:val="auto"/>
          <w:spacing w:val="0"/>
          <w:position w:val="0"/>
          <w:sz w:val="24"/>
          <w:shd w:fill="auto" w:val="clear"/>
        </w:rPr>
        <w:t xml:space="preserve">Δ/Δ,</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mam33Δ/Δ::MAM33</w:t>
      </w:r>
      <w:r>
        <w:rPr>
          <w:rFonts w:ascii="Calibri" w:hAnsi="Calibri" w:cs="Calibri" w:eastAsia="Calibri"/>
          <w:color w:val="auto"/>
          <w:spacing w:val="0"/>
          <w:position w:val="0"/>
          <w:sz w:val="24"/>
          <w:shd w:fill="auto" w:val="clear"/>
        </w:rPr>
        <w:t xml:space="preserve"> strains of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C)  A real-time graph of the glycolytic function after cells were subjected to basal ECAR followed by sequential injection of glucose (10 mM), Oligomycin (1 &amp;#181;M), 2-DG (40mM), and Antimycin A (2 &amp;#181;M).  D)  Bar graph showing the area under the curve ECAR of basal glycolysis between wild type, </w:t>
      </w:r>
      <w:r>
        <w:rPr>
          <w:rFonts w:ascii="Calibri" w:hAnsi="Calibri" w:cs="Calibri" w:eastAsia="Calibri"/>
          <w:i/>
          <w:color w:val="auto"/>
          <w:spacing w:val="0"/>
          <w:position w:val="0"/>
          <w:sz w:val="24"/>
          <w:shd w:fill="auto" w:val="clear"/>
        </w:rPr>
        <w:t xml:space="preserve">mam33Δ/Δ,</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mam33Δ/Δ::MAM33</w:t>
      </w:r>
      <w:r>
        <w:rPr>
          <w:rFonts w:ascii="Calibri" w:hAnsi="Calibri" w:cs="Calibri" w:eastAsia="Calibri"/>
          <w:color w:val="auto"/>
          <w:spacing w:val="0"/>
          <w:position w:val="0"/>
          <w:sz w:val="24"/>
          <w:shd w:fill="auto" w:val="clear"/>
        </w:rPr>
        <w:t xml:space="preserve"> strains of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Values are expressed as average &amp;plusmn; standard error mean. * p&amp;lt;0.05, *** p&amp;lt;0.0005, **** p&amp;lt;0.0001 is considered as significant by one-way ANOVA.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bioenergetics extra flux assay serves as an excellent tool to read out the mitochondrial function by measuring oxidative phosphorylation (OXPHOS)-dependent oxygen consumption in real-time. In addition, a glycolytic function which is measured as an extracellular acidification rate (change in extracellular pH) can also be investigated at the same time in real-time analysis.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Successful plating of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in the assay plate is one of the critical steps in the assay because the incubation of the cells in the PDL coated plates allow the cells to adhere to the assay plate. Visualization of adhering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cells is accomplished by light microscopy. Improper cell adherence may lead to cells floating in the wells, which will affect the assay outcome with inconsistent readings between replicates. Similarly, it is important to perform the cell number titration as the first step in this assay to obtain an OCR between 100-300 pmol/min, which is an optimal range. Also, titrating the compounds to obtain the optimal concentration is also critical to achieving the optimal response. This may be performed whenever there is a change in the basal medium composition.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DMEM is the most commonly used basal medium in the extra flux assay for mammalian cells. However, in our hands, RPMI 1640 medium gave the optimal results with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This was primarily due to the efficacy of mitochondrial electron transport chain complex inhibitors that worked better in RPMI 1640 medium compared to DMEM.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assay, wild type, </w:t>
      </w:r>
      <w:r>
        <w:rPr>
          <w:rFonts w:ascii="Calibri" w:hAnsi="Calibri" w:cs="Calibri" w:eastAsia="Calibri"/>
          <w:i/>
          <w:color w:val="auto"/>
          <w:spacing w:val="0"/>
          <w:position w:val="0"/>
          <w:sz w:val="24"/>
          <w:shd w:fill="auto" w:val="clear"/>
        </w:rPr>
        <w:t xml:space="preserve">mam33</w:t>
      </w:r>
      <w:r>
        <w:rPr>
          <w:rFonts w:ascii="Calibri" w:hAnsi="Calibri" w:cs="Calibri" w:eastAsia="Calibri"/>
          <w:i/>
          <w:color w:val="auto"/>
          <w:spacing w:val="0"/>
          <w:position w:val="0"/>
          <w:sz w:val="24"/>
          <w:shd w:fill="auto" w:val="clear"/>
        </w:rPr>
        <w:t xml:space="preserve">Δ/Δ,</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mam33Δ/Δ::MAM33</w:t>
      </w:r>
      <w:r>
        <w:rPr>
          <w:rFonts w:ascii="Calibri" w:hAnsi="Calibri" w:cs="Calibri" w:eastAsia="Calibri"/>
          <w:color w:val="auto"/>
          <w:spacing w:val="0"/>
          <w:position w:val="0"/>
          <w:sz w:val="24"/>
          <w:shd w:fill="auto" w:val="clear"/>
        </w:rPr>
        <w:t xml:space="preserve"> strains of </w:t>
      </w:r>
      <w:r>
        <w:rPr>
          <w:rFonts w:ascii="Calibri" w:hAnsi="Calibri" w:cs="Calibri" w:eastAsia="Calibri"/>
          <w:i/>
          <w:color w:val="auto"/>
          <w:spacing w:val="0"/>
          <w:position w:val="0"/>
          <w:sz w:val="24"/>
          <w:shd w:fill="auto" w:val="clear"/>
        </w:rPr>
        <w:t xml:space="preserve">C. albicans </w:t>
      </w:r>
      <w:r>
        <w:rPr>
          <w:rFonts w:ascii="Calibri" w:hAnsi="Calibri" w:cs="Calibri" w:eastAsia="Calibri"/>
          <w:color w:val="auto"/>
          <w:spacing w:val="0"/>
          <w:position w:val="0"/>
          <w:sz w:val="24"/>
          <w:shd w:fill="auto" w:val="clear"/>
        </w:rPr>
        <w:t xml:space="preserve">were used to assess the mitochondrial respiration and glycolytic efficiency. The results clearly show that the deletion of </w:t>
      </w:r>
      <w:r>
        <w:rPr>
          <w:rFonts w:ascii="Calibri" w:hAnsi="Calibri" w:cs="Calibri" w:eastAsia="Calibri"/>
          <w:i/>
          <w:color w:val="auto"/>
          <w:spacing w:val="0"/>
          <w:position w:val="0"/>
          <w:sz w:val="24"/>
          <w:shd w:fill="auto" w:val="clear"/>
        </w:rPr>
        <w:t xml:space="preserve">MAM33</w:t>
      </w:r>
      <w:r>
        <w:rPr>
          <w:rFonts w:ascii="Calibri" w:hAnsi="Calibri" w:cs="Calibri" w:eastAsia="Calibri"/>
          <w:color w:val="auto"/>
          <w:spacing w:val="0"/>
          <w:position w:val="0"/>
          <w:sz w:val="24"/>
          <w:shd w:fill="auto" w:val="clear"/>
        </w:rPr>
        <w:t xml:space="preserve"> gene reduced the ability of the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to shift to glycolysis under stress conditions such as inhibition of C-IV (</w:t>
      </w:r>
      <w:r>
        <w:rPr>
          <w:rFonts w:ascii="Calibri" w:hAnsi="Calibri" w:cs="Calibri" w:eastAsia="Calibri"/>
          <w:b/>
          <w:color w:val="auto"/>
          <w:spacing w:val="0"/>
          <w:position w:val="0"/>
          <w:sz w:val="24"/>
          <w:shd w:fill="auto" w:val="clear"/>
        </w:rPr>
        <w:t xml:space="preserve">Figure 7C and 7E</w:t>
      </w:r>
      <w:r>
        <w:rPr>
          <w:rFonts w:ascii="Calibri" w:hAnsi="Calibri" w:cs="Calibri" w:eastAsia="Calibri"/>
          <w:color w:val="auto"/>
          <w:spacing w:val="0"/>
          <w:position w:val="0"/>
          <w:sz w:val="24"/>
          <w:shd w:fill="auto" w:val="clear"/>
        </w:rPr>
        <w:t xml:space="preserve">). Similarly, when cells were subjected to stress condition like glucose starvation, both mitochondrial respiration and glycolytic efficiency is significantly compromised in the </w:t>
      </w:r>
      <w:r>
        <w:rPr>
          <w:rFonts w:ascii="Calibri" w:hAnsi="Calibri" w:cs="Calibri" w:eastAsia="Calibri"/>
          <w:i/>
          <w:color w:val="auto"/>
          <w:spacing w:val="0"/>
          <w:position w:val="0"/>
          <w:sz w:val="24"/>
          <w:shd w:fill="auto" w:val="clear"/>
        </w:rPr>
        <w:t xml:space="preserve">mam33Δ/Δ</w:t>
      </w:r>
      <w:r>
        <w:rPr>
          <w:rFonts w:ascii="Calibri" w:hAnsi="Calibri" w:cs="Calibri" w:eastAsia="Calibri"/>
          <w:color w:val="auto"/>
          <w:spacing w:val="0"/>
          <w:position w:val="0"/>
          <w:sz w:val="24"/>
          <w:shd w:fill="auto" w:val="clear"/>
        </w:rPr>
        <w:t xml:space="preserve"> mutant but not in the wild type and complement strains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Therefore, depending on experiments, carbon sources in the RPMI 1640 may also be modified to glycerol or galactose, which forces the cells to use OXPHOS rather than glycolysis.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significance of using the extra flux assay is that by using various substrates and compounds that perturb mitochondrial function, the cells ability to utilize OXPHOS versus glycolysis can be inferred. This may be used as an informative tool to understand the effect of any treatments or gene on the mitochondrial function and glycolysis in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without isolating mitochondria. The assay measures basal oxygen consumption rate (OCR), which is a measure of mitochondrial respiration, and extracellular acidification rate (ECAR), which is a measure of glycolytic function in both the presence of glucose and after glucose starvation. The extra flux cellular assay is well employed in a variety of mammalian models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Despite the medical importance of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research into fungal mitochondria has been somewhat hampered due to the lack of standardized experimental procedures to study mitochondrial function and glycolysis in real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provides an easy and convenient way of investigating the mitochondrial respiration and glycolytic efficiency by using real-time extracellular flux assay in </w:t>
      </w:r>
      <w:r>
        <w:rPr>
          <w:rFonts w:ascii="Calibri" w:hAnsi="Calibri" w:cs="Calibri" w:eastAsia="Calibri"/>
          <w:i/>
          <w:color w:val="auto"/>
          <w:spacing w:val="0"/>
          <w:position w:val="0"/>
          <w:sz w:val="24"/>
          <w:shd w:fill="auto" w:val="clear"/>
        </w:rPr>
        <w:t xml:space="preserve">C. albicans. </w:t>
      </w:r>
      <w:r>
        <w:rPr>
          <w:rFonts w:ascii="Calibri" w:hAnsi="Calibri" w:cs="Calibri" w:eastAsia="Calibri"/>
          <w:color w:val="auto"/>
          <w:spacing w:val="0"/>
          <w:position w:val="0"/>
          <w:sz w:val="24"/>
          <w:shd w:fill="auto" w:val="clear"/>
        </w:rPr>
        <w:t xml:space="preserve">In future, this assay may also be applied to study the drug-efficacy testing using commonly employed antifungals such as fluconazole. Additionally, another potential future application of this method is in drug discovery, especially for screening compounds targeting mitochondrial function of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Research in NC lab is supported by a National Institutes of Health (NIH) grant R01AI24499 and a New Jersey Health Foundation (NJHF) grant, #PC40-18.</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Brown, G.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Hidden killers: human fungal infections.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(165), 165rv113,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Wisplinghoff,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Nosocomial bloodstream infections in US hospitals: analysis of 24,179 cases from a prospective nationwide surveillance study. </w:t>
      </w:r>
      <w:r>
        <w:rPr>
          <w:rFonts w:ascii="Calibri" w:hAnsi="Calibri" w:cs="Calibri" w:eastAsia="Calibri"/>
          <w:i/>
          <w:color w:val="auto"/>
          <w:spacing w:val="0"/>
          <w:position w:val="0"/>
          <w:sz w:val="24"/>
          <w:shd w:fill="auto" w:val="clear"/>
        </w:rPr>
        <w:t xml:space="preserve">Clinical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(3), 309-317,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Ascioglu,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Defining opportunistic invasive fungal infections in immunocompromised patients with cancer and hematopoietic stem cell transplants: an international consensus. </w:t>
      </w:r>
      <w:r>
        <w:rPr>
          <w:rFonts w:ascii="Calibri" w:hAnsi="Calibri" w:cs="Calibri" w:eastAsia="Calibri"/>
          <w:i/>
          <w:color w:val="auto"/>
          <w:spacing w:val="0"/>
          <w:position w:val="0"/>
          <w:sz w:val="24"/>
          <w:shd w:fill="auto" w:val="clear"/>
        </w:rPr>
        <w:t xml:space="preserve">Clinical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 7-14,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Stover, B.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Nosocomial infection rates in US children's hospitals' neonatal and pediatric intensive care units. </w:t>
      </w:r>
      <w:r>
        <w:rPr>
          <w:rFonts w:ascii="Calibri" w:hAnsi="Calibri" w:cs="Calibri" w:eastAsia="Calibri"/>
          <w:i/>
          <w:color w:val="auto"/>
          <w:spacing w:val="0"/>
          <w:position w:val="0"/>
          <w:sz w:val="24"/>
          <w:shd w:fill="auto" w:val="clear"/>
        </w:rPr>
        <w:t xml:space="preserve">American Journal of Infection Control.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(3), 152-157,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Wilson, L.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direct cost and incidence of systemic fungal infections. </w:t>
      </w:r>
      <w:r>
        <w:rPr>
          <w:rFonts w:ascii="Calibri" w:hAnsi="Calibri" w:cs="Calibri" w:eastAsia="Calibri"/>
          <w:i/>
          <w:color w:val="auto"/>
          <w:spacing w:val="0"/>
          <w:position w:val="0"/>
          <w:sz w:val="24"/>
          <w:shd w:fill="auto" w:val="clear"/>
        </w:rPr>
        <w:t xml:space="preserve">Value in 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26-34,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Wenzel, R. P. Nosocomial candidemia: risk factors and attributable mortality. </w:t>
      </w:r>
      <w:r>
        <w:rPr>
          <w:rFonts w:ascii="Calibri" w:hAnsi="Calibri" w:cs="Calibri" w:eastAsia="Calibri"/>
          <w:i/>
          <w:color w:val="auto"/>
          <w:spacing w:val="0"/>
          <w:position w:val="0"/>
          <w:sz w:val="24"/>
          <w:shd w:fill="auto" w:val="clear"/>
        </w:rPr>
        <w:t xml:space="preserve">Clinical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(6), 1531-1534, (1995).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Wisplinghoff,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Nosocomial bloodstream infections in pediatric patients in United States hospitals: epidemiology, clinical features and susceptibilities. </w:t>
      </w:r>
      <w:r>
        <w:rPr>
          <w:rFonts w:ascii="Calibri" w:hAnsi="Calibri" w:cs="Calibri" w:eastAsia="Calibri"/>
          <w:i/>
          <w:color w:val="auto"/>
          <w:spacing w:val="0"/>
          <w:position w:val="0"/>
          <w:sz w:val="24"/>
          <w:shd w:fill="auto" w:val="clear"/>
        </w:rPr>
        <w:t xml:space="preserve">Pediatric Infectious Disease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(8), 686-691, (2003).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Cheng, W. C., Leach, K. M. &amp;amp; Hardwick, J. M. Mitochondrial death pathways in yeast and mammalian cells.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1783</w:t>
      </w:r>
      <w:r>
        <w:rPr>
          <w:rFonts w:ascii="Calibri" w:hAnsi="Calibri" w:cs="Calibri" w:eastAsia="Calibri"/>
          <w:color w:val="auto"/>
          <w:spacing w:val="0"/>
          <w:position w:val="0"/>
          <w:sz w:val="24"/>
          <w:shd w:fill="auto" w:val="clear"/>
        </w:rPr>
        <w:t xml:space="preserve"> (7), 1272-1279,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Shingu-Vazquez, M. &amp;amp; Traven, A. Mitochondria and fungal pathogenesis: drug tolerance, virulence, and potential for antifungal therapy. </w:t>
      </w:r>
      <w:r>
        <w:rPr>
          <w:rFonts w:ascii="Calibri" w:hAnsi="Calibri" w:cs="Calibri" w:eastAsia="Calibri"/>
          <w:i/>
          <w:color w:val="auto"/>
          <w:spacing w:val="0"/>
          <w:position w:val="0"/>
          <w:sz w:val="24"/>
          <w:shd w:fill="auto" w:val="clear"/>
        </w:rPr>
        <w:t xml:space="preserve">Eukaryotic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(11), 1376-1383,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Brown, A. J., Brown, G. D., Netea, M. G. &amp;amp; Gow, N. A. Metabolism impacts upon Candida immunogenicity and pathogenicity at multiple levels. </w:t>
      </w:r>
      <w:r>
        <w:rPr>
          <w:rFonts w:ascii="Calibri" w:hAnsi="Calibri" w:cs="Calibri" w:eastAsia="Calibri"/>
          <w:i/>
          <w:color w:val="auto"/>
          <w:spacing w:val="0"/>
          <w:position w:val="0"/>
          <w:sz w:val="24"/>
          <w:shd w:fill="auto" w:val="clear"/>
        </w:rPr>
        <w:t xml:space="preserve">Trends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(11), 614-622,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Tucey, T.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Glucose Homeostasis Is Important for Immune Cell Viability during Candida Challenge and Host Survival of Systemic Fungal Infection.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(5), 988-1006 e1007,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Barelle, C.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Niche-specific regulation of central metabolic pathways in a fungal pathogen. </w:t>
      </w:r>
      <w:r>
        <w:rPr>
          <w:rFonts w:ascii="Calibri" w:hAnsi="Calibri" w:cs="Calibri" w:eastAsia="Calibri"/>
          <w:i/>
          <w:color w:val="auto"/>
          <w:spacing w:val="0"/>
          <w:position w:val="0"/>
          <w:sz w:val="24"/>
          <w:shd w:fill="auto" w:val="clear"/>
        </w:rPr>
        <w:t xml:space="preserve">Cellular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 961-971,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Carman, A. J., Vylkova, S. &amp;amp; Lorenz, M. C. Role of acetyl coenzyme A synthesis and breakdown in alternative carbon source utilization in Candida albicans. </w:t>
      </w:r>
      <w:r>
        <w:rPr>
          <w:rFonts w:ascii="Calibri" w:hAnsi="Calibri" w:cs="Calibri" w:eastAsia="Calibri"/>
          <w:i/>
          <w:color w:val="auto"/>
          <w:spacing w:val="0"/>
          <w:position w:val="0"/>
          <w:sz w:val="24"/>
          <w:shd w:fill="auto" w:val="clear"/>
        </w:rPr>
        <w:t xml:space="preserve">Eukaryotic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 1733-1741,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Fradin,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Granulocytes govern the transcriptional response, morphology and proliferation of Candida albicans in human blood. </w:t>
      </w:r>
      <w:r>
        <w:rPr>
          <w:rFonts w:ascii="Calibri" w:hAnsi="Calibri" w:cs="Calibri" w:eastAsia="Calibri"/>
          <w:i/>
          <w:color w:val="auto"/>
          <w:spacing w:val="0"/>
          <w:position w:val="0"/>
          <w:sz w:val="24"/>
          <w:shd w:fill="auto" w:val="clear"/>
        </w:rPr>
        <w:t xml:space="preserve">Molecular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(2), 397-415,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Lorenz, M. C., Bender, J. A. &amp;amp; Fink, G. R. Transcriptional response of Candida albicans upon internalization by macrophages. </w:t>
      </w:r>
      <w:r>
        <w:rPr>
          <w:rFonts w:ascii="Calibri" w:hAnsi="Calibri" w:cs="Calibri" w:eastAsia="Calibri"/>
          <w:i/>
          <w:color w:val="auto"/>
          <w:spacing w:val="0"/>
          <w:position w:val="0"/>
          <w:sz w:val="24"/>
          <w:shd w:fill="auto" w:val="clear"/>
        </w:rPr>
        <w:t xml:space="preserve">Eukaryotic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(5), 1076-1087,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Ramirez, M. A. &amp;amp; Lorenz, M. C. Mutations in alternative carbon utilization pathways in Candida albicans attenuate virulence and confer pleiotropic phenotypes. </w:t>
      </w:r>
      <w:r>
        <w:rPr>
          <w:rFonts w:ascii="Calibri" w:hAnsi="Calibri" w:cs="Calibri" w:eastAsia="Calibri"/>
          <w:i/>
          <w:color w:val="auto"/>
          <w:spacing w:val="0"/>
          <w:position w:val="0"/>
          <w:sz w:val="24"/>
          <w:shd w:fill="auto" w:val="clear"/>
        </w:rPr>
        <w:t xml:space="preserve">Eukaryotic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280-290,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Bambach,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Goa1p of Candida albicans localizes to the mitochondria during stress and is required for mitochondrial function and virulence. </w:t>
      </w:r>
      <w:r>
        <w:rPr>
          <w:rFonts w:ascii="Calibri" w:hAnsi="Calibri" w:cs="Calibri" w:eastAsia="Calibri"/>
          <w:i/>
          <w:color w:val="auto"/>
          <w:spacing w:val="0"/>
          <w:position w:val="0"/>
          <w:sz w:val="24"/>
          <w:shd w:fill="auto" w:val="clear"/>
        </w:rPr>
        <w:t xml:space="preserve">Eukaryotic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(11), 1706-1720,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Li,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Enzymatic dysfunction of mitochondrial complex I of the Candida albicans goa1 mutant is associated with increased reactive oxidants and cell death. </w:t>
      </w:r>
      <w:r>
        <w:rPr>
          <w:rFonts w:ascii="Calibri" w:hAnsi="Calibri" w:cs="Calibri" w:eastAsia="Calibri"/>
          <w:i/>
          <w:color w:val="auto"/>
          <w:spacing w:val="0"/>
          <w:position w:val="0"/>
          <w:sz w:val="24"/>
          <w:shd w:fill="auto" w:val="clear"/>
        </w:rPr>
        <w:t xml:space="preserve">Eukaryotic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672-682,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Desai, C., Mavrianos, J. &amp;amp; Chauhan, N. Candida albicans SRR1, a putative two-component response regulator gene, is required for stress adaptation, morphogenesis, and virulence. </w:t>
      </w:r>
      <w:r>
        <w:rPr>
          <w:rFonts w:ascii="Calibri" w:hAnsi="Calibri" w:cs="Calibri" w:eastAsia="Calibri"/>
          <w:i/>
          <w:color w:val="auto"/>
          <w:spacing w:val="0"/>
          <w:position w:val="0"/>
          <w:sz w:val="24"/>
          <w:shd w:fill="auto" w:val="clear"/>
        </w:rPr>
        <w:t xml:space="preserve">Eukaryotic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(10), 1370-1374,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Mavrianos,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Mitochondrial two-component signaling systems in Candida albicans. </w:t>
      </w:r>
      <w:r>
        <w:rPr>
          <w:rFonts w:ascii="Calibri" w:hAnsi="Calibri" w:cs="Calibri" w:eastAsia="Calibri"/>
          <w:i/>
          <w:color w:val="auto"/>
          <w:spacing w:val="0"/>
          <w:position w:val="0"/>
          <w:sz w:val="24"/>
          <w:shd w:fill="auto" w:val="clear"/>
        </w:rPr>
        <w:t xml:space="preserve">Eukaryotic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 913-922,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Koch,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Mitochondrial GTPase Gem1 Contributes to the Cell Wall Stress Response and Invasive Growth of Candida albicans.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2555,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Qu,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Mitochondrial sorting and assembly machinery subunit Sam37 in Candida albicans: insight into the roles of mitochondria in fitness, cell wall integrity, and virulence. </w:t>
      </w:r>
      <w:r>
        <w:rPr>
          <w:rFonts w:ascii="Calibri" w:hAnsi="Calibri" w:cs="Calibri" w:eastAsia="Calibri"/>
          <w:i/>
          <w:color w:val="auto"/>
          <w:spacing w:val="0"/>
          <w:position w:val="0"/>
          <w:sz w:val="24"/>
          <w:shd w:fill="auto" w:val="clear"/>
        </w:rPr>
        <w:t xml:space="preserve">Eukaryotic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532-544,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Brandt, M. E. </w:t>
      </w:r>
      <w:r>
        <w:rPr>
          <w:rFonts w:ascii="Calibri" w:hAnsi="Calibri" w:cs="Calibri" w:eastAsia="Calibri"/>
          <w:i/>
          <w:color w:val="auto"/>
          <w:spacing w:val="0"/>
          <w:position w:val="0"/>
          <w:sz w:val="24"/>
          <w:shd w:fill="auto" w:val="clear"/>
        </w:rPr>
        <w:t xml:space="preserve">Candida and Candidiasis [book review]</w:t>
      </w:r>
      <w:r>
        <w:rPr>
          <w:rFonts w:ascii="Calibri" w:hAnsi="Calibri" w:cs="Calibri" w:eastAsia="Calibri"/>
          <w:color w:val="auto"/>
          <w:spacing w:val="0"/>
          <w:position w:val="0"/>
          <w:sz w:val="24"/>
          <w:shd w:fill="auto" w:val="clear"/>
        </w:rPr>
        <w:t xml:space="preserve">.  (American Society for Microbiology Press,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Huh, W. K. &amp;amp; Kang, S. O. Molecular cloning and functional expression of alternative oxidase from Candida albicans.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 (13), 4098-4102, (1999).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Yan,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alternative oxidase of Candida albicans causes reduced fluconazole susceptibility. </w:t>
      </w:r>
      <w:r>
        <w:rPr>
          <w:rFonts w:ascii="Calibri" w:hAnsi="Calibri" w:cs="Calibri" w:eastAsia="Calibri"/>
          <w:i/>
          <w:color w:val="auto"/>
          <w:spacing w:val="0"/>
          <w:position w:val="0"/>
          <w:sz w:val="24"/>
          <w:shd w:fill="auto" w:val="clear"/>
        </w:rPr>
        <w:t xml:space="preserve">Journal of Antimicrobial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(4), 764-773,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de Moura, M. B. &amp;amp; Van Houten, B. Bioenergetic analysis of intact mammalian cells using the Seahorse XF24 Extracellular Flux analyzer and a luciferase ATP assay.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1105</w:t>
      </w:r>
      <w:r>
        <w:rPr>
          <w:rFonts w:ascii="Calibri" w:hAnsi="Calibri" w:cs="Calibri" w:eastAsia="Calibri"/>
          <w:color w:val="auto"/>
          <w:spacing w:val="0"/>
          <w:position w:val="0"/>
          <w:sz w:val="24"/>
          <w:shd w:fill="auto" w:val="clear"/>
        </w:rPr>
        <w:t xml:space="preserve"> 589-602, (2014).</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