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135" w:rsidRDefault="00122135" w:rsidP="00460268">
      <w:pPr>
        <w:spacing w:after="0" w:line="240" w:lineRule="auto"/>
        <w:rPr>
          <w:rStyle w:val="Strong"/>
          <w:rFonts w:eastAsia="Times New Roman" w:cstheme="minorHAnsi"/>
        </w:rPr>
      </w:pPr>
      <w:r>
        <w:rPr>
          <w:rFonts w:eastAsia="Times New Roman" w:cstheme="minorHAnsi"/>
          <w:color w:val="0336FF"/>
        </w:rPr>
        <w:t>Please find our responses to the editorial and peer-review comments below.</w:t>
      </w:r>
      <w:bookmarkStart w:id="0" w:name="_GoBack"/>
      <w:bookmarkEnd w:id="0"/>
    </w:p>
    <w:p w:rsidR="00122135" w:rsidRDefault="00122135" w:rsidP="00460268">
      <w:pPr>
        <w:spacing w:after="0" w:line="240" w:lineRule="auto"/>
        <w:rPr>
          <w:rStyle w:val="Strong"/>
          <w:rFonts w:eastAsia="Times New Roman" w:cstheme="minorHAnsi"/>
        </w:rPr>
      </w:pPr>
    </w:p>
    <w:p w:rsidR="00B151E8" w:rsidRPr="00460268" w:rsidRDefault="000A4FE5" w:rsidP="00460268">
      <w:pPr>
        <w:spacing w:after="0" w:line="240" w:lineRule="auto"/>
        <w:rPr>
          <w:rFonts w:eastAsia="Times New Roman" w:cstheme="minorHAnsi"/>
        </w:rPr>
      </w:pPr>
      <w:r w:rsidRPr="00460268">
        <w:rPr>
          <w:rStyle w:val="Strong"/>
          <w:rFonts w:eastAsia="Times New Roman" w:cstheme="minorHAnsi"/>
        </w:rPr>
        <w:t>Editorial comments:</w:t>
      </w:r>
      <w:r w:rsidRPr="00460268">
        <w:rPr>
          <w:rFonts w:eastAsia="Times New Roman" w:cstheme="minorHAnsi"/>
        </w:rPr>
        <w:br/>
        <w:t>Changes to be made by the Author(s) regarding the manuscript:</w:t>
      </w:r>
      <w:r w:rsidRPr="00460268">
        <w:rPr>
          <w:rFonts w:eastAsia="Times New Roman" w:cstheme="minorHAnsi"/>
        </w:rPr>
        <w:br/>
        <w:t>1. Please take this opportunity to thoroughly proofread the manuscript to ensure that there are no spelling or grammar issues.</w:t>
      </w:r>
    </w:p>
    <w:p w:rsidR="00844C73" w:rsidRPr="00460268" w:rsidRDefault="00844C73" w:rsidP="00460268">
      <w:pPr>
        <w:spacing w:after="0" w:line="240" w:lineRule="auto"/>
        <w:rPr>
          <w:rFonts w:eastAsia="Times New Roman" w:cstheme="minorHAnsi"/>
        </w:rPr>
      </w:pPr>
      <w:r w:rsidRPr="00460268">
        <w:rPr>
          <w:rFonts w:eastAsia="Times New Roman" w:cstheme="minorHAnsi"/>
          <w:color w:val="0336FF"/>
        </w:rPr>
        <w:t>The revised version of the manuscript has been proofread.</w:t>
      </w:r>
      <w:r w:rsidR="000A4FE5" w:rsidRPr="00460268">
        <w:rPr>
          <w:rFonts w:eastAsia="Times New Roman" w:cstheme="minorHAnsi"/>
        </w:rPr>
        <w:br/>
        <w:t>2. Please revise the title to be more concise if possible.</w:t>
      </w:r>
    </w:p>
    <w:p w:rsidR="00844C73" w:rsidRPr="00460268" w:rsidRDefault="00844C73" w:rsidP="00460268">
      <w:pPr>
        <w:spacing w:after="0" w:line="240" w:lineRule="auto"/>
        <w:rPr>
          <w:rFonts w:eastAsia="Times New Roman" w:cstheme="minorHAnsi"/>
        </w:rPr>
      </w:pPr>
      <w:r w:rsidRPr="00460268">
        <w:rPr>
          <w:rFonts w:eastAsia="Times New Roman" w:cstheme="minorHAnsi"/>
          <w:color w:val="0336FF"/>
        </w:rPr>
        <w:t>We shortened the title.</w:t>
      </w:r>
    </w:p>
    <w:p w:rsidR="00844C73" w:rsidRPr="00460268" w:rsidRDefault="000A4FE5" w:rsidP="00460268">
      <w:pPr>
        <w:spacing w:after="0" w:line="240" w:lineRule="auto"/>
        <w:rPr>
          <w:rFonts w:eastAsia="Times New Roman" w:cstheme="minorHAnsi"/>
        </w:rPr>
      </w:pPr>
      <w:r w:rsidRPr="00460268">
        <w:rPr>
          <w:rFonts w:eastAsia="Times New Roman" w:cstheme="minorHAnsi"/>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SpectraMax Gemini, Molecular Devices, SoftMax, Costar, Microsoft Excel, etc.</w:t>
      </w:r>
    </w:p>
    <w:p w:rsidR="00844C73" w:rsidRPr="00460268" w:rsidRDefault="00844C73" w:rsidP="00460268">
      <w:pPr>
        <w:spacing w:after="0" w:line="240" w:lineRule="auto"/>
        <w:rPr>
          <w:rFonts w:eastAsia="Times New Roman" w:cstheme="minorHAnsi"/>
        </w:rPr>
      </w:pPr>
      <w:r w:rsidRPr="00460268">
        <w:rPr>
          <w:rFonts w:eastAsia="Times New Roman" w:cstheme="minorHAnsi"/>
          <w:color w:val="0336FF"/>
        </w:rPr>
        <w:t>We removed all commercial language.</w:t>
      </w:r>
      <w:r w:rsidR="000A4FE5" w:rsidRPr="00460268">
        <w:rPr>
          <w:rFonts w:eastAsia="Times New Roman" w:cstheme="minorHAnsi"/>
        </w:rPr>
        <w:br/>
        <w:t>4. Please adjust the numbering of the Protocol to follow the JoVE Instructions for Authors. For example, 1 should be followed by 1.1 and then 1.1.1 and 1.1.2 if necessary. Please refrain from using bullets, dashes, or indentations.</w:t>
      </w:r>
    </w:p>
    <w:p w:rsidR="00844C73" w:rsidRPr="00460268" w:rsidRDefault="00844C73" w:rsidP="00460268">
      <w:pPr>
        <w:spacing w:after="0" w:line="240" w:lineRule="auto"/>
        <w:rPr>
          <w:rFonts w:eastAsia="Times New Roman" w:cstheme="minorHAnsi"/>
        </w:rPr>
      </w:pPr>
      <w:r w:rsidRPr="00460268">
        <w:rPr>
          <w:rFonts w:eastAsia="Times New Roman" w:cstheme="minorHAnsi"/>
          <w:color w:val="0336FF"/>
        </w:rPr>
        <w:t>The numbering of the protocol has been adjusted.</w:t>
      </w:r>
      <w:r w:rsidR="000A4FE5" w:rsidRPr="00460268">
        <w:rPr>
          <w:rFonts w:eastAsia="Times New Roman" w:cstheme="minorHAnsi"/>
        </w:rPr>
        <w:br/>
        <w:t>5. Please revise the protocol text to avoid the use of any personal pronouns (e.g., "we", "you", "our" etc.).</w:t>
      </w:r>
    </w:p>
    <w:p w:rsidR="00844C73" w:rsidRPr="00460268" w:rsidRDefault="00844C73" w:rsidP="00460268">
      <w:pPr>
        <w:spacing w:after="0" w:line="240" w:lineRule="auto"/>
        <w:rPr>
          <w:rFonts w:eastAsia="Times New Roman" w:cstheme="minorHAnsi"/>
        </w:rPr>
      </w:pPr>
      <w:r w:rsidRPr="00460268">
        <w:rPr>
          <w:rFonts w:eastAsia="Times New Roman" w:cstheme="minorHAnsi"/>
          <w:color w:val="0336FF"/>
        </w:rPr>
        <w:t>We removed all personal pronouns.</w:t>
      </w:r>
      <w:r w:rsidR="000A4FE5" w:rsidRPr="00460268">
        <w:rPr>
          <w:rFonts w:eastAsia="Times New Roman" w:cstheme="minorHAnsi"/>
        </w:rPr>
        <w:b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844C73" w:rsidRPr="00460268" w:rsidRDefault="00844C73" w:rsidP="00460268">
      <w:pPr>
        <w:spacing w:after="0" w:line="240" w:lineRule="auto"/>
        <w:rPr>
          <w:rFonts w:eastAsia="Times New Roman" w:cstheme="minorHAnsi"/>
        </w:rPr>
      </w:pPr>
      <w:r w:rsidRPr="00460268">
        <w:rPr>
          <w:rFonts w:eastAsia="Times New Roman" w:cstheme="minorHAnsi"/>
          <w:color w:val="0336FF"/>
        </w:rPr>
        <w:t>The protocol has been revised for the addressed issues.</w:t>
      </w:r>
      <w:r w:rsidR="000A4FE5" w:rsidRPr="00460268">
        <w:rPr>
          <w:rFonts w:eastAsia="Times New Roman" w:cstheme="minorHAnsi"/>
        </w:rPr>
        <w:br/>
        <w:t>7. Line 179: Please write the text in the imperative tense in complete sentences.</w:t>
      </w:r>
    </w:p>
    <w:p w:rsidR="00844C73" w:rsidRPr="00460268" w:rsidRDefault="00844C73" w:rsidP="00460268">
      <w:pPr>
        <w:spacing w:after="0" w:line="240" w:lineRule="auto"/>
        <w:rPr>
          <w:rFonts w:eastAsia="Times New Roman" w:cstheme="minorHAnsi"/>
        </w:rPr>
      </w:pPr>
      <w:r w:rsidRPr="00460268">
        <w:rPr>
          <w:rFonts w:eastAsia="Times New Roman" w:cstheme="minorHAnsi"/>
          <w:color w:val="0336FF"/>
        </w:rPr>
        <w:t>Edited.</w:t>
      </w:r>
      <w:r w:rsidR="000A4FE5" w:rsidRPr="00460268">
        <w:rPr>
          <w:rFonts w:eastAsia="Times New Roman" w:cstheme="minorHAnsi"/>
        </w:rPr>
        <w:b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3A47A2" w:rsidRPr="00460268" w:rsidRDefault="00844C73" w:rsidP="00460268">
      <w:pPr>
        <w:spacing w:after="0" w:line="240" w:lineRule="auto"/>
        <w:rPr>
          <w:rFonts w:eastAsia="Times New Roman" w:cstheme="minorHAnsi"/>
        </w:rPr>
      </w:pPr>
      <w:r w:rsidRPr="00460268">
        <w:rPr>
          <w:rFonts w:eastAsia="Times New Roman" w:cstheme="minorHAnsi"/>
          <w:color w:val="0336FF"/>
        </w:rPr>
        <w:t>We revised the protocol and tried to be mo</w:t>
      </w:r>
      <w:r w:rsidR="003A47A2" w:rsidRPr="00460268">
        <w:rPr>
          <w:rFonts w:eastAsia="Times New Roman" w:cstheme="minorHAnsi"/>
          <w:color w:val="0336FF"/>
        </w:rPr>
        <w:t xml:space="preserve">re clear and detailed. If there are </w:t>
      </w:r>
      <w:r w:rsidR="003A294B" w:rsidRPr="00460268">
        <w:rPr>
          <w:rFonts w:eastAsia="Times New Roman" w:cstheme="minorHAnsi"/>
          <w:color w:val="0336FF"/>
        </w:rPr>
        <w:t>steps</w:t>
      </w:r>
      <w:r w:rsidR="003A47A2" w:rsidRPr="00460268">
        <w:rPr>
          <w:rFonts w:eastAsia="Times New Roman" w:cstheme="minorHAnsi"/>
          <w:color w:val="0336FF"/>
        </w:rPr>
        <w:t xml:space="preserve"> that still seem to require to be more detailed, we are happy to provide the descriptions. However, we would appreciate if it was specifically pointed out which steps need revisions in such a case.</w:t>
      </w:r>
      <w:r w:rsidR="000A4FE5" w:rsidRPr="00460268">
        <w:rPr>
          <w:rFonts w:eastAsia="Times New Roman" w:cstheme="minorHAnsi"/>
        </w:rPr>
        <w:br/>
        <w:t>9. Please include single-line spaces between all paragraphs, headings, steps, etc.</w:t>
      </w:r>
    </w:p>
    <w:p w:rsidR="003A47A2" w:rsidRPr="00460268" w:rsidRDefault="003A47A2" w:rsidP="00460268">
      <w:pPr>
        <w:spacing w:after="0" w:line="240" w:lineRule="auto"/>
        <w:rPr>
          <w:rFonts w:eastAsia="Times New Roman" w:cstheme="minorHAnsi"/>
        </w:rPr>
      </w:pPr>
      <w:r w:rsidRPr="00460268">
        <w:rPr>
          <w:rFonts w:eastAsia="Times New Roman" w:cstheme="minorHAnsi"/>
          <w:color w:val="0336FF"/>
        </w:rPr>
        <w:t>Changed in manuscript.</w:t>
      </w:r>
      <w:r w:rsidR="000A4FE5" w:rsidRPr="00460268">
        <w:rPr>
          <w:rFonts w:eastAsia="Times New Roman" w:cstheme="minorHAnsi"/>
        </w:rPr>
        <w:br/>
        <w:t>10. References: Please do not abbreviate journal titles.</w:t>
      </w:r>
    </w:p>
    <w:p w:rsidR="00096633" w:rsidRPr="00460268" w:rsidRDefault="003A47A2" w:rsidP="00460268">
      <w:pPr>
        <w:spacing w:after="0" w:line="240" w:lineRule="auto"/>
        <w:rPr>
          <w:rFonts w:eastAsia="Times New Roman" w:cstheme="minorHAnsi"/>
        </w:rPr>
      </w:pPr>
      <w:r w:rsidRPr="00460268">
        <w:rPr>
          <w:rFonts w:eastAsia="Times New Roman" w:cstheme="minorHAnsi"/>
          <w:color w:val="0336FF"/>
        </w:rPr>
        <w:t>Respective journal titles in the references were changed.</w:t>
      </w:r>
      <w:r w:rsidR="000A4FE5" w:rsidRPr="00460268">
        <w:rPr>
          <w:rFonts w:eastAsia="Times New Roman" w:cstheme="minorHAnsi"/>
        </w:rPr>
        <w:br/>
        <w:t>11. Please revise the table of the essential supplies, reagents, and equipment to include the name, company, and catalog number of all relevant materials.</w:t>
      </w:r>
    </w:p>
    <w:p w:rsidR="003A47A2" w:rsidRPr="00460268" w:rsidRDefault="003A47A2" w:rsidP="00460268">
      <w:pPr>
        <w:spacing w:after="0" w:line="240" w:lineRule="auto"/>
        <w:rPr>
          <w:rFonts w:eastAsia="Times New Roman" w:cstheme="minorHAnsi"/>
          <w:color w:val="0336FF"/>
        </w:rPr>
      </w:pPr>
      <w:r w:rsidRPr="00460268">
        <w:rPr>
          <w:rFonts w:eastAsia="Times New Roman" w:cstheme="minorHAnsi"/>
          <w:color w:val="0336FF"/>
        </w:rPr>
        <w:t>Table has been revised.</w:t>
      </w:r>
    </w:p>
    <w:p w:rsidR="00460268" w:rsidRPr="00460268" w:rsidRDefault="00460268" w:rsidP="00460268">
      <w:pPr>
        <w:spacing w:after="0" w:line="240" w:lineRule="auto"/>
        <w:rPr>
          <w:rFonts w:eastAsia="Times New Roman" w:cstheme="minorHAnsi"/>
          <w:color w:val="0336FF"/>
        </w:rPr>
      </w:pPr>
    </w:p>
    <w:p w:rsidR="00460268" w:rsidRPr="00460268" w:rsidRDefault="00460268" w:rsidP="00460268">
      <w:pPr>
        <w:spacing w:line="240" w:lineRule="auto"/>
        <w:jc w:val="both"/>
        <w:rPr>
          <w:rFonts w:eastAsia="Times New Roman" w:cstheme="minorHAnsi"/>
          <w:b/>
          <w:bCs/>
          <w:color w:val="000000"/>
        </w:rPr>
      </w:pPr>
      <w:r w:rsidRPr="00460268">
        <w:rPr>
          <w:rFonts w:eastAsia="Times New Roman" w:cstheme="minorHAnsi"/>
          <w:b/>
          <w:bCs/>
          <w:color w:val="000000"/>
        </w:rPr>
        <w:lastRenderedPageBreak/>
        <w:t>Reviewers' comments:</w:t>
      </w:r>
    </w:p>
    <w:p w:rsidR="00460268" w:rsidRPr="00460268" w:rsidRDefault="00460268" w:rsidP="00460268">
      <w:pPr>
        <w:spacing w:line="240" w:lineRule="auto"/>
        <w:jc w:val="both"/>
        <w:rPr>
          <w:rFonts w:eastAsia="Times New Roman" w:cstheme="minorHAnsi"/>
          <w:color w:val="000000"/>
        </w:rPr>
      </w:pPr>
    </w:p>
    <w:p w:rsidR="00460268" w:rsidRPr="00460268" w:rsidRDefault="00460268" w:rsidP="00460268">
      <w:pPr>
        <w:spacing w:line="240" w:lineRule="auto"/>
        <w:jc w:val="both"/>
        <w:rPr>
          <w:rFonts w:eastAsia="Times New Roman" w:cstheme="minorHAnsi"/>
          <w:b/>
          <w:bCs/>
          <w:color w:val="000000"/>
        </w:rPr>
      </w:pPr>
      <w:r w:rsidRPr="00460268">
        <w:rPr>
          <w:rFonts w:eastAsia="Times New Roman" w:cstheme="minorHAnsi"/>
          <w:color w:val="000000"/>
        </w:rPr>
        <w:t>Reviewer #1:</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Manuscript Summary:</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In this manuscript entitled "A fluorogenic peptide cleavage assay to screen for proteolytic activity on cleavage site motifs: Applications for coronavirus spike protein activation", authors describe using a fluorogenic peptide cleavage assay with different amino acid substitutions from different viral strains on the peptide substrate containing FRET pair. Assay revealed different Vmax of these peptide substrates. This reviewer has the following concerns or questions to be answered.</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Major Concerns: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1. They have measured Vmax values of different fluorogenic peptides cleaved by Furin. However, by definition, Vmax is the maximal activity with a saturated amount of substrate (at least 5-fold of Km). From the description, they did not use different substrate concentrations (0.5-5-fold Km) to determine the Vmax. They only used peptide substrates to a final concentration of 50 μM. Is that concentration sufficient to saturate the enzyme? They probably should measure the initial rates under different substrate concentrations to obtain Km and Vmax, so they can also discuss about the Km (substrate affinity). If they are sure 50 μM is high enough (please explain), they can claim what they measured are the Vmax.</w:t>
      </w:r>
    </w:p>
    <w:p w:rsidR="00460268" w:rsidRPr="00460268" w:rsidRDefault="00460268" w:rsidP="00460268">
      <w:pPr>
        <w:spacing w:line="240" w:lineRule="auto"/>
        <w:jc w:val="both"/>
        <w:rPr>
          <w:rFonts w:eastAsia="Times New Roman" w:cstheme="minorHAnsi"/>
          <w:color w:val="0336FF"/>
        </w:rPr>
      </w:pPr>
      <w:r w:rsidRPr="00460268">
        <w:rPr>
          <w:rFonts w:eastAsia="Times New Roman" w:cstheme="minorHAnsi"/>
          <w:color w:val="0336FF"/>
        </w:rPr>
        <w:t xml:space="preserve">We thank the reviewer for the important points raised. As suggested by the reviewer, we previously performed experiments in which we measured the initial rates under different peptide substrate concentrations and found that 50 µM of peptide was indeed sufficient to saturate the enzyme. These preliminary experiments showed that at concentrations of peptide substrate higher than 50 µM, there were negligible effects on initial rates or proteolytic processing. We have included a note in the manuscript to highlight the importance of performing preliminary tests to determine an adequate concentration of substrate for determining Vmax values. </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2. They showed the substrates with different amino acid substitutions gave different Vmax. However, how does that correlate with the infection? Does the virus with unfavorable protease cleavage sequence infect the cells ineffectively? Could they provide the cell-based or animal studied information published in the literature to rationalize their substrate specificity data?</w:t>
      </w:r>
    </w:p>
    <w:p w:rsidR="00460268" w:rsidRPr="00460268" w:rsidRDefault="00460268" w:rsidP="00460268">
      <w:pPr>
        <w:spacing w:line="240" w:lineRule="auto"/>
        <w:jc w:val="both"/>
        <w:rPr>
          <w:rFonts w:eastAsia="Times New Roman" w:cstheme="minorHAnsi"/>
          <w:color w:val="0336FF"/>
        </w:rPr>
      </w:pPr>
      <w:r w:rsidRPr="00460268">
        <w:rPr>
          <w:rFonts w:eastAsia="Times New Roman" w:cstheme="minorHAnsi"/>
          <w:color w:val="0336FF"/>
        </w:rPr>
        <w:t xml:space="preserve">It has been shown that MERS-CoV S protein can be activated by a wide variety of proteases. It was previously demonstrated that MERS-CoV S could be proteolytically processed by cathepsins and TMPRSS proteases. We have shown that in addition to being cleave by these proteases, MERS-CoV could be cleaved by furin at the S2’ site </w:t>
      </w:r>
      <w:r w:rsidRPr="00460268">
        <w:rPr>
          <w:rFonts w:eastAsia="Times New Roman" w:cstheme="minorHAnsi"/>
          <w:color w:val="0336FF"/>
        </w:rPr>
        <w:fldChar w:fldCharType="begin"/>
      </w:r>
      <w:r w:rsidRPr="00460268">
        <w:rPr>
          <w:rFonts w:eastAsia="Times New Roman" w:cstheme="minorHAnsi"/>
          <w:color w:val="0336FF"/>
        </w:rPr>
        <w:instrText xml:space="preserve"> ADDIN EN.CITE &lt;EndNote&gt;&lt;Cite&gt;&lt;Author&gt;Millet&lt;/Author&gt;&lt;Year&gt;2014&lt;/Year&gt;&lt;RecNum&gt;2839&lt;/RecNum&gt;&lt;DisplayText&gt;&lt;style face="superscript"&gt;1&lt;/style&gt;&lt;/DisplayText&gt;&lt;record&gt;&lt;rec-number&gt;2839&lt;/rec-number&gt;&lt;foreign-keys&gt;&lt;key app="EN" db-id="prazsvz21r9e5dewsay5x95yf2wvadxstss9" timestamp="1412631480"&gt;2839&lt;/key&gt;&lt;/foreign-keys&gt;&lt;ref-type name="Journal Article"&gt;17&lt;/ref-type&gt;&lt;contributors&gt;&lt;authors&gt;&lt;author&gt;Millet, Jean K.&lt;/author&gt;&lt;author&gt;Whittaker, Gary R.&lt;/author&gt;&lt;/authors&gt;&lt;/contributors&gt;&lt;titles&gt;&lt;title&gt;Host cell entry of Middle East respiratory syndrome coronavirus after two-step, furin-mediated activation of the spike protein&lt;/title&gt;&lt;secondary-title&gt;Proceedings of the National Academy of Sciences&lt;/secondary-title&gt;&lt;/titles&gt;&lt;periodical&gt;&lt;full-title&gt;Proceedings of the National Academy of Sciences&lt;/full-title&gt;&lt;/periodical&gt;&lt;pages&gt;15214–15219&lt;/pages&gt;&lt;volume&gt;111&lt;/volume&gt;&lt;number&gt;42&lt;/number&gt;&lt;section&gt;15214&lt;/section&gt;&lt;dates&gt;&lt;year&gt;2014&lt;/year&gt;&lt;/dates&gt;&lt;urls&gt;&lt;related-urls&gt;&lt;url&gt;http://www.pnas.org/content/early/2014/10/02/1407087111.abstract&lt;/url&gt;&lt;/related-urls&gt;&lt;/urls&gt;&lt;/record&gt;&lt;/Cite&gt;&lt;/EndNote&gt;</w:instrText>
      </w:r>
      <w:r w:rsidRPr="00460268">
        <w:rPr>
          <w:rFonts w:eastAsia="Times New Roman" w:cstheme="minorHAnsi"/>
          <w:color w:val="0336FF"/>
        </w:rPr>
        <w:fldChar w:fldCharType="separate"/>
      </w:r>
      <w:r w:rsidRPr="00460268">
        <w:rPr>
          <w:rFonts w:eastAsia="Times New Roman" w:cstheme="minorHAnsi"/>
          <w:noProof/>
          <w:color w:val="0336FF"/>
          <w:vertAlign w:val="superscript"/>
        </w:rPr>
        <w:t>1</w:t>
      </w:r>
      <w:r w:rsidRPr="00460268">
        <w:rPr>
          <w:rFonts w:eastAsia="Times New Roman" w:cstheme="minorHAnsi"/>
          <w:color w:val="0336FF"/>
        </w:rPr>
        <w:fldChar w:fldCharType="end"/>
      </w:r>
      <w:r w:rsidRPr="00460268">
        <w:rPr>
          <w:rFonts w:eastAsia="Times New Roman" w:cstheme="minorHAnsi"/>
          <w:color w:val="0336FF"/>
        </w:rPr>
        <w:t xml:space="preserve">. This adds an extra “layer” of activation that allows the virus to gain a wider tropism, in particular unlocking access to cells expressing high levels of furin. Mutating the cleavage site to remove furin cleavability at S2’ does not arrogate entry into host cells, however, it does decrease efficiency of entry </w:t>
      </w:r>
      <w:r w:rsidRPr="00460268">
        <w:rPr>
          <w:rFonts w:eastAsia="Times New Roman" w:cstheme="minorHAnsi"/>
          <w:color w:val="0336FF"/>
        </w:rPr>
        <w:fldChar w:fldCharType="begin">
          <w:fldData xml:space="preserve">PEVuZE5vdGU+PENpdGU+PEF1dGhvcj5NaWxsZXQ8L0F1dGhvcj48WWVhcj4yMDE2PC9ZZWFyPjxS
ZWNOdW0+NTQ1MTwvUmVjTnVtPjxEaXNwbGF5VGV4dD48c3R5bGUgZmFjZT0ic3VwZXJzY3JpcHQi
PjEsMjwvc3R5bGU+PC9EaXNwbGF5VGV4dD48cmVjb3JkPjxyZWMtbnVtYmVyPjU0NTE8L3JlYy1u
dW1iZXI+PGZvcmVpZ24ta2V5cz48a2V5IGFwcD0iRU4iIGRiLWlkPSJwcmF6c3Z6MjFyOWU1ZGV3
c2F5NXg5NXlmMnd2YWR4c3RzczkiIHRpbWVzdGFtcD0iMTQ4MjMzMzY3NCI+NTQ1MTwva2V5Pjxr
ZXkgYXBwPSJFTldlYiIgZGItaWQ9IiI+MDwva2V5PjwvZm9yZWlnbi1rZXlzPjxyZWYtdHlwZSBu
YW1lPSJKb3VybmFsIEFydGljbGUiPjE3PC9yZWYtdHlwZT48Y29udHJpYnV0b3JzPjxhdXRob3Jz
PjxhdXRob3I+TWlsbGV0LCBKZWFuIEthb3J1PC9hdXRob3I+PGF1dGhvcj5Hb2xkc3RlaW4sIE1v
bnR5IEUuPC9hdXRob3I+PGF1dGhvcj5MYWJpdHQsIFJhY2hhZWwgTi48L2F1dGhvcj48YXV0aG9y
PkhzdSwgSHVuZy1MdW48L2F1dGhvcj48YXV0aG9yPkRhbmllbCwgU3VzYW48L2F1dGhvcj48YXV0
aG9yPldoaXR0YWtlciwgR2FyeSBSLjwvYXV0aG9yPjwvYXV0aG9ycz48L2NvbnRyaWJ1dG9ycz48
dGl0bGVzPjx0aXRsZT5BIGNhbWVsLWRlcml2ZWQgTUVSUy1Db1Ygd2l0aCBhIHZhcmlhbnQgc3Bp
a2UgcHJvdGVpbiBjbGVhdmFnZSBzaXRlIGFuZCBkaXN0aW5jdCBmdXNpb24gYWN0aXZhdGlvbiBw
cm9wZXJ0aWVzPC90aXRsZT48c2Vjb25kYXJ5LXRpdGxlPkVtZXJnaW5nIE1pY3JvYmVzICZhbXA7
IEluZmVjdGlvbnM8L3NlY29uZGFyeS10aXRsZT48L3RpdGxlcz48cGVyaW9kaWNhbD48ZnVsbC10
aXRsZT5FbWVyZ2luZyBNaWNyb2JlcyAmYW1wOyBJbmZlY3Rpb25zPC9mdWxsLXRpdGxlPjwvcGVy
aW9kaWNhbD48cGFnZXM+ZTEyNjwvcGFnZXM+PHZvbHVtZT41PC92b2x1bWU+PG51bWJlcj4xMjwv
bnVtYmVyPjxkYXRlcz48eWVhcj4yMDE2PC95ZWFyPjwvZGF0ZXM+PGlzYm4+MjIyMi0xNzUxPC9p
c2JuPjx1cmxzPjwvdXJscz48ZWxlY3Ryb25pYy1yZXNvdXJjZS1udW0+MTAuMTAzOC9lbWkuMjAx
Ni4xMjU8L2VsZWN0cm9uaWMtcmVzb3VyY2UtbnVtPjwvcmVjb3JkPjwvQ2l0ZT48Q2l0ZT48QXV0
aG9yPk1pbGxldDwvQXV0aG9yPjxZZWFyPjIwMTQ8L1llYXI+PFJlY051bT4yODM5PC9SZWNOdW0+
PHJlY29yZD48cmVjLW51bWJlcj4yODM5PC9yZWMtbnVtYmVyPjxmb3JlaWduLWtleXM+PGtleSBh
cHA9IkVOIiBkYi1pZD0icHJhenN2ejIxcjllNWRld3NheTV4OTV5ZjJ3dmFkeHN0c3M5IiB0aW1l
c3RhbXA9IjE0MTI2MzE0ODAiPjI4Mzk8L2tleT48L2ZvcmVpZ24ta2V5cz48cmVmLXR5cGUgbmFt
ZT0iSm91cm5hbCBBcnRpY2xlIj4xNzwvcmVmLXR5cGU+PGNvbnRyaWJ1dG9ycz48YXV0aG9ycz48
YXV0aG9yPk1pbGxldCwgSmVhbiBLLjwvYXV0aG9yPjxhdXRob3I+V2hpdHRha2VyLCBHYXJ5IFIu
PC9hdXRob3I+PC9hdXRob3JzPjwvY29udHJpYnV0b3JzPjx0aXRsZXM+PHRpdGxlPkhvc3QgY2Vs
bCBlbnRyeSBvZiBNaWRkbGUgRWFzdCByZXNwaXJhdG9yeSBzeW5kcm9tZSBjb3JvbmF2aXJ1cyBh
ZnRlciB0d28tc3RlcCwgZnVyaW4tbWVkaWF0ZWQgYWN0aXZhdGlvbiBvZiB0aGUgc3Bpa2UgcHJv
dGVpbjwvdGl0bGU+PHNlY29uZGFyeS10aXRsZT5Qcm9jZWVkaW5ncyBvZiB0aGUgTmF0aW9uYWwg
QWNhZGVteSBvZiBTY2llbmNlczwvc2Vjb25kYXJ5LXRpdGxlPjwvdGl0bGVzPjxwZXJpb2RpY2Fs
PjxmdWxsLXRpdGxlPlByb2NlZWRpbmdzIG9mIHRoZSBOYXRpb25hbCBBY2FkZW15IG9mIFNjaWVu
Y2VzPC9mdWxsLXRpdGxlPjwvcGVyaW9kaWNhbD48cGFnZXM+MTUyMTTigJMxNTIxOTwvcGFnZXM+
PHZvbHVtZT4xMTE8L3ZvbHVtZT48bnVtYmVyPjQyPC9udW1iZXI+PHNlY3Rpb24+MTUyMTQ8L3Nl
Y3Rpb24+PGRhdGVzPjx5ZWFyPjIwMTQ8L3llYXI+PC9kYXRlcz48dXJscz48cmVsYXRlZC11cmxz
Pjx1cmw+aHR0cDovL3d3dy5wbmFzLm9yZy9jb250ZW50L2Vhcmx5LzIwMTQvMTAvMDIvMTQwNzA4
NzExMS5hYnN0cmFjdDwvdXJsPjwvcmVsYXRlZC11cmxzPjwvdXJscz48L3JlY29yZD48L0NpdGU+
PC9FbmROb3RlPgB=
</w:fldData>
        </w:fldChar>
      </w:r>
      <w:r w:rsidRPr="00460268">
        <w:rPr>
          <w:rFonts w:eastAsia="Times New Roman" w:cstheme="minorHAnsi"/>
          <w:color w:val="0336FF"/>
        </w:rPr>
        <w:instrText xml:space="preserve"> ADDIN EN.CITE </w:instrText>
      </w:r>
      <w:r w:rsidRPr="00460268">
        <w:rPr>
          <w:rFonts w:eastAsia="Times New Roman" w:cstheme="minorHAnsi"/>
          <w:color w:val="0336FF"/>
        </w:rPr>
        <w:fldChar w:fldCharType="begin">
          <w:fldData xml:space="preserve">PEVuZE5vdGU+PENpdGU+PEF1dGhvcj5NaWxsZXQ8L0F1dGhvcj48WWVhcj4yMDE2PC9ZZWFyPjxS
ZWNOdW0+NTQ1MTwvUmVjTnVtPjxEaXNwbGF5VGV4dD48c3R5bGUgZmFjZT0ic3VwZXJzY3JpcHQi
PjEsMjwvc3R5bGU+PC9EaXNwbGF5VGV4dD48cmVjb3JkPjxyZWMtbnVtYmVyPjU0NTE8L3JlYy1u
dW1iZXI+PGZvcmVpZ24ta2V5cz48a2V5IGFwcD0iRU4iIGRiLWlkPSJwcmF6c3Z6MjFyOWU1ZGV3
c2F5NXg5NXlmMnd2YWR4c3RzczkiIHRpbWVzdGFtcD0iMTQ4MjMzMzY3NCI+NTQ1MTwva2V5Pjxr
ZXkgYXBwPSJFTldlYiIgZGItaWQ9IiI+MDwva2V5PjwvZm9yZWlnbi1rZXlzPjxyZWYtdHlwZSBu
YW1lPSJKb3VybmFsIEFydGljbGUiPjE3PC9yZWYtdHlwZT48Y29udHJpYnV0b3JzPjxhdXRob3Jz
PjxhdXRob3I+TWlsbGV0LCBKZWFuIEthb3J1PC9hdXRob3I+PGF1dGhvcj5Hb2xkc3RlaW4sIE1v
bnR5IEUuPC9hdXRob3I+PGF1dGhvcj5MYWJpdHQsIFJhY2hhZWwgTi48L2F1dGhvcj48YXV0aG9y
PkhzdSwgSHVuZy1MdW48L2F1dGhvcj48YXV0aG9yPkRhbmllbCwgU3VzYW48L2F1dGhvcj48YXV0
aG9yPldoaXR0YWtlciwgR2FyeSBSLjwvYXV0aG9yPjwvYXV0aG9ycz48L2NvbnRyaWJ1dG9ycz48
dGl0bGVzPjx0aXRsZT5BIGNhbWVsLWRlcml2ZWQgTUVSUy1Db1Ygd2l0aCBhIHZhcmlhbnQgc3Bp
a2UgcHJvdGVpbiBjbGVhdmFnZSBzaXRlIGFuZCBkaXN0aW5jdCBmdXNpb24gYWN0aXZhdGlvbiBw
cm9wZXJ0aWVzPC90aXRsZT48c2Vjb25kYXJ5LXRpdGxlPkVtZXJnaW5nIE1pY3JvYmVzICZhbXA7
IEluZmVjdGlvbnM8L3NlY29uZGFyeS10aXRsZT48L3RpdGxlcz48cGVyaW9kaWNhbD48ZnVsbC10
aXRsZT5FbWVyZ2luZyBNaWNyb2JlcyAmYW1wOyBJbmZlY3Rpb25zPC9mdWxsLXRpdGxlPjwvcGVy
aW9kaWNhbD48cGFnZXM+ZTEyNjwvcGFnZXM+PHZvbHVtZT41PC92b2x1bWU+PG51bWJlcj4xMjwv
bnVtYmVyPjxkYXRlcz48eWVhcj4yMDE2PC95ZWFyPjwvZGF0ZXM+PGlzYm4+MjIyMi0xNzUxPC9p
c2JuPjx1cmxzPjwvdXJscz48ZWxlY3Ryb25pYy1yZXNvdXJjZS1udW0+MTAuMTAzOC9lbWkuMjAx
Ni4xMjU8L2VsZWN0cm9uaWMtcmVzb3VyY2UtbnVtPjwvcmVjb3JkPjwvQ2l0ZT48Q2l0ZT48QXV0
aG9yPk1pbGxldDwvQXV0aG9yPjxZZWFyPjIwMTQ8L1llYXI+PFJlY051bT4yODM5PC9SZWNOdW0+
PHJlY29yZD48cmVjLW51bWJlcj4yODM5PC9yZWMtbnVtYmVyPjxmb3JlaWduLWtleXM+PGtleSBh
cHA9IkVOIiBkYi1pZD0icHJhenN2ejIxcjllNWRld3NheTV4OTV5ZjJ3dmFkeHN0c3M5IiB0aW1l
c3RhbXA9IjE0MTI2MzE0ODAiPjI4Mzk8L2tleT48L2ZvcmVpZ24ta2V5cz48cmVmLXR5cGUgbmFt
ZT0iSm91cm5hbCBBcnRpY2xlIj4xNzwvcmVmLXR5cGU+PGNvbnRyaWJ1dG9ycz48YXV0aG9ycz48
YXV0aG9yPk1pbGxldCwgSmVhbiBLLjwvYXV0aG9yPjxhdXRob3I+V2hpdHRha2VyLCBHYXJ5IFIu
PC9hdXRob3I+PC9hdXRob3JzPjwvY29udHJpYnV0b3JzPjx0aXRsZXM+PHRpdGxlPkhvc3QgY2Vs
bCBlbnRyeSBvZiBNaWRkbGUgRWFzdCByZXNwaXJhdG9yeSBzeW5kcm9tZSBjb3JvbmF2aXJ1cyBh
ZnRlciB0d28tc3RlcCwgZnVyaW4tbWVkaWF0ZWQgYWN0aXZhdGlvbiBvZiB0aGUgc3Bpa2UgcHJv
dGVpbjwvdGl0bGU+PHNlY29uZGFyeS10aXRsZT5Qcm9jZWVkaW5ncyBvZiB0aGUgTmF0aW9uYWwg
QWNhZGVteSBvZiBTY2llbmNlczwvc2Vjb25kYXJ5LXRpdGxlPjwvdGl0bGVzPjxwZXJpb2RpY2Fs
PjxmdWxsLXRpdGxlPlByb2NlZWRpbmdzIG9mIHRoZSBOYXRpb25hbCBBY2FkZW15IG9mIFNjaWVu
Y2VzPC9mdWxsLXRpdGxlPjwvcGVyaW9kaWNhbD48cGFnZXM+MTUyMTTigJMxNTIxOTwvcGFnZXM+
PHZvbHVtZT4xMTE8L3ZvbHVtZT48bnVtYmVyPjQyPC9udW1iZXI+PHNlY3Rpb24+MTUyMTQ8L3Nl
Y3Rpb24+PGRhdGVzPjx5ZWFyPjIwMTQ8L3llYXI+PC9kYXRlcz48dXJscz48cmVsYXRlZC11cmxz
Pjx1cmw+aHR0cDovL3d3dy5wbmFzLm9yZy9jb250ZW50L2Vhcmx5LzIwMTQvMTAvMDIvMTQwNzA4
NzExMS5hYnN0cmFjdDwvdXJsPjwvcmVsYXRlZC11cmxzPjwvdXJscz48L3JlY29yZD48L0NpdGU+
PC9FbmROb3RlPgB=
</w:fldData>
        </w:fldChar>
      </w:r>
      <w:r w:rsidRPr="00460268">
        <w:rPr>
          <w:rFonts w:eastAsia="Times New Roman" w:cstheme="minorHAnsi"/>
          <w:color w:val="0336FF"/>
        </w:rPr>
        <w:instrText xml:space="preserve"> ADDIN EN.CITE.DATA </w:instrText>
      </w:r>
      <w:r w:rsidRPr="00460268">
        <w:rPr>
          <w:rFonts w:eastAsia="Times New Roman" w:cstheme="minorHAnsi"/>
          <w:color w:val="0336FF"/>
        </w:rPr>
      </w:r>
      <w:r w:rsidRPr="00460268">
        <w:rPr>
          <w:rFonts w:eastAsia="Times New Roman" w:cstheme="minorHAnsi"/>
          <w:color w:val="0336FF"/>
        </w:rPr>
        <w:fldChar w:fldCharType="end"/>
      </w:r>
      <w:r w:rsidRPr="00460268">
        <w:rPr>
          <w:rFonts w:eastAsia="Times New Roman" w:cstheme="minorHAnsi"/>
          <w:color w:val="0336FF"/>
        </w:rPr>
      </w:r>
      <w:r w:rsidRPr="00460268">
        <w:rPr>
          <w:rFonts w:eastAsia="Times New Roman" w:cstheme="minorHAnsi"/>
          <w:color w:val="0336FF"/>
        </w:rPr>
        <w:fldChar w:fldCharType="separate"/>
      </w:r>
      <w:r w:rsidRPr="00460268">
        <w:rPr>
          <w:rFonts w:eastAsia="Times New Roman" w:cstheme="minorHAnsi"/>
          <w:noProof/>
          <w:color w:val="0336FF"/>
          <w:vertAlign w:val="superscript"/>
        </w:rPr>
        <w:t>1,2</w:t>
      </w:r>
      <w:r w:rsidRPr="00460268">
        <w:rPr>
          <w:rFonts w:eastAsia="Times New Roman" w:cstheme="minorHAnsi"/>
          <w:color w:val="0336FF"/>
        </w:rPr>
        <w:fldChar w:fldCharType="end"/>
      </w:r>
      <w:r w:rsidRPr="00460268">
        <w:rPr>
          <w:rFonts w:eastAsia="Times New Roman" w:cstheme="minorHAnsi"/>
          <w:color w:val="0336FF"/>
        </w:rPr>
        <w:t xml:space="preserve">. </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3. In Supplemental Figure 1A, I cannot tell which of the EMC/2012 mutS-I S2' and HKU205 S2' has higher activity.</w:t>
      </w:r>
    </w:p>
    <w:p w:rsidR="00460268" w:rsidRPr="00460268" w:rsidRDefault="00460268" w:rsidP="00460268">
      <w:pPr>
        <w:spacing w:line="240" w:lineRule="auto"/>
        <w:jc w:val="both"/>
        <w:rPr>
          <w:rFonts w:eastAsia="Times New Roman" w:cstheme="minorHAnsi"/>
          <w:color w:val="0336FF"/>
        </w:rPr>
      </w:pPr>
      <w:r w:rsidRPr="00460268">
        <w:rPr>
          <w:rFonts w:eastAsia="Times New Roman" w:cstheme="minorHAnsi"/>
          <w:color w:val="0336FF"/>
        </w:rPr>
        <w:lastRenderedPageBreak/>
        <w:t>The differences in furin proteolytic processing between MERS-CoV EMC/2012 mutS-I S2' and HKU205 S2' are very minor, especially considering the error bars associated with the measurements and that the Vmax values for both peptides were close to 0. We refer the reviewer to the supplemental table 2 showing the Vmax values for both peptides.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4. Why did they choose these particular cleavage sites if there are other furin protease cutting sites?</w:t>
      </w:r>
    </w:p>
    <w:p w:rsidR="00460268" w:rsidRPr="00460268" w:rsidRDefault="00460268" w:rsidP="00460268">
      <w:pPr>
        <w:spacing w:line="240" w:lineRule="auto"/>
        <w:jc w:val="both"/>
        <w:rPr>
          <w:rFonts w:eastAsia="Times New Roman" w:cstheme="minorHAnsi"/>
          <w:color w:val="0336FF"/>
        </w:rPr>
      </w:pPr>
      <w:r w:rsidRPr="00460268">
        <w:rPr>
          <w:rFonts w:eastAsia="Times New Roman" w:cstheme="minorHAnsi"/>
          <w:color w:val="0336FF"/>
        </w:rPr>
        <w:t xml:space="preserve">In a previous study, both the MERS-CoV S S1/S2 and S2’ sites have been analyzed by fluorogenic peptide assays for furin cleavage </w:t>
      </w:r>
      <w:r w:rsidRPr="00460268">
        <w:rPr>
          <w:rFonts w:eastAsia="Times New Roman" w:cstheme="minorHAnsi"/>
          <w:color w:val="0336FF"/>
        </w:rPr>
        <w:fldChar w:fldCharType="begin"/>
      </w:r>
      <w:r w:rsidRPr="00460268">
        <w:rPr>
          <w:rFonts w:eastAsia="Times New Roman" w:cstheme="minorHAnsi"/>
          <w:color w:val="0336FF"/>
        </w:rPr>
        <w:instrText xml:space="preserve"> ADDIN EN.CITE &lt;EndNote&gt;&lt;Cite&gt;&lt;Author&gt;Millet&lt;/Author&gt;&lt;Year&gt;2014&lt;/Year&gt;&lt;RecNum&gt;2839&lt;/RecNum&gt;&lt;DisplayText&gt;&lt;style face="superscript"&gt;1&lt;/style&gt;&lt;/DisplayText&gt;&lt;record&gt;&lt;rec-number&gt;2839&lt;/rec-number&gt;&lt;foreign-keys&gt;&lt;key app="EN" db-id="prazsvz21r9e5dewsay5x95yf2wvadxstss9" timestamp="1412631480"&gt;2839&lt;/key&gt;&lt;/foreign-keys&gt;&lt;ref-type name="Journal Article"&gt;17&lt;/ref-type&gt;&lt;contributors&gt;&lt;authors&gt;&lt;author&gt;Millet, Jean K.&lt;/author&gt;&lt;author&gt;Whittaker, Gary R.&lt;/author&gt;&lt;/authors&gt;&lt;/contributors&gt;&lt;titles&gt;&lt;title&gt;Host cell entry of Middle East respiratory syndrome coronavirus after two-step, furin-mediated activation of the spike protein&lt;/title&gt;&lt;secondary-title&gt;Proceedings of the National Academy of Sciences&lt;/secondary-title&gt;&lt;/titles&gt;&lt;periodical&gt;&lt;full-title&gt;Proceedings of the National Academy of Sciences&lt;/full-title&gt;&lt;/periodical&gt;&lt;pages&gt;15214–15219&lt;/pages&gt;&lt;volume&gt;111&lt;/volume&gt;&lt;number&gt;42&lt;/number&gt;&lt;section&gt;15214&lt;/section&gt;&lt;dates&gt;&lt;year&gt;2014&lt;/year&gt;&lt;/dates&gt;&lt;urls&gt;&lt;related-urls&gt;&lt;url&gt;http://www.pnas.org/content/early/2014/10/02/1407087111.abstract&lt;/url&gt;&lt;/related-urls&gt;&lt;/urls&gt;&lt;/record&gt;&lt;/Cite&gt;&lt;/EndNote&gt;</w:instrText>
      </w:r>
      <w:r w:rsidRPr="00460268">
        <w:rPr>
          <w:rFonts w:eastAsia="Times New Roman" w:cstheme="minorHAnsi"/>
          <w:color w:val="0336FF"/>
        </w:rPr>
        <w:fldChar w:fldCharType="separate"/>
      </w:r>
      <w:r w:rsidRPr="00460268">
        <w:rPr>
          <w:rFonts w:eastAsia="Times New Roman" w:cstheme="minorHAnsi"/>
          <w:noProof/>
          <w:color w:val="0336FF"/>
          <w:vertAlign w:val="superscript"/>
        </w:rPr>
        <w:t>1</w:t>
      </w:r>
      <w:r w:rsidRPr="00460268">
        <w:rPr>
          <w:rFonts w:eastAsia="Times New Roman" w:cstheme="minorHAnsi"/>
          <w:color w:val="0336FF"/>
        </w:rPr>
        <w:fldChar w:fldCharType="end"/>
      </w:r>
      <w:r w:rsidRPr="00460268">
        <w:rPr>
          <w:rFonts w:eastAsia="Times New Roman" w:cstheme="minorHAnsi"/>
          <w:color w:val="0336FF"/>
        </w:rPr>
        <w:t xml:space="preserve">. In the example shown in the protocol, we want to present how mutations at cleavage sites impact proteolytic processing. S2’ was chosen here because the cleavage site mutations found in camel-derived MERS-CoV S (HKU205 and mor213 strains) contain mutations at S2’ </w:t>
      </w:r>
      <w:r w:rsidRPr="00460268">
        <w:rPr>
          <w:rFonts w:eastAsia="Times New Roman" w:cstheme="minorHAnsi"/>
          <w:color w:val="0336FF"/>
        </w:rPr>
        <w:fldChar w:fldCharType="begin"/>
      </w:r>
      <w:r w:rsidRPr="00460268">
        <w:rPr>
          <w:rFonts w:eastAsia="Times New Roman" w:cstheme="minorHAnsi"/>
          <w:color w:val="0336FF"/>
        </w:rPr>
        <w:instrText xml:space="preserve"> ADDIN EN.CITE &lt;EndNote&gt;&lt;Cite&gt;&lt;Author&gt;Millet&lt;/Author&gt;&lt;Year&gt;2016&lt;/Year&gt;&lt;RecNum&gt;5451&lt;/RecNum&gt;&lt;DisplayText&gt;&lt;style face="superscript"&gt;2&lt;/style&gt;&lt;/DisplayText&gt;&lt;record&gt;&lt;rec-number&gt;5451&lt;/rec-number&gt;&lt;foreign-keys&gt;&lt;key app="EN" db-id="prazsvz21r9e5dewsay5x95yf2wvadxstss9" timestamp="1482333674"&gt;5451&lt;/key&gt;&lt;key app="ENWeb" db-id=""&gt;0&lt;/key&gt;&lt;/foreign-keys&gt;&lt;ref-type name="Journal Article"&gt;17&lt;/ref-type&gt;&lt;contributors&gt;&lt;authors&gt;&lt;author&gt;Millet, Jean Kaoru&lt;/author&gt;&lt;author&gt;Goldstein, Monty E.&lt;/author&gt;&lt;author&gt;Labitt, Rachael N.&lt;/author&gt;&lt;author&gt;Hsu, Hung-Lun&lt;/author&gt;&lt;author&gt;Daniel, Susan&lt;/author&gt;&lt;author&gt;Whittaker, Gary R.&lt;/author&gt;&lt;/authors&gt;&lt;/contributors&gt;&lt;titles&gt;&lt;title&gt;A camel-derived MERS-CoV with a variant spike protein cleavage site and distinct fusion activation properties&lt;/title&gt;&lt;secondary-title&gt;Emerging Microbes &amp;amp; Infections&lt;/secondary-title&gt;&lt;/titles&gt;&lt;periodical&gt;&lt;full-title&gt;Emerging Microbes &amp;amp; Infections&lt;/full-title&gt;&lt;/periodical&gt;&lt;pages&gt;e126&lt;/pages&gt;&lt;volume&gt;5&lt;/volume&gt;&lt;number&gt;12&lt;/number&gt;&lt;dates&gt;&lt;year&gt;2016&lt;/year&gt;&lt;/dates&gt;&lt;isbn&gt;2222-1751&lt;/isbn&gt;&lt;urls&gt;&lt;/urls&gt;&lt;electronic-resource-num&gt;10.1038/emi.2016.125&lt;/electronic-resource-num&gt;&lt;/record&gt;&lt;/Cite&gt;&lt;/EndNote&gt;</w:instrText>
      </w:r>
      <w:r w:rsidRPr="00460268">
        <w:rPr>
          <w:rFonts w:eastAsia="Times New Roman" w:cstheme="minorHAnsi"/>
          <w:color w:val="0336FF"/>
        </w:rPr>
        <w:fldChar w:fldCharType="separate"/>
      </w:r>
      <w:r w:rsidRPr="00460268">
        <w:rPr>
          <w:rFonts w:eastAsia="Times New Roman" w:cstheme="minorHAnsi"/>
          <w:noProof/>
          <w:color w:val="0336FF"/>
          <w:vertAlign w:val="superscript"/>
        </w:rPr>
        <w:t>2</w:t>
      </w:r>
      <w:r w:rsidRPr="00460268">
        <w:rPr>
          <w:rFonts w:eastAsia="Times New Roman" w:cstheme="minorHAnsi"/>
          <w:color w:val="0336FF"/>
        </w:rPr>
        <w:fldChar w:fldCharType="end"/>
      </w:r>
      <w:r w:rsidRPr="00460268">
        <w:rPr>
          <w:rFonts w:eastAsia="Times New Roman" w:cstheme="minorHAnsi"/>
          <w:color w:val="0336FF"/>
        </w:rPr>
        <w:t>.</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Reviewer #2:</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Manuscript Summary:</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The manuscript does a good job of briefly summarizing the roles for proteases in enveloped virus - cell entry. Accurate statements are provided. The methodologies to measure in vitro protease activities are clearly described and are useful.</w:t>
      </w:r>
      <w:r w:rsidRPr="00460268">
        <w:rPr>
          <w:rFonts w:eastAsia="Times New Roman" w:cstheme="minorHAnsi"/>
          <w:color w:val="000000"/>
        </w:rPr>
        <w:br/>
      </w:r>
      <w:r w:rsidRPr="00460268">
        <w:rPr>
          <w:rFonts w:eastAsia="Times New Roman" w:cstheme="minorHAnsi"/>
          <w:color w:val="000000"/>
        </w:rPr>
        <w:br/>
        <w:t>Major Concerns: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1. All of the experiments use furin protease, however, the manuscript emphasizes that the methodologies are suitable for other proteases as well. Furin has a fairly well-documented cleavage substrate structure, while other virus-activating proteases (ie., cathepsins) have less defined or perhaps promiscuous cleavage sites. Therefore, the findings obtained from assays with cathepsins (or proteases other than furin) might be more informative. For these reasons, it might be useful to include cathepsins or other proteases in the visualized experiments.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336FF"/>
        </w:rPr>
        <w:t>Thank you for your suggestion of including other virus-activating proteases as examples in our manuscript. While we agree that it would be interesting to include proteases which have less-defined cleavage sites, such as cathepsins, we think for the purpose of clarity of the protocol to keep the focus on furin, which has a clearly defined cleavage site. This is especially important because we want to show examples of the sensitivity of the assay by including peptides that have single mutations that have a big impact on furin cleavability.</w:t>
      </w:r>
    </w:p>
    <w:p w:rsidR="00460268" w:rsidRPr="00460268" w:rsidRDefault="00460268" w:rsidP="00460268">
      <w:pPr>
        <w:spacing w:line="240" w:lineRule="auto"/>
        <w:jc w:val="both"/>
        <w:rPr>
          <w:rFonts w:eastAsia="Times New Roman" w:cstheme="minorHAnsi"/>
          <w:color w:val="4472C4" w:themeColor="accent1"/>
        </w:rPr>
      </w:pPr>
      <w:r w:rsidRPr="00460268">
        <w:rPr>
          <w:rFonts w:eastAsia="Times New Roman" w:cstheme="minorHAnsi"/>
          <w:color w:val="000000"/>
        </w:rPr>
        <w:br/>
        <w:t>2. The in vitro cleavage assay may be amenable to the evaluation of specific protease inhibitors (ie., crude protease mixtures may cleave FRET substrates and the relevant cleaving proteases identified by introducing specific protease inhibitors. Does this work and if yes, the approach might be added into the manuscript.</w:t>
      </w:r>
      <w:r w:rsidRPr="00460268">
        <w:rPr>
          <w:rFonts w:eastAsia="Times New Roman" w:cstheme="minorHAnsi"/>
          <w:color w:val="000000"/>
        </w:rPr>
        <w:br/>
      </w:r>
      <w:r w:rsidRPr="00460268">
        <w:rPr>
          <w:rFonts w:eastAsia="Times New Roman" w:cstheme="minorHAnsi"/>
          <w:color w:val="0336FF"/>
        </w:rPr>
        <w:t xml:space="preserve">We have previously performed experiments using this assay to test the effect of protease inhibitors. This has been performed by our lab with fluorogenic peptides derived from influenza HA </w:t>
      </w:r>
      <w:r w:rsidRPr="00460268">
        <w:rPr>
          <w:rFonts w:eastAsia="Times New Roman" w:cstheme="minorHAnsi"/>
          <w:color w:val="0336FF"/>
        </w:rPr>
        <w:fldChar w:fldCharType="begin"/>
      </w:r>
      <w:r w:rsidRPr="00460268">
        <w:rPr>
          <w:rFonts w:eastAsia="Times New Roman" w:cstheme="minorHAnsi"/>
          <w:color w:val="0336FF"/>
        </w:rPr>
        <w:instrText xml:space="preserve"> ADDIN EN.CITE &lt;EndNote&gt;&lt;Cite&gt;&lt;Author&gt;Hamilton&lt;/Author&gt;&lt;Year&gt;2014&lt;/Year&gt;&lt;RecNum&gt;2807&lt;/RecNum&gt;&lt;DisplayText&gt;&lt;style face="superscript"&gt;3&lt;/style&gt;&lt;/DisplayText&gt;&lt;record&gt;&lt;rec-number&gt;2807&lt;/rec-number&gt;&lt;foreign-keys&gt;&lt;key app="EN" db-id="prazsvz21r9e5dewsay5x95yf2wvadxstss9" timestamp="1411058951"&gt;2807&lt;/key&gt;&lt;/foreign-keys&gt;&lt;ref-type name="Journal Article"&gt;17&lt;/ref-type&gt;&lt;contributors&gt;&lt;authors&gt;&lt;author&gt;Hamilton, Brian S.&lt;/author&gt;&lt;author&gt;Chung, Changik&lt;/author&gt;&lt;author&gt;Cyphers, Soreen Y.&lt;/author&gt;&lt;author&gt;Rinaldi, Vera D.&lt;/author&gt;&lt;author&gt;Marcano, Valerie C.&lt;/author&gt;&lt;author&gt;Whittaker, Gary R.&lt;/author&gt;&lt;/authors&gt;&lt;/contributors&gt;&lt;titles&gt;&lt;title&gt;Inhibition of influenza virus infection and hemagglutinin cleavage by the protease inhibitor HAI-2&lt;/title&gt;&lt;secondary-title&gt;Biochemical and Biophysical Research Communications&lt;/secondary-title&gt;&lt;/titles&gt;&lt;periodical&gt;&lt;full-title&gt;Biochemical and Biophysical Research Communications&lt;/full-title&gt;&lt;/periodical&gt;&lt;pages&gt;1070-1075&lt;/pages&gt;&lt;volume&gt;450&lt;/volume&gt;&lt;number&gt;2&lt;/number&gt;&lt;keywords&gt;&lt;keyword&gt;Influenza virus&lt;/keyword&gt;&lt;keyword&gt;Hemagglutinin&lt;/keyword&gt;&lt;keyword&gt;Protease inhibitor&lt;/keyword&gt;&lt;keyword&gt;HAI-2&lt;/keyword&gt;&lt;/keywords&gt;&lt;dates&gt;&lt;year&gt;2014&lt;/year&gt;&lt;pub-dates&gt;&lt;date&gt;7/25/&lt;/date&gt;&lt;/pub-dates&gt;&lt;/dates&gt;&lt;isbn&gt;0006-291X&lt;/isbn&gt;&lt;urls&gt;&lt;related-urls&gt;&lt;url&gt;http://www.sciencedirect.com/science/article/pii/S0006291X14011838&lt;/url&gt;&lt;/related-urls&gt;&lt;/urls&gt;&lt;electronic-resource-num&gt;http://dx.doi.org/10.1016/j.bbrc.2014.06.109&lt;/electronic-resource-num&gt;&lt;/record&gt;&lt;/Cite&gt;&lt;/EndNote&gt;</w:instrText>
      </w:r>
      <w:r w:rsidRPr="00460268">
        <w:rPr>
          <w:rFonts w:eastAsia="Times New Roman" w:cstheme="minorHAnsi"/>
          <w:color w:val="0336FF"/>
        </w:rPr>
        <w:fldChar w:fldCharType="separate"/>
      </w:r>
      <w:r w:rsidRPr="00460268">
        <w:rPr>
          <w:rFonts w:eastAsia="Times New Roman" w:cstheme="minorHAnsi"/>
          <w:noProof/>
          <w:color w:val="0336FF"/>
          <w:vertAlign w:val="superscript"/>
        </w:rPr>
        <w:t>3</w:t>
      </w:r>
      <w:r w:rsidRPr="00460268">
        <w:rPr>
          <w:rFonts w:eastAsia="Times New Roman" w:cstheme="minorHAnsi"/>
          <w:color w:val="0336FF"/>
        </w:rPr>
        <w:fldChar w:fldCharType="end"/>
      </w:r>
      <w:r w:rsidRPr="00460268">
        <w:rPr>
          <w:rFonts w:eastAsia="Times New Roman" w:cstheme="minorHAnsi"/>
          <w:color w:val="0336FF"/>
        </w:rPr>
        <w:t>. We have added this point in the discussion section to highlight this important point for our manuscript.</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 xml:space="preserve">3. The results from the in vitro experiments can potentially be used to refine bioinformatic cleavage scoring algorithms. This might be mentioned, perhaps along with more information on whether the existing scoring algorithms have ever been invalidated by ongoing in vitro peptide cleavage assays of the </w:t>
      </w:r>
      <w:r w:rsidRPr="00460268">
        <w:rPr>
          <w:rFonts w:eastAsia="Times New Roman" w:cstheme="minorHAnsi"/>
          <w:color w:val="000000"/>
        </w:rPr>
        <w:lastRenderedPageBreak/>
        <w:t>sort used here.</w:t>
      </w:r>
      <w:r w:rsidRPr="00460268">
        <w:rPr>
          <w:rFonts w:eastAsia="Times New Roman" w:cstheme="minorHAnsi"/>
          <w:color w:val="000000"/>
        </w:rPr>
        <w:br/>
      </w:r>
      <w:r w:rsidRPr="00460268">
        <w:rPr>
          <w:rFonts w:eastAsia="Times New Roman" w:cstheme="minorHAnsi"/>
          <w:color w:val="0336FF"/>
        </w:rPr>
        <w:t>We agree with the reviewer and have added this remark to the manuscript.</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4. The key limitation of the assay (peptides do not reflect native protein structures) is important and thoroughly described. This is good. What might be added are published observations that proteolytic cleavage sites are sometimes exposed on viral fusion proteins only after the fusion proteins have bound to cells or cell receptors. So the biologically important regulation of proteolytic cleavage is at the level of protein conformation. This might be emphasized a bit more. Also, it might be more explicitly stated that the in vitro peptide cleavage assays can generate false positive data (positive in vitro cleavage but no cleavage of native fusion protein) but are unlikely to generate false negative data. This is stated, but not as explicitly as some readers may desire (this latter issue is a minor point).</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336FF"/>
        </w:rPr>
        <w:t>We agree with the reviewer and have added these remarks to the manuscript.</w:t>
      </w:r>
      <w:r w:rsidRPr="00460268">
        <w:rPr>
          <w:rFonts w:eastAsia="Times New Roman" w:cstheme="minorHAnsi"/>
          <w:color w:val="000000"/>
        </w:rPr>
        <w:br/>
      </w:r>
      <w:r w:rsidRPr="00460268">
        <w:rPr>
          <w:rFonts w:eastAsia="Times New Roman" w:cstheme="minorHAnsi"/>
          <w:color w:val="000000"/>
        </w:rPr>
        <w:br/>
        <w:t>Minor Concerns: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None. The manuscript is well written.</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Reviewer #3:</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Manuscript Summary:</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The manuscript by Jaimes et al. describes studies on a fluorogenic peptide cleavage assay to define proteolytic cleavage activity of viral protein cleavage site motifs. Viral protein cleavage is a critical aspect of initiation of infectivity for a number of important pathogens such as influenza and coronaviruses, and cleavage phenotype can be critical for host range and pathogenicity. The assays reported in this manuscript allow for rapid screening of proteases and the analysis of cleavage motifs that mimic the sites within viral glycoproteins. Although there are a few limitations, as addressed by the authors in the discussion section, this rapid screening serves as a foundation for more detailed studies that can be performed on expressed proteins or mutant viruses to gain a further understanding of this important topic. The experimental details are well described and the data presented are solid. The paper is concise and well written, and appears to be a good fit for JoVE.</w:t>
      </w:r>
    </w:p>
    <w:p w:rsidR="00460268" w:rsidRPr="00460268" w:rsidRDefault="00460268" w:rsidP="00460268">
      <w:pPr>
        <w:spacing w:line="240" w:lineRule="auto"/>
        <w:jc w:val="both"/>
        <w:rPr>
          <w:rFonts w:eastAsia="Times New Roman" w:cstheme="minorHAnsi"/>
          <w:color w:val="000000"/>
        </w:rPr>
      </w:pP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Major Concerns: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None</w:t>
      </w:r>
      <w:r w:rsidRPr="00460268">
        <w:rPr>
          <w:rFonts w:eastAsia="Times New Roman" w:cstheme="minorHAnsi"/>
          <w:color w:val="000000"/>
        </w:rPr>
        <w:br/>
      </w:r>
      <w:r w:rsidRPr="00460268">
        <w:rPr>
          <w:rFonts w:eastAsia="Times New Roman" w:cstheme="minorHAnsi"/>
          <w:color w:val="000000"/>
        </w:rPr>
        <w:br/>
        <w:t>Minor Concerns: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None</w:t>
      </w:r>
      <w:r w:rsidRPr="00460268">
        <w:rPr>
          <w:rFonts w:eastAsia="Times New Roman" w:cstheme="minorHAnsi"/>
          <w:color w:val="000000"/>
        </w:rPr>
        <w:br/>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Reviewer #4:</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Manuscript Summary:</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 xml:space="preserve">In this manuscript, the authors describe a very interesting methodology to investigate the putative cleavage sites of peptides. The method is well described with sufficient details of the protocol to reproduce and adapt the experiments to various peptides and proteases. moreove, the authors de scribe </w:t>
      </w:r>
      <w:r w:rsidRPr="00460268">
        <w:rPr>
          <w:rFonts w:eastAsia="Times New Roman" w:cstheme="minorHAnsi"/>
          <w:color w:val="000000"/>
        </w:rPr>
        <w:lastRenderedPageBreak/>
        <w:t>the applications of their methodology to putative cleavage peptide sites of sipke proteins form coronaviruses.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t>Major Concerns: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The description of blank, positive and negative controls is missing in the protocol.</w:t>
      </w:r>
    </w:p>
    <w:p w:rsidR="00460268" w:rsidRPr="00460268" w:rsidRDefault="00460268" w:rsidP="00460268">
      <w:pPr>
        <w:spacing w:line="240" w:lineRule="auto"/>
        <w:rPr>
          <w:rFonts w:eastAsia="Times New Roman" w:cstheme="minorHAnsi"/>
          <w:color w:val="000000"/>
        </w:rPr>
      </w:pPr>
      <w:r w:rsidRPr="00460268">
        <w:rPr>
          <w:rFonts w:eastAsia="Times New Roman" w:cstheme="minorHAnsi"/>
          <w:color w:val="0336FF"/>
        </w:rPr>
        <w:t>We added a description to the protocol section of the manuscript.</w:t>
      </w:r>
      <w:r w:rsidRPr="00460268">
        <w:rPr>
          <w:rFonts w:eastAsia="Times New Roman" w:cstheme="minorHAnsi"/>
          <w:color w:val="000000"/>
        </w:rPr>
        <w:br/>
      </w:r>
      <w:r w:rsidRPr="00460268">
        <w:rPr>
          <w:rFonts w:eastAsia="Times New Roman" w:cstheme="minorHAnsi"/>
          <w:color w:val="000000"/>
        </w:rPr>
        <w:br/>
        <w:t>Minor Concerns: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t>The authors should insist on the different applications of their methodology in the discussion section and should give more examples of applications beside the cleavage site of viral fusion peptides.</w:t>
      </w: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336FF"/>
        </w:rPr>
        <w:t>We included the suggestion when addressing reviewer 2’s major concern 3 and 4.</w:t>
      </w:r>
    </w:p>
    <w:p w:rsidR="00460268" w:rsidRPr="00460268" w:rsidRDefault="00460268" w:rsidP="00460268">
      <w:pPr>
        <w:spacing w:line="240" w:lineRule="auto"/>
        <w:jc w:val="both"/>
        <w:rPr>
          <w:rFonts w:eastAsia="Times New Roman" w:cstheme="minorHAnsi"/>
          <w:color w:val="000000"/>
        </w:rPr>
      </w:pPr>
    </w:p>
    <w:p w:rsidR="00460268" w:rsidRPr="00460268" w:rsidRDefault="00460268" w:rsidP="00460268">
      <w:pPr>
        <w:spacing w:line="240" w:lineRule="auto"/>
        <w:jc w:val="both"/>
        <w:rPr>
          <w:rFonts w:eastAsia="Times New Roman" w:cstheme="minorHAnsi"/>
          <w:color w:val="000000"/>
        </w:rPr>
      </w:pPr>
      <w:r w:rsidRPr="00460268">
        <w:rPr>
          <w:rFonts w:eastAsia="Times New Roman" w:cstheme="minorHAnsi"/>
          <w:color w:val="000000"/>
        </w:rPr>
        <w:br/>
      </w:r>
    </w:p>
    <w:p w:rsidR="00460268" w:rsidRPr="00460268" w:rsidRDefault="00460268" w:rsidP="00460268">
      <w:pPr>
        <w:spacing w:line="240" w:lineRule="auto"/>
        <w:jc w:val="both"/>
        <w:rPr>
          <w:rFonts w:cstheme="minorHAnsi"/>
        </w:rPr>
      </w:pPr>
      <w:r w:rsidRPr="00460268">
        <w:rPr>
          <w:rFonts w:cstheme="minorHAnsi"/>
        </w:rPr>
        <w:t>References:</w:t>
      </w:r>
    </w:p>
    <w:p w:rsidR="00460268" w:rsidRPr="00460268" w:rsidRDefault="00460268" w:rsidP="00460268">
      <w:pPr>
        <w:spacing w:line="240" w:lineRule="auto"/>
        <w:jc w:val="both"/>
        <w:rPr>
          <w:rFonts w:cstheme="minorHAnsi"/>
        </w:rPr>
      </w:pPr>
    </w:p>
    <w:p w:rsidR="00460268" w:rsidRPr="00460268" w:rsidRDefault="00460268" w:rsidP="00460268">
      <w:pPr>
        <w:pStyle w:val="EndNoteBibliography"/>
        <w:ind w:left="720" w:hanging="720"/>
        <w:rPr>
          <w:rFonts w:asciiTheme="minorHAnsi" w:hAnsiTheme="minorHAnsi" w:cstheme="minorHAnsi"/>
          <w:noProof/>
          <w:sz w:val="22"/>
          <w:szCs w:val="22"/>
          <w:lang w:val="fr-FR"/>
        </w:rPr>
      </w:pPr>
      <w:r w:rsidRPr="00460268">
        <w:rPr>
          <w:rFonts w:asciiTheme="minorHAnsi" w:hAnsiTheme="minorHAnsi" w:cstheme="minorHAnsi"/>
          <w:sz w:val="22"/>
          <w:szCs w:val="22"/>
          <w:lang w:val="fr-FR"/>
        </w:rPr>
        <w:fldChar w:fldCharType="begin"/>
      </w:r>
      <w:r w:rsidRPr="00460268">
        <w:rPr>
          <w:rFonts w:asciiTheme="minorHAnsi" w:hAnsiTheme="minorHAnsi" w:cstheme="minorHAnsi"/>
          <w:sz w:val="22"/>
          <w:szCs w:val="22"/>
          <w:lang w:val="fr-FR"/>
        </w:rPr>
        <w:instrText xml:space="preserve"> ADDIN EN.REFLIST </w:instrText>
      </w:r>
      <w:r w:rsidRPr="00460268">
        <w:rPr>
          <w:rFonts w:asciiTheme="minorHAnsi" w:hAnsiTheme="minorHAnsi" w:cstheme="minorHAnsi"/>
          <w:sz w:val="22"/>
          <w:szCs w:val="22"/>
          <w:lang w:val="fr-FR"/>
        </w:rPr>
        <w:fldChar w:fldCharType="separate"/>
      </w:r>
      <w:r w:rsidRPr="00460268">
        <w:rPr>
          <w:rFonts w:asciiTheme="minorHAnsi" w:hAnsiTheme="minorHAnsi" w:cstheme="minorHAnsi"/>
          <w:noProof/>
          <w:sz w:val="22"/>
          <w:szCs w:val="22"/>
          <w:lang w:val="fr-FR"/>
        </w:rPr>
        <w:t>1</w:t>
      </w:r>
      <w:r w:rsidRPr="00460268">
        <w:rPr>
          <w:rFonts w:asciiTheme="minorHAnsi" w:hAnsiTheme="minorHAnsi" w:cstheme="minorHAnsi"/>
          <w:noProof/>
          <w:sz w:val="22"/>
          <w:szCs w:val="22"/>
          <w:lang w:val="fr-FR"/>
        </w:rPr>
        <w:tab/>
        <w:t xml:space="preserve">Millet, J. K. &amp; Whittaker, G. R. Host cell entry of Middle East respiratory syndrome coronavirus after two-step, furin-mediated activation of the spike protein. </w:t>
      </w:r>
      <w:r w:rsidRPr="00460268">
        <w:rPr>
          <w:rFonts w:asciiTheme="minorHAnsi" w:hAnsiTheme="minorHAnsi" w:cstheme="minorHAnsi"/>
          <w:i/>
          <w:noProof/>
          <w:sz w:val="22"/>
          <w:szCs w:val="22"/>
          <w:lang w:val="fr-FR"/>
        </w:rPr>
        <w:t>Proceedings of the National Academy of Sciences.</w:t>
      </w:r>
      <w:r w:rsidRPr="00460268">
        <w:rPr>
          <w:rFonts w:asciiTheme="minorHAnsi" w:hAnsiTheme="minorHAnsi" w:cstheme="minorHAnsi"/>
          <w:noProof/>
          <w:sz w:val="22"/>
          <w:szCs w:val="22"/>
          <w:lang w:val="fr-FR"/>
        </w:rPr>
        <w:t xml:space="preserve"> </w:t>
      </w:r>
      <w:r w:rsidRPr="00460268">
        <w:rPr>
          <w:rFonts w:asciiTheme="minorHAnsi" w:hAnsiTheme="minorHAnsi" w:cstheme="minorHAnsi"/>
          <w:b/>
          <w:noProof/>
          <w:sz w:val="22"/>
          <w:szCs w:val="22"/>
          <w:lang w:val="fr-FR"/>
        </w:rPr>
        <w:t>111</w:t>
      </w:r>
      <w:r w:rsidRPr="00460268">
        <w:rPr>
          <w:rFonts w:asciiTheme="minorHAnsi" w:hAnsiTheme="minorHAnsi" w:cstheme="minorHAnsi"/>
          <w:noProof/>
          <w:sz w:val="22"/>
          <w:szCs w:val="22"/>
          <w:lang w:val="fr-FR"/>
        </w:rPr>
        <w:t xml:space="preserve"> (42), 15214–15219 (2014).</w:t>
      </w:r>
    </w:p>
    <w:p w:rsidR="00460268" w:rsidRPr="00460268" w:rsidRDefault="00460268" w:rsidP="00460268">
      <w:pPr>
        <w:pStyle w:val="EndNoteBibliography"/>
        <w:ind w:left="720" w:hanging="720"/>
        <w:rPr>
          <w:rFonts w:asciiTheme="minorHAnsi" w:hAnsiTheme="minorHAnsi" w:cstheme="minorHAnsi"/>
          <w:noProof/>
          <w:sz w:val="22"/>
          <w:szCs w:val="22"/>
          <w:lang w:val="fr-FR"/>
        </w:rPr>
      </w:pPr>
      <w:r w:rsidRPr="00460268">
        <w:rPr>
          <w:rFonts w:asciiTheme="minorHAnsi" w:hAnsiTheme="minorHAnsi" w:cstheme="minorHAnsi"/>
          <w:noProof/>
          <w:sz w:val="22"/>
          <w:szCs w:val="22"/>
          <w:lang w:val="fr-FR"/>
        </w:rPr>
        <w:t>2</w:t>
      </w:r>
      <w:r w:rsidRPr="00460268">
        <w:rPr>
          <w:rFonts w:asciiTheme="minorHAnsi" w:hAnsiTheme="minorHAnsi" w:cstheme="minorHAnsi"/>
          <w:noProof/>
          <w:sz w:val="22"/>
          <w:szCs w:val="22"/>
          <w:lang w:val="fr-FR"/>
        </w:rPr>
        <w:tab/>
        <w:t>Millet, J. K.</w:t>
      </w:r>
      <w:r w:rsidRPr="00460268">
        <w:rPr>
          <w:rFonts w:asciiTheme="minorHAnsi" w:hAnsiTheme="minorHAnsi" w:cstheme="minorHAnsi"/>
          <w:i/>
          <w:noProof/>
          <w:sz w:val="22"/>
          <w:szCs w:val="22"/>
          <w:lang w:val="fr-FR"/>
        </w:rPr>
        <w:t xml:space="preserve"> et al.</w:t>
      </w:r>
      <w:r w:rsidRPr="00460268">
        <w:rPr>
          <w:rFonts w:asciiTheme="minorHAnsi" w:hAnsiTheme="minorHAnsi" w:cstheme="minorHAnsi"/>
          <w:noProof/>
          <w:sz w:val="22"/>
          <w:szCs w:val="22"/>
          <w:lang w:val="fr-FR"/>
        </w:rPr>
        <w:t xml:space="preserve"> A camel-derived MERS-CoV with a variant spike protein cleavage site and distinct fusion activation properties. </w:t>
      </w:r>
      <w:r w:rsidRPr="00460268">
        <w:rPr>
          <w:rFonts w:asciiTheme="minorHAnsi" w:hAnsiTheme="minorHAnsi" w:cstheme="minorHAnsi"/>
          <w:i/>
          <w:noProof/>
          <w:sz w:val="22"/>
          <w:szCs w:val="22"/>
          <w:lang w:val="fr-FR"/>
        </w:rPr>
        <w:t>Emerging Microbes &amp; Infections.</w:t>
      </w:r>
      <w:r w:rsidRPr="00460268">
        <w:rPr>
          <w:rFonts w:asciiTheme="minorHAnsi" w:hAnsiTheme="minorHAnsi" w:cstheme="minorHAnsi"/>
          <w:noProof/>
          <w:sz w:val="22"/>
          <w:szCs w:val="22"/>
          <w:lang w:val="fr-FR"/>
        </w:rPr>
        <w:t xml:space="preserve"> </w:t>
      </w:r>
      <w:r w:rsidRPr="00460268">
        <w:rPr>
          <w:rFonts w:asciiTheme="minorHAnsi" w:hAnsiTheme="minorHAnsi" w:cstheme="minorHAnsi"/>
          <w:b/>
          <w:noProof/>
          <w:sz w:val="22"/>
          <w:szCs w:val="22"/>
          <w:lang w:val="fr-FR"/>
        </w:rPr>
        <w:t>5</w:t>
      </w:r>
      <w:r w:rsidRPr="00460268">
        <w:rPr>
          <w:rFonts w:asciiTheme="minorHAnsi" w:hAnsiTheme="minorHAnsi" w:cstheme="minorHAnsi"/>
          <w:noProof/>
          <w:sz w:val="22"/>
          <w:szCs w:val="22"/>
          <w:lang w:val="fr-FR"/>
        </w:rPr>
        <w:t xml:space="preserve"> (12), e126, doi:10.1038/emi.2016.125, (2016).</w:t>
      </w:r>
    </w:p>
    <w:p w:rsidR="00460268" w:rsidRPr="00460268" w:rsidRDefault="00460268" w:rsidP="00460268">
      <w:pPr>
        <w:pStyle w:val="EndNoteBibliography"/>
        <w:ind w:left="720" w:hanging="720"/>
        <w:rPr>
          <w:rFonts w:asciiTheme="minorHAnsi" w:hAnsiTheme="minorHAnsi" w:cstheme="minorHAnsi"/>
          <w:noProof/>
          <w:sz w:val="22"/>
          <w:szCs w:val="22"/>
          <w:lang w:val="fr-FR"/>
        </w:rPr>
      </w:pPr>
      <w:r w:rsidRPr="00460268">
        <w:rPr>
          <w:rFonts w:asciiTheme="minorHAnsi" w:hAnsiTheme="minorHAnsi" w:cstheme="minorHAnsi"/>
          <w:noProof/>
          <w:sz w:val="22"/>
          <w:szCs w:val="22"/>
          <w:lang w:val="fr-FR"/>
        </w:rPr>
        <w:t>3</w:t>
      </w:r>
      <w:r w:rsidRPr="00460268">
        <w:rPr>
          <w:rFonts w:asciiTheme="minorHAnsi" w:hAnsiTheme="minorHAnsi" w:cstheme="minorHAnsi"/>
          <w:noProof/>
          <w:sz w:val="22"/>
          <w:szCs w:val="22"/>
          <w:lang w:val="fr-FR"/>
        </w:rPr>
        <w:tab/>
        <w:t>Hamilton, B. S.</w:t>
      </w:r>
      <w:r w:rsidRPr="00460268">
        <w:rPr>
          <w:rFonts w:asciiTheme="minorHAnsi" w:hAnsiTheme="minorHAnsi" w:cstheme="minorHAnsi"/>
          <w:i/>
          <w:noProof/>
          <w:sz w:val="22"/>
          <w:szCs w:val="22"/>
          <w:lang w:val="fr-FR"/>
        </w:rPr>
        <w:t xml:space="preserve"> et al.</w:t>
      </w:r>
      <w:r w:rsidRPr="00460268">
        <w:rPr>
          <w:rFonts w:asciiTheme="minorHAnsi" w:hAnsiTheme="minorHAnsi" w:cstheme="minorHAnsi"/>
          <w:noProof/>
          <w:sz w:val="22"/>
          <w:szCs w:val="22"/>
          <w:lang w:val="fr-FR"/>
        </w:rPr>
        <w:t xml:space="preserve"> Inhibition of influenza virus infection and hemagglutinin cleavage by the protease inhibitor HAI-2. </w:t>
      </w:r>
      <w:r w:rsidRPr="00460268">
        <w:rPr>
          <w:rFonts w:asciiTheme="minorHAnsi" w:hAnsiTheme="minorHAnsi" w:cstheme="minorHAnsi"/>
          <w:i/>
          <w:noProof/>
          <w:sz w:val="22"/>
          <w:szCs w:val="22"/>
          <w:lang w:val="fr-FR"/>
        </w:rPr>
        <w:t>Biochemical and Biophysical Research Communications.</w:t>
      </w:r>
      <w:r w:rsidRPr="00460268">
        <w:rPr>
          <w:rFonts w:asciiTheme="minorHAnsi" w:hAnsiTheme="minorHAnsi" w:cstheme="minorHAnsi"/>
          <w:noProof/>
          <w:sz w:val="22"/>
          <w:szCs w:val="22"/>
          <w:lang w:val="fr-FR"/>
        </w:rPr>
        <w:t xml:space="preserve"> </w:t>
      </w:r>
      <w:r w:rsidRPr="00460268">
        <w:rPr>
          <w:rFonts w:asciiTheme="minorHAnsi" w:hAnsiTheme="minorHAnsi" w:cstheme="minorHAnsi"/>
          <w:b/>
          <w:noProof/>
          <w:sz w:val="22"/>
          <w:szCs w:val="22"/>
          <w:lang w:val="fr-FR"/>
        </w:rPr>
        <w:t>450</w:t>
      </w:r>
      <w:r w:rsidRPr="00460268">
        <w:rPr>
          <w:rFonts w:asciiTheme="minorHAnsi" w:hAnsiTheme="minorHAnsi" w:cstheme="minorHAnsi"/>
          <w:noProof/>
          <w:sz w:val="22"/>
          <w:szCs w:val="22"/>
          <w:lang w:val="fr-FR"/>
        </w:rPr>
        <w:t xml:space="preserve"> (2), 1070-1075, doi:http://dx.doi.org/10.1016/j.bbrc.2014.06.109, (2014).</w:t>
      </w:r>
    </w:p>
    <w:p w:rsidR="00460268" w:rsidRPr="00460268" w:rsidRDefault="00460268" w:rsidP="00460268">
      <w:pPr>
        <w:spacing w:line="240" w:lineRule="auto"/>
        <w:jc w:val="both"/>
        <w:rPr>
          <w:rFonts w:cstheme="minorHAnsi"/>
        </w:rPr>
      </w:pPr>
      <w:r w:rsidRPr="00460268">
        <w:rPr>
          <w:rFonts w:cstheme="minorHAnsi"/>
        </w:rPr>
        <w:fldChar w:fldCharType="end"/>
      </w:r>
    </w:p>
    <w:p w:rsidR="00460268" w:rsidRPr="00460268" w:rsidRDefault="00460268" w:rsidP="00460268">
      <w:pPr>
        <w:spacing w:after="0" w:line="240" w:lineRule="auto"/>
        <w:rPr>
          <w:rFonts w:cstheme="minorHAnsi"/>
        </w:rPr>
      </w:pPr>
    </w:p>
    <w:sectPr w:rsidR="00460268" w:rsidRPr="00460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E5"/>
    <w:rsid w:val="00096633"/>
    <w:rsid w:val="000A4FE5"/>
    <w:rsid w:val="00122135"/>
    <w:rsid w:val="003A294B"/>
    <w:rsid w:val="003A47A2"/>
    <w:rsid w:val="00460268"/>
    <w:rsid w:val="00844C73"/>
    <w:rsid w:val="009134F0"/>
    <w:rsid w:val="00AC5C7C"/>
    <w:rsid w:val="00B1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6703"/>
  <w15:chartTrackingRefBased/>
  <w15:docId w15:val="{3ED53753-7389-4F1D-835F-8FD38B83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FE5"/>
    <w:rPr>
      <w:b/>
      <w:bCs/>
    </w:rPr>
  </w:style>
  <w:style w:type="character" w:styleId="CommentReference">
    <w:name w:val="annotation reference"/>
    <w:basedOn w:val="DefaultParagraphFont"/>
    <w:uiPriority w:val="99"/>
    <w:semiHidden/>
    <w:unhideWhenUsed/>
    <w:rsid w:val="00460268"/>
    <w:rPr>
      <w:sz w:val="16"/>
      <w:szCs w:val="16"/>
    </w:rPr>
  </w:style>
  <w:style w:type="paragraph" w:styleId="CommentText">
    <w:name w:val="annotation text"/>
    <w:basedOn w:val="Normal"/>
    <w:link w:val="CommentTextChar"/>
    <w:uiPriority w:val="99"/>
    <w:semiHidden/>
    <w:unhideWhenUsed/>
    <w:rsid w:val="00460268"/>
    <w:pPr>
      <w:spacing w:after="0" w:line="240" w:lineRule="auto"/>
    </w:pPr>
    <w:rPr>
      <w:rFonts w:ascii="Helvetica" w:hAnsi="Helvetica" w:cs="Times New Roman (Body CS)"/>
      <w:sz w:val="20"/>
      <w:szCs w:val="20"/>
      <w:lang w:val="fr-FR"/>
    </w:rPr>
  </w:style>
  <w:style w:type="character" w:customStyle="1" w:styleId="CommentTextChar">
    <w:name w:val="Comment Text Char"/>
    <w:basedOn w:val="DefaultParagraphFont"/>
    <w:link w:val="CommentText"/>
    <w:uiPriority w:val="99"/>
    <w:semiHidden/>
    <w:rsid w:val="00460268"/>
    <w:rPr>
      <w:rFonts w:ascii="Helvetica" w:hAnsi="Helvetica" w:cs="Times New Roman (Body CS)"/>
      <w:sz w:val="20"/>
      <w:szCs w:val="20"/>
      <w:lang w:val="fr-FR"/>
    </w:rPr>
  </w:style>
  <w:style w:type="paragraph" w:customStyle="1" w:styleId="EndNoteBibliography">
    <w:name w:val="EndNote Bibliography"/>
    <w:basedOn w:val="Normal"/>
    <w:link w:val="EndNoteBibliographyChar"/>
    <w:rsid w:val="00460268"/>
    <w:pPr>
      <w:spacing w:after="0" w:line="240" w:lineRule="auto"/>
      <w:jc w:val="both"/>
    </w:pPr>
    <w:rPr>
      <w:rFonts w:ascii="Helvetica" w:hAnsi="Helvetica" w:cs="Times New Roman (Body CS)"/>
      <w:sz w:val="20"/>
      <w:szCs w:val="20"/>
    </w:rPr>
  </w:style>
  <w:style w:type="character" w:customStyle="1" w:styleId="EndNoteBibliographyChar">
    <w:name w:val="EndNote Bibliography Char"/>
    <w:basedOn w:val="DefaultParagraphFont"/>
    <w:link w:val="EndNoteBibliography"/>
    <w:rsid w:val="00460268"/>
    <w:rPr>
      <w:rFonts w:ascii="Helvetica" w:hAnsi="Helvetica" w:cs="Times New Roman (Body CS)"/>
      <w:sz w:val="20"/>
      <w:szCs w:val="20"/>
    </w:rPr>
  </w:style>
  <w:style w:type="paragraph" w:styleId="BalloonText">
    <w:name w:val="Balloon Text"/>
    <w:basedOn w:val="Normal"/>
    <w:link w:val="BalloonTextChar"/>
    <w:uiPriority w:val="99"/>
    <w:semiHidden/>
    <w:unhideWhenUsed/>
    <w:rsid w:val="00460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Straus</dc:creator>
  <cp:keywords/>
  <dc:description/>
  <cp:lastModifiedBy>Marco Straus</cp:lastModifiedBy>
  <cp:revision>2</cp:revision>
  <dcterms:created xsi:type="dcterms:W3CDTF">2018-09-10T20:57:00Z</dcterms:created>
  <dcterms:modified xsi:type="dcterms:W3CDTF">2018-09-10T20:57:00Z</dcterms:modified>
</cp:coreProperties>
</file>