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3D1" w:rsidRPr="008B13D1" w:rsidRDefault="008B13D1" w:rsidP="008B13D1">
      <w:pPr>
        <w:ind w:left="720" w:hanging="360"/>
        <w:rPr>
          <w:b/>
          <w:u w:val="single"/>
        </w:rPr>
      </w:pPr>
      <w:r w:rsidRPr="008B13D1">
        <w:rPr>
          <w:b/>
          <w:u w:val="single"/>
        </w:rPr>
        <w:t xml:space="preserve">Video comments </w:t>
      </w:r>
    </w:p>
    <w:p w:rsidR="007901F4" w:rsidRPr="00E70017" w:rsidRDefault="007901F4" w:rsidP="008B13D1">
      <w:pPr>
        <w:pStyle w:val="NormalWeb"/>
        <w:numPr>
          <w:ilvl w:val="0"/>
          <w:numId w:val="1"/>
        </w:numPr>
        <w:rPr>
          <w:rFonts w:ascii="-webkit-standard" w:hAnsi="-webkit-standard"/>
          <w:color w:val="000000"/>
          <w:lang w:val="en-US"/>
        </w:rPr>
      </w:pPr>
      <w:r w:rsidRPr="00E70017">
        <w:rPr>
          <w:rFonts w:ascii="-webkit-standard" w:hAnsi="-webkit-standard"/>
          <w:color w:val="000000"/>
          <w:lang w:val="en-US"/>
        </w:rPr>
        <w:t>Keep in mind that your</w:t>
      </w:r>
      <w:r w:rsidRPr="00E70017">
        <w:rPr>
          <w:rStyle w:val="apple-converted-space"/>
          <w:rFonts w:ascii="-webkit-standard" w:hAnsi="-webkit-standard"/>
          <w:color w:val="000000"/>
          <w:lang w:val="en-US"/>
        </w:rPr>
        <w:t> </w:t>
      </w:r>
      <w:proofErr w:type="spellStart"/>
      <w:r w:rsidRPr="00E70017">
        <w:rPr>
          <w:rFonts w:ascii="-webkit-standard" w:hAnsi="-webkit-standard"/>
          <w:color w:val="000000"/>
          <w:lang w:val="en-US"/>
        </w:rPr>
        <w:t>JoVE</w:t>
      </w:r>
      <w:proofErr w:type="spellEnd"/>
      <w:r w:rsidRPr="00E70017">
        <w:rPr>
          <w:rStyle w:val="apple-converted-space"/>
          <w:rFonts w:ascii="-webkit-standard" w:hAnsi="-webkit-standard"/>
          <w:color w:val="000000"/>
          <w:lang w:val="en-US"/>
        </w:rPr>
        <w:t> </w:t>
      </w:r>
      <w:r w:rsidRPr="00E70017">
        <w:rPr>
          <w:rFonts w:ascii="-webkit-standard" w:hAnsi="-webkit-standard"/>
          <w:color w:val="000000"/>
          <w:lang w:val="en-US"/>
        </w:rPr>
        <w:t>submission also has a text component, which you should preview at this point as well, to make sure that the protocol is current and has been modified to address all comments and modifications that resulted from the editorial work done during scripting. Please upload a modified protocol and figures if necessary.</w:t>
      </w:r>
    </w:p>
    <w:p w:rsidR="006D5900" w:rsidRDefault="00E70017" w:rsidP="008B13D1">
      <w:pPr>
        <w:ind w:left="720"/>
        <w:rPr>
          <w:color w:val="FF0000"/>
        </w:rPr>
      </w:pPr>
      <w:r>
        <w:rPr>
          <w:color w:val="FF0000"/>
        </w:rPr>
        <w:t xml:space="preserve">Is the script or the manuscript meant by </w:t>
      </w:r>
      <w:proofErr w:type="gramStart"/>
      <w:r>
        <w:rPr>
          <w:color w:val="FF0000"/>
        </w:rPr>
        <w:t>this ?</w:t>
      </w:r>
      <w:proofErr w:type="gramEnd"/>
      <w:r>
        <w:rPr>
          <w:color w:val="FF0000"/>
        </w:rPr>
        <w:t xml:space="preserve"> </w:t>
      </w:r>
    </w:p>
    <w:p w:rsidR="00E70017" w:rsidRDefault="00E70017" w:rsidP="008B13D1">
      <w:pPr>
        <w:ind w:left="720"/>
        <w:rPr>
          <w:color w:val="FF0000"/>
        </w:rPr>
      </w:pPr>
    </w:p>
    <w:p w:rsidR="00E70017" w:rsidRDefault="00E70017" w:rsidP="008B13D1">
      <w:pPr>
        <w:ind w:left="720"/>
        <w:rPr>
          <w:color w:val="FF0000"/>
        </w:rPr>
      </w:pPr>
      <w:r>
        <w:rPr>
          <w:color w:val="FF0000"/>
        </w:rPr>
        <w:t xml:space="preserve">Unfortunately, we found a mistake in the protocol within the manuscript within equation 1, it should be nmol/mg TE instead of </w:t>
      </w:r>
      <w:proofErr w:type="spellStart"/>
      <w:r>
        <w:rPr>
          <w:color w:val="FF0000"/>
        </w:rPr>
        <w:t>fmol</w:t>
      </w:r>
      <w:proofErr w:type="spellEnd"/>
      <w:r>
        <w:rPr>
          <w:color w:val="FF0000"/>
        </w:rPr>
        <w:t>/mg TE</w:t>
      </w:r>
      <w:r w:rsidR="008B13D1">
        <w:rPr>
          <w:color w:val="FF0000"/>
        </w:rPr>
        <w:t xml:space="preserve">. </w:t>
      </w:r>
    </w:p>
    <w:p w:rsidR="008B13D1" w:rsidRDefault="008B13D1" w:rsidP="008B13D1">
      <w:pPr>
        <w:ind w:left="720"/>
        <w:rPr>
          <w:color w:val="FF0000"/>
        </w:rPr>
      </w:pPr>
    </w:p>
    <w:p w:rsidR="008B13D1" w:rsidRDefault="008B13D1" w:rsidP="008B13D1">
      <w:pPr>
        <w:ind w:left="720"/>
        <w:rPr>
          <w:color w:val="FF0000"/>
        </w:rPr>
      </w:pPr>
      <w:r>
        <w:rPr>
          <w:color w:val="FF0000"/>
        </w:rPr>
        <w:t xml:space="preserve">The correct version of step 5.8 is: </w:t>
      </w:r>
    </w:p>
    <w:p w:rsidR="008B13D1" w:rsidRPr="008B13D1" w:rsidRDefault="008B13D1" w:rsidP="008B13D1">
      <w:pPr>
        <w:spacing w:before="100" w:beforeAutospacing="1" w:after="100" w:afterAutospacing="1"/>
        <w:ind w:left="720"/>
        <w:rPr>
          <w:rFonts w:ascii="ArialMT" w:eastAsia="Times New Roman" w:hAnsi="ArialMT" w:cs="Times New Roman"/>
          <w:color w:val="FF0000"/>
          <w:sz w:val="16"/>
          <w:szCs w:val="16"/>
          <w:lang w:val="en-US"/>
        </w:rPr>
      </w:pPr>
      <w:r w:rsidRPr="008B13D1">
        <w:rPr>
          <w:rFonts w:ascii="ArialMT" w:eastAsia="Times New Roman" w:hAnsi="ArialMT" w:cs="Times New Roman"/>
          <w:color w:val="FF0000"/>
          <w:sz w:val="16"/>
          <w:szCs w:val="16"/>
          <w:lang w:val="en-US"/>
        </w:rPr>
        <w:t xml:space="preserve">Express binding by conversion of </w:t>
      </w:r>
      <w:proofErr w:type="spellStart"/>
      <w:r w:rsidRPr="008B13D1">
        <w:rPr>
          <w:rFonts w:ascii="ArialMT" w:eastAsia="Times New Roman" w:hAnsi="ArialMT" w:cs="Times New Roman"/>
          <w:color w:val="FF0000"/>
          <w:sz w:val="16"/>
          <w:szCs w:val="16"/>
          <w:lang w:val="en-US"/>
        </w:rPr>
        <w:t>nCi</w:t>
      </w:r>
      <w:proofErr w:type="spellEnd"/>
      <w:r w:rsidRPr="008B13D1">
        <w:rPr>
          <w:rFonts w:ascii="ArialMT" w:eastAsia="Times New Roman" w:hAnsi="ArialMT" w:cs="Times New Roman"/>
          <w:color w:val="FF0000"/>
          <w:sz w:val="16"/>
          <w:szCs w:val="16"/>
          <w:lang w:val="en-US"/>
        </w:rPr>
        <w:t>/mg to nmol/mg TE according to the specific activity of the radioligand (Equation 1)</w:t>
      </w:r>
    </w:p>
    <w:p w:rsidR="00E70017" w:rsidRDefault="008B13D1" w:rsidP="008B13D1">
      <w:pPr>
        <w:ind w:left="720"/>
        <w:rPr>
          <w:color w:val="FF0000"/>
        </w:rPr>
      </w:pPr>
      <m:oMath>
        <m:r>
          <m:rPr>
            <m:sty m:val="p"/>
          </m:rPr>
          <w:rPr>
            <w:rFonts w:ascii="Cambria Math" w:hAnsi="Cambria Math" w:cstheme="minorHAnsi"/>
            <w:color w:val="FF0000"/>
          </w:rPr>
          <m:t>l</m:t>
        </m:r>
        <m:r>
          <m:rPr>
            <m:sty m:val="p"/>
          </m:rPr>
          <w:rPr>
            <w:rFonts w:ascii="Cambria Math" w:hAnsi="Cambria Math" w:cstheme="minorHAnsi"/>
            <w:color w:val="FF0000"/>
          </w:rPr>
          <m:t>igand binding</m:t>
        </m:r>
        <m:d>
          <m:dPr>
            <m:begChr m:val="["/>
            <m:endChr m:val="]"/>
            <m:ctrlPr>
              <w:rPr>
                <w:rFonts w:ascii="Cambria Math" w:hAnsi="Cambria Math" w:cstheme="minorHAnsi"/>
                <w:color w:val="FF0000"/>
              </w:rPr>
            </m:ctrlPr>
          </m:dPr>
          <m:e>
            <m:f>
              <m:fPr>
                <m:ctrlPr>
                  <w:rPr>
                    <w:rFonts w:ascii="Cambria Math" w:hAnsi="Cambria Math" w:cstheme="minorHAnsi"/>
                    <w:color w:val="FF0000"/>
                  </w:rPr>
                </m:ctrlPr>
              </m:fPr>
              <m:num>
                <m:r>
                  <m:rPr>
                    <m:sty m:val="p"/>
                  </m:rPr>
                  <w:rPr>
                    <w:rFonts w:ascii="Cambria Math" w:hAnsi="Cambria Math" w:cstheme="minorHAnsi"/>
                    <w:color w:val="FF0000"/>
                  </w:rPr>
                  <m:t>n</m:t>
                </m:r>
                <m:r>
                  <m:rPr>
                    <m:sty m:val="p"/>
                  </m:rPr>
                  <w:rPr>
                    <w:rFonts w:ascii="Cambria Math" w:hAnsi="Cambria Math" w:cstheme="minorHAnsi"/>
                    <w:color w:val="FF0000"/>
                  </w:rPr>
                  <m:t>mol</m:t>
                </m:r>
              </m:num>
              <m:den>
                <m:r>
                  <m:rPr>
                    <m:sty m:val="p"/>
                  </m:rPr>
                  <w:rPr>
                    <w:rFonts w:ascii="Cambria Math" w:hAnsi="Cambria Math" w:cstheme="minorHAnsi"/>
                    <w:color w:val="FF0000"/>
                  </w:rPr>
                  <m:t>mg</m:t>
                </m:r>
              </m:den>
            </m:f>
            <m:r>
              <m:rPr>
                <m:sty m:val="p"/>
              </m:rPr>
              <w:rPr>
                <w:rFonts w:ascii="Cambria Math" w:hAnsi="Cambria Math" w:cstheme="minorHAnsi"/>
                <w:color w:val="FF0000"/>
              </w:rPr>
              <m:t xml:space="preserve"> TE</m:t>
            </m:r>
          </m:e>
        </m:d>
        <m:r>
          <m:rPr>
            <m:sty m:val="p"/>
          </m:rPr>
          <w:rPr>
            <w:rFonts w:ascii="Cambria Math" w:hAnsi="Cambria Math" w:cstheme="minorHAnsi"/>
            <w:color w:val="FF0000"/>
          </w:rPr>
          <m:t>=1000*</m:t>
        </m:r>
        <m:f>
          <m:fPr>
            <m:ctrlPr>
              <w:rPr>
                <w:rFonts w:ascii="Cambria Math" w:hAnsi="Cambria Math" w:cstheme="minorHAnsi"/>
                <w:color w:val="FF0000"/>
              </w:rPr>
            </m:ctrlPr>
          </m:fPr>
          <m:num>
            <m:r>
              <m:rPr>
                <m:sty m:val="p"/>
              </m:rPr>
              <w:rPr>
                <w:rFonts w:ascii="Cambria Math" w:hAnsi="Cambria Math" w:cstheme="minorHAnsi"/>
                <w:color w:val="FF0000"/>
              </w:rPr>
              <m:t xml:space="preserve">binding </m:t>
            </m:r>
            <m:d>
              <m:dPr>
                <m:begChr m:val="["/>
                <m:endChr m:val="]"/>
                <m:ctrlPr>
                  <w:rPr>
                    <w:rFonts w:ascii="Cambria Math" w:hAnsi="Cambria Math" w:cstheme="minorHAnsi"/>
                    <w:color w:val="FF0000"/>
                  </w:rPr>
                </m:ctrlPr>
              </m:dPr>
              <m:e>
                <m:f>
                  <m:fPr>
                    <m:ctrlPr>
                      <w:rPr>
                        <w:rFonts w:ascii="Cambria Math" w:hAnsi="Cambria Math" w:cstheme="minorHAnsi"/>
                        <w:color w:val="FF0000"/>
                      </w:rPr>
                    </m:ctrlPr>
                  </m:fPr>
                  <m:num>
                    <m:r>
                      <m:rPr>
                        <m:sty m:val="p"/>
                      </m:rPr>
                      <w:rPr>
                        <w:rFonts w:ascii="Cambria Math" w:hAnsi="Cambria Math" w:cstheme="minorHAnsi"/>
                        <w:color w:val="FF0000"/>
                      </w:rPr>
                      <m:t>nCi</m:t>
                    </m:r>
                  </m:num>
                  <m:den>
                    <m:r>
                      <m:rPr>
                        <m:sty m:val="p"/>
                      </m:rPr>
                      <w:rPr>
                        <w:rFonts w:ascii="Cambria Math" w:hAnsi="Cambria Math" w:cstheme="minorHAnsi"/>
                        <w:color w:val="FF0000"/>
                      </w:rPr>
                      <m:t>mg</m:t>
                    </m:r>
                  </m:den>
                </m:f>
                <m:r>
                  <m:rPr>
                    <m:sty m:val="p"/>
                  </m:rPr>
                  <w:rPr>
                    <w:rFonts w:ascii="Cambria Math" w:hAnsi="Cambria Math" w:cstheme="minorHAnsi"/>
                    <w:color w:val="FF0000"/>
                  </w:rPr>
                  <m:t xml:space="preserve"> TE</m:t>
                </m:r>
              </m:e>
            </m:d>
          </m:num>
          <m:den>
            <m:r>
              <m:rPr>
                <m:sty m:val="p"/>
              </m:rPr>
              <w:rPr>
                <w:rFonts w:ascii="Cambria Math" w:hAnsi="Cambria Math" w:cstheme="minorHAnsi"/>
                <w:color w:val="FF0000"/>
              </w:rPr>
              <m:t>specific activity</m:t>
            </m:r>
            <m:d>
              <m:dPr>
                <m:begChr m:val="["/>
                <m:endChr m:val="]"/>
                <m:ctrlPr>
                  <w:rPr>
                    <w:rFonts w:ascii="Cambria Math" w:hAnsi="Cambria Math" w:cstheme="minorHAnsi"/>
                    <w:color w:val="FF0000"/>
                  </w:rPr>
                </m:ctrlPr>
              </m:dPr>
              <m:e>
                <m:f>
                  <m:fPr>
                    <m:ctrlPr>
                      <w:rPr>
                        <w:rFonts w:ascii="Cambria Math" w:hAnsi="Cambria Math" w:cstheme="minorHAnsi"/>
                        <w:color w:val="FF0000"/>
                      </w:rPr>
                    </m:ctrlPr>
                  </m:fPr>
                  <m:num>
                    <m:r>
                      <m:rPr>
                        <m:sty m:val="p"/>
                      </m:rPr>
                      <w:rPr>
                        <w:rFonts w:ascii="Cambria Math" w:hAnsi="Cambria Math" w:cstheme="minorHAnsi"/>
                        <w:color w:val="FF0000"/>
                      </w:rPr>
                      <m:t>Ci</m:t>
                    </m:r>
                  </m:num>
                  <m:den>
                    <m:r>
                      <m:rPr>
                        <m:sty m:val="p"/>
                      </m:rPr>
                      <w:rPr>
                        <w:rFonts w:ascii="Cambria Math" w:hAnsi="Cambria Math" w:cstheme="minorHAnsi"/>
                        <w:color w:val="FF0000"/>
                      </w:rPr>
                      <m:t>mmol</m:t>
                    </m:r>
                  </m:den>
                </m:f>
              </m:e>
            </m:d>
          </m:den>
        </m:f>
      </m:oMath>
      <w:r w:rsidR="00E70017" w:rsidRPr="00E70017">
        <w:rPr>
          <w:rFonts w:eastAsiaTheme="minorEastAsia" w:cstheme="minorHAnsi"/>
          <w:color w:val="FF0000"/>
        </w:rPr>
        <w:t xml:space="preserve">               </w:t>
      </w:r>
      <w:r w:rsidR="00E70017" w:rsidRPr="006B2FA4">
        <w:rPr>
          <w:rFonts w:eastAsiaTheme="minorEastAsia" w:cstheme="minorHAnsi"/>
        </w:rPr>
        <w:t xml:space="preserve">           </w:t>
      </w:r>
    </w:p>
    <w:p w:rsidR="00E70017" w:rsidRDefault="00E70017">
      <w:pPr>
        <w:rPr>
          <w:color w:val="FF0000"/>
        </w:rPr>
      </w:pPr>
    </w:p>
    <w:p w:rsidR="008B13D1" w:rsidRDefault="00891EE0" w:rsidP="008B13D1">
      <w:pPr>
        <w:pStyle w:val="ListParagraph"/>
        <w:numPr>
          <w:ilvl w:val="0"/>
          <w:numId w:val="1"/>
        </w:numPr>
        <w:rPr>
          <w:color w:val="000000" w:themeColor="text1"/>
        </w:rPr>
      </w:pPr>
      <w:r>
        <w:rPr>
          <w:color w:val="000000" w:themeColor="text1"/>
        </w:rPr>
        <w:t>Minute 00:36: The numbering starts with ‘II.’  even though it is the first step of the protocol, all subsequent numbers should be adjusted</w:t>
      </w:r>
    </w:p>
    <w:p w:rsidR="00E70017" w:rsidRDefault="008B13D1" w:rsidP="008B13D1">
      <w:pPr>
        <w:pStyle w:val="ListParagraph"/>
        <w:numPr>
          <w:ilvl w:val="0"/>
          <w:numId w:val="1"/>
        </w:numPr>
        <w:rPr>
          <w:color w:val="000000" w:themeColor="text1"/>
        </w:rPr>
      </w:pPr>
      <w:r>
        <w:rPr>
          <w:color w:val="000000" w:themeColor="text1"/>
        </w:rPr>
        <w:t>Minute 00:49: CO</w:t>
      </w:r>
      <w:r>
        <w:rPr>
          <w:color w:val="000000" w:themeColor="text1"/>
          <w:vertAlign w:val="subscript"/>
        </w:rPr>
        <w:t>2</w:t>
      </w:r>
      <w:r>
        <w:rPr>
          <w:color w:val="000000" w:themeColor="text1"/>
        </w:rPr>
        <w:t xml:space="preserve"> instead of CO2</w:t>
      </w:r>
    </w:p>
    <w:p w:rsidR="00891EE0" w:rsidRDefault="00891EE0" w:rsidP="008B13D1">
      <w:pPr>
        <w:pStyle w:val="ListParagraph"/>
        <w:numPr>
          <w:ilvl w:val="0"/>
          <w:numId w:val="1"/>
        </w:numPr>
        <w:rPr>
          <w:color w:val="000000" w:themeColor="text1"/>
        </w:rPr>
      </w:pPr>
      <w:r>
        <w:rPr>
          <w:color w:val="000000" w:themeColor="text1"/>
        </w:rPr>
        <w:t xml:space="preserve">Minute 02:31: ‘assay’ is pronounced wrong, an audio file with the correct </w:t>
      </w:r>
      <w:r w:rsidRPr="00891EE0">
        <w:rPr>
          <w:color w:val="000000" w:themeColor="text1"/>
        </w:rPr>
        <w:t>pronunciation</w:t>
      </w:r>
      <w:r>
        <w:rPr>
          <w:color w:val="000000" w:themeColor="text1"/>
        </w:rPr>
        <w:t xml:space="preserve"> will be uploaded as well. Adjust the subsequent pronunciations</w:t>
      </w:r>
    </w:p>
    <w:p w:rsidR="00891EE0" w:rsidRPr="00891EE0" w:rsidRDefault="00891EE0" w:rsidP="008B13D1">
      <w:pPr>
        <w:pStyle w:val="ListParagraph"/>
        <w:numPr>
          <w:ilvl w:val="0"/>
          <w:numId w:val="1"/>
        </w:numPr>
        <w:rPr>
          <w:color w:val="000000" w:themeColor="text1"/>
        </w:rPr>
      </w:pPr>
      <w:r>
        <w:rPr>
          <w:color w:val="000000" w:themeColor="text1"/>
        </w:rPr>
        <w:t xml:space="preserve">Minute: 03:02: Adjust sentence: </w:t>
      </w:r>
      <w:r w:rsidRPr="00891EE0">
        <w:rPr>
          <w:rFonts w:ascii="Helvetica" w:hAnsi="Helvetica" w:cs="Arial"/>
          <w:i/>
          <w:sz w:val="22"/>
          <w:szCs w:val="22"/>
        </w:rPr>
        <w:t>Pre-incubate at a relevant temperature for 30 minutes on a plate shaker</w:t>
      </w:r>
      <w:r w:rsidRPr="00891EE0">
        <w:rPr>
          <w:rFonts w:ascii="Helvetica" w:hAnsi="Helvetica" w:cs="Arial"/>
          <w:i/>
          <w:sz w:val="22"/>
          <w:szCs w:val="22"/>
        </w:rPr>
        <w:t xml:space="preserve"> </w:t>
      </w:r>
      <w:r w:rsidRPr="00891EE0">
        <w:rPr>
          <w:rFonts w:ascii="Helvetica" w:hAnsi="Helvetica" w:cs="Arial"/>
          <w:i/>
          <w:color w:val="FF0000"/>
          <w:sz w:val="22"/>
          <w:szCs w:val="22"/>
        </w:rPr>
        <w:t>set to</w:t>
      </w:r>
      <w:r w:rsidRPr="00891EE0">
        <w:rPr>
          <w:rFonts w:ascii="Helvetica" w:hAnsi="Helvetica" w:cs="Arial"/>
          <w:i/>
          <w:sz w:val="22"/>
          <w:szCs w:val="22"/>
        </w:rPr>
        <w:t xml:space="preserve"> 20 rpm </w:t>
      </w:r>
      <w:r w:rsidRPr="00891EE0">
        <w:rPr>
          <w:rFonts w:ascii="Helvetica" w:hAnsi="Helvetica" w:cs="Arial"/>
          <w:b/>
          <w:i/>
          <w:sz w:val="22"/>
          <w:szCs w:val="22"/>
        </w:rPr>
        <w:t>[2]</w:t>
      </w:r>
      <w:r w:rsidRPr="00891EE0">
        <w:rPr>
          <w:rFonts w:ascii="Helvetica" w:hAnsi="Helvetica" w:cs="Arial"/>
          <w:i/>
          <w:sz w:val="22"/>
          <w:szCs w:val="22"/>
        </w:rPr>
        <w:t>.</w:t>
      </w:r>
    </w:p>
    <w:p w:rsidR="00891EE0" w:rsidRDefault="00891EE0" w:rsidP="00891EE0">
      <w:pPr>
        <w:pStyle w:val="ListParagraph"/>
        <w:numPr>
          <w:ilvl w:val="0"/>
          <w:numId w:val="1"/>
        </w:numPr>
        <w:rPr>
          <w:color w:val="000000" w:themeColor="text1"/>
        </w:rPr>
      </w:pPr>
      <w:r>
        <w:rPr>
          <w:color w:val="000000" w:themeColor="text1"/>
        </w:rPr>
        <w:t>Minute 0</w:t>
      </w:r>
      <w:r>
        <w:rPr>
          <w:color w:val="000000" w:themeColor="text1"/>
        </w:rPr>
        <w:t>3</w:t>
      </w:r>
      <w:r>
        <w:rPr>
          <w:color w:val="000000" w:themeColor="text1"/>
        </w:rPr>
        <w:t>:</w:t>
      </w:r>
      <w:r>
        <w:rPr>
          <w:color w:val="000000" w:themeColor="text1"/>
        </w:rPr>
        <w:t>19</w:t>
      </w:r>
      <w:r>
        <w:rPr>
          <w:color w:val="000000" w:themeColor="text1"/>
        </w:rPr>
        <w:t>: ‘</w:t>
      </w:r>
      <w:r>
        <w:rPr>
          <w:color w:val="000000" w:themeColor="text1"/>
        </w:rPr>
        <w:t>radioligand</w:t>
      </w:r>
      <w:r>
        <w:rPr>
          <w:color w:val="000000" w:themeColor="text1"/>
        </w:rPr>
        <w:t xml:space="preserve">’ is pronounced wrong, an audio file with the correct </w:t>
      </w:r>
      <w:r w:rsidRPr="00891EE0">
        <w:rPr>
          <w:color w:val="000000" w:themeColor="text1"/>
        </w:rPr>
        <w:t>pronunciation</w:t>
      </w:r>
      <w:r>
        <w:rPr>
          <w:color w:val="000000" w:themeColor="text1"/>
        </w:rPr>
        <w:t xml:space="preserve"> will be uploaded as well. Adjust the subsequent pronunciations</w:t>
      </w:r>
    </w:p>
    <w:p w:rsidR="000B5E0D" w:rsidRPr="000B5E0D" w:rsidRDefault="000B5E0D" w:rsidP="000B5E0D">
      <w:pPr>
        <w:pStyle w:val="ListParagraph"/>
        <w:numPr>
          <w:ilvl w:val="0"/>
          <w:numId w:val="1"/>
        </w:numPr>
        <w:rPr>
          <w:color w:val="000000" w:themeColor="text1"/>
        </w:rPr>
      </w:pPr>
      <w:r w:rsidRPr="000B5E0D">
        <w:rPr>
          <w:color w:val="000000" w:themeColor="text1"/>
        </w:rPr>
        <w:t xml:space="preserve">Minute 03:22: For the determination of non-specific binding, supplement assay buffer with </w:t>
      </w:r>
      <w:r w:rsidRPr="000B5E0D">
        <w:rPr>
          <w:color w:val="FF0000"/>
        </w:rPr>
        <w:t>a</w:t>
      </w:r>
      <w:r>
        <w:rPr>
          <w:color w:val="000000" w:themeColor="text1"/>
        </w:rPr>
        <w:t xml:space="preserve"> </w:t>
      </w:r>
      <w:r w:rsidRPr="000B5E0D">
        <w:rPr>
          <w:color w:val="000000" w:themeColor="text1"/>
        </w:rPr>
        <w:t xml:space="preserve">relevant concentration of </w:t>
      </w:r>
      <w:proofErr w:type="spellStart"/>
      <w:r w:rsidRPr="000B5E0D">
        <w:rPr>
          <w:color w:val="000000" w:themeColor="text1"/>
        </w:rPr>
        <w:t>unlabeled</w:t>
      </w:r>
      <w:proofErr w:type="spellEnd"/>
      <w:r w:rsidRPr="000B5E0D">
        <w:rPr>
          <w:color w:val="000000" w:themeColor="text1"/>
        </w:rPr>
        <w:t xml:space="preserve"> compound [3].</w:t>
      </w:r>
    </w:p>
    <w:p w:rsidR="00891EE0" w:rsidRPr="000B5E0D" w:rsidRDefault="000B5E0D" w:rsidP="008B13D1">
      <w:pPr>
        <w:pStyle w:val="ListParagraph"/>
        <w:numPr>
          <w:ilvl w:val="0"/>
          <w:numId w:val="1"/>
        </w:numPr>
        <w:rPr>
          <w:color w:val="000000" w:themeColor="text1"/>
        </w:rPr>
      </w:pPr>
      <w:r>
        <w:rPr>
          <w:color w:val="000000" w:themeColor="text1"/>
        </w:rPr>
        <w:t xml:space="preserve">Minute 04:59: </w:t>
      </w:r>
      <w:r>
        <w:rPr>
          <w:rFonts w:ascii="Helvetica" w:hAnsi="Helvetica" w:cs="Arial"/>
          <w:sz w:val="22"/>
          <w:szCs w:val="22"/>
        </w:rPr>
        <w:t xml:space="preserve">Immediately before usage, load the </w:t>
      </w:r>
      <w:r w:rsidRPr="002F1AA1">
        <w:rPr>
          <w:rFonts w:ascii="Helvetica" w:hAnsi="Helvetica" w:cs="Arial"/>
          <w:sz w:val="22"/>
          <w:szCs w:val="22"/>
        </w:rPr>
        <w:t xml:space="preserve">tritium-sensitive phosphor imaging plate into </w:t>
      </w:r>
      <w:r w:rsidRPr="000B5E0D">
        <w:rPr>
          <w:rFonts w:ascii="Helvetica" w:hAnsi="Helvetica" w:cs="Arial"/>
          <w:color w:val="FF0000"/>
          <w:sz w:val="22"/>
          <w:szCs w:val="22"/>
        </w:rPr>
        <w:t xml:space="preserve">the </w:t>
      </w:r>
      <w:r w:rsidRPr="002F1AA1">
        <w:rPr>
          <w:rFonts w:ascii="Helvetica" w:hAnsi="Helvetica" w:cs="Arial"/>
          <w:sz w:val="22"/>
          <w:szCs w:val="22"/>
        </w:rPr>
        <w:t>phosphor imaging machine</w:t>
      </w:r>
    </w:p>
    <w:p w:rsidR="000B5E0D" w:rsidRDefault="000B5E0D" w:rsidP="000B5E0D">
      <w:pPr>
        <w:pStyle w:val="ListParagraph"/>
        <w:numPr>
          <w:ilvl w:val="0"/>
          <w:numId w:val="1"/>
        </w:numPr>
        <w:rPr>
          <w:color w:val="000000" w:themeColor="text1"/>
        </w:rPr>
      </w:pPr>
      <w:r>
        <w:rPr>
          <w:color w:val="000000" w:themeColor="text1"/>
        </w:rPr>
        <w:t xml:space="preserve">Minute 07:40: </w:t>
      </w:r>
      <w:r>
        <w:rPr>
          <w:color w:val="000000" w:themeColor="text1"/>
        </w:rPr>
        <w:t>‘</w:t>
      </w:r>
      <w:r>
        <w:rPr>
          <w:color w:val="000000" w:themeColor="text1"/>
        </w:rPr>
        <w:t>HOCPCA</w:t>
      </w:r>
      <w:r>
        <w:rPr>
          <w:color w:val="000000" w:themeColor="text1"/>
        </w:rPr>
        <w:t xml:space="preserve">’ is pronounced wrong, an audio file with the correct </w:t>
      </w:r>
      <w:r w:rsidRPr="00891EE0">
        <w:rPr>
          <w:color w:val="000000" w:themeColor="text1"/>
        </w:rPr>
        <w:t>pronunciation</w:t>
      </w:r>
      <w:r>
        <w:rPr>
          <w:color w:val="000000" w:themeColor="text1"/>
        </w:rPr>
        <w:t xml:space="preserve"> will be uploaded as well. Adjust the subsequent pronunciations</w:t>
      </w:r>
    </w:p>
    <w:p w:rsidR="000B5E0D" w:rsidRPr="008B13D1" w:rsidRDefault="000B5E0D" w:rsidP="008B13D1">
      <w:pPr>
        <w:pStyle w:val="ListParagraph"/>
        <w:numPr>
          <w:ilvl w:val="0"/>
          <w:numId w:val="1"/>
        </w:numPr>
        <w:rPr>
          <w:color w:val="000000" w:themeColor="text1"/>
        </w:rPr>
      </w:pPr>
      <w:r>
        <w:rPr>
          <w:color w:val="000000" w:themeColor="text1"/>
        </w:rPr>
        <w:t xml:space="preserve">Minute 08:47: It would be nice to </w:t>
      </w:r>
      <w:r w:rsidR="00F06556">
        <w:rPr>
          <w:color w:val="000000" w:themeColor="text1"/>
        </w:rPr>
        <w:t xml:space="preserve">show a text with the radioligand concentration used when the narrator is talking about each individual radioligand - </w:t>
      </w:r>
      <w:r w:rsidR="00F06556" w:rsidRPr="00F06556">
        <w:rPr>
          <w:color w:val="000000" w:themeColor="text1"/>
        </w:rPr>
        <w:t xml:space="preserve">1 </w:t>
      </w:r>
      <w:proofErr w:type="spellStart"/>
      <w:r w:rsidR="00F06556" w:rsidRPr="00F06556">
        <w:rPr>
          <w:color w:val="000000" w:themeColor="text1"/>
        </w:rPr>
        <w:t>nM</w:t>
      </w:r>
      <w:proofErr w:type="spellEnd"/>
      <w:r w:rsidR="00F06556" w:rsidRPr="00F06556">
        <w:rPr>
          <w:color w:val="000000" w:themeColor="text1"/>
        </w:rPr>
        <w:t xml:space="preserve"> [</w:t>
      </w:r>
      <w:r w:rsidR="00F06556" w:rsidRPr="00F06556">
        <w:rPr>
          <w:color w:val="000000" w:themeColor="text1"/>
          <w:vertAlign w:val="superscript"/>
        </w:rPr>
        <w:t>3</w:t>
      </w:r>
      <w:proofErr w:type="gramStart"/>
      <w:r w:rsidR="00F06556" w:rsidRPr="00F06556">
        <w:rPr>
          <w:color w:val="000000" w:themeColor="text1"/>
        </w:rPr>
        <w:t>H]HOCPCA</w:t>
      </w:r>
      <w:proofErr w:type="gramEnd"/>
      <w:r w:rsidR="00F06556">
        <w:rPr>
          <w:color w:val="000000" w:themeColor="text1"/>
        </w:rPr>
        <w:t xml:space="preserve">, 7nM </w:t>
      </w:r>
      <w:r w:rsidR="00F06556" w:rsidRPr="00F06556">
        <w:rPr>
          <w:color w:val="000000" w:themeColor="text1"/>
        </w:rPr>
        <w:t>[</w:t>
      </w:r>
      <w:r w:rsidR="00F06556" w:rsidRPr="00F06556">
        <w:rPr>
          <w:color w:val="000000" w:themeColor="text1"/>
          <w:vertAlign w:val="superscript"/>
        </w:rPr>
        <w:t>3</w:t>
      </w:r>
      <w:r w:rsidR="00F06556" w:rsidRPr="00F06556">
        <w:rPr>
          <w:color w:val="000000" w:themeColor="text1"/>
        </w:rPr>
        <w:t>H]NCS-382</w:t>
      </w:r>
      <w:r w:rsidR="00F06556">
        <w:rPr>
          <w:color w:val="000000" w:themeColor="text1"/>
        </w:rPr>
        <w:t xml:space="preserve">, 30 </w:t>
      </w:r>
      <w:proofErr w:type="spellStart"/>
      <w:r w:rsidR="00F06556">
        <w:rPr>
          <w:color w:val="000000" w:themeColor="text1"/>
        </w:rPr>
        <w:t>nM</w:t>
      </w:r>
      <w:proofErr w:type="spellEnd"/>
      <w:r w:rsidR="00F06556">
        <w:rPr>
          <w:color w:val="000000" w:themeColor="text1"/>
        </w:rPr>
        <w:t xml:space="preserve"> </w:t>
      </w:r>
      <w:r w:rsidR="00F06556" w:rsidRPr="00F06556">
        <w:rPr>
          <w:color w:val="000000" w:themeColor="text1"/>
        </w:rPr>
        <w:t>[</w:t>
      </w:r>
      <w:r w:rsidR="00F06556" w:rsidRPr="00F06556">
        <w:rPr>
          <w:color w:val="000000" w:themeColor="text1"/>
          <w:vertAlign w:val="superscript"/>
        </w:rPr>
        <w:t>3</w:t>
      </w:r>
      <w:r w:rsidR="00F06556" w:rsidRPr="00F06556">
        <w:rPr>
          <w:color w:val="000000" w:themeColor="text1"/>
        </w:rPr>
        <w:t xml:space="preserve">H]GHB </w:t>
      </w:r>
      <w:bookmarkStart w:id="0" w:name="_GoBack"/>
      <w:bookmarkEnd w:id="0"/>
    </w:p>
    <w:sectPr w:rsidR="000B5E0D" w:rsidRPr="008B13D1" w:rsidSect="007B7F0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kit-standard">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90236"/>
    <w:multiLevelType w:val="multilevel"/>
    <w:tmpl w:val="028C1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ED28DC"/>
    <w:multiLevelType w:val="hybridMultilevel"/>
    <w:tmpl w:val="E188CD92"/>
    <w:lvl w:ilvl="0" w:tplc="3BAA5F5C">
      <w:start w:val="4"/>
      <w:numFmt w:val="bullet"/>
      <w:lvlText w:val="-"/>
      <w:lvlJc w:val="left"/>
      <w:pPr>
        <w:ind w:left="720" w:hanging="360"/>
      </w:pPr>
      <w:rPr>
        <w:rFonts w:ascii="-webkit-standard" w:eastAsia="Times New Roman" w:hAnsi="-webkit-standar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E2"/>
    <w:rsid w:val="00095FEE"/>
    <w:rsid w:val="000B5E0D"/>
    <w:rsid w:val="00164312"/>
    <w:rsid w:val="003B0A54"/>
    <w:rsid w:val="00554058"/>
    <w:rsid w:val="007901F4"/>
    <w:rsid w:val="007B7F0E"/>
    <w:rsid w:val="008715E2"/>
    <w:rsid w:val="00891EE0"/>
    <w:rsid w:val="008B13D1"/>
    <w:rsid w:val="009E3779"/>
    <w:rsid w:val="00E05E7E"/>
    <w:rsid w:val="00E70017"/>
    <w:rsid w:val="00F0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AE51D3"/>
  <w14:defaultImageDpi w14:val="32767"/>
  <w15:chartTrackingRefBased/>
  <w15:docId w15:val="{C8254DFB-5E57-414E-813E-EF4EA1DA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1F4"/>
    <w:pPr>
      <w:spacing w:before="100" w:beforeAutospacing="1" w:after="100" w:afterAutospacing="1"/>
    </w:pPr>
    <w:rPr>
      <w:rFonts w:ascii="Times New Roman" w:eastAsia="Times New Roman" w:hAnsi="Times New Roman" w:cs="Times New Roman"/>
      <w:lang w:val="da-DK"/>
    </w:rPr>
  </w:style>
  <w:style w:type="character" w:customStyle="1" w:styleId="apple-converted-space">
    <w:name w:val="apple-converted-space"/>
    <w:basedOn w:val="DefaultParagraphFont"/>
    <w:rsid w:val="007901F4"/>
  </w:style>
  <w:style w:type="paragraph" w:styleId="ListParagraph">
    <w:name w:val="List Paragraph"/>
    <w:basedOn w:val="Normal"/>
    <w:uiPriority w:val="34"/>
    <w:qFormat/>
    <w:rsid w:val="008B1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248058">
      <w:bodyDiv w:val="1"/>
      <w:marLeft w:val="0"/>
      <w:marRight w:val="0"/>
      <w:marTop w:val="0"/>
      <w:marBottom w:val="0"/>
      <w:divBdr>
        <w:top w:val="none" w:sz="0" w:space="0" w:color="auto"/>
        <w:left w:val="none" w:sz="0" w:space="0" w:color="auto"/>
        <w:bottom w:val="none" w:sz="0" w:space="0" w:color="auto"/>
        <w:right w:val="none" w:sz="0" w:space="0" w:color="auto"/>
      </w:divBdr>
      <w:divsChild>
        <w:div w:id="1616980679">
          <w:marLeft w:val="0"/>
          <w:marRight w:val="0"/>
          <w:marTop w:val="0"/>
          <w:marBottom w:val="0"/>
          <w:divBdr>
            <w:top w:val="none" w:sz="0" w:space="0" w:color="auto"/>
            <w:left w:val="none" w:sz="0" w:space="0" w:color="auto"/>
            <w:bottom w:val="none" w:sz="0" w:space="0" w:color="auto"/>
            <w:right w:val="none" w:sz="0" w:space="0" w:color="auto"/>
          </w:divBdr>
          <w:divsChild>
            <w:div w:id="148331217">
              <w:marLeft w:val="0"/>
              <w:marRight w:val="0"/>
              <w:marTop w:val="0"/>
              <w:marBottom w:val="0"/>
              <w:divBdr>
                <w:top w:val="none" w:sz="0" w:space="0" w:color="auto"/>
                <w:left w:val="none" w:sz="0" w:space="0" w:color="auto"/>
                <w:bottom w:val="none" w:sz="0" w:space="0" w:color="auto"/>
                <w:right w:val="none" w:sz="0" w:space="0" w:color="auto"/>
              </w:divBdr>
              <w:divsChild>
                <w:div w:id="116414907">
                  <w:marLeft w:val="0"/>
                  <w:marRight w:val="0"/>
                  <w:marTop w:val="0"/>
                  <w:marBottom w:val="0"/>
                  <w:divBdr>
                    <w:top w:val="none" w:sz="0" w:space="0" w:color="auto"/>
                    <w:left w:val="none" w:sz="0" w:space="0" w:color="auto"/>
                    <w:bottom w:val="none" w:sz="0" w:space="0" w:color="auto"/>
                    <w:right w:val="none" w:sz="0" w:space="0" w:color="auto"/>
                  </w:divBdr>
                </w:div>
              </w:divsChild>
            </w:div>
            <w:div w:id="2011180067">
              <w:marLeft w:val="0"/>
              <w:marRight w:val="0"/>
              <w:marTop w:val="0"/>
              <w:marBottom w:val="0"/>
              <w:divBdr>
                <w:top w:val="none" w:sz="0" w:space="0" w:color="auto"/>
                <w:left w:val="none" w:sz="0" w:space="0" w:color="auto"/>
                <w:bottom w:val="none" w:sz="0" w:space="0" w:color="auto"/>
                <w:right w:val="none" w:sz="0" w:space="0" w:color="auto"/>
              </w:divBdr>
              <w:divsChild>
                <w:div w:id="3365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2371">
      <w:bodyDiv w:val="1"/>
      <w:marLeft w:val="0"/>
      <w:marRight w:val="0"/>
      <w:marTop w:val="0"/>
      <w:marBottom w:val="0"/>
      <w:divBdr>
        <w:top w:val="none" w:sz="0" w:space="0" w:color="auto"/>
        <w:left w:val="none" w:sz="0" w:space="0" w:color="auto"/>
        <w:bottom w:val="none" w:sz="0" w:space="0" w:color="auto"/>
        <w:right w:val="none" w:sz="0" w:space="0" w:color="auto"/>
      </w:divBdr>
    </w:div>
    <w:div w:id="1770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2019-02-13T12:36:00Z</dcterms:created>
  <dcterms:modified xsi:type="dcterms:W3CDTF">2019-02-13T13:54:00Z</dcterms:modified>
</cp:coreProperties>
</file>