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C9B" w:rsidRDefault="00077DCC">
      <w:bookmarkStart w:id="0" w:name="_GoBack"/>
      <w:r>
        <w:rPr>
          <w:rStyle w:val="Fett"/>
        </w:rPr>
        <w:t xml:space="preserve">Point-by point to the editorial comments _ </w:t>
      </w:r>
      <w:r w:rsidRPr="00077DCC">
        <w:rPr>
          <w:rStyle w:val="Fett"/>
        </w:rPr>
        <w:t>JoVE58871R1</w:t>
      </w:r>
      <w:r w:rsidR="009F4C9B">
        <w:br/>
      </w:r>
      <w:bookmarkEnd w:id="0"/>
      <w:r w:rsidR="009F4C9B">
        <w:br/>
        <w:t>1. The editor has formatted the manuscript to match the journal's style. Please retain the same.</w:t>
      </w:r>
    </w:p>
    <w:p w:rsidR="004E601D" w:rsidRPr="008F6629" w:rsidRDefault="00476C7A">
      <w:pPr>
        <w:rPr>
          <w:i/>
        </w:rPr>
      </w:pPr>
      <w:r>
        <w:rPr>
          <w:i/>
        </w:rPr>
        <w:t>-/-</w:t>
      </w:r>
      <w:r w:rsidR="004E601D" w:rsidRPr="008F6629">
        <w:rPr>
          <w:i/>
        </w:rPr>
        <w:t>.</w:t>
      </w:r>
    </w:p>
    <w:p w:rsidR="00017B17" w:rsidRDefault="009F4C9B">
      <w:r>
        <w:br/>
        <w:t>2.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w:t>
      </w:r>
    </w:p>
    <w:p w:rsidR="00476C7A" w:rsidRDefault="004E601D">
      <w:pPr>
        <w:rPr>
          <w:i/>
        </w:rPr>
      </w:pPr>
      <w:r w:rsidRPr="008F6629">
        <w:rPr>
          <w:i/>
        </w:rPr>
        <w:t xml:space="preserve">We </w:t>
      </w:r>
      <w:r w:rsidR="00476C7A">
        <w:rPr>
          <w:i/>
        </w:rPr>
        <w:t>thoroughly reviewed the language and grammar of the manuscript including the revised passages to the best of our knowledge and under the given editorial time constraints.</w:t>
      </w:r>
    </w:p>
    <w:p w:rsidR="00017B17" w:rsidRDefault="009F4C9B">
      <w:r>
        <w:br/>
        <w:t>3. The protocol section should almost entirely contain discrete steps, without large paragraphs of text between sections. Please break up the paragraphs into simple steps (with 2-3 actions per step) as much as possible throughout the protocol. Please be crisp.</w:t>
      </w:r>
    </w:p>
    <w:p w:rsidR="005E02BA" w:rsidRDefault="00D50235">
      <w:pPr>
        <w:rPr>
          <w:i/>
        </w:rPr>
      </w:pPr>
      <w:r>
        <w:rPr>
          <w:i/>
        </w:rPr>
        <w:t>We marked</w:t>
      </w:r>
      <w:r w:rsidR="005E02BA" w:rsidRPr="005E02BA">
        <w:rPr>
          <w:i/>
        </w:rPr>
        <w:t xml:space="preserve"> all changes we made in our manuscript</w:t>
      </w:r>
      <w:r>
        <w:rPr>
          <w:i/>
        </w:rPr>
        <w:t xml:space="preserve"> to facilitate its tracking. Furthermore, as advised, we broke up the text of the protocol in </w:t>
      </w:r>
      <w:r w:rsidR="005E02BA" w:rsidRPr="005E02BA">
        <w:rPr>
          <w:i/>
        </w:rPr>
        <w:t>several paragraphs</w:t>
      </w:r>
      <w:r>
        <w:rPr>
          <w:i/>
        </w:rPr>
        <w:t xml:space="preserve"> trying to be in line with the journal’s policy as indicated.</w:t>
      </w:r>
      <w:r w:rsidR="005E02BA" w:rsidRPr="005E02BA">
        <w:rPr>
          <w:i/>
        </w:rPr>
        <w:t xml:space="preserve"> </w:t>
      </w:r>
    </w:p>
    <w:p w:rsidR="00D50235" w:rsidRDefault="009F4C9B">
      <w:r>
        <w:br/>
        <w:t>4. Please ensure that you describe the procedure step by step in order with all specific details required to do your experiment.</w:t>
      </w:r>
    </w:p>
    <w:p w:rsidR="000E22F7" w:rsidRPr="00D50235" w:rsidRDefault="00D50235">
      <w:r>
        <w:t>As</w:t>
      </w:r>
      <w:r>
        <w:rPr>
          <w:i/>
        </w:rPr>
        <w:t xml:space="preserve"> requested, we vigorously revised </w:t>
      </w:r>
      <w:r w:rsidR="005E02BA">
        <w:rPr>
          <w:i/>
        </w:rPr>
        <w:t xml:space="preserve">our manuscript by </w:t>
      </w:r>
      <w:r>
        <w:rPr>
          <w:i/>
        </w:rPr>
        <w:t xml:space="preserve">introducing additional </w:t>
      </w:r>
      <w:r w:rsidR="005E02BA">
        <w:rPr>
          <w:i/>
        </w:rPr>
        <w:t>sub</w:t>
      </w:r>
      <w:r>
        <w:rPr>
          <w:i/>
        </w:rPr>
        <w:t xml:space="preserve">items and indicating </w:t>
      </w:r>
      <w:r w:rsidR="000E22F7">
        <w:rPr>
          <w:i/>
        </w:rPr>
        <w:t xml:space="preserve">cross references </w:t>
      </w:r>
      <w:r>
        <w:rPr>
          <w:i/>
        </w:rPr>
        <w:t xml:space="preserve">where necessary. </w:t>
      </w:r>
    </w:p>
    <w:p w:rsidR="00017B17" w:rsidRPr="000E22F7" w:rsidRDefault="009F4C9B">
      <w:pPr>
        <w:rPr>
          <w:i/>
        </w:rPr>
      </w:pPr>
      <w:r>
        <w:br/>
        <w:t>5. Once done please ensure that the protocol is no more than 10 pages long and the highlighted section is no more than 2.75 pages including heading and spacings. The highlighted section should form the most cohesive story of the protocol. Presently this is not the case. Also, notes cannot be filmed.</w:t>
      </w:r>
    </w:p>
    <w:p w:rsidR="001873C8" w:rsidRDefault="00C65ACD">
      <w:pPr>
        <w:rPr>
          <w:i/>
        </w:rPr>
      </w:pPr>
      <w:r w:rsidRPr="008F6629">
        <w:rPr>
          <w:i/>
        </w:rPr>
        <w:t xml:space="preserve">After editing our </w:t>
      </w:r>
      <w:r w:rsidR="008F6629" w:rsidRPr="008F6629">
        <w:rPr>
          <w:i/>
        </w:rPr>
        <w:t>manuscript</w:t>
      </w:r>
      <w:r w:rsidRPr="008F6629">
        <w:rPr>
          <w:i/>
        </w:rPr>
        <w:t xml:space="preserve">, the protocol section is </w:t>
      </w:r>
      <w:r w:rsidR="001873C8">
        <w:rPr>
          <w:i/>
        </w:rPr>
        <w:t>in compli</w:t>
      </w:r>
      <w:r w:rsidR="00D50235">
        <w:rPr>
          <w:i/>
        </w:rPr>
        <w:t xml:space="preserve">ance with the editorial policy in respect to protocol length and length of </w:t>
      </w:r>
      <w:r w:rsidRPr="008F6629">
        <w:rPr>
          <w:i/>
        </w:rPr>
        <w:t xml:space="preserve">the highlighted </w:t>
      </w:r>
      <w:r w:rsidR="00D50235">
        <w:rPr>
          <w:i/>
        </w:rPr>
        <w:t xml:space="preserve">protocol </w:t>
      </w:r>
      <w:r w:rsidRPr="008F6629">
        <w:rPr>
          <w:i/>
        </w:rPr>
        <w:t>section</w:t>
      </w:r>
      <w:r w:rsidR="001873C8">
        <w:rPr>
          <w:i/>
        </w:rPr>
        <w:t xml:space="preserve">. Most importantly and as discussed in our email conversation, we have now included the core aspects of the GvHD induction protocol to make it more complete and comprehensive as requested. Accordingly, we adapted the title of the manuscript to reflect the current content of the highlighted narrative and the video recording. </w:t>
      </w:r>
    </w:p>
    <w:p w:rsidR="00017B17" w:rsidRDefault="009F4C9B">
      <w:r>
        <w:br/>
        <w:t>6. Please ensure that there is a representative result for every section of the protocol.</w:t>
      </w:r>
    </w:p>
    <w:p w:rsidR="004C0C68" w:rsidRDefault="001873C8">
      <w:pPr>
        <w:rPr>
          <w:i/>
        </w:rPr>
      </w:pPr>
      <w:r>
        <w:rPr>
          <w:i/>
        </w:rPr>
        <w:t>Due to the inclusion of the GvHD induction in the highlighted protocol section, w</w:t>
      </w:r>
      <w:r w:rsidR="00017B17" w:rsidRPr="008F6629">
        <w:rPr>
          <w:i/>
        </w:rPr>
        <w:t xml:space="preserve">e </w:t>
      </w:r>
      <w:r>
        <w:rPr>
          <w:i/>
        </w:rPr>
        <w:t>added new figure (Figure1)</w:t>
      </w:r>
      <w:r w:rsidR="00017B17" w:rsidRPr="008F6629">
        <w:rPr>
          <w:i/>
        </w:rPr>
        <w:t xml:space="preserve"> </w:t>
      </w:r>
      <w:r>
        <w:rPr>
          <w:i/>
        </w:rPr>
        <w:t xml:space="preserve">to our manuscript displaying </w:t>
      </w:r>
      <w:r w:rsidR="00340BD7" w:rsidRPr="008F6629">
        <w:rPr>
          <w:i/>
        </w:rPr>
        <w:t>flow cytometry data</w:t>
      </w:r>
      <w:r w:rsidR="00017B17" w:rsidRPr="008F6629">
        <w:rPr>
          <w:i/>
        </w:rPr>
        <w:t xml:space="preserve"> </w:t>
      </w:r>
      <w:r>
        <w:rPr>
          <w:i/>
        </w:rPr>
        <w:t xml:space="preserve">to document representative results for the immune cell isolation procedure. The quality and quantity of transferred immune cell </w:t>
      </w:r>
      <w:r w:rsidR="00EB01D4">
        <w:rPr>
          <w:i/>
        </w:rPr>
        <w:t>subpopulations is</w:t>
      </w:r>
      <w:r w:rsidR="004C0C68">
        <w:rPr>
          <w:i/>
        </w:rPr>
        <w:t xml:space="preserve"> crucial in this context since it </w:t>
      </w:r>
      <w:r>
        <w:rPr>
          <w:i/>
        </w:rPr>
        <w:t xml:space="preserve">critically impacts the kinetics and dynamics of intestinal GvHD </w:t>
      </w:r>
      <w:r w:rsidR="004C0C68">
        <w:rPr>
          <w:i/>
        </w:rPr>
        <w:t xml:space="preserve">development. Therefore, the documentation of the </w:t>
      </w:r>
      <w:r w:rsidR="00017B17" w:rsidRPr="008F6629">
        <w:rPr>
          <w:i/>
        </w:rPr>
        <w:t>success</w:t>
      </w:r>
      <w:r w:rsidR="004C0C68">
        <w:rPr>
          <w:i/>
        </w:rPr>
        <w:t xml:space="preserve">ful isolation of the indicated cell types represents a crucial milestone assuring reproducible </w:t>
      </w:r>
      <w:r w:rsidR="00017B17" w:rsidRPr="008F6629">
        <w:rPr>
          <w:i/>
        </w:rPr>
        <w:t xml:space="preserve">induction </w:t>
      </w:r>
      <w:r w:rsidR="004C0C68">
        <w:rPr>
          <w:i/>
        </w:rPr>
        <w:t xml:space="preserve">of intestinal GvHD. </w:t>
      </w:r>
    </w:p>
    <w:p w:rsidR="00340BD7" w:rsidRDefault="009F4C9B">
      <w:r>
        <w:lastRenderedPageBreak/>
        <w:br/>
        <w:t>7</w:t>
      </w:r>
      <w:r w:rsidR="005E02BA">
        <w:t>.</w:t>
      </w:r>
      <w:r>
        <w:t xml:space="preserve"> Please ensure that the title is in alignment with the protocol described.</w:t>
      </w:r>
    </w:p>
    <w:p w:rsidR="004C0C68" w:rsidRDefault="004C0C68" w:rsidP="004C0C68">
      <w:pPr>
        <w:rPr>
          <w:i/>
        </w:rPr>
      </w:pPr>
      <w:r>
        <w:rPr>
          <w:i/>
        </w:rPr>
        <w:t xml:space="preserve">As discussed in our email conversation, we have now included the core aspects of the GvHD induction protocol as you suggested to make it a </w:t>
      </w:r>
      <w:r w:rsidR="00EB01D4">
        <w:rPr>
          <w:i/>
        </w:rPr>
        <w:t>m</w:t>
      </w:r>
      <w:r>
        <w:rPr>
          <w:i/>
        </w:rPr>
        <w:t>ore comprehensive study. Accordingly, we adapted the title of the manuscript to “</w:t>
      </w:r>
      <w:r w:rsidRPr="008F6629">
        <w:rPr>
          <w:i/>
        </w:rPr>
        <w:t>Induction of Intestinal Graft-Versus-Host Disease and its Mini-Endoscopic Assessment in Live Mice“</w:t>
      </w:r>
      <w:r>
        <w:rPr>
          <w:i/>
        </w:rPr>
        <w:t xml:space="preserve"> thereby reflecting the current content of the highlighted narrative and the video recording. </w:t>
      </w:r>
    </w:p>
    <w:p w:rsidR="004C0C68" w:rsidRDefault="004C0C68">
      <w:pPr>
        <w:rPr>
          <w:i/>
        </w:rPr>
      </w:pPr>
    </w:p>
    <w:p w:rsidR="00BA6625" w:rsidRDefault="009F4C9B">
      <w:r>
        <w:t>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340BD7" w:rsidRPr="008F6629" w:rsidRDefault="001E3406">
      <w:pPr>
        <w:rPr>
          <w:i/>
        </w:rPr>
      </w:pPr>
      <w:r>
        <w:rPr>
          <w:i/>
        </w:rPr>
        <w:t xml:space="preserve">In all </w:t>
      </w:r>
      <w:r w:rsidRPr="008F6629">
        <w:rPr>
          <w:i/>
        </w:rPr>
        <w:t>figure</w:t>
      </w:r>
      <w:r>
        <w:rPr>
          <w:i/>
        </w:rPr>
        <w:t>s of the current manuscript</w:t>
      </w:r>
      <w:r>
        <w:t>, w</w:t>
      </w:r>
      <w:r>
        <w:rPr>
          <w:i/>
        </w:rPr>
        <w:t xml:space="preserve">e only use and display previously unpublished data sets. </w:t>
      </w:r>
      <w:r w:rsidR="004E601D" w:rsidRPr="008F6629">
        <w:rPr>
          <w:i/>
        </w:rPr>
        <w:t xml:space="preserve"> </w:t>
      </w:r>
      <w:r>
        <w:rPr>
          <w:i/>
        </w:rPr>
        <w:t>The employed scoring systems for the clinical score, endoscopic score and histopathological score a</w:t>
      </w:r>
      <w:r w:rsidR="004E601D" w:rsidRPr="008F6629">
        <w:rPr>
          <w:i/>
        </w:rPr>
        <w:t>r</w:t>
      </w:r>
      <w:r>
        <w:rPr>
          <w:i/>
        </w:rPr>
        <w:t>e appropriately referenced. Therefore, the need to provide a copyright permission does not apply.</w:t>
      </w:r>
      <w:r w:rsidR="004E601D" w:rsidRPr="008F6629">
        <w:rPr>
          <w:i/>
        </w:rPr>
        <w:t xml:space="preserve"> </w:t>
      </w:r>
    </w:p>
    <w:sectPr w:rsidR="00340BD7" w:rsidRPr="008F6629">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1AF" w:rsidRDefault="008571AF" w:rsidP="00077DCC">
      <w:pPr>
        <w:spacing w:after="0" w:line="240" w:lineRule="auto"/>
      </w:pPr>
      <w:r>
        <w:separator/>
      </w:r>
    </w:p>
  </w:endnote>
  <w:endnote w:type="continuationSeparator" w:id="0">
    <w:p w:rsidR="008571AF" w:rsidRDefault="008571AF" w:rsidP="0007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43784"/>
      <w:docPartObj>
        <w:docPartGallery w:val="Page Numbers (Bottom of Page)"/>
        <w:docPartUnique/>
      </w:docPartObj>
    </w:sdtPr>
    <w:sdtEndPr/>
    <w:sdtContent>
      <w:p w:rsidR="00077DCC" w:rsidRDefault="00077DCC">
        <w:pPr>
          <w:pStyle w:val="Fuzeile"/>
          <w:jc w:val="right"/>
        </w:pPr>
        <w:r>
          <w:fldChar w:fldCharType="begin"/>
        </w:r>
        <w:r>
          <w:instrText>PAGE   \* MERGEFORMAT</w:instrText>
        </w:r>
        <w:r>
          <w:fldChar w:fldCharType="separate"/>
        </w:r>
        <w:r w:rsidR="00EB01D4" w:rsidRPr="00EB01D4">
          <w:rPr>
            <w:noProof/>
            <w:lang w:val="de-DE"/>
          </w:rPr>
          <w:t>1</w:t>
        </w:r>
        <w:r>
          <w:fldChar w:fldCharType="end"/>
        </w:r>
      </w:p>
    </w:sdtContent>
  </w:sdt>
  <w:p w:rsidR="00077DCC" w:rsidRPr="00077DCC" w:rsidRDefault="00077DCC" w:rsidP="00077DCC">
    <w:pPr>
      <w:pStyle w:val="Fuzeile"/>
      <w:tabs>
        <w:tab w:val="clear" w:pos="4536"/>
        <w:tab w:val="clear" w:pos="9072"/>
        <w:tab w:val="left" w:pos="4030"/>
      </w:tabs>
      <w:rPr>
        <w:lang w:val="de-DE"/>
      </w:rPr>
    </w:pPr>
    <w:r>
      <w:rPr>
        <w:lang w:val="de-DE"/>
      </w:rPr>
      <w:t>Buchele et al.</w:t>
    </w:r>
    <w:r>
      <w:rPr>
        <w:lang w:val="de-DE"/>
      </w:rPr>
      <w:tab/>
    </w:r>
    <w:r w:rsidRPr="00077DCC">
      <w:rPr>
        <w:lang w:val="de-DE"/>
      </w:rPr>
      <w:t>JoVE58871R1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1AF" w:rsidRDefault="008571AF" w:rsidP="00077DCC">
      <w:pPr>
        <w:spacing w:after="0" w:line="240" w:lineRule="auto"/>
      </w:pPr>
      <w:r>
        <w:separator/>
      </w:r>
    </w:p>
  </w:footnote>
  <w:footnote w:type="continuationSeparator" w:id="0">
    <w:p w:rsidR="008571AF" w:rsidRDefault="008571AF" w:rsidP="00077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9B"/>
    <w:rsid w:val="00017B17"/>
    <w:rsid w:val="00077DCC"/>
    <w:rsid w:val="000E22F7"/>
    <w:rsid w:val="001873C8"/>
    <w:rsid w:val="001B2F2D"/>
    <w:rsid w:val="001E3406"/>
    <w:rsid w:val="00340BD7"/>
    <w:rsid w:val="00476C7A"/>
    <w:rsid w:val="004C0C68"/>
    <w:rsid w:val="004E601D"/>
    <w:rsid w:val="005E02BA"/>
    <w:rsid w:val="007D7913"/>
    <w:rsid w:val="008571AF"/>
    <w:rsid w:val="008F6629"/>
    <w:rsid w:val="009F4C9B"/>
    <w:rsid w:val="00BA6625"/>
    <w:rsid w:val="00C65ACD"/>
    <w:rsid w:val="00D50235"/>
    <w:rsid w:val="00EB01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BB5D"/>
  <w15:docId w15:val="{14BB10AA-A041-4A0A-A590-A834E0DE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F4C9B"/>
    <w:rPr>
      <w:b/>
      <w:bCs/>
    </w:rPr>
  </w:style>
  <w:style w:type="paragraph" w:styleId="Kopfzeile">
    <w:name w:val="header"/>
    <w:basedOn w:val="Standard"/>
    <w:link w:val="KopfzeileZchn"/>
    <w:uiPriority w:val="99"/>
    <w:unhideWhenUsed/>
    <w:rsid w:val="00077D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7DCC"/>
    <w:rPr>
      <w:lang w:val="en-US"/>
    </w:rPr>
  </w:style>
  <w:style w:type="paragraph" w:styleId="Fuzeile">
    <w:name w:val="footer"/>
    <w:basedOn w:val="Standard"/>
    <w:link w:val="FuzeileZchn"/>
    <w:uiPriority w:val="99"/>
    <w:unhideWhenUsed/>
    <w:rsid w:val="00077D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7DC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Buchele, Vera</dc:creator>
  <cp:lastModifiedBy>Buchele, Vera</cp:lastModifiedBy>
  <cp:revision>3</cp:revision>
  <dcterms:created xsi:type="dcterms:W3CDTF">2018-10-26T18:25:00Z</dcterms:created>
  <dcterms:modified xsi:type="dcterms:W3CDTF">2018-10-26T18:51:00Z</dcterms:modified>
</cp:coreProperties>
</file>