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Using a Bacterial Pathogen to Probe for Cellular and Organismic-level Host Responses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Petoria Gayle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Nancy E. Freitag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Natasa Strbo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Kurt Schesser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&amp;amp; Immunology, University of Miami Miller School of Medicine, Miami,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&amp;amp; Immunology, University of Illinois College of Medicine, Chicago, IL,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peg38@miami.edu</w:t>
      </w:r>
      <w:r>
        <w:rPr>
          <w:rFonts w:ascii="Calibri" w:hAnsi="Calibri" w:cs="Calibri" w:eastAsia="Calibri"/>
          <w:color w:val="auto"/>
          <w:spacing w:val="0"/>
          <w:position w:val="0"/>
          <w:sz w:val="24"/>
          <w:shd w:fill="auto" w:val="clear"/>
        </w:rPr>
        <w:t xml:space="preserve"> (PG)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nfreitag@uic.edu</w:t>
      </w:r>
      <w:r>
        <w:rPr>
          <w:rFonts w:ascii="Calibri" w:hAnsi="Calibri" w:cs="Calibri" w:eastAsia="Calibri"/>
          <w:color w:val="auto"/>
          <w:spacing w:val="0"/>
          <w:position w:val="0"/>
          <w:sz w:val="24"/>
          <w:shd w:fill="auto" w:val="clear"/>
        </w:rPr>
        <w:t xml:space="preserve"> (NEF)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nstrbo@med.miami.edu</w:t>
      </w:r>
      <w:r>
        <w:rPr>
          <w:rFonts w:ascii="Calibri" w:hAnsi="Calibri" w:cs="Calibri" w:eastAsia="Calibri"/>
          <w:color w:val="auto"/>
          <w:spacing w:val="0"/>
          <w:position w:val="0"/>
          <w:sz w:val="24"/>
          <w:shd w:fill="auto" w:val="clear"/>
        </w:rPr>
        <w:t xml:space="preserve"> (NS)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kschesser@med.miami.edu</w:t>
      </w:r>
      <w:r>
        <w:rPr>
          <w:rFonts w:ascii="Calibri" w:hAnsi="Calibri" w:cs="Calibri" w:eastAsia="Calibri"/>
          <w:color w:val="auto"/>
          <w:spacing w:val="0"/>
          <w:position w:val="0"/>
          <w:sz w:val="24"/>
          <w:shd w:fill="auto" w:val="clear"/>
        </w:rPr>
        <w:t xml:space="preserve"> (KS)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Kurt Schesser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Infection; mice, microbial pathogens, </w:t>
      </w:r>
      <w:r>
        <w:rPr>
          <w:rFonts w:ascii="Calibri" w:hAnsi="Calibri" w:cs="Calibri" w:eastAsia="Calibri"/>
          <w:i/>
          <w:color w:val="auto"/>
          <w:spacing w:val="0"/>
          <w:position w:val="0"/>
          <w:sz w:val="24"/>
          <w:shd w:fill="auto" w:val="clear"/>
        </w:rPr>
        <w:t xml:space="preserve">Listeria monocytogenes</w:t>
      </w:r>
      <w:r>
        <w:rPr>
          <w:rFonts w:ascii="Calibri" w:hAnsi="Calibri" w:cs="Calibri" w:eastAsia="Calibri"/>
          <w:color w:val="auto"/>
          <w:spacing w:val="0"/>
          <w:position w:val="0"/>
          <w:sz w:val="24"/>
          <w:shd w:fill="auto" w:val="clear"/>
        </w:rPr>
        <w:t xml:space="preserve">, flow cytometry, cell biology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both in vitro and in vivo infection assays that can be used to analyze the activities of host-encoding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variety of strategies bacterial pathogens employ to survive and proliferate once inside the eukaryotic cell. The so-called ‘cytosolic’ pathogens (</w:t>
      </w:r>
      <w:r>
        <w:rPr>
          <w:rFonts w:ascii="Calibri" w:hAnsi="Calibri" w:cs="Calibri" w:eastAsia="Calibri"/>
          <w:i/>
          <w:color w:val="auto"/>
          <w:spacing w:val="0"/>
          <w:position w:val="0"/>
          <w:sz w:val="24"/>
          <w:shd w:fill="auto" w:val="clear"/>
        </w:rPr>
        <w:t xml:space="preserve">Listeria monocytogenes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Shigella flexneri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Burkholderia pseudomallei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Francisella tularensis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Rickettsia</w:t>
      </w:r>
      <w:r>
        <w:rPr>
          <w:rFonts w:ascii="Calibri" w:hAnsi="Calibri" w:cs="Calibri" w:eastAsia="Calibri"/>
          <w:color w:val="auto"/>
          <w:spacing w:val="0"/>
          <w:position w:val="0"/>
          <w:sz w:val="24"/>
          <w:shd w:fill="auto" w:val="clear"/>
        </w:rPr>
        <w:t xml:space="preserve"> spp.) gain access to the infected cell cytosol by physically and enzymatically degrading the primary vacuolar membrane. Once in the cytosol, these pathogens both proliferate as well as generate sufficient mechanical forces to penetrate the plasma membrane of the host cell in order to infect new cells. Here, we show how this terminal step of the cellular infection cycle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can be quantified by both colony-forming unit assays and flow cytometry and give examples of how both pathogen- and host-encoded factors impact this process. We also show a close correspondence of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infection dynamics of cultured cells infected in vitro and those of hepatic cells derived from mice infected in vivo. These function-based assays are relatively simple and can be readily scaled up for discovery-based high-throughput screens for modulators of eukaryotic cell function.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Infection-based experimental models are inherently challenging due to their dependence on the starting state conditions of the host and pathogen, the various pathogen infection strategies, and the difficulty of attributing pathogen- and host-driven processes based on outcomes. The bacterium </w:t>
      </w:r>
      <w:r>
        <w:rPr>
          <w:rFonts w:ascii="Calibri" w:hAnsi="Calibri" w:cs="Calibri" w:eastAsia="Calibri"/>
          <w:i/>
          <w:color w:val="auto"/>
          <w:spacing w:val="0"/>
          <w:position w:val="0"/>
          <w:sz w:val="24"/>
          <w:shd w:fill="auto" w:val="clear"/>
        </w:rPr>
        <w:t xml:space="preserve">Listeria monocytogenes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has become an ideal pathogen to probe host defense responses because of its genetic and microbiological tractability, its rapid and processive cellular infection strategy, and the relatively clear relationship between its cellular- and organismic-level infection phenotypes. The cellular infection of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proceeds through four distinct phases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 cellular invasion that concludes with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being enclosed within a vacuole; (ii)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-directed dissolution of the vacuole membrane and release of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into the cytosol; (iii) intracytosolic replication; and (iv) physical penetration of the plasma membrane that results in either the infection of directly adjacent cells (such as in an epithelial sheet) or, in solitary cells, release of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into the extracellular milieu. Each of these phases are promoted by specific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-encoded factors (referred to as ‘virulence factors’) that, when deleted, cause infection defects in both cellular and animal models. This general infection strategy has been independently evolved by a number of the so-called ‘cytosolic’ pathogens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Colony-forming unit (CFU) assays are widely employed to evaluate both in vitro (i.e., cellular) as well as in vivo (i.e., organismic) infection outcomes. In addition to their high sensitivity, particularly for in vivo infections, CFU assays provide an unambiguous readout for pathogen invasion and intracellular survival/proliferation. CFU assays have been extensively used to analyze both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and host cell determinants that impact infection. As informative as these prior studies have been to analyze cellular invasion and intracytosolic replication, CFU assays have not, to the best of our knowledge, been used to track the fourth phase of the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infection process: cellular escape. Here, we describe relatively simple means of how cellular escape (hereafter referred to as ‘emergence’) can be monitored by CFU assay (as well as by flow cytometry) and show examples of how both pathogen- and host-encoded factors regulate this phase of the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infection cycle. The analysis of the terminal phase of the 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infection cycle may make it possible to identify additional pathogen and host cell infection-specific factors and activities.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Mice were treated humanely in accordance with all appropriate government guidelines </w:t>
      </w:r>
      <w:r>
        <w:rPr>
          <w:rFonts w:ascii="Calibri" w:hAnsi="Calibri" w:cs="Calibri" w:eastAsia="Calibri"/>
          <w:color w:val="262626"/>
          <w:spacing w:val="0"/>
          <w:position w:val="0"/>
          <w:sz w:val="24"/>
          <w:shd w:fill="auto" w:val="clear"/>
        </w:rPr>
        <w:t xml:space="preserve">for the Care and Use of Laboratory Animals of the National Institutes of Health </w:t>
      </w:r>
      <w:r>
        <w:rPr>
          <w:rFonts w:ascii="Calibri" w:hAnsi="Calibri" w:cs="Calibri" w:eastAsia="Calibri"/>
          <w:color w:val="000000"/>
          <w:spacing w:val="0"/>
          <w:position w:val="0"/>
          <w:sz w:val="24"/>
          <w:shd w:fill="auto" w:val="clear"/>
        </w:rPr>
        <w:t xml:space="preserve">and their use was approved for this entire study by the University of Miami Institutional Animal Care and Use Committee (protocol 16-053).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Preparing cells for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Propagate mouse macrophage-like cell line RAW 264.7 in DMEM tissue culture media supplemented with 10% fetal calf serum (henceforth referred to as DMEM/FCS) using a 125 mL flask and a tissue culture incubator maintained at 37 &amp;#176;C/5%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The day before the infection, use a cell scraper to remove cells from the expansion flask and collect in a 15 mL screw cap conical tube. C</w:t>
      </w:r>
      <w:r>
        <w:rPr>
          <w:rFonts w:ascii="Calibri" w:hAnsi="Calibri" w:cs="Calibri" w:eastAsia="Calibri"/>
          <w:color w:val="auto"/>
          <w:spacing w:val="0"/>
          <w:position w:val="0"/>
          <w:sz w:val="24"/>
          <w:shd w:fill="auto" w:val="clear"/>
        </w:rPr>
        <w:t xml:space="preserve">entrifuge cells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r>
        <w:rPr>
          <w:rFonts w:ascii="Calibri" w:hAnsi="Calibri" w:cs="Calibri" w:eastAsia="Calibri"/>
          <w:color w:val="000000"/>
          <w:spacing w:val="0"/>
          <w:position w:val="0"/>
          <w:sz w:val="24"/>
          <w:shd w:fill="auto" w:val="clear"/>
        </w:rPr>
        <w:t xml:space="preserve">, decant supernatant and suspend the cell pellet in 1 mL of DMEM/FCS (without antibiotics) and determine the titer using a hemocytometer or an automated cell counter.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Adjust titer to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and add 0.10 mL (2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to wells of a 48-well tissue culture dish. Ensure that the cell suspension covers the entire surface of the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Plate cells in additional wells for a later source of conditioned media. Also place 0.10 mL of DMEM/FCS in three additional wells to serve as a ‘no cell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Incubate overnight in a tissue culture incubator at 37 &amp;#176;C/5%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next day, do not remove from incubator until the bacterium inoculum is prepared and ready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Preparing </w:t>
      </w:r>
      <w:r>
        <w:rPr>
          <w:rFonts w:ascii="Calibri" w:hAnsi="Calibri" w:cs="Calibri" w:eastAsia="Calibri"/>
          <w:b/>
          <w:i/>
          <w:color w:val="000000"/>
          <w:spacing w:val="0"/>
          <w:position w:val="0"/>
          <w:sz w:val="24"/>
          <w:shd w:fill="auto" w:val="clear"/>
        </w:rPr>
        <w:t xml:space="preserve">Listeria monocytogenes</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Lm</w:t>
      </w:r>
      <w:r>
        <w:rPr>
          <w:rFonts w:ascii="Calibri" w:hAnsi="Calibri" w:cs="Calibri" w:eastAsia="Calibri"/>
          <w:b/>
          <w:color w:val="000000"/>
          <w:spacing w:val="0"/>
          <w:position w:val="0"/>
          <w:sz w:val="24"/>
          <w:shd w:fill="auto" w:val="clear"/>
        </w:rPr>
        <w:t xml:space="preserve">) for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Inoculate 2 mL of brain-heart infusion (BHI) with a single colony from a freshly-streaked agar plate (&amp;lt;2 days) of </w:t>
      </w:r>
      <w:r>
        <w:rPr>
          <w:rFonts w:ascii="Calibri" w:hAnsi="Calibri" w:cs="Calibri" w:eastAsia="Calibri"/>
          <w:i/>
          <w:color w:val="000000"/>
          <w:spacing w:val="0"/>
          <w:position w:val="0"/>
          <w:sz w:val="24"/>
          <w:shd w:fill="auto" w:val="clear"/>
        </w:rPr>
        <w:t xml:space="preserve">Lm</w:t>
      </w:r>
      <w:r>
        <w:rPr>
          <w:rFonts w:ascii="Calibri" w:hAnsi="Calibri" w:cs="Calibri" w:eastAsia="Calibri"/>
          <w:color w:val="000000"/>
          <w:spacing w:val="0"/>
          <w:position w:val="0"/>
          <w:sz w:val="24"/>
          <w:shd w:fill="auto" w:val="clear"/>
        </w:rPr>
        <w:t xml:space="preserve"> and incubate overnight at 37 &amp;#176;C with shaking at 130 rotations/min.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The next day, add 0.10 mL of overnight culture to 2 mL pre-warmed BHI and continue incubating at 37 &amp;#176;C with shaking until the optical density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is between 0.4 and 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Determine approximate bacterial titer using an empirically-derived conversion formula. In our lab, an exponentially growing </w:t>
      </w:r>
      <w:r>
        <w:rPr>
          <w:rFonts w:ascii="Calibri" w:hAnsi="Calibri" w:cs="Calibri" w:eastAsia="Calibri"/>
          <w:i/>
          <w:color w:val="000000"/>
          <w:spacing w:val="0"/>
          <w:position w:val="0"/>
          <w:sz w:val="24"/>
          <w:shd w:fill="auto" w:val="clear"/>
        </w:rPr>
        <w:t xml:space="preserve">Lm</w:t>
      </w:r>
      <w:r>
        <w:rPr>
          <w:rFonts w:ascii="Calibri" w:hAnsi="Calibri" w:cs="Calibri" w:eastAsia="Calibri"/>
          <w:color w:val="000000"/>
          <w:spacing w:val="0"/>
          <w:position w:val="0"/>
          <w:sz w:val="24"/>
          <w:shd w:fill="auto" w:val="clear"/>
        </w:rPr>
        <w:t xml:space="preserve"> culture in BHI is approximately 1.3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colony forming units (CFU)/OD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Minimize the amount of time bacterial cultures are exposed to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Just prior to infection adjust the titer to 5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CFU/mL using pre-warmed DMEM/FCS as diluent.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Working quickly and precisely, add 20 &amp;#181;L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CFU; multiplicity of infection, MOI = 5) of the freshly-prepared </w:t>
      </w:r>
      <w:r>
        <w:rPr>
          <w:rFonts w:ascii="Calibri" w:hAnsi="Calibri" w:cs="Calibri" w:eastAsia="Calibri"/>
          <w:i/>
          <w:color w:val="000000"/>
          <w:spacing w:val="0"/>
          <w:position w:val="0"/>
          <w:sz w:val="24"/>
          <w:shd w:fill="FFFF00" w:val="clear"/>
        </w:rPr>
        <w:t xml:space="preserve">Lm</w:t>
      </w:r>
      <w:r>
        <w:rPr>
          <w:rFonts w:ascii="Calibri" w:hAnsi="Calibri" w:cs="Calibri" w:eastAsia="Calibri"/>
          <w:color w:val="000000"/>
          <w:spacing w:val="0"/>
          <w:position w:val="0"/>
          <w:sz w:val="24"/>
          <w:shd w:fill="FFFF00" w:val="clear"/>
        </w:rPr>
        <w:t xml:space="preserve"> inoculum (step 2.4 above) to wells by slightly tilting the dish and carefully placing the pipet tip in the overlying media; </w:t>
      </w:r>
      <w:r>
        <w:rPr>
          <w:rFonts w:ascii="Calibri" w:hAnsi="Calibri" w:cs="Calibri" w:eastAsia="Calibri"/>
          <w:b/>
          <w:color w:val="000000"/>
          <w:spacing w:val="0"/>
          <w:position w:val="0"/>
          <w:sz w:val="24"/>
          <w:shd w:fill="FFFF00" w:val="clear"/>
        </w:rPr>
        <w:t xml:space="preserve">avoid touching the walls of the well with the pipet tip</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Gently pipet the contents of each well to ensure complete mixing; do not shake or significantly tilt the plate as this will spread </w:t>
      </w:r>
      <w:r>
        <w:rPr>
          <w:rFonts w:ascii="Calibri" w:hAnsi="Calibri" w:cs="Calibri" w:eastAsia="Calibri"/>
          <w:i/>
          <w:color w:val="000000"/>
          <w:spacing w:val="0"/>
          <w:position w:val="0"/>
          <w:sz w:val="24"/>
          <w:shd w:fill="FFFF00" w:val="clear"/>
        </w:rPr>
        <w:t xml:space="preserve">Lm</w:t>
      </w:r>
      <w:r>
        <w:rPr>
          <w:rFonts w:ascii="Calibri" w:hAnsi="Calibri" w:cs="Calibri" w:eastAsia="Calibri"/>
          <w:color w:val="000000"/>
          <w:spacing w:val="0"/>
          <w:position w:val="0"/>
          <w:sz w:val="24"/>
          <w:shd w:fill="FFFF00" w:val="clear"/>
        </w:rPr>
        <w:t xml:space="preserve"> over the walls of the well. Return cell culture dish to 37 &amp;#176;C/5%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incubator.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Prepare a 10 &amp;#181;g/mL gentamicin solution using conditioned media from uninfected wells as diluent.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At 30 minutes post infection (mpi), carefully add 30 &amp;#181;L of the gentamicin solution (final concentration 2.5 &amp;#181;g/mL) and gently pipet the contents of the well as before and return cell culture dish to 37 &amp;#176;C/5%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At 60 mpi, harvest appropriate wells for either CFU assay (60 mpi time point) or FCM analysis (as described below in sections 4 and 5,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For remaining wells, at various times thereafter either harvest cells as before or, for the </w:t>
      </w:r>
      <w:r>
        <w:rPr>
          <w:rFonts w:ascii="Calibri" w:hAnsi="Calibri" w:cs="Calibri" w:eastAsia="Calibri"/>
          <w:i/>
          <w:color w:val="000000"/>
          <w:spacing w:val="0"/>
          <w:position w:val="0"/>
          <w:sz w:val="24"/>
          <w:shd w:fill="auto" w:val="clear"/>
        </w:rPr>
        <w:t xml:space="preserve">Lm</w:t>
      </w:r>
      <w:r>
        <w:rPr>
          <w:rFonts w:ascii="Calibri" w:hAnsi="Calibri" w:cs="Calibri" w:eastAsia="Calibri"/>
          <w:color w:val="000000"/>
          <w:spacing w:val="0"/>
          <w:position w:val="0"/>
          <w:sz w:val="24"/>
          <w:shd w:fill="auto" w:val="clear"/>
        </w:rPr>
        <w:t xml:space="preserve"> emergence assay, entirely remove media from well and replace with 150 &amp;#181;L of gentamicin-free conditioned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Sampling processing and analysis of intracellular and emergent </w:t>
      </w:r>
      <w:r>
        <w:rPr>
          <w:rFonts w:ascii="Calibri" w:hAnsi="Calibri" w:cs="Calibri" w:eastAsia="Calibri"/>
          <w:b/>
          <w:i/>
          <w:color w:val="000000"/>
          <w:spacing w:val="0"/>
          <w:position w:val="0"/>
          <w:sz w:val="24"/>
          <w:shd w:fill="auto" w:val="clear"/>
        </w:rPr>
        <w:t xml:space="preserve">Lm</w:t>
      </w:r>
      <w:r>
        <w:rPr>
          <w:rFonts w:ascii="Calibri" w:hAnsi="Calibri" w:cs="Calibri" w:eastAsia="Calibri"/>
          <w:b/>
          <w:color w:val="000000"/>
          <w:spacing w:val="0"/>
          <w:position w:val="0"/>
          <w:sz w:val="24"/>
          <w:shd w:fill="auto" w:val="clear"/>
        </w:rPr>
        <w:t xml:space="preserve"> by CFU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To harvest, slightly tilt the dish and carefully remove the entire media from the well. Add 0.50 mL of distilled sterile water (dsH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the well. After 30 s, transfer the resulting water lysate (10</w:t>
      </w:r>
      <w:r>
        <w:rPr>
          <w:rFonts w:ascii="Calibri" w:hAnsi="Calibri" w:cs="Calibri" w:eastAsia="Calibri"/>
          <w:color w:val="000000"/>
          <w:spacing w:val="0"/>
          <w:position w:val="0"/>
          <w:sz w:val="24"/>
          <w:shd w:fill="FFFF00" w:val="clear"/>
          <w:vertAlign w:val="superscript"/>
        </w:rPr>
        <w:t xml:space="preserve">0</w:t>
      </w:r>
      <w:r>
        <w:rPr>
          <w:rFonts w:ascii="Calibri" w:hAnsi="Calibri" w:cs="Calibri" w:eastAsia="Calibri"/>
          <w:color w:val="000000"/>
          <w:spacing w:val="0"/>
          <w:position w:val="0"/>
          <w:sz w:val="24"/>
          <w:shd w:fill="FFFF00" w:val="clear"/>
        </w:rPr>
        <w:t xml:space="preserve">) to a 1.5 mL microcentrifuge tube and vortex vigorously for 10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Prepare 10</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10</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dilutions by adding either 4.5 &amp;#181;L or 50 &amp;#181;L of the water lysate to 450 &amp;#181;L of dsH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briefly vortex to ensure thorough mixing.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Spread 50 &amp;#181;L of the 10</w:t>
      </w:r>
      <w:r>
        <w:rPr>
          <w:rFonts w:ascii="Calibri" w:hAnsi="Calibri" w:cs="Calibri" w:eastAsia="Calibri"/>
          <w:color w:val="000000"/>
          <w:spacing w:val="0"/>
          <w:position w:val="0"/>
          <w:sz w:val="24"/>
          <w:shd w:fill="FFFF00" w:val="clear"/>
          <w:vertAlign w:val="superscript"/>
        </w:rPr>
        <w:t xml:space="preserve">0</w:t>
      </w:r>
      <w:r>
        <w:rPr>
          <w:rFonts w:ascii="Calibri" w:hAnsi="Calibri" w:cs="Calibri" w:eastAsia="Calibri"/>
          <w:color w:val="000000"/>
          <w:spacing w:val="0"/>
          <w:position w:val="0"/>
          <w:sz w:val="24"/>
          <w:shd w:fill="FFFF00" w:val="clear"/>
        </w:rPr>
        <w:t xml:space="preserve">, 10</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and/or 10</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samples onto lysogeny broth (LB) agar plates.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To assay for emergent </w:t>
      </w:r>
      <w:r>
        <w:rPr>
          <w:rFonts w:ascii="Calibri" w:hAnsi="Calibri" w:cs="Calibri" w:eastAsia="Calibri"/>
          <w:i/>
          <w:color w:val="000000"/>
          <w:spacing w:val="0"/>
          <w:position w:val="0"/>
          <w:sz w:val="24"/>
          <w:shd w:fill="FFFF00" w:val="clear"/>
        </w:rPr>
        <w:t xml:space="preserve">Lm</w:t>
      </w:r>
      <w:r>
        <w:rPr>
          <w:rFonts w:ascii="Calibri" w:hAnsi="Calibri" w:cs="Calibri" w:eastAsia="Calibri"/>
          <w:color w:val="000000"/>
          <w:spacing w:val="0"/>
          <w:position w:val="0"/>
          <w:sz w:val="24"/>
          <w:shd w:fill="FFFF00" w:val="clear"/>
        </w:rPr>
        <w:t xml:space="preserve"> (step 3.6 above), remove 10 &amp;#181;L of the overlaying media and divide it into two 5 &amp;#181;L aliquots: to one aliquot add 5 &amp;#181;L of DMEM/FCS and to the second aliquot add 5 &amp;#181;L of DMEM/FCS containing 5 &amp;#181;g/mL gentamicin. The latter control distinguishes between extracellular </w:t>
      </w:r>
      <w:r>
        <w:rPr>
          <w:rFonts w:ascii="Calibri" w:hAnsi="Calibri" w:cs="Calibri" w:eastAsia="Calibri"/>
          <w:i/>
          <w:color w:val="000000"/>
          <w:spacing w:val="0"/>
          <w:position w:val="0"/>
          <w:sz w:val="24"/>
          <w:shd w:fill="FFFF00" w:val="clear"/>
        </w:rPr>
        <w:t xml:space="preserve">Lm</w:t>
      </w:r>
      <w:r>
        <w:rPr>
          <w:rFonts w:ascii="Calibri" w:hAnsi="Calibri" w:cs="Calibri" w:eastAsia="Calibri"/>
          <w:color w:val="000000"/>
          <w:spacing w:val="0"/>
          <w:position w:val="0"/>
          <w:sz w:val="24"/>
          <w:shd w:fill="FFFF00" w:val="clear"/>
        </w:rPr>
        <w:t xml:space="preserve"> (gentamicin sensitive) and intracellular </w:t>
      </w:r>
      <w:r>
        <w:rPr>
          <w:rFonts w:ascii="Calibri" w:hAnsi="Calibri" w:cs="Calibri" w:eastAsia="Calibri"/>
          <w:i/>
          <w:color w:val="000000"/>
          <w:spacing w:val="0"/>
          <w:position w:val="0"/>
          <w:sz w:val="24"/>
          <w:shd w:fill="FFFF00" w:val="clear"/>
        </w:rPr>
        <w:t xml:space="preserve">Lm</w:t>
      </w:r>
      <w:r>
        <w:rPr>
          <w:rFonts w:ascii="Calibri" w:hAnsi="Calibri" w:cs="Calibri" w:eastAsia="Calibri"/>
          <w:color w:val="000000"/>
          <w:spacing w:val="0"/>
          <w:position w:val="0"/>
          <w:sz w:val="24"/>
          <w:shd w:fill="FFFF00" w:val="clear"/>
        </w:rPr>
        <w:t xml:space="preserve"> (gentamicin resistant) in the subsequent CFU assay.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00" w:val="clear"/>
        </w:rPr>
        <w:t xml:space="preserve">After 5 min at room temperature, add 90 &amp;#181;L of dsH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vortex vigorously for 10 s, and spread 50 &amp;#181;L on LB agar plates.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Enumerate </w:t>
      </w:r>
      <w:r>
        <w:rPr>
          <w:rFonts w:ascii="Calibri" w:hAnsi="Calibri" w:cs="Calibri" w:eastAsia="Calibri"/>
          <w:i/>
          <w:color w:val="000000"/>
          <w:spacing w:val="0"/>
          <w:position w:val="0"/>
          <w:sz w:val="24"/>
          <w:shd w:fill="auto" w:val="clear"/>
        </w:rPr>
        <w:t xml:space="preserve">Lm</w:t>
      </w:r>
      <w:r>
        <w:rPr>
          <w:rFonts w:ascii="Calibri" w:hAnsi="Calibri" w:cs="Calibri" w:eastAsia="Calibri"/>
          <w:color w:val="000000"/>
          <w:spacing w:val="0"/>
          <w:position w:val="0"/>
          <w:sz w:val="24"/>
          <w:shd w:fill="auto" w:val="clear"/>
        </w:rPr>
        <w:t xml:space="preserve"> colonies on LB agar plates following 2 days of incubation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Sampling processing and analysis of intracellular and emergent </w:t>
      </w:r>
      <w:r>
        <w:rPr>
          <w:rFonts w:ascii="Calibri" w:hAnsi="Calibri" w:cs="Calibri" w:eastAsia="Calibri"/>
          <w:b/>
          <w:i/>
          <w:color w:val="auto"/>
          <w:spacing w:val="0"/>
          <w:position w:val="0"/>
          <w:sz w:val="24"/>
          <w:shd w:fill="auto" w:val="clear"/>
        </w:rPr>
        <w:t xml:space="preserve">Lm</w:t>
      </w:r>
      <w:r>
        <w:rPr>
          <w:rFonts w:ascii="Calibri" w:hAnsi="Calibri" w:cs="Calibri" w:eastAsia="Calibri"/>
          <w:b/>
          <w:color w:val="auto"/>
          <w:spacing w:val="0"/>
          <w:position w:val="0"/>
          <w:sz w:val="24"/>
          <w:shd w:fill="auto" w:val="clear"/>
        </w:rPr>
        <w:t xml:space="preserve"> by flow cytometry (FCM)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RAW 264.7 cells as described in steps 1.1-4. Adjust cells to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and add 1 mL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to wells of a 6-well tissue culture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Prepare bacterium inoculum as described in step 2.1-2.3 and infect cells with volume of inoculum corresponding to a MOI of 50 (5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CFU).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At 1.5 hours post infection (hpi), collect media from first set of wells and place in a 1.5 mL microcentrifuge tube with 500 &amp;#181;L of 4% </w:t>
      </w:r>
      <w:r>
        <w:rPr>
          <w:rFonts w:ascii="Calibri" w:hAnsi="Calibri" w:cs="Calibri" w:eastAsia="Calibri"/>
          <w:color w:val="222222"/>
          <w:spacing w:val="0"/>
          <w:position w:val="0"/>
          <w:sz w:val="24"/>
          <w:shd w:fill="FFFF00" w:val="clear"/>
        </w:rPr>
        <w:t xml:space="preserve">paraformaldehyde (</w:t>
      </w:r>
      <w:r>
        <w:rPr>
          <w:rFonts w:ascii="Calibri" w:hAnsi="Calibri" w:cs="Calibri" w:eastAsia="Calibri"/>
          <w:color w:val="auto"/>
          <w:spacing w:val="0"/>
          <w:position w:val="0"/>
          <w:sz w:val="24"/>
          <w:shd w:fill="FFFF00" w:val="clear"/>
        </w:rPr>
        <w:t xml:space="preserve">PFA) and place on ice until all wells have been processed.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To collect intracellular </w:t>
      </w:r>
      <w:r>
        <w:rPr>
          <w:rFonts w:ascii="Calibri" w:hAnsi="Calibri" w:cs="Calibri" w:eastAsia="Calibri"/>
          <w:i/>
          <w:color w:val="auto"/>
          <w:spacing w:val="0"/>
          <w:position w:val="0"/>
          <w:sz w:val="24"/>
          <w:shd w:fill="FFFF00" w:val="clear"/>
        </w:rPr>
        <w:t xml:space="preserve">Lm</w:t>
      </w:r>
      <w:r>
        <w:rPr>
          <w:rFonts w:ascii="Calibri" w:hAnsi="Calibri" w:cs="Calibri" w:eastAsia="Calibri"/>
          <w:color w:val="auto"/>
          <w:spacing w:val="0"/>
          <w:position w:val="0"/>
          <w:sz w:val="24"/>
          <w:shd w:fill="FFFF00" w:val="clear"/>
        </w:rPr>
        <w:t xml:space="preserve">, add 1 mL of dsH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well and after 60 s, transfer the resulting water lysate to a 1.5 mL microcentrifuge tube with 500 &amp;#181;L of 4% PFA. Vortex vigorously for 10 s and place on ice until all wells have been processed. (Sample processing is described in step 5.8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For remaining wells, remove media and replace with 1 mL of </w:t>
      </w:r>
      <w:r>
        <w:rPr>
          <w:rFonts w:ascii="Calibri" w:hAnsi="Calibri" w:cs="Calibri" w:eastAsia="Calibri"/>
          <w:color w:val="000000"/>
          <w:spacing w:val="0"/>
          <w:position w:val="0"/>
          <w:sz w:val="24"/>
          <w:shd w:fill="FFFF00" w:val="clear"/>
        </w:rPr>
        <w:t xml:space="preserve">DMEM/FCS</w:t>
      </w:r>
      <w:r>
        <w:rPr>
          <w:rFonts w:ascii="Calibri" w:hAnsi="Calibri" w:cs="Calibri" w:eastAsia="Calibri"/>
          <w:color w:val="auto"/>
          <w:spacing w:val="0"/>
          <w:position w:val="0"/>
          <w:sz w:val="24"/>
          <w:shd w:fill="FFFF00" w:val="clear"/>
        </w:rPr>
        <w:t xml:space="preserve"> with 5 &amp;#181;g/mL gentamicin to kill extracellular </w:t>
      </w:r>
      <w:r>
        <w:rPr>
          <w:rFonts w:ascii="Calibri" w:hAnsi="Calibri" w:cs="Calibri" w:eastAsia="Calibri"/>
          <w:i/>
          <w:color w:val="auto"/>
          <w:spacing w:val="0"/>
          <w:position w:val="0"/>
          <w:sz w:val="24"/>
          <w:shd w:fill="FFFF00" w:val="clear"/>
        </w:rPr>
        <w:t xml:space="preserve">Lm</w:t>
      </w:r>
      <w:r>
        <w:rPr>
          <w:rFonts w:ascii="Calibri" w:hAnsi="Calibri" w:cs="Calibri" w:eastAsia="Calibri"/>
          <w:color w:val="auto"/>
          <w:spacing w:val="0"/>
          <w:position w:val="0"/>
          <w:sz w:val="24"/>
          <w:shd w:fill="FFFF00" w:val="clear"/>
        </w:rPr>
        <w:t xml:space="preserve"> and promptly return cells to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After 30 min (2 hpi) remove media and replace with </w:t>
      </w:r>
      <w:r>
        <w:rPr>
          <w:rFonts w:ascii="Calibri" w:hAnsi="Calibri" w:cs="Calibri" w:eastAsia="Calibri"/>
          <w:color w:val="000000"/>
          <w:spacing w:val="0"/>
          <w:position w:val="0"/>
          <w:sz w:val="24"/>
          <w:shd w:fill="FFFF00" w:val="clear"/>
        </w:rPr>
        <w:t xml:space="preserve">DMEM/FCS without gentamicin.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After 2 and 4 hours (4 and 6 hpi) take second and third time points by collecting media and lysates as steps 5.3 and 5.4.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Centrifuge tubes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Remove supernatant without disturbing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Suspend each pellet in staining cocktail of 50 &amp;#181;L of 4% PFA and 15 &amp;#181;L of phalloidin. Incubate tubes in the dark at 4 &amp;#176;C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After incubation add 1 mL of FACS buffer to each tube and pipette up and down to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Spin tubes at 10,000 x g for 7 min. Remove supernatant without disturbing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Suspend each pellet in 400 &amp;#181;L of FACS buffer for immediate use, or 200 &amp;#181;L of FACS buffer and 200 &amp;#181;L of 4% PFA if storing for later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Run samples on a flow cytometry and analyze the collected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Sampling processing and analysis of </w:t>
      </w:r>
      <w:r>
        <w:rPr>
          <w:rFonts w:ascii="Calibri" w:hAnsi="Calibri" w:cs="Calibri" w:eastAsia="Calibri"/>
          <w:b/>
          <w:i/>
          <w:color w:val="auto"/>
          <w:spacing w:val="0"/>
          <w:position w:val="0"/>
          <w:sz w:val="24"/>
          <w:shd w:fill="auto" w:val="clear"/>
        </w:rPr>
        <w:t xml:space="preserve">Lm</w:t>
      </w:r>
      <w:r>
        <w:rPr>
          <w:rFonts w:ascii="Calibri" w:hAnsi="Calibri" w:cs="Calibri" w:eastAsia="Calibri"/>
          <w:b/>
          <w:color w:val="auto"/>
          <w:spacing w:val="0"/>
          <w:position w:val="0"/>
          <w:sz w:val="24"/>
          <w:shd w:fill="auto" w:val="clear"/>
        </w:rPr>
        <w:t xml:space="preserve"> colonization and host responses in the liver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for infection as described in step 2.1-2.3.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Calculate the necessary amount of subculture for desired titer of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Just prior to infection dilute the amount of calculated bacteria with pre-warmed Hank’s Balanced Salt Solution (HBSS) in a final volume of 1 mL. This is the input inoculum that is injected into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Using a 28 G½ 100U insulin syringe, draw 100 &amp;#181;L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input inoculum and remove any visible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Place the mouse (strain C57BL/6; males between 6 and 12 weeks old) into the holding restraint and use warm water (no more than 45 &amp;#176;C) to dilate the tail vein, then inject the input inoculum into the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Plate 10</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dilutions of the input inoculum onto LB agar 10bcm plates and incubate overnight at 37 &amp;#176;C to determine the actual input dosage.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At 18 hpi, humanely euthanize mouse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followed by cervical dislocation) and using sterile scissors cut open mouse peritoneum to collect frontal lobe of the liver using separate pairs of tweezers and scissors for the outside and inside of the mouse. Place the liver in a 6 cm Petri dish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Cut the liver into small cubes and place into a glass vial with a magnetic stir bar. Add 2 mL of 2 mg/mL collagenase D reconstituted in </w:t>
      </w:r>
      <w:r>
        <w:rPr>
          <w:rFonts w:ascii="Calibri" w:hAnsi="Calibri" w:cs="Calibri" w:eastAsia="Calibri"/>
          <w:color w:val="000000"/>
          <w:spacing w:val="0"/>
          <w:position w:val="0"/>
          <w:sz w:val="24"/>
          <w:shd w:fill="auto" w:val="clear"/>
        </w:rPr>
        <w:t xml:space="preserve">DMEM</w:t>
      </w:r>
      <w:r>
        <w:rPr>
          <w:rFonts w:ascii="Calibri" w:hAnsi="Calibri" w:cs="Calibri" w:eastAsia="Calibri"/>
          <w:color w:val="auto"/>
          <w:spacing w:val="0"/>
          <w:position w:val="0"/>
          <w:sz w:val="24"/>
          <w:shd w:fill="auto" w:val="clear"/>
        </w:rPr>
        <w:t xml:space="preserve"> without FCS. Incubate vials at 37 &amp;#176;C on a magnetic stirrer for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Once the tissue is homogenized, add 3 mL of </w:t>
      </w:r>
      <w:r>
        <w:rPr>
          <w:rFonts w:ascii="Calibri" w:hAnsi="Calibri" w:cs="Calibri" w:eastAsia="Calibri"/>
          <w:color w:val="000000"/>
          <w:spacing w:val="0"/>
          <w:position w:val="0"/>
          <w:sz w:val="24"/>
          <w:shd w:fill="auto" w:val="clear"/>
        </w:rPr>
        <w:t xml:space="preserve">DMEM/FCS</w:t>
      </w:r>
      <w:r>
        <w:rPr>
          <w:rFonts w:ascii="Calibri" w:hAnsi="Calibri" w:cs="Calibri" w:eastAsia="Calibri"/>
          <w:color w:val="auto"/>
          <w:spacing w:val="0"/>
          <w:position w:val="0"/>
          <w:sz w:val="24"/>
          <w:shd w:fill="auto" w:val="clear"/>
        </w:rPr>
        <w:t xml:space="preserve"> to inactivate the collagenase.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Filter the cells through a 70 &amp;#181;m cell strainer into a conical tube, adding more </w:t>
      </w:r>
      <w:r>
        <w:rPr>
          <w:rFonts w:ascii="Calibri" w:hAnsi="Calibri" w:cs="Calibri" w:eastAsia="Calibri"/>
          <w:color w:val="000000"/>
          <w:spacing w:val="0"/>
          <w:position w:val="0"/>
          <w:sz w:val="24"/>
          <w:shd w:fill="auto" w:val="clear"/>
        </w:rPr>
        <w:t xml:space="preserve">DMEM/FCS</w:t>
      </w:r>
      <w:r>
        <w:rPr>
          <w:rFonts w:ascii="Calibri" w:hAnsi="Calibri" w:cs="Calibri" w:eastAsia="Calibri"/>
          <w:color w:val="auto"/>
          <w:spacing w:val="0"/>
          <w:position w:val="0"/>
          <w:sz w:val="24"/>
          <w:shd w:fill="auto" w:val="clear"/>
        </w:rPr>
        <w:t xml:space="preserve">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Centrifuge cells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at 4 &amp;#176;C for 10 min, remove supernatant and suspend cell pellet in 500 &amp;#181;L of ACK buffer to lyse red blood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Incubate cells at room temperature for 5 min in ACK buffer. Suspend cells in 1 mL of </w:t>
      </w:r>
      <w:r>
        <w:rPr>
          <w:rFonts w:ascii="Calibri" w:hAnsi="Calibri" w:cs="Calibri" w:eastAsia="Calibri"/>
          <w:color w:val="000000"/>
          <w:spacing w:val="0"/>
          <w:position w:val="0"/>
          <w:sz w:val="24"/>
          <w:shd w:fill="auto" w:val="clear"/>
        </w:rPr>
        <w:t xml:space="preserve">DMEM/FCS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Centrifuge cells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at 4 &amp;#176;C for 10 min, remove supernatant and suspend in 1 mL of </w:t>
      </w:r>
      <w:r>
        <w:rPr>
          <w:rFonts w:ascii="Calibri" w:hAnsi="Calibri" w:cs="Calibri" w:eastAsia="Calibri"/>
          <w:color w:val="000000"/>
          <w:spacing w:val="0"/>
          <w:position w:val="0"/>
          <w:sz w:val="24"/>
          <w:shd w:fill="auto" w:val="clear"/>
        </w:rPr>
        <w:t xml:space="preserve">DMEM/FCS</w:t>
      </w:r>
      <w:r>
        <w:rPr>
          <w:rFonts w:ascii="Calibri" w:hAnsi="Calibri" w:cs="Calibri" w:eastAsia="Calibri"/>
          <w:color w:val="auto"/>
          <w:spacing w:val="0"/>
          <w:position w:val="0"/>
          <w:sz w:val="24"/>
          <w:shd w:fill="auto" w:val="clear"/>
        </w:rPr>
        <w:t xml:space="preserve">. Then, count the cells using a hemocytometer or an automated cell counter.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Transfer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to 1.5 mL microcentrifuge tube and spin to pellet. Then suspend in 1 mL of dsH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vortex to lyse the cells. Plate 50 &amp;#181;L on LB plates at undiluted and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dilutions and incubate at 37 &amp;#176;C to enumerate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for CFU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Transfer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into FACS tubes for each tissue sample according to the cell counts and wash with 1 mL of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Centrifuge cells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at 4 &amp;#176;C for 10 min and remove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Prepare an antibody cocktail containing the antibodies of interest based on the recommended concentration for each antibody and FACS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recommended amounts used in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t xml:space="preserve">Suspend pellet in 100 &amp;#181;L of antibody cocktail and incubate tubes in the dark at 4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w:t>
        <w:tab/>
        <w:t xml:space="preserve">After incubation, add 2 mL of FACS buffer to each tube and suspend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6.19</w:t>
        <w:tab/>
        <w:t xml:space="preserve">Centrifuge cells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at 4 &amp;#176;C and discard the supernatant. Then suspend the pellet in 400 &amp;#181;L of FACS buffer for immediate use, or 200 &amp;#181;L of FACS buffer and 200 &amp;#181;L of 4% PFA if storing for later.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6.20</w:t>
        <w:tab/>
        <w:t xml:space="preserve">Analyze cells by flow cytometry (see step 5.13).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Assessing the role of pathogen and host-encoded factors impacting cellular infection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infection conditions described above, 0.15% of the input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is recovered after 1.5 h of co-incubation with cultured macrophages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the subsequent 1.5 h of co-incubation (3 h post infection, hpi), there was a 4-fold increase in recovery of viable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and from 3 to 6 hpi there was an additional 7.5-fold increase in the recovery of viable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Since the cell-impermeable antibiotic gentamicin is added to the co-cultures at 1 hpi to eliminate extracellular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the 30-fold increase in viable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levels between 1.5 and 6 hpi exclusively represents intracellular proliferation.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rapidly gains access to the cytosol following its internalization within eukaryotic cells (see </w:t>
      </w:r>
      <w:r>
        <w:rPr>
          <w:rFonts w:ascii="Calibri" w:hAnsi="Calibri" w:cs="Calibri" w:eastAsia="Calibri"/>
          <w:i/>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Cytosolic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associates with the actin polymerization machinery by which means it propels itself capable of penetrating the plasma membrane. In the in vitro infection assay described above, if gentamicin is removed from the wells at 6 hpi, extracellular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can be readily detected 1 h later (7 hpi) in the overlying media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No CFUs were recovered from control wells that were not seeded with macrophages but that were otherwise treated identically as seeded wells thereby showing that the appearance of extracellular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was entirely dependent on the presence of macrophages and not a result of incomplete antibiotic killing (</w:t>
      </w:r>
      <w:r>
        <w:rPr>
          <w:rFonts w:ascii="Calibri" w:hAnsi="Calibri" w:cs="Calibri" w:eastAsia="Calibri"/>
          <w:i/>
          <w:color w:val="auto"/>
          <w:spacing w:val="0"/>
          <w:position w:val="0"/>
          <w:sz w:val="24"/>
          <w:shd w:fill="auto" w:val="clear"/>
        </w:rPr>
        <w:t xml:space="preserve">not shown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capability of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to survive and proliferate intracellularly is largely dependent on a suite of genes whose expression are controlled by the transcription factor Positive Regulatory Factor A (PrfA)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Initially, there is a comparable recovery of the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and a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mutant strain deleted for this factor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However, there is a subsequent reduction in the recovery of the 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 after prolonged co-incubation such that the recovery at 6 hpi is 3-fold less than the recovery at 1.5 hpi. Relatedly and expectedly, 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bacteria were not detected in the overlying media at 7 hpi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activity of PrfA is regulated at multiple levels. A number of constitutively active PrfA variants, encoded by hyper-virulent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alleles, have been isolated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possessing a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has an initial infection profile that is comparable to the isogenic wild-type strain at 1.5 and 3 hpi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However, between 3 and 6 hpi, the fold-increase of the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 significantly differed from that of the wild-type strain. Again, relatedly and expectedly, the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 was readily detected in the overlying media at 7 hpi at levels that significantly exceeded that observed for the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its release into the cytosol,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associates with the cellular actin polymerization machinery that results in the bacterium being enveloped by polymerized actin. To confirm that extracellular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is derived from the actin-rich cytosol of the infected host cell, macrophages were either left uninfected or infected with a GFP-expressing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 and the overlying media was collected at 1.5, 4, and 6 hpi, stained with phalloidin that binds polymerized actin, and analyzed by flow cytometry. Media overlaying both uninfected and infected macrophages contained light-scattering bacterium-sized particulate matter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only media from infected macrophages possessed GFP-positive signals within this size gating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left panel). There was a time-dependent increase in the appearance of phalloidin-positive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 the media overlaying infected macrophages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right three panels). Phalloidin-positive GFP-expressing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were also detected in lysates prepared from infected macrophages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left panel). However, no phalloidin-positive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was detected in lysates prepared from macrophages infected with a GFP-expressing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mutant strain that lacked the virulence factor ActA that is required to recruit the actin-polymerization machinery to the outer surface of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following its release into the cytosol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right panel). These data support a scenario that in an in vitro infection model ‘emergent’ extracellular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are derived from the infected cell cytosol.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-encoding factors, a number of host factors have been identified that impact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cellular infection (see </w:t>
      </w:r>
      <w:r>
        <w:rPr>
          <w:rFonts w:ascii="Calibri" w:hAnsi="Calibri" w:cs="Calibri" w:eastAsia="Calibri"/>
          <w:i/>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Recently, the host factor Perforin-2 (P2) has been shown to be a critical component of cell-level defenses against a number of bacterial pathogens. Peritoneal exudate macrophages (PEMs) isolated from wild-type (</w:t>
      </w:r>
      <w:r>
        <w:rPr>
          <w:rFonts w:ascii="Calibri" w:hAnsi="Calibri" w:cs="Calibri" w:eastAsia="Calibri"/>
          <w:i/>
          <w:color w:val="auto"/>
          <w:spacing w:val="0"/>
          <w:position w:val="0"/>
          <w:sz w:val="24"/>
          <w:shd w:fill="auto" w:val="clear"/>
        </w:rPr>
        <w:t xml:space="preserve">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are initially comparably infected by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as measured by CFU assay at 1 hpi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PEMs the number of CFUs recovered at 6 hpi is 10-fold greater compared to the levels recovered at 1 hpi. Similar to previously published findings, in </w:t>
      </w:r>
      <w:r>
        <w:rPr>
          <w:rFonts w:ascii="Calibri" w:hAnsi="Calibri" w:cs="Calibri" w:eastAsia="Calibri"/>
          <w:i/>
          <w:color w:val="auto"/>
          <w:spacing w:val="0"/>
          <w:position w:val="0"/>
          <w:sz w:val="24"/>
          <w:shd w:fill="auto" w:val="clear"/>
        </w:rPr>
        <w:t xml:space="preserve">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PEMs the number of CFUs recovered at 6 hpi is 80-fold greater compared to the levels recovered at 1 hpi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Enhanced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intracellular proliferation in </w:t>
      </w:r>
      <w:r>
        <w:rPr>
          <w:rFonts w:ascii="Calibri" w:hAnsi="Calibri" w:cs="Calibri" w:eastAsia="Calibri"/>
          <w:i/>
          <w:color w:val="auto"/>
          <w:spacing w:val="0"/>
          <w:position w:val="0"/>
          <w:sz w:val="24"/>
          <w:shd w:fill="auto" w:val="clear"/>
        </w:rPr>
        <w:t xml:space="preserve">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PEMs was accompanied with greater levels of viable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detected in the overlying media compared to levels detected in </w:t>
      </w:r>
      <w:r>
        <w:rPr>
          <w:rFonts w:ascii="Calibri" w:hAnsi="Calibri" w:cs="Calibri" w:eastAsia="Calibri"/>
          <w:i/>
          <w:color w:val="auto"/>
          <w:spacing w:val="0"/>
          <w:position w:val="0"/>
          <w:sz w:val="24"/>
          <w:shd w:fill="auto" w:val="clear"/>
        </w:rPr>
        <w:t xml:space="preserve">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PEMs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data show that in an in vitro assay that the appearance of emergent extracellular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can also report on host factors that impact infection.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vivo infection and analysis of the liver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in vitro infection assays described above, the relative infectivity of the wild-type, attenuated, and hyper-virulent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can also be assessed by in vivo infection assays. Mice were intravenously co-infected with an equal mixture of the wild-type and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and 18 h later were humanely euthanized, livers excised, and single cell preparations were made. Isolated liver cells were lysed and the resulting lysates subjected to a CFU assay that could distinguish between the wild-type and 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Compared to the 1:1 ratio of these two strains in the original inoculum (the ‘input’), the 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/wild type ratio at 18 hpi (the ‘output’) was considerably less than unity (for 6 mice range was 0.001 to 0.330; mean 0.100)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contrast, mice co-infected with an equal mixture of the wild-type and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the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/wild type ratios ranged from 2.4 to 10.2 (mean 7.1). This experiment shows that the relative infectivity of these three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(wild type, 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in an intact organism resembles that observed in in vitro infection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host can also be monitored to determine whether the varying level of infectivity of the wild-type,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strains are associated with a corresponding gradation of the innate immune response. Previously it has been shown that resident macrophages (K&amp;#252;pffer cells) and infiltrating inflammatory monocytes and neutrophils play critical and interrelated roles in protecting the liver during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infection</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Cells prepared from uninfected mice and mice infected with the GFP-expressing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for 18 h were stained with cell type-specific markers and analyzed by flow cytometry. In terms of non-immune cells of the liver (e.g., hepatocytes and endothelial cells), there were no detectable differences between uninfected and infected mice. In contrast, there were notable infection-related changes in the liver in terms of the proportion of immune cells that positively stained for the leukocyte common antigen CD45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Specifically, mice infected with the wild-type and </w:t>
      </w:r>
      <w:r>
        <w:rPr>
          <w:rFonts w:ascii="Calibri" w:hAnsi="Calibri" w:cs="Calibri" w:eastAsia="Calibri"/>
          <w:i/>
          <w:color w:val="auto"/>
          <w:spacing w:val="0"/>
          <w:position w:val="0"/>
          <w:sz w:val="24"/>
          <w:shd w:fill="auto" w:val="clear"/>
        </w:rPr>
        <w:t xml:space="preserve">prfA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had significantly higher levels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the liver compared to uninfected mice whereas the levels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liver cells in mice infected with the attenuated 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were not notably different than levels observed in uninfected mice. To further characterize both resident and infiltrating immune cell populations,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can be furthered subtyped. As observed by others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notable shift with infection is the almost complete disappearance of resident K&amp;#252;pffer Cells (CD11b</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the liver and the concomitant appearance of a distinct population of CD11b</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cells that represent infiltrating neutrophils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lower middle panel</w:t>
      </w:r>
      <w:r>
        <w:rPr>
          <w:rFonts w:ascii="Calibri" w:hAnsi="Calibri" w:cs="Calibri" w:eastAsia="Calibri"/>
          <w:color w:val="auto"/>
          <w:spacing w:val="0"/>
          <w:position w:val="0"/>
          <w:sz w:val="24"/>
          <w:shd w:fill="auto" w:val="clear"/>
        </w:rPr>
        <w:t xml:space="preserve">). Also appearing in the liver at 18 hpi, are CD11b</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appear that, since they also are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represent infiltrating inflammatory monocytes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lower middle and right panels</w:t>
      </w:r>
      <w:r>
        <w:rPr>
          <w:rFonts w:ascii="Calibri" w:hAnsi="Calibri" w:cs="Calibri" w:eastAsia="Calibri"/>
          <w:color w:val="auto"/>
          <w:spacing w:val="0"/>
          <w:position w:val="0"/>
          <w:sz w:val="24"/>
          <w:shd w:fill="auto" w:val="clear"/>
        </w:rPr>
        <w:t xml:space="preserve">). In infected mice these latter cells are the only cells in which appreciable GFP signal was detected following 18 hs of infection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This latter finding is similar to that recently reported by Jones and D’Orazio who showed that in mice,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primarily is associated with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monocytes that infiltrate the gut following food-borne infection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profile of liver CD45</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cells of mice infected with the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 resembled that of uninfected mice whereas mice infected with the hyper-virulent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 had modestly enhanced levels of infiltrating neutrophils and inflammatory monocytes compared to mice infected with the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w:t>
      </w:r>
      <w:r>
        <w:rPr>
          <w:rFonts w:ascii="Calibri" w:hAnsi="Calibri" w:cs="Calibri" w:eastAsia="Calibri"/>
          <w:i/>
          <w:color w:val="auto"/>
          <w:spacing w:val="0"/>
          <w:position w:val="0"/>
          <w:sz w:val="24"/>
          <w:shd w:fill="auto" w:val="clear"/>
        </w:rPr>
        <w:t xml:space="preserve">data not shown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Infection of cultured macrophages by </w:t>
      </w:r>
      <w:r>
        <w:rPr>
          <w:rFonts w:ascii="Calibri" w:hAnsi="Calibri" w:cs="Calibri" w:eastAsia="Calibri"/>
          <w:b/>
          <w:i/>
          <w:color w:val="auto"/>
          <w:spacing w:val="0"/>
          <w:position w:val="0"/>
          <w:sz w:val="24"/>
          <w:shd w:fill="auto" w:val="clear"/>
        </w:rPr>
        <w:t xml:space="preserve">Listeria monocytogenes </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Lm</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mouse macrophage cell line RAW 264.7 were infected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either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filled circles), attenuated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open circles), or hyper-virulent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open squares)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(see text for details).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1.5, 3, and 6 hours post infection (hpi), macrophages were lysed and the cellular contents were analyzed by colony-forming unit (CFU)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Infected macrophages were briefly treated with the antibiotic gentamicin to eliminate non-internalized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and at 6 hpi the overlaying media was collected and analyzed by CFU assay. Dotted line represents the detection limit of the assay. Each data point represents an independent well/infection and P values were determined by Student’s T test. Shown are the results of a single representative experiment performed three times with similar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Actin-bound </w:t>
      </w:r>
      <w:r>
        <w:rPr>
          <w:rFonts w:ascii="Calibri" w:hAnsi="Calibri" w:cs="Calibri" w:eastAsia="Calibri"/>
          <w:b/>
          <w:i/>
          <w:color w:val="auto"/>
          <w:spacing w:val="0"/>
          <w:position w:val="0"/>
          <w:sz w:val="24"/>
          <w:shd w:fill="auto" w:val="clear"/>
        </w:rPr>
        <w:t xml:space="preserve">Lm</w:t>
      </w:r>
      <w:r>
        <w:rPr>
          <w:rFonts w:ascii="Calibri" w:hAnsi="Calibri" w:cs="Calibri" w:eastAsia="Calibri"/>
          <w:b/>
          <w:color w:val="auto"/>
          <w:spacing w:val="0"/>
          <w:position w:val="0"/>
          <w:sz w:val="24"/>
          <w:shd w:fill="auto" w:val="clear"/>
        </w:rPr>
        <w:t xml:space="preserve"> analyzed by flow cytometry. </w:t>
      </w:r>
      <w:r>
        <w:rPr>
          <w:rFonts w:ascii="Calibri" w:hAnsi="Calibri" w:cs="Calibri" w:eastAsia="Calibri"/>
          <w:color w:val="auto"/>
          <w:spacing w:val="0"/>
          <w:position w:val="0"/>
          <w:sz w:val="24"/>
          <w:shd w:fill="auto" w:val="clear"/>
        </w:rPr>
        <w:t xml:space="preserve">The mouse macrophage cell line RAW 264.7 were either left uninfected or infected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GFP-expressing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The overlying media was removed, centrifuged, and the collected material stained with actin-binding phalloidin. The stained material was analyzed by flow cytometry and shown is the light-scattering plots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indicating the gating used for the GFP- and phalloidin-associated levels of extracellular (i.e., media-derived)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indicated area represents the GFP/actin double positive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and their abundance as a percentage of the total events within the light-scattering gates.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Mouse macrophages were infected with either GFP-expressing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or a GFP-expressing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lacking the gene encoding ActA (&amp;#916;</w:t>
      </w:r>
      <w:r>
        <w:rPr>
          <w:rFonts w:ascii="Calibri" w:hAnsi="Calibri" w:cs="Calibri" w:eastAsia="Calibri"/>
          <w:i/>
          <w:color w:val="auto"/>
          <w:spacing w:val="0"/>
          <w:position w:val="0"/>
          <w:sz w:val="24"/>
          <w:shd w:fill="auto" w:val="clear"/>
        </w:rPr>
        <w:t xml:space="preserve">actA</w:t>
      </w:r>
      <w:r>
        <w:rPr>
          <w:rFonts w:ascii="Calibri" w:hAnsi="Calibri" w:cs="Calibri" w:eastAsia="Calibri"/>
          <w:color w:val="auto"/>
          <w:spacing w:val="0"/>
          <w:position w:val="0"/>
          <w:sz w:val="24"/>
          <w:shd w:fill="auto" w:val="clear"/>
        </w:rPr>
        <w:t xml:space="preserve">) that recruits the actin-polymerization machinery of the host cell to the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cell surface. At 6 hpi, infected cells were lysed and the released cellular contents, including the intracellular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were stained for actin and analyzed by flow cytometry. Shown are the results of a single representative experiment performed three times with similar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Infection of wild-type and </w:t>
      </w:r>
      <w:r>
        <w:rPr>
          <w:rFonts w:ascii="Calibri" w:hAnsi="Calibri" w:cs="Calibri" w:eastAsia="Calibri"/>
          <w:b/>
          <w:i/>
          <w:color w:val="auto"/>
          <w:spacing w:val="0"/>
          <w:position w:val="0"/>
          <w:sz w:val="24"/>
          <w:shd w:fill="auto" w:val="clear"/>
        </w:rPr>
        <w:t xml:space="preserve">Perforin-2</w:t>
      </w:r>
      <w:r>
        <w:rPr>
          <w:rFonts w:ascii="Calibri" w:hAnsi="Calibri" w:cs="Calibri" w:eastAsia="Calibri"/>
          <w:b/>
          <w:color w:val="auto"/>
          <w:spacing w:val="0"/>
          <w:position w:val="0"/>
          <w:sz w:val="24"/>
          <w:shd w:fill="auto" w:val="clear"/>
        </w:rPr>
        <w:t xml:space="preserve"> knockout macrophages by </w:t>
      </w:r>
      <w:r>
        <w:rPr>
          <w:rFonts w:ascii="Calibri" w:hAnsi="Calibri" w:cs="Calibri" w:eastAsia="Calibri"/>
          <w:b/>
          <w:i/>
          <w:color w:val="auto"/>
          <w:spacing w:val="0"/>
          <w:position w:val="0"/>
          <w:sz w:val="24"/>
          <w:shd w:fill="auto" w:val="clear"/>
        </w:rPr>
        <w:t xml:space="preserve">Lm</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Peritoneal macrophages isolated from either a wild-type (</w:t>
      </w:r>
      <w:r>
        <w:rPr>
          <w:rFonts w:ascii="Calibri" w:hAnsi="Calibri" w:cs="Calibri" w:eastAsia="Calibri"/>
          <w:i/>
          <w:color w:val="auto"/>
          <w:spacing w:val="0"/>
          <w:position w:val="0"/>
          <w:sz w:val="24"/>
          <w:shd w:fill="auto" w:val="clear"/>
        </w:rPr>
        <w:t xml:space="preserve">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filled circles) or knockout (</w:t>
      </w:r>
      <w:r>
        <w:rPr>
          <w:rFonts w:ascii="Calibri" w:hAnsi="Calibri" w:cs="Calibri" w:eastAsia="Calibri"/>
          <w:i/>
          <w:color w:val="auto"/>
          <w:spacing w:val="0"/>
          <w:position w:val="0"/>
          <w:sz w:val="24"/>
          <w:shd w:fill="auto" w:val="clear"/>
        </w:rPr>
        <w:t xml:space="preserve">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dotted circles) were infected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1 and 6 hpi, macrophages were lysed and the cellular contents analyzed by CFU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Infected peritoneal macrophages were briefly treated with the antibiotic gentamicin and at 2.5 and 6 hpi the overlaying media was collected and analyzed by CFU assay. Each data point represents an independent well/infection and P values were determined by Student’s T test. Shown are the results of a single representative experiment performed three times with similar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i/>
          <w:color w:val="auto"/>
          <w:spacing w:val="0"/>
          <w:position w:val="0"/>
          <w:sz w:val="24"/>
          <w:shd w:fill="auto" w:val="clear"/>
        </w:rPr>
        <w:t xml:space="preserve">Lm</w:t>
      </w:r>
      <w:r>
        <w:rPr>
          <w:rFonts w:ascii="Calibri" w:hAnsi="Calibri" w:cs="Calibri" w:eastAsia="Calibri"/>
          <w:b/>
          <w:color w:val="auto"/>
          <w:spacing w:val="0"/>
          <w:position w:val="0"/>
          <w:sz w:val="24"/>
          <w:shd w:fill="auto" w:val="clear"/>
        </w:rPr>
        <w:t xml:space="preserve"> infection of the mouse.</w:t>
      </w:r>
      <w:r>
        <w:rPr>
          <w:rFonts w:ascii="Calibri" w:hAnsi="Calibri" w:cs="Calibri" w:eastAsia="Calibri"/>
          <w:color w:val="auto"/>
          <w:spacing w:val="0"/>
          <w:position w:val="0"/>
          <w:sz w:val="24"/>
          <w:shd w:fill="auto" w:val="clear"/>
        </w:rPr>
        <w:t xml:space="preserve"> Groups of 6 mice were infected with an equal mixture of either the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attenuated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strains or an equal mixture of the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and hyper-virulent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strains. At 18 hpi mice the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burden in the liver was determined by CFU assay. In this experiment the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possesses an antibiotic-resistance gene that allows it to be distinguished from the antibiotic-sensitive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mutant strains. Liver homogenates were plated on both antibiotic-containing and antibiotic-free media and the ratio of mutant and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were plotted. The dotted line represents the mutant/wild-type ratio of the infecting dose. The absolute levels of the wild-type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 the two cohorts of mice were 12 and 15 CFU/10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liver cells, respectively. Shown are the results of a single representative experiment performed two times with similar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Immunological response to </w:t>
      </w:r>
      <w:r>
        <w:rPr>
          <w:rFonts w:ascii="Calibri" w:hAnsi="Calibri" w:cs="Calibri" w:eastAsia="Calibri"/>
          <w:b/>
          <w:i/>
          <w:color w:val="auto"/>
          <w:spacing w:val="0"/>
          <w:position w:val="0"/>
          <w:sz w:val="24"/>
          <w:shd w:fill="auto" w:val="clear"/>
        </w:rPr>
        <w:t xml:space="preserve">Lm</w:t>
      </w:r>
      <w:r>
        <w:rPr>
          <w:rFonts w:ascii="Calibri" w:hAnsi="Calibri" w:cs="Calibri" w:eastAsia="Calibri"/>
          <w:b/>
          <w:color w:val="auto"/>
          <w:spacing w:val="0"/>
          <w:position w:val="0"/>
          <w:sz w:val="24"/>
          <w:shd w:fill="auto" w:val="clear"/>
        </w:rPr>
        <w:t xml:space="preserve"> infection in the mouse liver. </w:t>
      </w:r>
      <w:r>
        <w:rPr>
          <w:rFonts w:ascii="Calibri" w:hAnsi="Calibri" w:cs="Calibri" w:eastAsia="Calibri"/>
          <w:color w:val="auto"/>
          <w:spacing w:val="0"/>
          <w:position w:val="0"/>
          <w:sz w:val="24"/>
          <w:shd w:fill="auto" w:val="clear"/>
        </w:rPr>
        <w:t xml:space="preserve">Mice were either uninfected or systemically infected with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GFP-expressing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for 18 h. Single-cell preparations of livers were analyzed by flow cytometry for expression of immune- and myeloid-specific markers.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percentage of cells staining positive for the immune-specific cell surface marker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per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isolated total live liver cells shown for uninfected mice and mice infected with either the wild-type (</w:t>
      </w:r>
      <w:r>
        <w:rPr>
          <w:rFonts w:ascii="Calibri" w:hAnsi="Calibri" w:cs="Calibri" w:eastAsia="Calibri"/>
          <w:i/>
          <w:color w:val="auto"/>
          <w:spacing w:val="0"/>
          <w:position w:val="0"/>
          <w:sz w:val="24"/>
          <w:shd w:fill="auto" w:val="clear"/>
        </w:rPr>
        <w:t xml:space="preserve">wt Lm</w:t>
      </w:r>
      <w:r>
        <w:rPr>
          <w:rFonts w:ascii="Calibri" w:hAnsi="Calibri" w:cs="Calibri" w:eastAsia="Calibri"/>
          <w:color w:val="auto"/>
          <w:spacing w:val="0"/>
          <w:position w:val="0"/>
          <w:sz w:val="24"/>
          <w:shd w:fill="auto" w:val="clear"/>
        </w:rPr>
        <w:t xml:space="preserve">), attenuated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or hyper-virulent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strains. Plotted is the mean of three mice per group and P values were determined by Student’s T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Shown in the left panels are the staining profile of CD45-staining liver cells from an individual uninfected mouse (top) and an individual </w:t>
      </w:r>
      <w:r>
        <w:rPr>
          <w:rFonts w:ascii="Calibri" w:hAnsi="Calibri" w:cs="Calibri" w:eastAsia="Calibri"/>
          <w:i/>
          <w:color w:val="auto"/>
          <w:spacing w:val="0"/>
          <w:position w:val="0"/>
          <w:sz w:val="24"/>
          <w:shd w:fill="auto" w:val="clear"/>
        </w:rPr>
        <w:t xml:space="preserve">wt Lm</w:t>
      </w:r>
      <w:r>
        <w:rPr>
          <w:rFonts w:ascii="Calibri" w:hAnsi="Calibri" w:cs="Calibri" w:eastAsia="Calibri"/>
          <w:color w:val="auto"/>
          <w:spacing w:val="0"/>
          <w:position w:val="0"/>
          <w:sz w:val="24"/>
          <w:shd w:fill="auto" w:val="clear"/>
        </w:rPr>
        <w:t xml:space="preserve">- infected (bottom); in the middle panels is shown the expression levels of myeloid-specific markers CD11b and F4/80 of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on the right panels is shown the Ly6C expression levels of the indicated gated cells. In the far right panel is shown an overlay of the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the uninfected and infected mice including the percentage and mean fluorescence intensities (MFI) of the CD11b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positive for the indicated Ly6C gate. Shown is a representative mouse from 3 mice per group.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derived from livers of uninfected and infected mice (described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middle and right panels) were analyzed for GFP expression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its rapid and processive cellular infection program,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is an ideal pathogen to probe cellular activities that impact infection. A number of host factors have been identified that either positively or negatively affect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cellular infection</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Two such host factors characterized in our laboratory, Perforin-2 and the Heme Regulated Inhibitor (P2 and hI), regulate distinct features of the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infection process.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P2 deficient cells are highly susceptible to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and this enhanced susceptibility also is true of the P2 knockout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Detailed comparative studies of P2-expressing and P2-deficient macrophages showed that the latter cells formed highly acidified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-containing phagosomes that resulted in enhanced virulence gene expression. The hypothesis that differential virulence gene expression contributes to the enhanced susceptibility of P2-deficient macrophages was supported by the finding that the hyper-virulent </w:t>
      </w:r>
      <w:r>
        <w:rPr>
          <w:rFonts w:ascii="Calibri" w:hAnsi="Calibri" w:cs="Calibri" w:eastAsia="Calibri"/>
          <w:i/>
          <w:color w:val="auto"/>
          <w:spacing w:val="0"/>
          <w:position w:val="0"/>
          <w:sz w:val="24"/>
          <w:shd w:fill="auto" w:val="clear"/>
        </w:rPr>
        <w:t xml:space="preserve">prfA*</w:t>
      </w:r>
      <w:r>
        <w:rPr>
          <w:rFonts w:ascii="Calibri" w:hAnsi="Calibri" w:cs="Calibri" w:eastAsia="Calibri"/>
          <w:color w:val="auto"/>
          <w:spacing w:val="0"/>
          <w:position w:val="0"/>
          <w:sz w:val="24"/>
          <w:shd w:fill="auto" w:val="clear"/>
        </w:rPr>
        <w:t xml:space="preserve"> strain, that, as mentioned earlier, expresses virulence genes at a constitutively high level, infected P2-expressing and P2-deficient macrophages equally well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the availability of a hyper-virulent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strain made it possible to test the hypothesis that the P2 host factor negatively regulates pathogen virulence factor deployment. For hI, we showed that this host factor regulates the intracellular trafficking of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such that its emergence from the infected cell is restricted; this cellular activity is likely the bases for the enhanced susceptibility of hI-deficient mice for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infection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studies that documented cellular activities occurring within minutes of infection, it is crucial that prior to their co-incubation, that both the bacteria and the host cells are not excessively exposed to fluctuating temperatures or other environmental conditions that may activate stress responses that would overlap (and confound) infection-induced activities. For the studies described above, this includes such seemingly simple points as minimizing the handling time of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just prior to initiating infection. For example, if a bacterial culture is removed from a shaking 37 &amp;#176;C incubator and allowed to sit on a bench top, shifts in both temperature and oxygen availability (among other things) will activate adaptations that may affect the initial phase of the subsequent interaction with the host cell. Similarly, host cells are also sensitive to temperature and media shifts that may affect initial infection responses. Although in practice it is impossible to completely eliminate all fluctuations in bacterial and host cell culturing conditions, by reducing them as much as possible and establishing a standard operating plan, variation between experiments will be minimized.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variable, that in our opinion the importance of which is also underappreciated, is that of the use of antibiotics in cell culture infection models. Gentamicin is often the antibiotic of choice because it is relatively impermeable to the eukaryotic plasma membrane. In both older and current literature, it is generally used at 50 &amp;#181;g/mL to kill extracellular (i.e., non-internalized) bacteria. Recently it has been directly demonstrated that when present at 25 &amp;#181;g/mL, there is sufficient diffusion of gentamicin across the eukaryotic membrane to kill intracellular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our experience, this level of gentamicin kills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immediately upon contact, whereas much lower levels, in the 2 to 5 &amp;#181;g/mL range kill &amp;gt;99.9%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in less than 5 minutes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Lawrenz and colleagues have shown that the widely-used gentamicin concentrations of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 &amp;#181;g/mL are also sufficient to kill intracellular </w:t>
      </w:r>
      <w:r>
        <w:rPr>
          <w:rFonts w:ascii="Calibri" w:hAnsi="Calibri" w:cs="Calibri" w:eastAsia="Calibri"/>
          <w:i/>
          <w:color w:val="auto"/>
          <w:spacing w:val="0"/>
          <w:position w:val="0"/>
          <w:sz w:val="24"/>
          <w:shd w:fill="auto" w:val="clear"/>
        </w:rPr>
        <w:t xml:space="preserve">Yersinia pestis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Interestingly, this group also showed considerable differences between cell types in terms of gentamicin permeabilization highlighting that optimal conditions should be determined for each pathogen-host cell pairing.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Nothing to 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Freitag, N.E., Port, G.C., Miner, M.D. Listeria monocytogenes - from saprophyte to intracellular pathogen. </w:t>
      </w:r>
      <w:r>
        <w:rPr>
          <w:rFonts w:ascii="Calibri" w:hAnsi="Calibri" w:cs="Calibri" w:eastAsia="Calibri"/>
          <w:i/>
          <w:color w:val="auto"/>
          <w:spacing w:val="0"/>
          <w:position w:val="0"/>
          <w:sz w:val="24"/>
          <w:shd w:fill="FFFFFF" w:val="clear"/>
        </w:rPr>
        <w:t xml:space="preserve">Nature Review Microbiology.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(9), 623-628 (2009).</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Ray, K., Marteyn, B., Sansonetti, P.J., Tang, C.M. Life on the inside: the intracellular lifestyle of cytosolic bacteria. </w:t>
      </w:r>
      <w:r>
        <w:rPr>
          <w:rFonts w:ascii="Calibri" w:hAnsi="Calibri" w:cs="Calibri" w:eastAsia="Calibri"/>
          <w:i/>
          <w:color w:val="auto"/>
          <w:spacing w:val="0"/>
          <w:position w:val="0"/>
          <w:sz w:val="24"/>
          <w:shd w:fill="FFFFFF" w:val="clear"/>
        </w:rPr>
        <w:t xml:space="preserve">Nature Review Microbiology.</w:t>
      </w:r>
      <w:r>
        <w:rPr>
          <w:rFonts w:ascii="Calibri" w:hAnsi="Calibri" w:cs="Calibri" w:eastAsia="Calibri"/>
          <w:i/>
          <w:color w:val="auto"/>
          <w:spacing w:val="0"/>
          <w:position w:val="0"/>
          <w:sz w:val="27"/>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(5), 333-340 (2009).</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Miner, M.D., Port, G.C., Freitag, N.E. Functional impact of mutational activation on the Listeria monocytogenes central virulence regulator PrfA. </w:t>
      </w:r>
      <w:r>
        <w:rPr>
          <w:rFonts w:ascii="Calibri" w:hAnsi="Calibri" w:cs="Calibri" w:eastAsia="Calibri"/>
          <w:i/>
          <w:color w:val="auto"/>
          <w:spacing w:val="0"/>
          <w:position w:val="0"/>
          <w:sz w:val="24"/>
          <w:shd w:fill="FFFFFF" w:val="clear"/>
        </w:rPr>
        <w:t xml:space="preserve">Microbiology.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154</w:t>
      </w:r>
      <w:r>
        <w:rPr>
          <w:rFonts w:ascii="Calibri" w:hAnsi="Calibri" w:cs="Calibri" w:eastAsia="Calibri"/>
          <w:color w:val="auto"/>
          <w:spacing w:val="0"/>
          <w:position w:val="0"/>
          <w:sz w:val="24"/>
          <w:shd w:fill="FFFFFF" w:val="clear"/>
        </w:rPr>
        <w:t xml:space="preserve">, 3579-3589 (2008).</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McCormack, R. et al. Perforin-2 Protects Host Cells and Mice by Restricting the Vacuole to Cytosol Transitioning of a Bacterial Pathogen. </w:t>
      </w:r>
      <w:r>
        <w:rPr>
          <w:rFonts w:ascii="Calibri" w:hAnsi="Calibri" w:cs="Calibri" w:eastAsia="Calibri"/>
          <w:i/>
          <w:color w:val="auto"/>
          <w:spacing w:val="0"/>
          <w:position w:val="0"/>
          <w:sz w:val="24"/>
          <w:shd w:fill="FFFFFF" w:val="clear"/>
        </w:rPr>
        <w:t xml:space="preserve">Infection and Immun</w:t>
      </w:r>
      <w:r>
        <w:rPr>
          <w:rFonts w:ascii="Calibri" w:hAnsi="Calibri" w:cs="Calibri" w:eastAsia="Calibri"/>
          <w:i/>
          <w:color w:val="auto"/>
          <w:spacing w:val="0"/>
          <w:position w:val="0"/>
          <w:sz w:val="26"/>
          <w:shd w:fill="FFFFFF" w:val="clear"/>
        </w:rPr>
        <w:t xml:space="preserve">ity.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84</w:t>
      </w:r>
      <w:r>
        <w:rPr>
          <w:rFonts w:ascii="Calibri" w:hAnsi="Calibri" w:cs="Calibri" w:eastAsia="Calibri"/>
          <w:color w:val="auto"/>
          <w:spacing w:val="0"/>
          <w:position w:val="0"/>
          <w:sz w:val="24"/>
          <w:shd w:fill="FFFFFF" w:val="clear"/>
        </w:rPr>
        <w:t xml:space="preserve">, 1083-1091 (2016).</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 Gregory, S.H. et al. Complementary adhesion molecules promote neutrophil-Kupffer cell interaction and the elimination of bacteria taken up by the liver. </w:t>
      </w:r>
      <w:r>
        <w:rPr>
          <w:rFonts w:ascii="Calibri" w:hAnsi="Calibri" w:cs="Calibri" w:eastAsia="Calibri"/>
          <w:i/>
          <w:color w:val="auto"/>
          <w:spacing w:val="0"/>
          <w:position w:val="0"/>
          <w:sz w:val="24"/>
          <w:shd w:fill="FFFFFF" w:val="clear"/>
        </w:rPr>
        <w:t xml:space="preserve">Journal of Immunol</w:t>
      </w:r>
      <w:r>
        <w:rPr>
          <w:rFonts w:ascii="Calibri" w:hAnsi="Calibri" w:cs="Calibri" w:eastAsia="Calibri"/>
          <w:i/>
          <w:color w:val="auto"/>
          <w:spacing w:val="0"/>
          <w:position w:val="0"/>
          <w:sz w:val="27"/>
          <w:shd w:fill="FFFFFF" w:val="clear"/>
        </w:rPr>
        <w:t xml:space="preserve">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168</w:t>
      </w:r>
      <w:r>
        <w:rPr>
          <w:rFonts w:ascii="Calibri" w:hAnsi="Calibri" w:cs="Calibri" w:eastAsia="Calibri"/>
          <w:color w:val="auto"/>
          <w:spacing w:val="0"/>
          <w:position w:val="0"/>
          <w:sz w:val="24"/>
          <w:shd w:fill="FFFFFF" w:val="clear"/>
        </w:rPr>
        <w:t xml:space="preserve">, 308-315 (2002).</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 Shi, C. et al. Monocyte trafficking to hepatic sites of bacterial infection is chemokine independent and directed by focal intercellular adhesion molecule-1 expression. </w:t>
      </w:r>
      <w:r>
        <w:rPr>
          <w:rFonts w:ascii="Calibri" w:hAnsi="Calibri" w:cs="Calibri" w:eastAsia="Calibri"/>
          <w:i/>
          <w:color w:val="auto"/>
          <w:spacing w:val="0"/>
          <w:position w:val="0"/>
          <w:sz w:val="24"/>
          <w:shd w:fill="FFFFFF" w:val="clear"/>
        </w:rPr>
        <w:t xml:space="preserve">Journal of Immunol</w:t>
      </w:r>
      <w:r>
        <w:rPr>
          <w:rFonts w:ascii="Calibri" w:hAnsi="Calibri" w:cs="Calibri" w:eastAsia="Calibri"/>
          <w:i/>
          <w:color w:val="auto"/>
          <w:spacing w:val="0"/>
          <w:position w:val="0"/>
          <w:sz w:val="27"/>
          <w:shd w:fill="FFFFFF" w:val="clear"/>
        </w:rPr>
        <w:t xml:space="preserve">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184</w:t>
      </w:r>
      <w:r>
        <w:rPr>
          <w:rFonts w:ascii="Calibri" w:hAnsi="Calibri" w:cs="Calibri" w:eastAsia="Calibri"/>
          <w:color w:val="auto"/>
          <w:spacing w:val="0"/>
          <w:position w:val="0"/>
          <w:sz w:val="24"/>
          <w:shd w:fill="FFFFFF" w:val="clear"/>
        </w:rPr>
        <w:t xml:space="preserve">, 6266-6274 (2010).</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 Pitts, M.G., Combs, T.A., D'Orazio, S.E.F. Neutrophils from Both Susceptible and Resistant Mice Efficiently Kill Opsonized Listeria monocytogenes. </w:t>
      </w:r>
      <w:r>
        <w:rPr>
          <w:rFonts w:ascii="Calibri" w:hAnsi="Calibri" w:cs="Calibri" w:eastAsia="Calibri"/>
          <w:i/>
          <w:color w:val="auto"/>
          <w:spacing w:val="0"/>
          <w:position w:val="0"/>
          <w:sz w:val="24"/>
          <w:shd w:fill="FFFFFF" w:val="clear"/>
        </w:rPr>
        <w:t xml:space="preserve">Infection and Immun</w:t>
      </w:r>
      <w:r>
        <w:rPr>
          <w:rFonts w:ascii="Calibri" w:hAnsi="Calibri" w:cs="Calibri" w:eastAsia="Calibri"/>
          <w:i/>
          <w:color w:val="auto"/>
          <w:spacing w:val="0"/>
          <w:position w:val="0"/>
          <w:sz w:val="27"/>
          <w:shd w:fill="FFFFFF" w:val="clear"/>
        </w:rPr>
        <w:t xml:space="preserve">ity.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86</w:t>
      </w:r>
      <w:r>
        <w:rPr>
          <w:rFonts w:ascii="Calibri" w:hAnsi="Calibri" w:cs="Calibri" w:eastAsia="Calibri"/>
          <w:color w:val="auto"/>
          <w:spacing w:val="0"/>
          <w:position w:val="0"/>
          <w:sz w:val="24"/>
          <w:shd w:fill="FFFFFF" w:val="clear"/>
        </w:rPr>
        <w:t xml:space="preserve">, e00085 (2018).</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 Carr, K.D</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000000"/>
          <w:spacing w:val="0"/>
          <w:position w:val="0"/>
          <w:sz w:val="24"/>
          <w:shd w:fill="FFFFFF" w:val="clear"/>
        </w:rPr>
        <w:t xml:space="preserve">Specific depletion reveals a novel role for neutrophil-mediated protection in the liver during Listeria monocytogenes infection. </w:t>
      </w:r>
      <w:r>
        <w:rPr>
          <w:rFonts w:ascii="Calibri" w:hAnsi="Calibri" w:cs="Calibri" w:eastAsia="Calibri"/>
          <w:i/>
          <w:color w:val="auto"/>
          <w:spacing w:val="0"/>
          <w:position w:val="0"/>
          <w:sz w:val="24"/>
          <w:shd w:fill="FFFFFF" w:val="clear"/>
        </w:rPr>
        <w:t xml:space="preserve">European Journal of Immun</w:t>
      </w:r>
      <w:r>
        <w:rPr>
          <w:rFonts w:ascii="Calibri" w:hAnsi="Calibri" w:cs="Calibri" w:eastAsia="Calibri"/>
          <w:i/>
          <w:color w:val="auto"/>
          <w:spacing w:val="0"/>
          <w:position w:val="0"/>
          <w:sz w:val="27"/>
          <w:shd w:fill="FFFFFF" w:val="clear"/>
        </w:rPr>
        <w:t xml:space="preserve">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41 (9), 2666-2676 (2011).</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9. Bl&amp;#233;riot, C</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000000"/>
          <w:spacing w:val="0"/>
          <w:position w:val="0"/>
          <w:sz w:val="24"/>
          <w:shd w:fill="FFFFFF" w:val="clear"/>
        </w:rPr>
        <w:t xml:space="preserve">Liver-resident macrophage necroptosis orchestrates type 1 microbicidal inflammation and type-2-mediated tissue repair during bacterial infection. </w:t>
      </w:r>
      <w:r>
        <w:rPr>
          <w:rFonts w:ascii="Calibri" w:hAnsi="Calibri" w:cs="Calibri" w:eastAsia="Calibri"/>
          <w:i/>
          <w:color w:val="auto"/>
          <w:spacing w:val="0"/>
          <w:position w:val="0"/>
          <w:sz w:val="24"/>
          <w:shd w:fill="FFFFFF" w:val="clear"/>
        </w:rPr>
        <w:t xml:space="preserve">Immunity.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42</w:t>
      </w:r>
      <w:r>
        <w:rPr>
          <w:rFonts w:ascii="Calibri" w:hAnsi="Calibri" w:cs="Calibri" w:eastAsia="Calibri"/>
          <w:color w:val="000000"/>
          <w:spacing w:val="0"/>
          <w:position w:val="0"/>
          <w:sz w:val="24"/>
          <w:shd w:fill="FFFFFF" w:val="clear"/>
        </w:rPr>
        <w:t xml:space="preserve"> (1), 145-158 (2015).</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Jones, G.S., D’Orazio, S.E.F. Monocytes are the predominant cell type associated with Listeria monocytogenes in the gut, but they do not serve as an intracellular growth niche. </w:t>
      </w:r>
      <w:r>
        <w:rPr>
          <w:rFonts w:ascii="Calibri" w:hAnsi="Calibri" w:cs="Calibri" w:eastAsia="Calibri"/>
          <w:i/>
          <w:color w:val="000000"/>
          <w:spacing w:val="0"/>
          <w:position w:val="0"/>
          <w:sz w:val="24"/>
          <w:shd w:fill="auto" w:val="clear"/>
        </w:rPr>
        <w:t xml:space="preserve">Journal of Immunology.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2796-2804 (2017).</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Agaisse, H. et al. Genome-wide RNAi screen for host factors required for intracellular bacterial infection.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1248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1251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Cheng, L.W. et al. Use of RNA interference in Drosophila S2 cells to identify host pathways controlling compartmentalization of an intracellular pathogen.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13646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13651 (2005).</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Singh, R., Jamieson, A., Cresswell, P. GILT is a critical host factor for Listeria monocytogenes infection.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1244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1247 (2008).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Burrack, L.S., Harper, J.W., Higgins, D.E. Perturbation of vacuolar maturation promotes listeriolysin O-independent vacuolar escape during Listeria monocytogenes infection of human cells.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1398 (2009).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Shrestha, N. et al. The host-encoded Heme Regulated Inhibitor (HRI) facilitates virulence-associated activities of bacterial pathogens.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e68754 (2013).</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Bahnan, W. The eIF2&amp;#945; Kinase Heme-Regulated Inhibitor Protects the Host from Infection by Regulating Intracellular Pathogen Trafficking.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e00707 (2018).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 Kortebi, M. et al. Listeria monocytogenes switches from dissemination to persistence by adopting a vacuolar lifestyle in epithelial cells. </w:t>
      </w:r>
      <w:r>
        <w:rPr>
          <w:rFonts w:ascii="Calibri" w:hAnsi="Calibri" w:cs="Calibri" w:eastAsia="Calibri"/>
          <w:i/>
          <w:color w:val="000000"/>
          <w:spacing w:val="0"/>
          <w:position w:val="0"/>
          <w:sz w:val="24"/>
          <w:shd w:fill="auto" w:val="clear"/>
        </w:rPr>
        <w:t xml:space="preserve">PLoS Pathogen.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e1006734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VanCleave, T.T., Pulsifer, A.R., Connor, M.G., Warawa, J.M., Lawrenz, M.B. Impact of Gentamicin Concentration and Exposure Time on Intracellular </w:t>
      </w:r>
      <w:r>
        <w:rPr>
          <w:rFonts w:ascii="Calibri" w:hAnsi="Calibri" w:cs="Calibri" w:eastAsia="Calibri"/>
          <w:i/>
          <w:color w:val="auto"/>
          <w:spacing w:val="0"/>
          <w:position w:val="0"/>
          <w:sz w:val="24"/>
          <w:shd w:fill="FFFFFF" w:val="clear"/>
        </w:rPr>
        <w:t xml:space="preserve">Yersinia pestis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Frontiers in Cellular and Infection Microbiol</w:t>
      </w:r>
      <w:r>
        <w:rPr>
          <w:rFonts w:ascii="Calibri" w:hAnsi="Calibri" w:cs="Calibri" w:eastAsia="Calibri"/>
          <w:i/>
          <w:color w:val="auto"/>
          <w:spacing w:val="0"/>
          <w:position w:val="0"/>
          <w:sz w:val="26"/>
          <w:shd w:fill="FFFFFF" w:val="clear"/>
        </w:rPr>
        <w:t xml:space="preserve">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505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