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8D9EA" w14:textId="77777777" w:rsidR="006F0A65" w:rsidRPr="00F767DA" w:rsidRDefault="006305D7" w:rsidP="00F36A88">
      <w:pPr>
        <w:pStyle w:val="NormalWeb"/>
        <w:spacing w:before="0" w:beforeAutospacing="0" w:after="0" w:afterAutospacing="0"/>
        <w:contextualSpacing/>
      </w:pPr>
      <w:r w:rsidRPr="00F767DA">
        <w:rPr>
          <w:b/>
          <w:bCs/>
        </w:rPr>
        <w:t>TITLE:</w:t>
      </w:r>
      <w:r w:rsidRPr="00F767DA">
        <w:t xml:space="preserve"> </w:t>
      </w:r>
    </w:p>
    <w:p w14:paraId="0C76090E" w14:textId="4E3D4E12" w:rsidR="007A4DD6" w:rsidRPr="00F767DA" w:rsidRDefault="0015215C" w:rsidP="00F36A88">
      <w:pPr>
        <w:pStyle w:val="NormalWeb"/>
        <w:spacing w:before="0" w:beforeAutospacing="0" w:after="0" w:afterAutospacing="0"/>
        <w:contextualSpacing/>
        <w:rPr>
          <w:color w:val="808080" w:themeColor="background1" w:themeShade="80"/>
        </w:rPr>
      </w:pPr>
      <w:r w:rsidRPr="00F767DA">
        <w:rPr>
          <w:color w:val="auto"/>
        </w:rPr>
        <w:t>Using a Bacterial Pathogen to Probe for Cellular and Organismic-level Host Responses</w:t>
      </w:r>
    </w:p>
    <w:p w14:paraId="0C0BA2D5" w14:textId="77777777" w:rsidR="003B4D7D" w:rsidRPr="00F767DA" w:rsidRDefault="003B4D7D" w:rsidP="00F36A88">
      <w:pPr>
        <w:contextualSpacing/>
        <w:rPr>
          <w:b/>
          <w:bCs/>
        </w:rPr>
      </w:pPr>
    </w:p>
    <w:p w14:paraId="3D080DA3" w14:textId="3FA93366" w:rsidR="006305D7" w:rsidRPr="00F767DA" w:rsidRDefault="006305D7" w:rsidP="00F36A88">
      <w:pPr>
        <w:contextualSpacing/>
        <w:rPr>
          <w:color w:val="808080" w:themeColor="background1" w:themeShade="80"/>
        </w:rPr>
      </w:pPr>
      <w:r w:rsidRPr="00F767DA">
        <w:rPr>
          <w:b/>
          <w:bCs/>
        </w:rPr>
        <w:t>AUTHORS</w:t>
      </w:r>
      <w:r w:rsidR="000B662E" w:rsidRPr="00F767DA">
        <w:rPr>
          <w:b/>
          <w:bCs/>
        </w:rPr>
        <w:t xml:space="preserve"> </w:t>
      </w:r>
      <w:r w:rsidR="00086FF5" w:rsidRPr="00F767DA">
        <w:rPr>
          <w:b/>
          <w:bCs/>
        </w:rPr>
        <w:t xml:space="preserve">AND </w:t>
      </w:r>
      <w:r w:rsidR="000B662E" w:rsidRPr="00F767DA">
        <w:rPr>
          <w:b/>
          <w:bCs/>
        </w:rPr>
        <w:t>AFFILIATIONS</w:t>
      </w:r>
      <w:r w:rsidRPr="00F767DA">
        <w:rPr>
          <w:b/>
          <w:bCs/>
        </w:rPr>
        <w:t xml:space="preserve">: </w:t>
      </w:r>
    </w:p>
    <w:p w14:paraId="32B171D0" w14:textId="7DA59EC1" w:rsidR="007A4DD6" w:rsidRPr="00F767DA" w:rsidRDefault="00D90875" w:rsidP="00F36A88">
      <w:pPr>
        <w:contextualSpacing/>
        <w:rPr>
          <w:color w:val="auto"/>
          <w:vertAlign w:val="superscript"/>
        </w:rPr>
      </w:pPr>
      <w:r w:rsidRPr="00F767DA">
        <w:rPr>
          <w:color w:val="auto"/>
        </w:rPr>
        <w:t>Petoria Gayle</w:t>
      </w:r>
      <w:r w:rsidR="00AF3D39" w:rsidRPr="00F767DA">
        <w:rPr>
          <w:color w:val="auto"/>
          <w:vertAlign w:val="superscript"/>
        </w:rPr>
        <w:t>1</w:t>
      </w:r>
      <w:r w:rsidRPr="00F767DA">
        <w:rPr>
          <w:color w:val="auto"/>
        </w:rPr>
        <w:t xml:space="preserve">, Nancy </w:t>
      </w:r>
      <w:r w:rsidR="00A47F43" w:rsidRPr="00F767DA">
        <w:rPr>
          <w:color w:val="auto"/>
        </w:rPr>
        <w:t xml:space="preserve">E. </w:t>
      </w:r>
      <w:r w:rsidRPr="00F767DA">
        <w:rPr>
          <w:color w:val="auto"/>
        </w:rPr>
        <w:t>Freitag</w:t>
      </w:r>
      <w:r w:rsidR="00AF3D39" w:rsidRPr="00F767DA">
        <w:rPr>
          <w:color w:val="auto"/>
          <w:vertAlign w:val="superscript"/>
        </w:rPr>
        <w:t>2</w:t>
      </w:r>
      <w:r w:rsidRPr="00F767DA">
        <w:rPr>
          <w:color w:val="auto"/>
        </w:rPr>
        <w:t xml:space="preserve">, </w:t>
      </w:r>
      <w:proofErr w:type="spellStart"/>
      <w:r w:rsidRPr="00F767DA">
        <w:rPr>
          <w:color w:val="auto"/>
        </w:rPr>
        <w:t>Natasa</w:t>
      </w:r>
      <w:proofErr w:type="spellEnd"/>
      <w:r w:rsidRPr="00F767DA">
        <w:rPr>
          <w:color w:val="auto"/>
        </w:rPr>
        <w:t xml:space="preserve"> Strbo</w:t>
      </w:r>
      <w:r w:rsidR="00AF3D39" w:rsidRPr="00F767DA">
        <w:rPr>
          <w:color w:val="auto"/>
          <w:vertAlign w:val="superscript"/>
        </w:rPr>
        <w:t>1</w:t>
      </w:r>
      <w:r w:rsidR="00AF3D39" w:rsidRPr="00F767DA">
        <w:rPr>
          <w:color w:val="auto"/>
        </w:rPr>
        <w:t xml:space="preserve">, </w:t>
      </w:r>
      <w:r w:rsidRPr="00F767DA">
        <w:rPr>
          <w:color w:val="auto"/>
        </w:rPr>
        <w:t>Kurt Schesser</w:t>
      </w:r>
      <w:r w:rsidR="00AF3D39" w:rsidRPr="00F767DA">
        <w:rPr>
          <w:color w:val="auto"/>
          <w:vertAlign w:val="superscript"/>
        </w:rPr>
        <w:t>1</w:t>
      </w:r>
    </w:p>
    <w:p w14:paraId="55C83CE3" w14:textId="77777777" w:rsidR="006F0A65" w:rsidRPr="00F767DA" w:rsidRDefault="006F0A65" w:rsidP="00F36A88">
      <w:pPr>
        <w:contextualSpacing/>
        <w:rPr>
          <w:color w:val="auto"/>
        </w:rPr>
      </w:pPr>
    </w:p>
    <w:p w14:paraId="357008DF" w14:textId="314167BC" w:rsidR="00AF3D39" w:rsidRPr="00F767DA" w:rsidRDefault="00AF3D39" w:rsidP="00F36A88">
      <w:pPr>
        <w:contextualSpacing/>
        <w:rPr>
          <w:color w:val="auto"/>
        </w:rPr>
      </w:pPr>
      <w:r w:rsidRPr="00F767DA">
        <w:rPr>
          <w:color w:val="auto"/>
          <w:vertAlign w:val="superscript"/>
        </w:rPr>
        <w:t>1</w:t>
      </w:r>
      <w:r w:rsidRPr="00F767DA">
        <w:rPr>
          <w:color w:val="auto"/>
        </w:rPr>
        <w:t>Department of Microbiology &amp; Immunology, University of Miami Miller School of Medicine, Miami, FL, USA</w:t>
      </w:r>
    </w:p>
    <w:p w14:paraId="20888ACC" w14:textId="77924350" w:rsidR="00AF3D39" w:rsidRPr="00F767DA" w:rsidRDefault="00AF3D39" w:rsidP="00F36A88">
      <w:pPr>
        <w:contextualSpacing/>
        <w:rPr>
          <w:color w:val="auto"/>
        </w:rPr>
      </w:pPr>
      <w:r w:rsidRPr="00F767DA">
        <w:rPr>
          <w:color w:val="auto"/>
          <w:vertAlign w:val="superscript"/>
        </w:rPr>
        <w:t>2</w:t>
      </w:r>
      <w:r w:rsidRPr="00F767DA">
        <w:rPr>
          <w:color w:val="auto"/>
        </w:rPr>
        <w:t>Department of Microbiology &amp; Immunology, University of Illinois</w:t>
      </w:r>
      <w:r w:rsidR="00355499" w:rsidRPr="00F767DA">
        <w:rPr>
          <w:color w:val="auto"/>
        </w:rPr>
        <w:t xml:space="preserve"> College of Medicine, Chicago, IL, USA</w:t>
      </w:r>
    </w:p>
    <w:p w14:paraId="78137992" w14:textId="77777777" w:rsidR="00355499" w:rsidRPr="00F767DA" w:rsidRDefault="00355499" w:rsidP="00F36A88">
      <w:pPr>
        <w:contextualSpacing/>
        <w:rPr>
          <w:color w:val="auto"/>
        </w:rPr>
      </w:pPr>
    </w:p>
    <w:p w14:paraId="4CAC4B0A" w14:textId="779C0B80" w:rsidR="006F0A65" w:rsidRPr="00F767DA" w:rsidRDefault="00016EC0" w:rsidP="00F36A88">
      <w:pPr>
        <w:contextualSpacing/>
        <w:rPr>
          <w:color w:val="auto"/>
        </w:rPr>
      </w:pPr>
      <w:hyperlink r:id="rId8" w:history="1">
        <w:r w:rsidR="00D62F5F" w:rsidRPr="00F767DA">
          <w:rPr>
            <w:rStyle w:val="Hyperlink"/>
          </w:rPr>
          <w:t>peg38@miami.edu</w:t>
        </w:r>
      </w:hyperlink>
      <w:r w:rsidR="00D62F5F" w:rsidRPr="00F767DA">
        <w:rPr>
          <w:color w:val="auto"/>
        </w:rPr>
        <w:t xml:space="preserve"> (PG)</w:t>
      </w:r>
    </w:p>
    <w:p w14:paraId="0ABB9000" w14:textId="77777777" w:rsidR="006F0A65" w:rsidRPr="00F767DA" w:rsidRDefault="006F0A65" w:rsidP="00F36A88">
      <w:pPr>
        <w:contextualSpacing/>
        <w:rPr>
          <w:color w:val="auto"/>
        </w:rPr>
      </w:pPr>
      <w:hyperlink r:id="rId9" w:history="1">
        <w:r w:rsidRPr="00F767DA">
          <w:rPr>
            <w:rStyle w:val="Hyperlink"/>
          </w:rPr>
          <w:t>nfreitag@uic.edu</w:t>
        </w:r>
      </w:hyperlink>
      <w:r w:rsidR="00D62F5F" w:rsidRPr="00F767DA">
        <w:rPr>
          <w:color w:val="auto"/>
        </w:rPr>
        <w:t xml:space="preserve"> (NEF)</w:t>
      </w:r>
    </w:p>
    <w:p w14:paraId="71B1D44C" w14:textId="77777777" w:rsidR="006F0A65" w:rsidRPr="00F767DA" w:rsidRDefault="006F0A65" w:rsidP="00F36A88">
      <w:pPr>
        <w:contextualSpacing/>
        <w:rPr>
          <w:color w:val="auto"/>
        </w:rPr>
      </w:pPr>
      <w:hyperlink r:id="rId10" w:history="1">
        <w:r w:rsidRPr="00F767DA">
          <w:rPr>
            <w:rStyle w:val="Hyperlink"/>
          </w:rPr>
          <w:t>nstrbo@med.miami.edu</w:t>
        </w:r>
      </w:hyperlink>
      <w:r w:rsidR="00D62F5F" w:rsidRPr="00F767DA">
        <w:rPr>
          <w:color w:val="auto"/>
        </w:rPr>
        <w:t xml:space="preserve"> (NS)</w:t>
      </w:r>
    </w:p>
    <w:p w14:paraId="4FDDD283" w14:textId="78ED55FA" w:rsidR="00D62F5F" w:rsidRPr="00F767DA" w:rsidRDefault="006F0A65" w:rsidP="00F36A88">
      <w:pPr>
        <w:contextualSpacing/>
        <w:rPr>
          <w:color w:val="auto"/>
        </w:rPr>
      </w:pPr>
      <w:hyperlink r:id="rId11" w:history="1">
        <w:r w:rsidRPr="00F767DA">
          <w:rPr>
            <w:rStyle w:val="Hyperlink"/>
          </w:rPr>
          <w:t>kschesser@med.miami.edu</w:t>
        </w:r>
      </w:hyperlink>
      <w:r w:rsidR="00C00208" w:rsidRPr="00F767DA">
        <w:rPr>
          <w:color w:val="auto"/>
        </w:rPr>
        <w:t xml:space="preserve"> (KS)</w:t>
      </w:r>
    </w:p>
    <w:p w14:paraId="669047D1" w14:textId="77777777" w:rsidR="00D62F5F" w:rsidRPr="00F767DA" w:rsidRDefault="00D62F5F" w:rsidP="00F36A88">
      <w:pPr>
        <w:contextualSpacing/>
        <w:rPr>
          <w:color w:val="auto"/>
        </w:rPr>
      </w:pPr>
    </w:p>
    <w:p w14:paraId="3AA2F1FF" w14:textId="7869AADE" w:rsidR="00355499" w:rsidRPr="00F767DA" w:rsidRDefault="00355499" w:rsidP="00F36A88">
      <w:pPr>
        <w:contextualSpacing/>
        <w:rPr>
          <w:color w:val="auto"/>
        </w:rPr>
      </w:pPr>
      <w:r w:rsidRPr="00F767DA">
        <w:rPr>
          <w:color w:val="auto"/>
        </w:rPr>
        <w:t>Corresponding Author:</w:t>
      </w:r>
    </w:p>
    <w:p w14:paraId="312F234A" w14:textId="11660203" w:rsidR="00355499" w:rsidRPr="00F767DA" w:rsidRDefault="00355499" w:rsidP="00F36A88">
      <w:pPr>
        <w:contextualSpacing/>
        <w:rPr>
          <w:color w:val="auto"/>
        </w:rPr>
      </w:pPr>
      <w:r w:rsidRPr="00F767DA">
        <w:rPr>
          <w:color w:val="auto"/>
        </w:rPr>
        <w:t>Kurt Schesser</w:t>
      </w:r>
    </w:p>
    <w:p w14:paraId="22D24448" w14:textId="77777777" w:rsidR="00355499" w:rsidRPr="00F767DA" w:rsidRDefault="00355499" w:rsidP="00F36A88">
      <w:pPr>
        <w:contextualSpacing/>
        <w:rPr>
          <w:color w:val="auto"/>
        </w:rPr>
      </w:pPr>
    </w:p>
    <w:p w14:paraId="71B79AC9" w14:textId="1AB62DBC" w:rsidR="006305D7" w:rsidRPr="00F767DA" w:rsidRDefault="006305D7" w:rsidP="00F36A88">
      <w:pPr>
        <w:pStyle w:val="NormalWeb"/>
        <w:spacing w:before="0" w:beforeAutospacing="0" w:after="0" w:afterAutospacing="0"/>
        <w:contextualSpacing/>
      </w:pPr>
      <w:r w:rsidRPr="00F767DA">
        <w:rPr>
          <w:b/>
          <w:bCs/>
        </w:rPr>
        <w:t>KEYWORDS:</w:t>
      </w:r>
      <w:r w:rsidRPr="00F767DA">
        <w:t xml:space="preserve"> </w:t>
      </w:r>
    </w:p>
    <w:p w14:paraId="6C0B0781" w14:textId="6CA1560E" w:rsidR="007A4DD6" w:rsidRPr="00F767DA" w:rsidRDefault="00EB153C" w:rsidP="00F36A88">
      <w:pPr>
        <w:contextualSpacing/>
        <w:rPr>
          <w:color w:val="auto"/>
        </w:rPr>
      </w:pPr>
      <w:r w:rsidRPr="00F767DA">
        <w:rPr>
          <w:color w:val="auto"/>
        </w:rPr>
        <w:t>Infection;</w:t>
      </w:r>
      <w:r w:rsidR="00C00208" w:rsidRPr="00F767DA">
        <w:rPr>
          <w:color w:val="auto"/>
        </w:rPr>
        <w:t xml:space="preserve"> mice; microbial pathogens;</w:t>
      </w:r>
      <w:r w:rsidRPr="00F767DA">
        <w:rPr>
          <w:color w:val="auto"/>
        </w:rPr>
        <w:t xml:space="preserve"> </w:t>
      </w:r>
      <w:r w:rsidRPr="00F767DA">
        <w:rPr>
          <w:i/>
          <w:color w:val="auto"/>
        </w:rPr>
        <w:t>Listeria monocytogenes</w:t>
      </w:r>
      <w:r w:rsidRPr="00F767DA">
        <w:rPr>
          <w:color w:val="auto"/>
        </w:rPr>
        <w:t xml:space="preserve">; </w:t>
      </w:r>
      <w:r w:rsidR="00C00208" w:rsidRPr="00F767DA">
        <w:rPr>
          <w:color w:val="auto"/>
        </w:rPr>
        <w:t xml:space="preserve">flow cytometry; </w:t>
      </w:r>
      <w:r w:rsidRPr="00F767DA">
        <w:rPr>
          <w:color w:val="auto"/>
        </w:rPr>
        <w:t>cell biology</w:t>
      </w:r>
      <w:r w:rsidR="00C00208" w:rsidRPr="00F767DA">
        <w:rPr>
          <w:color w:val="auto"/>
        </w:rPr>
        <w:t xml:space="preserve"> </w:t>
      </w:r>
    </w:p>
    <w:p w14:paraId="1CB4E390" w14:textId="77777777" w:rsidR="006305D7" w:rsidRPr="00F767DA" w:rsidRDefault="006305D7" w:rsidP="00F36A88">
      <w:pPr>
        <w:pStyle w:val="NormalWeb"/>
        <w:spacing w:before="0" w:beforeAutospacing="0" w:after="0" w:afterAutospacing="0"/>
        <w:contextualSpacing/>
      </w:pPr>
    </w:p>
    <w:p w14:paraId="628AC4B5" w14:textId="486A6357" w:rsidR="006305D7" w:rsidRPr="00F767DA" w:rsidRDefault="00086FF5" w:rsidP="00F36A88">
      <w:pPr>
        <w:contextualSpacing/>
      </w:pPr>
      <w:r w:rsidRPr="00F767DA">
        <w:rPr>
          <w:b/>
          <w:bCs/>
        </w:rPr>
        <w:t>SUMMARY</w:t>
      </w:r>
      <w:r w:rsidR="006305D7" w:rsidRPr="00F767DA">
        <w:rPr>
          <w:b/>
          <w:bCs/>
        </w:rPr>
        <w:t>:</w:t>
      </w:r>
      <w:r w:rsidR="006305D7" w:rsidRPr="00F767DA">
        <w:t xml:space="preserve"> </w:t>
      </w:r>
    </w:p>
    <w:p w14:paraId="5BE26DD0" w14:textId="695C927B" w:rsidR="001B38C5" w:rsidRPr="00F767DA" w:rsidRDefault="001B38C5" w:rsidP="00F36A88">
      <w:pPr>
        <w:contextualSpacing/>
      </w:pPr>
      <w:r w:rsidRPr="00F767DA">
        <w:t xml:space="preserve">We describe both </w:t>
      </w:r>
      <w:r w:rsidR="002D35C6" w:rsidRPr="00F767DA">
        <w:t>in vitro</w:t>
      </w:r>
      <w:r w:rsidRPr="00F767DA">
        <w:t xml:space="preserve"> and </w:t>
      </w:r>
      <w:r w:rsidR="002D35C6" w:rsidRPr="00F767DA">
        <w:t>in vivo</w:t>
      </w:r>
      <w:r w:rsidRPr="00F767DA">
        <w:t xml:space="preserve"> infection assays that can be used to analyze the a</w:t>
      </w:r>
      <w:r w:rsidR="0015215C" w:rsidRPr="00F767DA">
        <w:t>ctivities of</w:t>
      </w:r>
      <w:r w:rsidRPr="00F767DA">
        <w:t xml:space="preserve"> host-encoding factors.</w:t>
      </w:r>
    </w:p>
    <w:p w14:paraId="56EAA03F" w14:textId="77777777" w:rsidR="001B38C5" w:rsidRPr="00F767DA" w:rsidRDefault="001B38C5" w:rsidP="00F36A88">
      <w:pPr>
        <w:contextualSpacing/>
      </w:pPr>
    </w:p>
    <w:p w14:paraId="64FB8590" w14:textId="6D14783B" w:rsidR="006305D7" w:rsidRPr="00F767DA" w:rsidRDefault="006305D7" w:rsidP="00F36A88">
      <w:pPr>
        <w:contextualSpacing/>
        <w:rPr>
          <w:color w:val="808080"/>
        </w:rPr>
      </w:pPr>
      <w:r w:rsidRPr="00F767DA">
        <w:rPr>
          <w:b/>
          <w:bCs/>
        </w:rPr>
        <w:t>ABSTRACT:</w:t>
      </w:r>
      <w:r w:rsidRPr="00F767DA">
        <w:t xml:space="preserve"> </w:t>
      </w:r>
    </w:p>
    <w:p w14:paraId="34452C76" w14:textId="034C5A80" w:rsidR="00C14D29" w:rsidRPr="00F767DA" w:rsidRDefault="00C806E8" w:rsidP="00F36A88">
      <w:pPr>
        <w:contextualSpacing/>
        <w:rPr>
          <w:color w:val="auto"/>
        </w:rPr>
      </w:pPr>
      <w:r w:rsidRPr="00F767DA">
        <w:rPr>
          <w:color w:val="auto"/>
        </w:rPr>
        <w:t xml:space="preserve">There are a variety of strategies bacterial pathogens employ to survive and proliferate once inside the eukaryotic cell. </w:t>
      </w:r>
      <w:r w:rsidR="00A94686" w:rsidRPr="00F767DA">
        <w:rPr>
          <w:color w:val="auto"/>
        </w:rPr>
        <w:t>The so-called ‘cytosolic’ pathogens (</w:t>
      </w:r>
      <w:r w:rsidR="00A94686" w:rsidRPr="00F767DA">
        <w:rPr>
          <w:i/>
          <w:color w:val="auto"/>
        </w:rPr>
        <w:t>Listeria monocytogenes</w:t>
      </w:r>
      <w:r w:rsidR="00A94686" w:rsidRPr="00F767DA">
        <w:rPr>
          <w:color w:val="auto"/>
        </w:rPr>
        <w:t xml:space="preserve">, </w:t>
      </w:r>
      <w:r w:rsidR="00DC0C4F" w:rsidRPr="00F767DA">
        <w:rPr>
          <w:i/>
          <w:color w:val="auto"/>
        </w:rPr>
        <w:t xml:space="preserve">Shigella </w:t>
      </w:r>
      <w:proofErr w:type="spellStart"/>
      <w:r w:rsidR="00DC0C4F" w:rsidRPr="00F767DA">
        <w:rPr>
          <w:i/>
          <w:color w:val="auto"/>
        </w:rPr>
        <w:t>flexneri</w:t>
      </w:r>
      <w:proofErr w:type="spellEnd"/>
      <w:r w:rsidR="00DC0C4F" w:rsidRPr="00F767DA">
        <w:rPr>
          <w:color w:val="auto"/>
        </w:rPr>
        <w:t xml:space="preserve">, </w:t>
      </w:r>
      <w:proofErr w:type="spellStart"/>
      <w:r w:rsidR="00DC0C4F" w:rsidRPr="00F767DA">
        <w:rPr>
          <w:i/>
          <w:color w:val="auto"/>
        </w:rPr>
        <w:t>Burkholderia</w:t>
      </w:r>
      <w:proofErr w:type="spellEnd"/>
      <w:r w:rsidR="00DC0C4F" w:rsidRPr="00F767DA">
        <w:rPr>
          <w:i/>
          <w:color w:val="auto"/>
        </w:rPr>
        <w:t xml:space="preserve"> </w:t>
      </w:r>
      <w:proofErr w:type="spellStart"/>
      <w:r w:rsidR="00DC0C4F" w:rsidRPr="00F767DA">
        <w:rPr>
          <w:i/>
          <w:color w:val="auto"/>
        </w:rPr>
        <w:t>pseudomallei</w:t>
      </w:r>
      <w:proofErr w:type="spellEnd"/>
      <w:r w:rsidR="00DC0C4F" w:rsidRPr="00F767DA">
        <w:rPr>
          <w:color w:val="auto"/>
        </w:rPr>
        <w:t xml:space="preserve">, </w:t>
      </w:r>
      <w:proofErr w:type="spellStart"/>
      <w:r w:rsidR="00DC0C4F" w:rsidRPr="00F767DA">
        <w:rPr>
          <w:i/>
          <w:color w:val="auto"/>
        </w:rPr>
        <w:t>Francisella</w:t>
      </w:r>
      <w:proofErr w:type="spellEnd"/>
      <w:r w:rsidR="00DC0C4F" w:rsidRPr="00F767DA">
        <w:rPr>
          <w:i/>
          <w:color w:val="auto"/>
        </w:rPr>
        <w:t xml:space="preserve"> </w:t>
      </w:r>
      <w:proofErr w:type="spellStart"/>
      <w:r w:rsidR="00DC0C4F" w:rsidRPr="00F767DA">
        <w:rPr>
          <w:i/>
          <w:color w:val="auto"/>
        </w:rPr>
        <w:t>tularensis</w:t>
      </w:r>
      <w:proofErr w:type="spellEnd"/>
      <w:r w:rsidR="00DC0C4F" w:rsidRPr="00F767DA">
        <w:rPr>
          <w:color w:val="auto"/>
        </w:rPr>
        <w:t xml:space="preserve">, and </w:t>
      </w:r>
      <w:r w:rsidR="00DC0C4F" w:rsidRPr="00F767DA">
        <w:rPr>
          <w:i/>
          <w:color w:val="auto"/>
        </w:rPr>
        <w:t>Rickettsia</w:t>
      </w:r>
      <w:r w:rsidR="00DC0C4F" w:rsidRPr="00F767DA">
        <w:rPr>
          <w:color w:val="auto"/>
        </w:rPr>
        <w:t xml:space="preserve"> spp.</w:t>
      </w:r>
      <w:r w:rsidR="00A94686" w:rsidRPr="00F767DA">
        <w:rPr>
          <w:color w:val="auto"/>
        </w:rPr>
        <w:t xml:space="preserve">) gain access to the infected cell cytosol by physically and enzymatically degrading the primary vacuolar membrane. Once in the cytosol, these pathogens both proliferate as well as generate </w:t>
      </w:r>
      <w:proofErr w:type="gramStart"/>
      <w:r w:rsidR="00A94686" w:rsidRPr="00F767DA">
        <w:rPr>
          <w:color w:val="auto"/>
        </w:rPr>
        <w:t>sufficient</w:t>
      </w:r>
      <w:proofErr w:type="gramEnd"/>
      <w:r w:rsidR="00A94686" w:rsidRPr="00F767DA">
        <w:rPr>
          <w:color w:val="auto"/>
        </w:rPr>
        <w:t xml:space="preserve"> mechanical forces to penetrate the plasma membrane</w:t>
      </w:r>
      <w:r w:rsidR="00D9009F" w:rsidRPr="00F767DA">
        <w:rPr>
          <w:color w:val="auto"/>
        </w:rPr>
        <w:t xml:space="preserve"> of the host cell</w:t>
      </w:r>
      <w:r w:rsidR="00A94686" w:rsidRPr="00F767DA">
        <w:rPr>
          <w:color w:val="auto"/>
        </w:rPr>
        <w:t xml:space="preserve"> </w:t>
      </w:r>
      <w:r w:rsidR="00A5063E" w:rsidRPr="00F767DA">
        <w:rPr>
          <w:color w:val="auto"/>
        </w:rPr>
        <w:t>in order to infect new cells. Here</w:t>
      </w:r>
      <w:r w:rsidR="002D35C6" w:rsidRPr="00F767DA">
        <w:rPr>
          <w:color w:val="auto"/>
        </w:rPr>
        <w:t xml:space="preserve">, </w:t>
      </w:r>
      <w:r w:rsidR="00A5063E" w:rsidRPr="00F767DA">
        <w:rPr>
          <w:color w:val="auto"/>
        </w:rPr>
        <w:t xml:space="preserve">we </w:t>
      </w:r>
      <w:r w:rsidR="008B67E6" w:rsidRPr="00F767DA">
        <w:rPr>
          <w:color w:val="auto"/>
        </w:rPr>
        <w:t xml:space="preserve">show </w:t>
      </w:r>
      <w:r w:rsidR="00A5063E" w:rsidRPr="00F767DA">
        <w:rPr>
          <w:color w:val="auto"/>
        </w:rPr>
        <w:t xml:space="preserve">how this terminal step of the cellular infection cycle of </w:t>
      </w:r>
      <w:r w:rsidR="00A5063E" w:rsidRPr="00F767DA">
        <w:rPr>
          <w:i/>
          <w:color w:val="auto"/>
        </w:rPr>
        <w:t>L. monocytogenes</w:t>
      </w:r>
      <w:r w:rsidR="00A5063E" w:rsidRPr="00F767DA">
        <w:rPr>
          <w:color w:val="auto"/>
        </w:rPr>
        <w:t xml:space="preserve"> (</w:t>
      </w:r>
      <w:r w:rsidR="00A5063E" w:rsidRPr="00F767DA">
        <w:rPr>
          <w:i/>
          <w:color w:val="auto"/>
        </w:rPr>
        <w:t>Lm</w:t>
      </w:r>
      <w:r w:rsidR="00A5063E" w:rsidRPr="00F767DA">
        <w:rPr>
          <w:color w:val="auto"/>
        </w:rPr>
        <w:t xml:space="preserve">) can be quantified </w:t>
      </w:r>
      <w:r w:rsidR="00A47F43" w:rsidRPr="00F767DA">
        <w:rPr>
          <w:color w:val="auto"/>
        </w:rPr>
        <w:t xml:space="preserve">by both colony-forming unit assays and flow cytometry </w:t>
      </w:r>
      <w:r w:rsidR="00A5063E" w:rsidRPr="00F767DA">
        <w:rPr>
          <w:color w:val="auto"/>
        </w:rPr>
        <w:t>and give examples of how both pathogen- and host-encode</w:t>
      </w:r>
      <w:r w:rsidR="008B67E6" w:rsidRPr="00F767DA">
        <w:rPr>
          <w:color w:val="auto"/>
        </w:rPr>
        <w:t xml:space="preserve">d factors impact this process. </w:t>
      </w:r>
      <w:r w:rsidR="00D9009F" w:rsidRPr="00F767DA">
        <w:rPr>
          <w:color w:val="auto"/>
        </w:rPr>
        <w:t xml:space="preserve">We also show a close correspondence of </w:t>
      </w:r>
      <w:r w:rsidR="00D9009F" w:rsidRPr="00F767DA">
        <w:rPr>
          <w:i/>
          <w:color w:val="auto"/>
        </w:rPr>
        <w:t>Lm</w:t>
      </w:r>
      <w:r w:rsidR="00D9009F" w:rsidRPr="00F767DA">
        <w:rPr>
          <w:color w:val="auto"/>
        </w:rPr>
        <w:t xml:space="preserve"> infection dynamics of cultured cells</w:t>
      </w:r>
      <w:r w:rsidR="001448D1" w:rsidRPr="00F767DA">
        <w:rPr>
          <w:color w:val="auto"/>
        </w:rPr>
        <w:t xml:space="preserve"> infected </w:t>
      </w:r>
      <w:r w:rsidR="002D35C6" w:rsidRPr="00F767DA">
        <w:rPr>
          <w:color w:val="auto"/>
        </w:rPr>
        <w:t>in vitro</w:t>
      </w:r>
      <w:r w:rsidR="00D9009F" w:rsidRPr="00F767DA">
        <w:rPr>
          <w:color w:val="auto"/>
        </w:rPr>
        <w:t xml:space="preserve"> and</w:t>
      </w:r>
      <w:r w:rsidR="001448D1" w:rsidRPr="00F767DA">
        <w:rPr>
          <w:color w:val="auto"/>
        </w:rPr>
        <w:t xml:space="preserve"> those of hepatic cells derived</w:t>
      </w:r>
      <w:r w:rsidR="0015215C" w:rsidRPr="00F767DA">
        <w:rPr>
          <w:color w:val="auto"/>
        </w:rPr>
        <w:t xml:space="preserve"> from mice infected </w:t>
      </w:r>
      <w:r w:rsidR="002D35C6" w:rsidRPr="00F767DA">
        <w:rPr>
          <w:color w:val="auto"/>
        </w:rPr>
        <w:t>in vivo</w:t>
      </w:r>
      <w:r w:rsidR="001448D1" w:rsidRPr="00F767DA">
        <w:rPr>
          <w:color w:val="auto"/>
        </w:rPr>
        <w:t>.</w:t>
      </w:r>
      <w:r w:rsidR="00D9009F" w:rsidRPr="00F767DA">
        <w:rPr>
          <w:color w:val="auto"/>
        </w:rPr>
        <w:t xml:space="preserve"> </w:t>
      </w:r>
      <w:r w:rsidR="00A5063E" w:rsidRPr="00F767DA">
        <w:rPr>
          <w:color w:val="auto"/>
        </w:rPr>
        <w:t>These function-based assays are rel</w:t>
      </w:r>
      <w:r w:rsidR="00D90875" w:rsidRPr="00F767DA">
        <w:rPr>
          <w:color w:val="auto"/>
        </w:rPr>
        <w:t>atively simple and can be readily</w:t>
      </w:r>
      <w:r w:rsidR="00A5063E" w:rsidRPr="00F767DA">
        <w:rPr>
          <w:color w:val="auto"/>
        </w:rPr>
        <w:t xml:space="preserve"> scaled up for discovery-based </w:t>
      </w:r>
      <w:r w:rsidR="00D90875" w:rsidRPr="00F767DA">
        <w:rPr>
          <w:color w:val="auto"/>
        </w:rPr>
        <w:t xml:space="preserve">high-throughput </w:t>
      </w:r>
      <w:r w:rsidR="00A5063E" w:rsidRPr="00F767DA">
        <w:rPr>
          <w:color w:val="auto"/>
        </w:rPr>
        <w:t>screens</w:t>
      </w:r>
      <w:r w:rsidR="00355499" w:rsidRPr="00F767DA">
        <w:rPr>
          <w:color w:val="auto"/>
        </w:rPr>
        <w:t xml:space="preserve"> for modulators of eukaryotic cell function</w:t>
      </w:r>
      <w:r w:rsidR="00A5063E" w:rsidRPr="00F767DA">
        <w:rPr>
          <w:color w:val="auto"/>
        </w:rPr>
        <w:t xml:space="preserve">. </w:t>
      </w:r>
    </w:p>
    <w:p w14:paraId="1EB086F0" w14:textId="77777777" w:rsidR="002D35C6" w:rsidRPr="00F767DA" w:rsidRDefault="002D35C6" w:rsidP="00F36A88">
      <w:pPr>
        <w:contextualSpacing/>
        <w:rPr>
          <w:b/>
        </w:rPr>
      </w:pPr>
    </w:p>
    <w:p w14:paraId="00D25F73" w14:textId="712B217C" w:rsidR="006305D7" w:rsidRPr="00F767DA" w:rsidRDefault="006305D7" w:rsidP="00F36A88">
      <w:pPr>
        <w:contextualSpacing/>
        <w:rPr>
          <w:color w:val="808080"/>
        </w:rPr>
      </w:pPr>
      <w:r w:rsidRPr="00F767DA">
        <w:rPr>
          <w:b/>
        </w:rPr>
        <w:t>INTRODUCTION</w:t>
      </w:r>
      <w:r w:rsidRPr="00F767DA">
        <w:rPr>
          <w:b/>
          <w:bCs/>
        </w:rPr>
        <w:t>:</w:t>
      </w:r>
      <w:r w:rsidRPr="00F767DA">
        <w:t xml:space="preserve"> </w:t>
      </w:r>
    </w:p>
    <w:p w14:paraId="4CA74562" w14:textId="68919E17" w:rsidR="00385D94" w:rsidRPr="00F767DA" w:rsidRDefault="000D6431" w:rsidP="00F36A88">
      <w:pPr>
        <w:contextualSpacing/>
        <w:rPr>
          <w:color w:val="auto"/>
        </w:rPr>
      </w:pPr>
      <w:r w:rsidRPr="00F767DA">
        <w:rPr>
          <w:color w:val="auto"/>
        </w:rPr>
        <w:t>Infection-based experimental models are inherently</w:t>
      </w:r>
      <w:r w:rsidR="001D1B2B" w:rsidRPr="00F767DA">
        <w:rPr>
          <w:color w:val="auto"/>
        </w:rPr>
        <w:t xml:space="preserve"> challenging</w:t>
      </w:r>
      <w:r w:rsidR="00B517D5" w:rsidRPr="00F767DA">
        <w:rPr>
          <w:color w:val="auto"/>
        </w:rPr>
        <w:t xml:space="preserve"> due to their dependence on the starting state conditions of the host and pathogen, the various pathogen infection strategies, an</w:t>
      </w:r>
      <w:r w:rsidR="002C0F18" w:rsidRPr="00F767DA">
        <w:rPr>
          <w:color w:val="auto"/>
        </w:rPr>
        <w:t>d the difficulty of attributing pathogen- and host-driven processes based on</w:t>
      </w:r>
      <w:r w:rsidR="00B517D5" w:rsidRPr="00F767DA">
        <w:rPr>
          <w:color w:val="auto"/>
        </w:rPr>
        <w:t xml:space="preserve"> </w:t>
      </w:r>
      <w:r w:rsidR="00C75779" w:rsidRPr="00F767DA">
        <w:rPr>
          <w:color w:val="auto"/>
        </w:rPr>
        <w:t xml:space="preserve">outcomes. </w:t>
      </w:r>
      <w:r w:rsidR="0011678D" w:rsidRPr="00F767DA">
        <w:rPr>
          <w:color w:val="auto"/>
        </w:rPr>
        <w:t xml:space="preserve">The </w:t>
      </w:r>
      <w:r w:rsidR="0011678D" w:rsidRPr="00F767DA">
        <w:rPr>
          <w:color w:val="auto"/>
        </w:rPr>
        <w:lastRenderedPageBreak/>
        <w:t>bacterium</w:t>
      </w:r>
      <w:r w:rsidR="00C75779" w:rsidRPr="00F767DA">
        <w:rPr>
          <w:color w:val="auto"/>
        </w:rPr>
        <w:t xml:space="preserve"> </w:t>
      </w:r>
      <w:r w:rsidR="00C75779" w:rsidRPr="00F767DA">
        <w:rPr>
          <w:i/>
          <w:color w:val="auto"/>
        </w:rPr>
        <w:t>Listeria monocytogenes</w:t>
      </w:r>
      <w:r w:rsidR="00C75779" w:rsidRPr="00F767DA">
        <w:rPr>
          <w:color w:val="auto"/>
        </w:rPr>
        <w:t xml:space="preserve"> (</w:t>
      </w:r>
      <w:r w:rsidR="00C75779" w:rsidRPr="00F767DA">
        <w:rPr>
          <w:i/>
          <w:color w:val="auto"/>
        </w:rPr>
        <w:t>Lm</w:t>
      </w:r>
      <w:r w:rsidR="00C75779" w:rsidRPr="00F767DA">
        <w:rPr>
          <w:color w:val="auto"/>
        </w:rPr>
        <w:t xml:space="preserve">) </w:t>
      </w:r>
      <w:r w:rsidR="0011678D" w:rsidRPr="00F767DA">
        <w:rPr>
          <w:color w:val="auto"/>
        </w:rPr>
        <w:t>has become an ideal pathogen to probe host defense re</w:t>
      </w:r>
      <w:r w:rsidR="001F633C" w:rsidRPr="00F767DA">
        <w:rPr>
          <w:color w:val="auto"/>
        </w:rPr>
        <w:t>sponses because of</w:t>
      </w:r>
      <w:r w:rsidR="009901D9" w:rsidRPr="00F767DA">
        <w:rPr>
          <w:color w:val="auto"/>
        </w:rPr>
        <w:t xml:space="preserve"> its genetic and microbiological tractability,</w:t>
      </w:r>
      <w:r w:rsidR="001F633C" w:rsidRPr="00F767DA">
        <w:rPr>
          <w:color w:val="auto"/>
        </w:rPr>
        <w:t xml:space="preserve"> its rapid and processive cellular infection strategy, </w:t>
      </w:r>
      <w:r w:rsidR="009901D9" w:rsidRPr="00F767DA">
        <w:rPr>
          <w:color w:val="auto"/>
        </w:rPr>
        <w:t xml:space="preserve">and </w:t>
      </w:r>
      <w:r w:rsidR="001F633C" w:rsidRPr="00F767DA">
        <w:rPr>
          <w:color w:val="auto"/>
        </w:rPr>
        <w:t>the relatively clear relationship between its cellular- and organismic-</w:t>
      </w:r>
      <w:r w:rsidR="00580504" w:rsidRPr="00F767DA">
        <w:rPr>
          <w:color w:val="auto"/>
        </w:rPr>
        <w:t>le</w:t>
      </w:r>
      <w:r w:rsidR="009901D9" w:rsidRPr="00F767DA">
        <w:rPr>
          <w:color w:val="auto"/>
        </w:rPr>
        <w:t>vel infection phenotypes</w:t>
      </w:r>
      <w:r w:rsidR="001F633C" w:rsidRPr="00F767DA">
        <w:rPr>
          <w:color w:val="auto"/>
        </w:rPr>
        <w:t>.</w:t>
      </w:r>
      <w:r w:rsidR="001D1B2B" w:rsidRPr="00F767DA">
        <w:rPr>
          <w:color w:val="auto"/>
        </w:rPr>
        <w:t xml:space="preserve"> </w:t>
      </w:r>
      <w:r w:rsidR="009901D9" w:rsidRPr="00F767DA">
        <w:rPr>
          <w:color w:val="auto"/>
        </w:rPr>
        <w:t xml:space="preserve">The cellular infection of </w:t>
      </w:r>
      <w:r w:rsidR="009901D9" w:rsidRPr="00F767DA">
        <w:rPr>
          <w:i/>
          <w:color w:val="auto"/>
        </w:rPr>
        <w:t>Lm</w:t>
      </w:r>
      <w:r w:rsidR="009901D9" w:rsidRPr="00F767DA">
        <w:rPr>
          <w:color w:val="auto"/>
        </w:rPr>
        <w:t xml:space="preserve"> proceeds through four distinct phases</w:t>
      </w:r>
      <w:r w:rsidR="00B26CFD" w:rsidRPr="00F767DA">
        <w:rPr>
          <w:color w:val="auto"/>
          <w:vertAlign w:val="superscript"/>
        </w:rPr>
        <w:t>1</w:t>
      </w:r>
      <w:r w:rsidR="009901D9" w:rsidRPr="00F767DA">
        <w:rPr>
          <w:color w:val="auto"/>
        </w:rPr>
        <w:t>: (</w:t>
      </w:r>
      <w:proofErr w:type="spellStart"/>
      <w:r w:rsidR="009901D9" w:rsidRPr="00F767DA">
        <w:rPr>
          <w:color w:val="auto"/>
        </w:rPr>
        <w:t>i</w:t>
      </w:r>
      <w:proofErr w:type="spellEnd"/>
      <w:r w:rsidR="009901D9" w:rsidRPr="00F767DA">
        <w:rPr>
          <w:color w:val="auto"/>
        </w:rPr>
        <w:t xml:space="preserve">) </w:t>
      </w:r>
      <w:r w:rsidR="005E5189" w:rsidRPr="00F767DA">
        <w:rPr>
          <w:color w:val="auto"/>
        </w:rPr>
        <w:t>c</w:t>
      </w:r>
      <w:r w:rsidR="009901D9" w:rsidRPr="00F767DA">
        <w:rPr>
          <w:color w:val="auto"/>
        </w:rPr>
        <w:t xml:space="preserve">ellular invasion </w:t>
      </w:r>
      <w:r w:rsidR="002D35C6" w:rsidRPr="00F767DA">
        <w:rPr>
          <w:color w:val="auto"/>
        </w:rPr>
        <w:t>that</w:t>
      </w:r>
      <w:r w:rsidR="009901D9" w:rsidRPr="00F767DA">
        <w:rPr>
          <w:color w:val="auto"/>
        </w:rPr>
        <w:t xml:space="preserve"> concludes with </w:t>
      </w:r>
      <w:r w:rsidR="009901D9" w:rsidRPr="00F767DA">
        <w:rPr>
          <w:i/>
          <w:color w:val="auto"/>
        </w:rPr>
        <w:t>Lm</w:t>
      </w:r>
      <w:r w:rsidR="009901D9" w:rsidRPr="00F767DA">
        <w:rPr>
          <w:color w:val="auto"/>
        </w:rPr>
        <w:t xml:space="preserve"> being e</w:t>
      </w:r>
      <w:r w:rsidR="005E5189" w:rsidRPr="00F767DA">
        <w:rPr>
          <w:color w:val="auto"/>
        </w:rPr>
        <w:t xml:space="preserve">nclosed within a vacuole; (ii) </w:t>
      </w:r>
      <w:r w:rsidR="005E5189" w:rsidRPr="00F767DA">
        <w:rPr>
          <w:i/>
          <w:color w:val="auto"/>
        </w:rPr>
        <w:t>Lm</w:t>
      </w:r>
      <w:r w:rsidR="005E5189" w:rsidRPr="00F767DA">
        <w:rPr>
          <w:color w:val="auto"/>
        </w:rPr>
        <w:t xml:space="preserve">-directed dissolution of the vacuole membrane and release of </w:t>
      </w:r>
      <w:r w:rsidR="005E5189" w:rsidRPr="00F767DA">
        <w:rPr>
          <w:i/>
          <w:color w:val="auto"/>
        </w:rPr>
        <w:t>Lm</w:t>
      </w:r>
      <w:r w:rsidR="005E5189" w:rsidRPr="00F767DA">
        <w:rPr>
          <w:color w:val="auto"/>
        </w:rPr>
        <w:t xml:space="preserve"> into the cytosol; (iii) intracytosolic replication; and (</w:t>
      </w:r>
      <w:r w:rsidR="003A06ED" w:rsidRPr="00F767DA">
        <w:rPr>
          <w:color w:val="auto"/>
        </w:rPr>
        <w:t>iv) physical penetration of the</w:t>
      </w:r>
      <w:r w:rsidR="006478AB" w:rsidRPr="00F767DA">
        <w:rPr>
          <w:color w:val="auto"/>
        </w:rPr>
        <w:t xml:space="preserve"> plasma membrane that results in either the infection of </w:t>
      </w:r>
      <w:r w:rsidR="003A06ED" w:rsidRPr="00F767DA">
        <w:rPr>
          <w:color w:val="auto"/>
        </w:rPr>
        <w:t>directly</w:t>
      </w:r>
      <w:r w:rsidR="006478AB" w:rsidRPr="00F767DA">
        <w:rPr>
          <w:color w:val="auto"/>
        </w:rPr>
        <w:t xml:space="preserve"> adjacent cells (such as in an epithelial sheet) or, in solitary cells, release of </w:t>
      </w:r>
      <w:r w:rsidR="006478AB" w:rsidRPr="00F767DA">
        <w:rPr>
          <w:i/>
          <w:color w:val="auto"/>
        </w:rPr>
        <w:t>Lm</w:t>
      </w:r>
      <w:r w:rsidR="006478AB" w:rsidRPr="00F767DA">
        <w:rPr>
          <w:color w:val="auto"/>
        </w:rPr>
        <w:t xml:space="preserve"> into the extracellular milieu. </w:t>
      </w:r>
      <w:r w:rsidR="00D000E4" w:rsidRPr="00F767DA">
        <w:rPr>
          <w:color w:val="auto"/>
        </w:rPr>
        <w:t>Each of these phases are promoted by specific</w:t>
      </w:r>
      <w:r w:rsidR="00EF7503" w:rsidRPr="00F767DA">
        <w:rPr>
          <w:color w:val="auto"/>
        </w:rPr>
        <w:t xml:space="preserve"> </w:t>
      </w:r>
      <w:r w:rsidR="00EF7503" w:rsidRPr="00F767DA">
        <w:rPr>
          <w:i/>
          <w:color w:val="auto"/>
        </w:rPr>
        <w:t>Lm</w:t>
      </w:r>
      <w:r w:rsidR="00EF7503" w:rsidRPr="00F767DA">
        <w:rPr>
          <w:color w:val="auto"/>
        </w:rPr>
        <w:t xml:space="preserve">-encoded factors </w:t>
      </w:r>
      <w:r w:rsidR="00D000E4" w:rsidRPr="00F767DA">
        <w:rPr>
          <w:color w:val="auto"/>
        </w:rPr>
        <w:t>(referred to as ‘virulence factors’) that, when deleted, cause infection defects in both cellular and animal models.</w:t>
      </w:r>
      <w:r w:rsidR="00175C81" w:rsidRPr="00F767DA">
        <w:rPr>
          <w:color w:val="auto"/>
        </w:rPr>
        <w:t xml:space="preserve"> This general infection strategy has been independently evolved by </w:t>
      </w:r>
      <w:proofErr w:type="gramStart"/>
      <w:r w:rsidR="00175C81" w:rsidRPr="00F767DA">
        <w:rPr>
          <w:color w:val="auto"/>
        </w:rPr>
        <w:t>a number of</w:t>
      </w:r>
      <w:proofErr w:type="gramEnd"/>
      <w:r w:rsidR="00175C81" w:rsidRPr="00F767DA">
        <w:rPr>
          <w:color w:val="auto"/>
        </w:rPr>
        <w:t xml:space="preserve"> </w:t>
      </w:r>
      <w:r w:rsidR="00B162CC" w:rsidRPr="00F767DA">
        <w:rPr>
          <w:color w:val="auto"/>
        </w:rPr>
        <w:t xml:space="preserve">the </w:t>
      </w:r>
      <w:r w:rsidR="00175C81" w:rsidRPr="00F767DA">
        <w:rPr>
          <w:color w:val="auto"/>
        </w:rPr>
        <w:t>so-called ‘cytosolic’ pathogens</w:t>
      </w:r>
      <w:r w:rsidR="00B26CFD" w:rsidRPr="00F767DA">
        <w:rPr>
          <w:color w:val="auto"/>
          <w:vertAlign w:val="superscript"/>
        </w:rPr>
        <w:t>2</w:t>
      </w:r>
      <w:r w:rsidR="00175C81" w:rsidRPr="00F767DA">
        <w:rPr>
          <w:color w:val="auto"/>
        </w:rPr>
        <w:t xml:space="preserve">. </w:t>
      </w:r>
    </w:p>
    <w:p w14:paraId="69B42561" w14:textId="77777777" w:rsidR="002D35C6" w:rsidRPr="00F767DA" w:rsidRDefault="002D35C6" w:rsidP="00F36A88">
      <w:pPr>
        <w:contextualSpacing/>
        <w:rPr>
          <w:color w:val="auto"/>
        </w:rPr>
      </w:pPr>
    </w:p>
    <w:p w14:paraId="5C4670F4" w14:textId="3CE3B51B" w:rsidR="00C14D29" w:rsidRPr="00F767DA" w:rsidRDefault="00557F74" w:rsidP="00F36A88">
      <w:pPr>
        <w:contextualSpacing/>
        <w:rPr>
          <w:color w:val="auto"/>
        </w:rPr>
      </w:pPr>
      <w:r w:rsidRPr="00F767DA">
        <w:rPr>
          <w:color w:val="auto"/>
        </w:rPr>
        <w:t xml:space="preserve">Colony-forming unit (CFU) assays are widely employed to evaluate both </w:t>
      </w:r>
      <w:r w:rsidR="002D35C6" w:rsidRPr="00F767DA">
        <w:rPr>
          <w:color w:val="auto"/>
        </w:rPr>
        <w:t>in vitro</w:t>
      </w:r>
      <w:r w:rsidRPr="00F767DA">
        <w:rPr>
          <w:color w:val="auto"/>
        </w:rPr>
        <w:t xml:space="preserve"> (i.e., cellular) as well as </w:t>
      </w:r>
      <w:r w:rsidR="002D35C6" w:rsidRPr="00F767DA">
        <w:rPr>
          <w:color w:val="auto"/>
        </w:rPr>
        <w:t>in vivo</w:t>
      </w:r>
      <w:r w:rsidRPr="00F767DA">
        <w:rPr>
          <w:color w:val="auto"/>
        </w:rPr>
        <w:t xml:space="preserve"> (i.e., organismic) infection outcomes. </w:t>
      </w:r>
      <w:r w:rsidR="004C59F9" w:rsidRPr="00F767DA">
        <w:rPr>
          <w:color w:val="auto"/>
        </w:rPr>
        <w:t>In addi</w:t>
      </w:r>
      <w:r w:rsidR="00F22369" w:rsidRPr="00F767DA">
        <w:rPr>
          <w:color w:val="auto"/>
        </w:rPr>
        <w:t xml:space="preserve">tion to their high sensitivity, </w:t>
      </w:r>
      <w:r w:rsidR="004C59F9" w:rsidRPr="00F767DA">
        <w:rPr>
          <w:color w:val="auto"/>
        </w:rPr>
        <w:t>part</w:t>
      </w:r>
      <w:r w:rsidR="00F22369" w:rsidRPr="00F767DA">
        <w:rPr>
          <w:color w:val="auto"/>
        </w:rPr>
        <w:t xml:space="preserve">icularly for </w:t>
      </w:r>
      <w:r w:rsidR="002D35C6" w:rsidRPr="00F767DA">
        <w:rPr>
          <w:color w:val="auto"/>
        </w:rPr>
        <w:t>in vivo</w:t>
      </w:r>
      <w:r w:rsidR="00F22369" w:rsidRPr="00F767DA">
        <w:rPr>
          <w:color w:val="auto"/>
        </w:rPr>
        <w:t xml:space="preserve"> infections</w:t>
      </w:r>
      <w:r w:rsidR="004C59F9" w:rsidRPr="00F767DA">
        <w:rPr>
          <w:color w:val="auto"/>
        </w:rPr>
        <w:t>, CFU assays provide an unambiguous readout</w:t>
      </w:r>
      <w:r w:rsidR="00597217" w:rsidRPr="00F767DA">
        <w:rPr>
          <w:color w:val="auto"/>
        </w:rPr>
        <w:t xml:space="preserve"> for</w:t>
      </w:r>
      <w:r w:rsidR="004C59F9" w:rsidRPr="00F767DA">
        <w:rPr>
          <w:color w:val="auto"/>
        </w:rPr>
        <w:t xml:space="preserve"> pathogen</w:t>
      </w:r>
      <w:r w:rsidR="00597217" w:rsidRPr="00F767DA">
        <w:rPr>
          <w:color w:val="auto"/>
        </w:rPr>
        <w:t xml:space="preserve"> </w:t>
      </w:r>
      <w:r w:rsidR="00E64EBD" w:rsidRPr="00F767DA">
        <w:rPr>
          <w:color w:val="auto"/>
        </w:rPr>
        <w:t>invasion and</w:t>
      </w:r>
      <w:r w:rsidR="00F22369" w:rsidRPr="00F767DA">
        <w:rPr>
          <w:color w:val="auto"/>
        </w:rPr>
        <w:t xml:space="preserve"> </w:t>
      </w:r>
      <w:r w:rsidR="00E64EBD" w:rsidRPr="00F767DA">
        <w:rPr>
          <w:color w:val="auto"/>
        </w:rPr>
        <w:t>intracellular survival/proliferation.</w:t>
      </w:r>
      <w:r w:rsidR="00F36A88" w:rsidRPr="00F767DA">
        <w:rPr>
          <w:color w:val="auto"/>
        </w:rPr>
        <w:t xml:space="preserve"> </w:t>
      </w:r>
      <w:r w:rsidR="00597217" w:rsidRPr="00F767DA">
        <w:rPr>
          <w:color w:val="auto"/>
        </w:rPr>
        <w:t xml:space="preserve">CFU assays have been </w:t>
      </w:r>
      <w:r w:rsidR="001C7F3A" w:rsidRPr="00F767DA">
        <w:rPr>
          <w:color w:val="auto"/>
        </w:rPr>
        <w:t xml:space="preserve">extensively used to analyze </w:t>
      </w:r>
      <w:r w:rsidR="00051F33" w:rsidRPr="00F767DA">
        <w:rPr>
          <w:color w:val="auto"/>
        </w:rPr>
        <w:t xml:space="preserve">both </w:t>
      </w:r>
      <w:r w:rsidR="00051F33" w:rsidRPr="00F767DA">
        <w:rPr>
          <w:i/>
          <w:color w:val="auto"/>
        </w:rPr>
        <w:t>Lm</w:t>
      </w:r>
      <w:r w:rsidR="00051F33" w:rsidRPr="00F767DA">
        <w:rPr>
          <w:color w:val="auto"/>
        </w:rPr>
        <w:t xml:space="preserve"> and host cell determinants that impact infection. As informative as these prior studies have been </w:t>
      </w:r>
      <w:r w:rsidR="008A7FF8" w:rsidRPr="00F767DA">
        <w:rPr>
          <w:color w:val="auto"/>
        </w:rPr>
        <w:t>to analyze</w:t>
      </w:r>
      <w:r w:rsidR="006957DD" w:rsidRPr="00F767DA">
        <w:rPr>
          <w:color w:val="auto"/>
        </w:rPr>
        <w:t xml:space="preserve"> cellular i</w:t>
      </w:r>
      <w:r w:rsidR="003B4D7D" w:rsidRPr="00F767DA">
        <w:rPr>
          <w:color w:val="auto"/>
        </w:rPr>
        <w:t>nvasion</w:t>
      </w:r>
      <w:r w:rsidR="006957DD" w:rsidRPr="00F767DA">
        <w:rPr>
          <w:color w:val="auto"/>
        </w:rPr>
        <w:t xml:space="preserve"> and intracytosolic r</w:t>
      </w:r>
      <w:r w:rsidR="003B4D7D" w:rsidRPr="00F767DA">
        <w:rPr>
          <w:color w:val="auto"/>
        </w:rPr>
        <w:t>eplication</w:t>
      </w:r>
      <w:r w:rsidR="00104E32" w:rsidRPr="00F767DA">
        <w:rPr>
          <w:color w:val="auto"/>
        </w:rPr>
        <w:t xml:space="preserve">, </w:t>
      </w:r>
      <w:r w:rsidR="008A7FF8" w:rsidRPr="00F767DA">
        <w:rPr>
          <w:color w:val="auto"/>
        </w:rPr>
        <w:t xml:space="preserve">CFU assays have not, to the best of our knowledge, been used to track the fourth phase of the </w:t>
      </w:r>
      <w:r w:rsidR="008A7FF8" w:rsidRPr="00F767DA">
        <w:rPr>
          <w:i/>
          <w:color w:val="auto"/>
        </w:rPr>
        <w:t>Lm</w:t>
      </w:r>
      <w:r w:rsidR="008A7FF8" w:rsidRPr="00F767DA">
        <w:rPr>
          <w:color w:val="auto"/>
        </w:rPr>
        <w:t xml:space="preserve"> infection process: cellular escape. Here</w:t>
      </w:r>
      <w:r w:rsidR="00F36A88" w:rsidRPr="00F767DA">
        <w:rPr>
          <w:color w:val="auto"/>
        </w:rPr>
        <w:t>,</w:t>
      </w:r>
      <w:r w:rsidR="008A7FF8" w:rsidRPr="00F767DA">
        <w:rPr>
          <w:color w:val="auto"/>
        </w:rPr>
        <w:t xml:space="preserve"> </w:t>
      </w:r>
      <w:r w:rsidR="00F15BAE" w:rsidRPr="00F767DA">
        <w:rPr>
          <w:color w:val="auto"/>
        </w:rPr>
        <w:t>we describe</w:t>
      </w:r>
      <w:r w:rsidR="008A7FF8" w:rsidRPr="00F767DA">
        <w:rPr>
          <w:color w:val="auto"/>
        </w:rPr>
        <w:t xml:space="preserve"> relatively simple </w:t>
      </w:r>
      <w:r w:rsidR="00F15BAE" w:rsidRPr="00F767DA">
        <w:rPr>
          <w:color w:val="auto"/>
        </w:rPr>
        <w:t xml:space="preserve">means </w:t>
      </w:r>
      <w:r w:rsidR="003A06ED" w:rsidRPr="00F767DA">
        <w:rPr>
          <w:color w:val="auto"/>
        </w:rPr>
        <w:t xml:space="preserve">of </w:t>
      </w:r>
      <w:r w:rsidR="00F15BAE" w:rsidRPr="00F767DA">
        <w:rPr>
          <w:color w:val="auto"/>
        </w:rPr>
        <w:t xml:space="preserve">how cellular escape (hereafter referred to as ‘emergence’) can be </w:t>
      </w:r>
      <w:r w:rsidR="001C7F3A" w:rsidRPr="00F767DA">
        <w:rPr>
          <w:color w:val="auto"/>
        </w:rPr>
        <w:t>monitored</w:t>
      </w:r>
      <w:r w:rsidR="005D1197" w:rsidRPr="00F767DA">
        <w:rPr>
          <w:color w:val="auto"/>
        </w:rPr>
        <w:t xml:space="preserve"> by</w:t>
      </w:r>
      <w:r w:rsidR="00F15BAE" w:rsidRPr="00F767DA">
        <w:rPr>
          <w:color w:val="auto"/>
        </w:rPr>
        <w:t xml:space="preserve"> CFU assay</w:t>
      </w:r>
      <w:r w:rsidR="005D1197" w:rsidRPr="00F767DA">
        <w:rPr>
          <w:color w:val="auto"/>
        </w:rPr>
        <w:t xml:space="preserve"> (as well as by flow cytometry)</w:t>
      </w:r>
      <w:r w:rsidR="00F15BAE" w:rsidRPr="00F767DA">
        <w:rPr>
          <w:color w:val="auto"/>
        </w:rPr>
        <w:t xml:space="preserve"> and show examples of how both pathogen- and host-encoded factors regulate this phase of the </w:t>
      </w:r>
      <w:r w:rsidR="00F15BAE" w:rsidRPr="00F767DA">
        <w:rPr>
          <w:i/>
          <w:color w:val="auto"/>
        </w:rPr>
        <w:t>Lm</w:t>
      </w:r>
      <w:r w:rsidR="00F15BAE" w:rsidRPr="00F767DA">
        <w:rPr>
          <w:color w:val="auto"/>
        </w:rPr>
        <w:t xml:space="preserve"> </w:t>
      </w:r>
      <w:r w:rsidR="005D1197" w:rsidRPr="00F767DA">
        <w:rPr>
          <w:color w:val="auto"/>
        </w:rPr>
        <w:t>infection cycle. The</w:t>
      </w:r>
      <w:r w:rsidR="00F15BAE" w:rsidRPr="00F767DA">
        <w:rPr>
          <w:color w:val="auto"/>
        </w:rPr>
        <w:t xml:space="preserve"> </w:t>
      </w:r>
      <w:r w:rsidR="00DD1566" w:rsidRPr="00F767DA">
        <w:rPr>
          <w:color w:val="auto"/>
        </w:rPr>
        <w:t>analysis of</w:t>
      </w:r>
      <w:r w:rsidR="005D1197" w:rsidRPr="00F767DA">
        <w:rPr>
          <w:color w:val="auto"/>
        </w:rPr>
        <w:t xml:space="preserve"> the</w:t>
      </w:r>
      <w:r w:rsidR="00DD1566" w:rsidRPr="00F767DA">
        <w:rPr>
          <w:color w:val="auto"/>
        </w:rPr>
        <w:t xml:space="preserve"> terminal phase of</w:t>
      </w:r>
      <w:r w:rsidR="005D1197" w:rsidRPr="00F767DA">
        <w:rPr>
          <w:color w:val="auto"/>
        </w:rPr>
        <w:t xml:space="preserve"> the cellular</w:t>
      </w:r>
      <w:r w:rsidR="00DD1566" w:rsidRPr="00F767DA">
        <w:rPr>
          <w:color w:val="auto"/>
        </w:rPr>
        <w:t xml:space="preserve"> </w:t>
      </w:r>
      <w:r w:rsidR="00DD1566" w:rsidRPr="00F767DA">
        <w:rPr>
          <w:i/>
          <w:color w:val="auto"/>
        </w:rPr>
        <w:t>Lm</w:t>
      </w:r>
      <w:r w:rsidR="00F15BAE" w:rsidRPr="00F767DA">
        <w:rPr>
          <w:color w:val="auto"/>
        </w:rPr>
        <w:t xml:space="preserve"> infection</w:t>
      </w:r>
      <w:r w:rsidR="005D1197" w:rsidRPr="00F767DA">
        <w:rPr>
          <w:color w:val="auto"/>
        </w:rPr>
        <w:t xml:space="preserve"> cycle</w:t>
      </w:r>
      <w:r w:rsidR="00DD1566" w:rsidRPr="00F767DA">
        <w:rPr>
          <w:color w:val="auto"/>
        </w:rPr>
        <w:t xml:space="preserve"> may make it possible to identify additional pathogen </w:t>
      </w:r>
      <w:r w:rsidR="00EF53B3" w:rsidRPr="00F767DA">
        <w:rPr>
          <w:color w:val="auto"/>
        </w:rPr>
        <w:t xml:space="preserve">and host cell infection-specific </w:t>
      </w:r>
      <w:r w:rsidR="005D1197" w:rsidRPr="00F767DA">
        <w:rPr>
          <w:color w:val="auto"/>
        </w:rPr>
        <w:t xml:space="preserve">factors and </w:t>
      </w:r>
      <w:r w:rsidR="00EF53B3" w:rsidRPr="00F767DA">
        <w:rPr>
          <w:color w:val="auto"/>
        </w:rPr>
        <w:t>activities</w:t>
      </w:r>
      <w:r w:rsidR="00DD1566" w:rsidRPr="00F767DA">
        <w:rPr>
          <w:color w:val="auto"/>
        </w:rPr>
        <w:t>.</w:t>
      </w:r>
      <w:r w:rsidR="002D35C6" w:rsidRPr="00F767DA">
        <w:rPr>
          <w:color w:val="auto"/>
        </w:rPr>
        <w:t xml:space="preserve"> </w:t>
      </w:r>
    </w:p>
    <w:p w14:paraId="6DFACA08" w14:textId="77777777" w:rsidR="00F36A88" w:rsidRPr="00F767DA" w:rsidRDefault="00F36A88" w:rsidP="00F36A88">
      <w:pPr>
        <w:contextualSpacing/>
        <w:rPr>
          <w:color w:val="auto"/>
        </w:rPr>
      </w:pPr>
    </w:p>
    <w:p w14:paraId="496AB0B4" w14:textId="3672FFE0" w:rsidR="001C1E49" w:rsidRPr="00F767DA" w:rsidRDefault="006305D7" w:rsidP="00F36A88">
      <w:pPr>
        <w:contextualSpacing/>
      </w:pPr>
      <w:r w:rsidRPr="00F767DA">
        <w:rPr>
          <w:b/>
        </w:rPr>
        <w:t>PROTOCOL:</w:t>
      </w:r>
      <w:r w:rsidRPr="00F767DA">
        <w:t xml:space="preserve"> </w:t>
      </w:r>
    </w:p>
    <w:p w14:paraId="74CF11CF" w14:textId="77777777" w:rsidR="00F36A88" w:rsidRPr="00F767DA" w:rsidRDefault="00F36A88" w:rsidP="00F36A88">
      <w:pPr>
        <w:contextualSpacing/>
      </w:pPr>
    </w:p>
    <w:p w14:paraId="5326B7D0" w14:textId="780CD79F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F767DA">
        <w:t>Mice were treated humanely in accordance with all appropriate government guidelines </w:t>
      </w:r>
      <w:r w:rsidRPr="00F767DA">
        <w:rPr>
          <w:bCs/>
          <w:color w:val="262626"/>
        </w:rPr>
        <w:t>for the Care and Use of Laboratory Animals of the National Institutes of Health </w:t>
      </w:r>
      <w:r w:rsidRPr="00F767DA">
        <w:t xml:space="preserve">and their use was approved for this entire study by the University of Miami </w:t>
      </w:r>
      <w:r w:rsidRPr="00F767DA">
        <w:t>Institutional Animal Care and Use Committe</w:t>
      </w:r>
      <w:r w:rsidRPr="00F767DA">
        <w:t>e (protocol 16-053).</w:t>
      </w:r>
    </w:p>
    <w:p w14:paraId="07957007" w14:textId="77777777" w:rsidR="00F36A88" w:rsidRPr="00F767DA" w:rsidRDefault="00F36A88" w:rsidP="00F36A88">
      <w:pPr>
        <w:contextualSpacing/>
        <w:rPr>
          <w:b/>
        </w:rPr>
      </w:pPr>
    </w:p>
    <w:p w14:paraId="437DF36A" w14:textId="20AA0B9A" w:rsidR="00DE2B39" w:rsidRPr="00F767DA" w:rsidRDefault="003F0409" w:rsidP="00F36A88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rPr>
          <w:b/>
        </w:rPr>
      </w:pPr>
      <w:r w:rsidRPr="00F767DA">
        <w:rPr>
          <w:b/>
        </w:rPr>
        <w:t xml:space="preserve">Preparing </w:t>
      </w:r>
      <w:r w:rsidR="00F36A88" w:rsidRPr="00F767DA">
        <w:rPr>
          <w:b/>
        </w:rPr>
        <w:t>cells for infection</w:t>
      </w:r>
    </w:p>
    <w:p w14:paraId="375AE932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282BA4EE" w14:textId="1711F977" w:rsidR="00AC7BC9" w:rsidRPr="00F767DA" w:rsidRDefault="009F4405" w:rsidP="00F36A88">
      <w:pPr>
        <w:pStyle w:val="NormalWeb"/>
        <w:numPr>
          <w:ilvl w:val="1"/>
          <w:numId w:val="26"/>
        </w:numPr>
        <w:spacing w:before="0" w:beforeAutospacing="0" w:after="0" w:afterAutospacing="0"/>
        <w:ind w:left="0" w:firstLine="0"/>
        <w:contextualSpacing/>
      </w:pPr>
      <w:r w:rsidRPr="00F767DA">
        <w:t xml:space="preserve">Propagate </w:t>
      </w:r>
      <w:r w:rsidR="0054773F" w:rsidRPr="00F767DA">
        <w:t>mouse macrophage-like cell line RAW 264.7 in DMEM tissue culture media supplemented with 10% fetal calf serum</w:t>
      </w:r>
      <w:r w:rsidR="003C0ED5" w:rsidRPr="00F767DA">
        <w:t xml:space="preserve"> (henceforth referred to as DMEM/FCS)</w:t>
      </w:r>
      <w:r w:rsidR="00870889" w:rsidRPr="00F767DA">
        <w:t xml:space="preserve"> using a 125</w:t>
      </w:r>
      <w:r w:rsidR="00F36A88" w:rsidRPr="00F767DA">
        <w:t xml:space="preserve"> </w:t>
      </w:r>
      <w:r w:rsidR="00870889" w:rsidRPr="00F767DA">
        <w:t>mL flask and a tissue culture incubator maintained at 37 °C/5% CO</w:t>
      </w:r>
      <w:r w:rsidR="00870889" w:rsidRPr="00F767DA">
        <w:rPr>
          <w:vertAlign w:val="subscript"/>
        </w:rPr>
        <w:t>2</w:t>
      </w:r>
      <w:r w:rsidR="003C0ED5" w:rsidRPr="00F767DA">
        <w:t xml:space="preserve">. </w:t>
      </w:r>
    </w:p>
    <w:p w14:paraId="2897CDF6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2F16E521" w14:textId="5DE54703" w:rsidR="00AC7BC9" w:rsidRPr="00F767DA" w:rsidRDefault="003C0ED5" w:rsidP="00F36A88">
      <w:pPr>
        <w:pStyle w:val="NormalWeb"/>
        <w:numPr>
          <w:ilvl w:val="1"/>
          <w:numId w:val="26"/>
        </w:numPr>
        <w:spacing w:before="0" w:beforeAutospacing="0" w:after="0" w:afterAutospacing="0"/>
        <w:ind w:left="0" w:firstLine="0"/>
        <w:contextualSpacing/>
      </w:pPr>
      <w:r w:rsidRPr="00F767DA">
        <w:t>The day before the infection, use a cell scraper to remove cells fro</w:t>
      </w:r>
      <w:r w:rsidR="005A0752" w:rsidRPr="00F767DA">
        <w:t xml:space="preserve">m </w:t>
      </w:r>
      <w:r w:rsidR="00F36A88" w:rsidRPr="00F767DA">
        <w:t xml:space="preserve">the </w:t>
      </w:r>
      <w:r w:rsidR="00CF1BE4" w:rsidRPr="00F767DA">
        <w:t xml:space="preserve">expansion </w:t>
      </w:r>
      <w:r w:rsidR="005A0752" w:rsidRPr="00F767DA">
        <w:t>flask and collect in</w:t>
      </w:r>
      <w:r w:rsidRPr="00F767DA">
        <w:t xml:space="preserve"> a 15</w:t>
      </w:r>
      <w:r w:rsidR="00F36A88" w:rsidRPr="00F767DA">
        <w:t xml:space="preserve"> </w:t>
      </w:r>
      <w:r w:rsidRPr="00F767DA">
        <w:t>mL sc</w:t>
      </w:r>
      <w:r w:rsidR="00870889" w:rsidRPr="00F767DA">
        <w:t>rew cap conical tube. C</w:t>
      </w:r>
      <w:r w:rsidR="00870889" w:rsidRPr="00F767DA">
        <w:rPr>
          <w:color w:val="auto"/>
        </w:rPr>
        <w:t xml:space="preserve">entrifuge cells at 800 x </w:t>
      </w:r>
      <w:r w:rsidR="00870889" w:rsidRPr="00F767DA">
        <w:rPr>
          <w:i/>
          <w:color w:val="auto"/>
        </w:rPr>
        <w:t>g</w:t>
      </w:r>
      <w:r w:rsidR="00870889" w:rsidRPr="00F767DA">
        <w:rPr>
          <w:color w:val="auto"/>
        </w:rPr>
        <w:t xml:space="preserve"> for 10 min</w:t>
      </w:r>
      <w:r w:rsidRPr="00F767DA">
        <w:t xml:space="preserve">, decant supernatant and suspend the cell pellet in 1 mL of </w:t>
      </w:r>
      <w:r w:rsidR="008306C8" w:rsidRPr="00F767DA">
        <w:t xml:space="preserve">DMEM/FCS </w:t>
      </w:r>
      <w:r w:rsidR="00CF1BE4" w:rsidRPr="00F767DA">
        <w:t xml:space="preserve">(without antibiotics) </w:t>
      </w:r>
      <w:r w:rsidR="008306C8" w:rsidRPr="00F767DA">
        <w:t xml:space="preserve">and determine the titer using a hemocytometer or an automated cell counter. </w:t>
      </w:r>
    </w:p>
    <w:p w14:paraId="54C0E2FB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67FBC024" w14:textId="77777777" w:rsidR="00F36A88" w:rsidRPr="00F767DA" w:rsidRDefault="00CF1BE4" w:rsidP="00F36A88">
      <w:pPr>
        <w:pStyle w:val="NormalWeb"/>
        <w:numPr>
          <w:ilvl w:val="1"/>
          <w:numId w:val="26"/>
        </w:numPr>
        <w:spacing w:before="0" w:beforeAutospacing="0" w:after="0" w:afterAutospacing="0"/>
        <w:ind w:left="0" w:firstLine="0"/>
        <w:contextualSpacing/>
      </w:pPr>
      <w:r w:rsidRPr="00F767DA">
        <w:lastRenderedPageBreak/>
        <w:t>Adjust titer to 2 x 10</w:t>
      </w:r>
      <w:r w:rsidRPr="00F767DA">
        <w:rPr>
          <w:vertAlign w:val="superscript"/>
        </w:rPr>
        <w:t>6</w:t>
      </w:r>
      <w:r w:rsidRPr="00F767DA">
        <w:t xml:space="preserve"> cells/mL and add 0.10 mL (2 x 10</w:t>
      </w:r>
      <w:r w:rsidRPr="00F767DA">
        <w:rPr>
          <w:vertAlign w:val="superscript"/>
        </w:rPr>
        <w:t>5</w:t>
      </w:r>
      <w:r w:rsidRPr="00F767DA">
        <w:t xml:space="preserve"> cells) to </w:t>
      </w:r>
      <w:r w:rsidR="008A0A86" w:rsidRPr="00F767DA">
        <w:t>wells of a 48-well tissue culture dish.</w:t>
      </w:r>
      <w:r w:rsidRPr="00F767DA">
        <w:t xml:space="preserve"> </w:t>
      </w:r>
      <w:r w:rsidR="008A0A86" w:rsidRPr="00F767DA">
        <w:t xml:space="preserve">Ensure that the cell suspension covers </w:t>
      </w:r>
      <w:r w:rsidR="007071BB" w:rsidRPr="00F767DA">
        <w:t xml:space="preserve">the entire surface of the well. </w:t>
      </w:r>
    </w:p>
    <w:p w14:paraId="01FB83D0" w14:textId="77777777" w:rsidR="00F36A88" w:rsidRPr="00F767DA" w:rsidRDefault="00F36A88" w:rsidP="00F36A88">
      <w:pPr>
        <w:pStyle w:val="ListParagraph"/>
        <w:ind w:left="0"/>
      </w:pPr>
    </w:p>
    <w:p w14:paraId="08BAB20B" w14:textId="6332B71E" w:rsidR="007071BB" w:rsidRPr="00F767DA" w:rsidRDefault="007071BB" w:rsidP="00F36A88">
      <w:pPr>
        <w:pStyle w:val="NormalWeb"/>
        <w:numPr>
          <w:ilvl w:val="2"/>
          <w:numId w:val="26"/>
        </w:numPr>
        <w:spacing w:before="0" w:beforeAutospacing="0" w:after="0" w:afterAutospacing="0"/>
        <w:ind w:left="0" w:firstLine="0"/>
        <w:contextualSpacing/>
      </w:pPr>
      <w:r w:rsidRPr="00F767DA">
        <w:t xml:space="preserve">Plate </w:t>
      </w:r>
      <w:r w:rsidR="00A6327C" w:rsidRPr="00F767DA">
        <w:t>c</w:t>
      </w:r>
      <w:r w:rsidRPr="00F767DA">
        <w:t xml:space="preserve">ells in additional wells for a later source of </w:t>
      </w:r>
      <w:r w:rsidR="009F4405" w:rsidRPr="00F767DA">
        <w:t>conditioned media. Also</w:t>
      </w:r>
      <w:r w:rsidRPr="00F767DA">
        <w:t xml:space="preserve"> place 0.10 mL of DMEM/FCS in</w:t>
      </w:r>
      <w:r w:rsidR="009F4405" w:rsidRPr="00F767DA">
        <w:t xml:space="preserve"> three additional</w:t>
      </w:r>
      <w:r w:rsidRPr="00F767DA">
        <w:t xml:space="preserve"> wells to serve as a ‘no cell control’.</w:t>
      </w:r>
    </w:p>
    <w:p w14:paraId="2BA7E6C5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2B40D331" w14:textId="767C40DF" w:rsidR="00005AF8" w:rsidRPr="00F767DA" w:rsidRDefault="007071BB" w:rsidP="00F36A88">
      <w:pPr>
        <w:pStyle w:val="NormalWeb"/>
        <w:numPr>
          <w:ilvl w:val="1"/>
          <w:numId w:val="26"/>
        </w:numPr>
        <w:spacing w:before="0" w:beforeAutospacing="0" w:after="0" w:afterAutospacing="0"/>
        <w:ind w:left="0" w:firstLine="0"/>
        <w:contextualSpacing/>
      </w:pPr>
      <w:r w:rsidRPr="00F767DA">
        <w:t>I</w:t>
      </w:r>
      <w:r w:rsidR="00130DB6" w:rsidRPr="00F767DA">
        <w:t>ncubate</w:t>
      </w:r>
      <w:r w:rsidR="00AC7BC9" w:rsidRPr="00F767DA">
        <w:t xml:space="preserve"> overnight</w:t>
      </w:r>
      <w:r w:rsidR="00130DB6" w:rsidRPr="00F767DA">
        <w:t xml:space="preserve"> in a tissue culture incubator at 37 °C/5% CO</w:t>
      </w:r>
      <w:r w:rsidR="00130DB6" w:rsidRPr="00F767DA">
        <w:rPr>
          <w:vertAlign w:val="subscript"/>
        </w:rPr>
        <w:t>2</w:t>
      </w:r>
      <w:r w:rsidR="00130DB6" w:rsidRPr="00F767DA">
        <w:t xml:space="preserve">. </w:t>
      </w:r>
      <w:r w:rsidRPr="00F767DA">
        <w:t>The next day</w:t>
      </w:r>
      <w:r w:rsidR="00F36A88" w:rsidRPr="00F767DA">
        <w:t>,</w:t>
      </w:r>
      <w:r w:rsidRPr="00F767DA">
        <w:t xml:space="preserve"> do not remove from incubator until the bacterium inoculum is prepared and ready to use.</w:t>
      </w:r>
      <w:r w:rsidR="002D35C6" w:rsidRPr="00F767DA">
        <w:t xml:space="preserve"> </w:t>
      </w:r>
    </w:p>
    <w:p w14:paraId="2DA080E1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12D47F41" w14:textId="61B8A707" w:rsidR="003F0409" w:rsidRPr="00F767DA" w:rsidRDefault="003F0409" w:rsidP="00F36A88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rPr>
          <w:b/>
        </w:rPr>
      </w:pPr>
      <w:r w:rsidRPr="00F767DA">
        <w:rPr>
          <w:b/>
        </w:rPr>
        <w:t xml:space="preserve">Preparing </w:t>
      </w:r>
      <w:r w:rsidR="00EB677B" w:rsidRPr="00F767DA">
        <w:rPr>
          <w:b/>
          <w:i/>
        </w:rPr>
        <w:t>Listeria monocytogenes</w:t>
      </w:r>
      <w:r w:rsidR="00EB677B" w:rsidRPr="00F767DA">
        <w:rPr>
          <w:b/>
        </w:rPr>
        <w:t xml:space="preserve"> (</w:t>
      </w:r>
      <w:proofErr w:type="spellStart"/>
      <w:r w:rsidR="00EB677B" w:rsidRPr="00F767DA">
        <w:rPr>
          <w:b/>
          <w:i/>
        </w:rPr>
        <w:t>Lm</w:t>
      </w:r>
      <w:proofErr w:type="spellEnd"/>
      <w:r w:rsidR="00EB677B" w:rsidRPr="00F767DA">
        <w:rPr>
          <w:b/>
        </w:rPr>
        <w:t>)</w:t>
      </w:r>
      <w:r w:rsidRPr="00F767DA">
        <w:rPr>
          <w:b/>
        </w:rPr>
        <w:t xml:space="preserve"> for </w:t>
      </w:r>
      <w:r w:rsidR="00F36A88" w:rsidRPr="00F767DA">
        <w:rPr>
          <w:b/>
        </w:rPr>
        <w:t>i</w:t>
      </w:r>
      <w:r w:rsidRPr="00F767DA">
        <w:rPr>
          <w:b/>
        </w:rPr>
        <w:t>nfection</w:t>
      </w:r>
    </w:p>
    <w:p w14:paraId="1BFB1CA8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7ADBF5B2" w14:textId="5C6642F7" w:rsidR="004D2E90" w:rsidRPr="00F767DA" w:rsidRDefault="004308B4" w:rsidP="00F36A88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</w:pPr>
      <w:r w:rsidRPr="00F767DA">
        <w:t xml:space="preserve">Inoculate 2 mL of brain-heart infusion (BHI) with a single colony from a freshly-streaked agar plate (&lt;2 days) of </w:t>
      </w:r>
      <w:r w:rsidRPr="00F767DA">
        <w:rPr>
          <w:i/>
        </w:rPr>
        <w:t>Lm</w:t>
      </w:r>
      <w:r w:rsidRPr="00F767DA">
        <w:t xml:space="preserve"> and incubate overnight at 37 °C with shaking</w:t>
      </w:r>
      <w:r w:rsidR="00325F0B" w:rsidRPr="00F767DA">
        <w:t xml:space="preserve"> at 130 rotations/min</w:t>
      </w:r>
      <w:r w:rsidRPr="00F767DA">
        <w:t>.</w:t>
      </w:r>
      <w:r w:rsidR="000A16A5" w:rsidRPr="00F767DA">
        <w:t xml:space="preserve"> </w:t>
      </w:r>
    </w:p>
    <w:p w14:paraId="5A23F191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094D0F91" w14:textId="2E674AAA" w:rsidR="00DF3798" w:rsidRPr="00F767DA" w:rsidRDefault="000A16A5" w:rsidP="00F36A88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</w:pPr>
      <w:r w:rsidRPr="00F767DA">
        <w:t>The next day</w:t>
      </w:r>
      <w:r w:rsidR="00F36A88" w:rsidRPr="00F767DA">
        <w:t>,</w:t>
      </w:r>
      <w:r w:rsidRPr="00F767DA">
        <w:t xml:space="preserve"> add 0.10</w:t>
      </w:r>
      <w:r w:rsidR="004308B4" w:rsidRPr="00F767DA">
        <w:t xml:space="preserve"> mL</w:t>
      </w:r>
      <w:r w:rsidR="004D2E90" w:rsidRPr="00F767DA">
        <w:t xml:space="preserve"> of overnight culture to 2 mL</w:t>
      </w:r>
      <w:r w:rsidRPr="00F767DA">
        <w:t xml:space="preserve"> pre-warmed BHI and continue incubating at 37 °C with shaking until the optical density (OD</w:t>
      </w:r>
      <w:r w:rsidRPr="00F767DA">
        <w:rPr>
          <w:vertAlign w:val="subscript"/>
        </w:rPr>
        <w:t>600</w:t>
      </w:r>
      <w:r w:rsidR="00912B9E" w:rsidRPr="00F767DA">
        <w:t>) is between 0.4</w:t>
      </w:r>
      <w:r w:rsidR="009F4405" w:rsidRPr="00F767DA">
        <w:t xml:space="preserve"> and 0.6</w:t>
      </w:r>
      <w:r w:rsidRPr="00F767DA">
        <w:t>.</w:t>
      </w:r>
    </w:p>
    <w:p w14:paraId="4BA82F27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4FE01B36" w14:textId="629122DF" w:rsidR="00184766" w:rsidRPr="00F767DA" w:rsidRDefault="004D2E90" w:rsidP="00F36A88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</w:pPr>
      <w:r w:rsidRPr="00F767DA">
        <w:t>Determine</w:t>
      </w:r>
      <w:r w:rsidR="009F4405" w:rsidRPr="00F767DA">
        <w:t xml:space="preserve"> approximate</w:t>
      </w:r>
      <w:r w:rsidRPr="00F767DA">
        <w:t xml:space="preserve"> bacterial titer using an empirically-derived co</w:t>
      </w:r>
      <w:r w:rsidR="009F4405" w:rsidRPr="00F767DA">
        <w:t xml:space="preserve">nversion formula. In our lab, </w:t>
      </w:r>
      <w:r w:rsidR="00357910" w:rsidRPr="00F767DA">
        <w:t>a</w:t>
      </w:r>
      <w:r w:rsidR="00B5227D" w:rsidRPr="00F767DA">
        <w:t>n</w:t>
      </w:r>
      <w:r w:rsidR="00357910" w:rsidRPr="00F767DA">
        <w:t xml:space="preserve"> </w:t>
      </w:r>
      <w:r w:rsidRPr="00F767DA">
        <w:t>exponentially growing</w:t>
      </w:r>
      <w:r w:rsidR="00F21ADB" w:rsidRPr="00F767DA">
        <w:t xml:space="preserve"> </w:t>
      </w:r>
      <w:r w:rsidR="00F21ADB" w:rsidRPr="00F767DA">
        <w:rPr>
          <w:i/>
        </w:rPr>
        <w:t>Lm</w:t>
      </w:r>
      <w:r w:rsidR="00F21ADB" w:rsidRPr="00F767DA">
        <w:t xml:space="preserve"> culture</w:t>
      </w:r>
      <w:r w:rsidR="00357910" w:rsidRPr="00F767DA">
        <w:t xml:space="preserve"> in BHI</w:t>
      </w:r>
      <w:r w:rsidR="00F21ADB" w:rsidRPr="00F767DA">
        <w:t xml:space="preserve"> </w:t>
      </w:r>
      <w:r w:rsidRPr="00F767DA">
        <w:t>is approximately 1.3 x 10</w:t>
      </w:r>
      <w:r w:rsidRPr="00F767DA">
        <w:rPr>
          <w:vertAlign w:val="superscript"/>
        </w:rPr>
        <w:t>9</w:t>
      </w:r>
      <w:r w:rsidR="00F21ADB" w:rsidRPr="00F767DA">
        <w:t xml:space="preserve"> colony forming units (CFU)/OD</w:t>
      </w:r>
      <w:r w:rsidR="00F21ADB" w:rsidRPr="00F767DA">
        <w:rPr>
          <w:vertAlign w:val="subscript"/>
        </w:rPr>
        <w:t>600</w:t>
      </w:r>
      <w:r w:rsidRPr="00F767DA">
        <w:t xml:space="preserve">. </w:t>
      </w:r>
      <w:r w:rsidR="009F4405" w:rsidRPr="00F767DA">
        <w:t xml:space="preserve">Minimize the amount of time bacterial cultures are exposed to room temperature. </w:t>
      </w:r>
    </w:p>
    <w:p w14:paraId="74F39FBF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737B15FB" w14:textId="4C8289B5" w:rsidR="00F21ADB" w:rsidRPr="00F767DA" w:rsidRDefault="00F21ADB" w:rsidP="00F36A88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</w:pPr>
      <w:r w:rsidRPr="00F767DA">
        <w:t>Just prior to</w:t>
      </w:r>
      <w:r w:rsidR="00EB677B" w:rsidRPr="00F767DA">
        <w:t xml:space="preserve"> infection </w:t>
      </w:r>
      <w:r w:rsidRPr="00F767DA">
        <w:t xml:space="preserve">adjust the titer </w:t>
      </w:r>
      <w:r w:rsidR="00912B9E" w:rsidRPr="00F767DA">
        <w:t>to 5</w:t>
      </w:r>
      <w:r w:rsidRPr="00F767DA">
        <w:t xml:space="preserve"> x 10</w:t>
      </w:r>
      <w:r w:rsidR="00912B9E" w:rsidRPr="00F767DA">
        <w:rPr>
          <w:vertAlign w:val="superscript"/>
        </w:rPr>
        <w:t>7</w:t>
      </w:r>
      <w:r w:rsidRPr="00F767DA">
        <w:t xml:space="preserve"> CFU/</w:t>
      </w:r>
      <w:r w:rsidR="007071BB" w:rsidRPr="00F767DA">
        <w:t xml:space="preserve">mL using pre-warmed </w:t>
      </w:r>
      <w:r w:rsidR="00B5227D" w:rsidRPr="00F767DA">
        <w:t>DMEM/FCS</w:t>
      </w:r>
      <w:r w:rsidR="007071BB" w:rsidRPr="00F767DA">
        <w:t xml:space="preserve"> as diluent</w:t>
      </w:r>
      <w:r w:rsidR="00184766" w:rsidRPr="00F767DA">
        <w:t xml:space="preserve">. </w:t>
      </w:r>
    </w:p>
    <w:p w14:paraId="46E9D4C6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b/>
        </w:rPr>
      </w:pPr>
    </w:p>
    <w:p w14:paraId="75A138CF" w14:textId="2E71BF9C" w:rsidR="00DE2B39" w:rsidRPr="00F767DA" w:rsidRDefault="00DE2B39" w:rsidP="00F36A88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rPr>
          <w:b/>
          <w:highlight w:val="yellow"/>
        </w:rPr>
      </w:pPr>
      <w:r w:rsidRPr="00F767DA">
        <w:rPr>
          <w:b/>
          <w:highlight w:val="yellow"/>
        </w:rPr>
        <w:t>Infection</w:t>
      </w:r>
    </w:p>
    <w:p w14:paraId="591427EC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7F7547CE" w14:textId="4DB92D1E" w:rsidR="00893374" w:rsidRPr="00F767DA" w:rsidRDefault="005B40C2" w:rsidP="00F36A88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Working quickly and precisely, a</w:t>
      </w:r>
      <w:r w:rsidR="00912B9E" w:rsidRPr="00F767DA">
        <w:rPr>
          <w:highlight w:val="yellow"/>
        </w:rPr>
        <w:t>dd 2</w:t>
      </w:r>
      <w:r w:rsidR="007071BB" w:rsidRPr="00F767DA">
        <w:rPr>
          <w:highlight w:val="yellow"/>
        </w:rPr>
        <w:t xml:space="preserve">0 μL </w:t>
      </w:r>
      <w:r w:rsidR="007C136D" w:rsidRPr="00F767DA">
        <w:rPr>
          <w:highlight w:val="yellow"/>
        </w:rPr>
        <w:t>(1 x 10</w:t>
      </w:r>
      <w:r w:rsidR="007C136D" w:rsidRPr="00F767DA">
        <w:rPr>
          <w:highlight w:val="yellow"/>
          <w:vertAlign w:val="superscript"/>
        </w:rPr>
        <w:t>6</w:t>
      </w:r>
      <w:r w:rsidR="007C136D" w:rsidRPr="00F767DA">
        <w:rPr>
          <w:highlight w:val="yellow"/>
        </w:rPr>
        <w:t xml:space="preserve"> CFU; multiplicity of infection, MOI = 5) </w:t>
      </w:r>
      <w:r w:rsidR="007071BB" w:rsidRPr="00F767DA">
        <w:rPr>
          <w:highlight w:val="yellow"/>
        </w:rPr>
        <w:t xml:space="preserve">of the freshly-prepared </w:t>
      </w:r>
      <w:r w:rsidR="007071BB" w:rsidRPr="00F767DA">
        <w:rPr>
          <w:i/>
          <w:highlight w:val="yellow"/>
        </w:rPr>
        <w:t>Lm</w:t>
      </w:r>
      <w:r w:rsidR="007071BB" w:rsidRPr="00F767DA">
        <w:rPr>
          <w:highlight w:val="yellow"/>
        </w:rPr>
        <w:t xml:space="preserve"> inoculum (step </w:t>
      </w:r>
      <w:r w:rsidR="00F36A88" w:rsidRPr="00F767DA">
        <w:rPr>
          <w:highlight w:val="yellow"/>
        </w:rPr>
        <w:t>2.</w:t>
      </w:r>
      <w:r w:rsidR="007071BB" w:rsidRPr="00F767DA">
        <w:rPr>
          <w:highlight w:val="yellow"/>
        </w:rPr>
        <w:t>4 above) to well</w:t>
      </w:r>
      <w:r w:rsidR="007C136D" w:rsidRPr="00F767DA">
        <w:rPr>
          <w:highlight w:val="yellow"/>
        </w:rPr>
        <w:t xml:space="preserve">s by </w:t>
      </w:r>
      <w:r w:rsidR="001178DB" w:rsidRPr="00F767DA">
        <w:rPr>
          <w:highlight w:val="yellow"/>
        </w:rPr>
        <w:t xml:space="preserve">slightly tilting the dish and </w:t>
      </w:r>
      <w:r w:rsidR="007C136D" w:rsidRPr="00F767DA">
        <w:rPr>
          <w:highlight w:val="yellow"/>
        </w:rPr>
        <w:t xml:space="preserve">carefully placing the pipet tip in the overlying media; </w:t>
      </w:r>
      <w:r w:rsidR="007C136D" w:rsidRPr="00F767DA">
        <w:rPr>
          <w:b/>
          <w:highlight w:val="yellow"/>
        </w:rPr>
        <w:t>avoid touching the walls of the well with the pipet tip</w:t>
      </w:r>
      <w:r w:rsidR="007C136D" w:rsidRPr="00F767DA">
        <w:rPr>
          <w:highlight w:val="yellow"/>
        </w:rPr>
        <w:t xml:space="preserve">. </w:t>
      </w:r>
    </w:p>
    <w:p w14:paraId="18C41433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278936A8" w14:textId="4E437096" w:rsidR="00893374" w:rsidRPr="00F767DA" w:rsidRDefault="00893374" w:rsidP="00F36A88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Gently pipet the contents of each</w:t>
      </w:r>
      <w:r w:rsidR="003833F9" w:rsidRPr="00F767DA">
        <w:rPr>
          <w:highlight w:val="yellow"/>
        </w:rPr>
        <w:t xml:space="preserve"> we</w:t>
      </w:r>
      <w:r w:rsidRPr="00F767DA">
        <w:rPr>
          <w:highlight w:val="yellow"/>
        </w:rPr>
        <w:t>ll to ensure complete mixing; d</w:t>
      </w:r>
      <w:r w:rsidR="003833F9" w:rsidRPr="00F767DA">
        <w:rPr>
          <w:highlight w:val="yellow"/>
        </w:rPr>
        <w:t xml:space="preserve">o not shake or </w:t>
      </w:r>
      <w:r w:rsidR="00912B9E" w:rsidRPr="00F767DA">
        <w:rPr>
          <w:highlight w:val="yellow"/>
        </w:rPr>
        <w:t xml:space="preserve">significantly </w:t>
      </w:r>
      <w:r w:rsidR="003833F9" w:rsidRPr="00F767DA">
        <w:rPr>
          <w:highlight w:val="yellow"/>
        </w:rPr>
        <w:t xml:space="preserve">tilt the plate as this will spread </w:t>
      </w:r>
      <w:r w:rsidR="003833F9" w:rsidRPr="00F767DA">
        <w:rPr>
          <w:i/>
          <w:highlight w:val="yellow"/>
        </w:rPr>
        <w:t>Lm</w:t>
      </w:r>
      <w:r w:rsidR="003833F9" w:rsidRPr="00F767DA">
        <w:rPr>
          <w:highlight w:val="yellow"/>
        </w:rPr>
        <w:t xml:space="preserve"> over the walls of </w:t>
      </w:r>
      <w:r w:rsidRPr="00F767DA">
        <w:rPr>
          <w:highlight w:val="yellow"/>
        </w:rPr>
        <w:t>the well.</w:t>
      </w:r>
      <w:r w:rsidR="005B40C2" w:rsidRPr="00F767DA">
        <w:rPr>
          <w:highlight w:val="yellow"/>
        </w:rPr>
        <w:t xml:space="preserve"> Return cell culture dish to </w:t>
      </w:r>
      <w:r w:rsidR="00274624" w:rsidRPr="00F767DA">
        <w:rPr>
          <w:highlight w:val="yellow"/>
        </w:rPr>
        <w:t>37 °C/5% CO</w:t>
      </w:r>
      <w:r w:rsidR="00274624" w:rsidRPr="00F767DA">
        <w:rPr>
          <w:highlight w:val="yellow"/>
          <w:vertAlign w:val="subscript"/>
        </w:rPr>
        <w:t xml:space="preserve">2 </w:t>
      </w:r>
      <w:r w:rsidR="005B40C2" w:rsidRPr="00F767DA">
        <w:rPr>
          <w:highlight w:val="yellow"/>
        </w:rPr>
        <w:t xml:space="preserve">incubator. </w:t>
      </w:r>
    </w:p>
    <w:p w14:paraId="0C430C0D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55920CCC" w14:textId="41517913" w:rsidR="00893374" w:rsidRPr="00F767DA" w:rsidRDefault="003804A5" w:rsidP="00F36A88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Prepare a</w:t>
      </w:r>
      <w:r w:rsidR="00A6327C" w:rsidRPr="00F767DA">
        <w:rPr>
          <w:highlight w:val="yellow"/>
        </w:rPr>
        <w:t xml:space="preserve"> 10 μg/mL gentamicin</w:t>
      </w:r>
      <w:r w:rsidRPr="00F767DA">
        <w:rPr>
          <w:highlight w:val="yellow"/>
        </w:rPr>
        <w:t xml:space="preserve"> solution</w:t>
      </w:r>
      <w:r w:rsidR="00A6327C" w:rsidRPr="00F767DA">
        <w:rPr>
          <w:highlight w:val="yellow"/>
        </w:rPr>
        <w:t xml:space="preserve"> using conditioned media from uninfected wells as diluent. </w:t>
      </w:r>
    </w:p>
    <w:p w14:paraId="6D9EB680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63087B0C" w14:textId="1BAE5679" w:rsidR="00F00CA3" w:rsidRPr="00F767DA" w:rsidRDefault="005B40C2" w:rsidP="00F36A88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 xml:space="preserve">At </w:t>
      </w:r>
      <w:r w:rsidR="007E523D" w:rsidRPr="00F767DA">
        <w:rPr>
          <w:highlight w:val="yellow"/>
        </w:rPr>
        <w:t>3</w:t>
      </w:r>
      <w:r w:rsidRPr="00F767DA">
        <w:rPr>
          <w:highlight w:val="yellow"/>
        </w:rPr>
        <w:t xml:space="preserve">0 minutes post infection (mpi), carefully add </w:t>
      </w:r>
      <w:r w:rsidR="00DE2169" w:rsidRPr="00F767DA">
        <w:rPr>
          <w:highlight w:val="yellow"/>
        </w:rPr>
        <w:t>30</w:t>
      </w:r>
      <w:r w:rsidRPr="00F767DA">
        <w:rPr>
          <w:highlight w:val="yellow"/>
        </w:rPr>
        <w:t xml:space="preserve"> μL </w:t>
      </w:r>
      <w:r w:rsidR="00A6327C" w:rsidRPr="00F767DA">
        <w:rPr>
          <w:highlight w:val="yellow"/>
        </w:rPr>
        <w:t>of the gentamicin solution</w:t>
      </w:r>
      <w:r w:rsidR="007E523D" w:rsidRPr="00F767DA">
        <w:rPr>
          <w:highlight w:val="yellow"/>
        </w:rPr>
        <w:t xml:space="preserve"> (final concentration 2</w:t>
      </w:r>
      <w:r w:rsidR="00DE2169" w:rsidRPr="00F767DA">
        <w:rPr>
          <w:highlight w:val="yellow"/>
        </w:rPr>
        <w:t>.5</w:t>
      </w:r>
      <w:r w:rsidR="007E523D" w:rsidRPr="00F767DA">
        <w:rPr>
          <w:highlight w:val="yellow"/>
        </w:rPr>
        <w:t xml:space="preserve"> μg/mL)</w:t>
      </w:r>
      <w:r w:rsidR="00A6327C" w:rsidRPr="00F767DA">
        <w:rPr>
          <w:highlight w:val="yellow"/>
        </w:rPr>
        <w:t xml:space="preserve"> and gently pipet the contents of the w</w:t>
      </w:r>
      <w:r w:rsidR="007E523D" w:rsidRPr="00F767DA">
        <w:rPr>
          <w:highlight w:val="yellow"/>
        </w:rPr>
        <w:t>ell as before</w:t>
      </w:r>
      <w:r w:rsidR="00274624" w:rsidRPr="00F767DA">
        <w:rPr>
          <w:highlight w:val="yellow"/>
        </w:rPr>
        <w:t xml:space="preserve"> and return cell culture dish to</w:t>
      </w:r>
      <w:r w:rsidR="00F903F6" w:rsidRPr="00F767DA">
        <w:rPr>
          <w:highlight w:val="yellow"/>
        </w:rPr>
        <w:t xml:space="preserve"> 37 °C/5% CO</w:t>
      </w:r>
      <w:r w:rsidR="00F903F6" w:rsidRPr="00F767DA">
        <w:rPr>
          <w:highlight w:val="yellow"/>
          <w:vertAlign w:val="subscript"/>
        </w:rPr>
        <w:t>2</w:t>
      </w:r>
      <w:r w:rsidR="00274624" w:rsidRPr="00F767DA">
        <w:rPr>
          <w:highlight w:val="yellow"/>
        </w:rPr>
        <w:t xml:space="preserve"> incubator</w:t>
      </w:r>
      <w:r w:rsidR="007E523D" w:rsidRPr="00F767DA">
        <w:rPr>
          <w:highlight w:val="yellow"/>
        </w:rPr>
        <w:t xml:space="preserve">. </w:t>
      </w:r>
    </w:p>
    <w:p w14:paraId="0A38129D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27F4F293" w14:textId="6556A6CE" w:rsidR="00893374" w:rsidRPr="00F767DA" w:rsidRDefault="00F00CA3" w:rsidP="00F36A88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</w:pPr>
      <w:r w:rsidRPr="00F767DA">
        <w:t xml:space="preserve">At 60 mpi, harvest appropriate wells for either CFU assay (60 mpi time point) or FCM </w:t>
      </w:r>
      <w:r w:rsidRPr="00F767DA">
        <w:lastRenderedPageBreak/>
        <w:t>analysis (as described below in sections 4 and 5, respectively).</w:t>
      </w:r>
      <w:r w:rsidR="002D35C6" w:rsidRPr="00F767DA">
        <w:t xml:space="preserve"> </w:t>
      </w:r>
    </w:p>
    <w:p w14:paraId="484A1F40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214E8147" w14:textId="795EDE23" w:rsidR="00EB677B" w:rsidRPr="00F767DA" w:rsidRDefault="00CE72F6" w:rsidP="00F36A88">
      <w:pPr>
        <w:pStyle w:val="NormalWeb"/>
        <w:numPr>
          <w:ilvl w:val="1"/>
          <w:numId w:val="33"/>
        </w:numPr>
        <w:spacing w:before="0" w:beforeAutospacing="0" w:after="0" w:afterAutospacing="0"/>
        <w:ind w:left="0" w:firstLine="0"/>
        <w:contextualSpacing/>
      </w:pPr>
      <w:r w:rsidRPr="00F767DA">
        <w:t>For remaining wells, at various times thereafter either harvest cells as before or</w:t>
      </w:r>
      <w:r w:rsidR="005D3E94" w:rsidRPr="00F767DA">
        <w:t xml:space="preserve">, for the </w:t>
      </w:r>
      <w:r w:rsidR="005D3E94" w:rsidRPr="00F767DA">
        <w:rPr>
          <w:i/>
        </w:rPr>
        <w:t>Lm</w:t>
      </w:r>
      <w:r w:rsidR="005D3E94" w:rsidRPr="00F767DA">
        <w:t xml:space="preserve"> emergence assay,</w:t>
      </w:r>
      <w:r w:rsidRPr="00F767DA">
        <w:t xml:space="preserve"> </w:t>
      </w:r>
      <w:r w:rsidR="00B93E6C" w:rsidRPr="00F767DA">
        <w:t>entirely remove media from well and replace with 1</w:t>
      </w:r>
      <w:r w:rsidR="00DE2169" w:rsidRPr="00F767DA">
        <w:t>5</w:t>
      </w:r>
      <w:r w:rsidR="00B93E6C" w:rsidRPr="00F767DA">
        <w:t>0 μ</w:t>
      </w:r>
      <w:r w:rsidR="003804A5" w:rsidRPr="00F767DA">
        <w:t>L</w:t>
      </w:r>
      <w:r w:rsidR="00B93E6C" w:rsidRPr="00F767DA">
        <w:t xml:space="preserve"> </w:t>
      </w:r>
      <w:r w:rsidR="00F36A88" w:rsidRPr="00F767DA">
        <w:t xml:space="preserve">of </w:t>
      </w:r>
      <w:r w:rsidR="001178DB" w:rsidRPr="00F767DA">
        <w:t xml:space="preserve">gentamicin-free </w:t>
      </w:r>
      <w:r w:rsidR="00B93E6C" w:rsidRPr="00F767DA">
        <w:t>conditioned m</w:t>
      </w:r>
      <w:r w:rsidR="001178DB" w:rsidRPr="00F767DA">
        <w:t>edia</w:t>
      </w:r>
      <w:r w:rsidR="00B93E6C" w:rsidRPr="00F767DA">
        <w:t xml:space="preserve">. </w:t>
      </w:r>
    </w:p>
    <w:p w14:paraId="19DEBF83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25841213" w14:textId="24349453" w:rsidR="001178DB" w:rsidRPr="00F767DA" w:rsidRDefault="00110EF8" w:rsidP="00F36A88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rPr>
          <w:b/>
        </w:rPr>
      </w:pPr>
      <w:r w:rsidRPr="00F767DA">
        <w:rPr>
          <w:b/>
        </w:rPr>
        <w:t xml:space="preserve">Sampling </w:t>
      </w:r>
      <w:r w:rsidR="00F36A88" w:rsidRPr="00F767DA">
        <w:rPr>
          <w:b/>
        </w:rPr>
        <w:t xml:space="preserve">processing and analysis of intracellular and emergent </w:t>
      </w:r>
      <w:proofErr w:type="spellStart"/>
      <w:r w:rsidR="002839BA" w:rsidRPr="00F767DA">
        <w:rPr>
          <w:b/>
          <w:i/>
        </w:rPr>
        <w:t>Lm</w:t>
      </w:r>
      <w:proofErr w:type="spellEnd"/>
      <w:r w:rsidR="009631E7" w:rsidRPr="00F767DA">
        <w:rPr>
          <w:b/>
        </w:rPr>
        <w:t xml:space="preserve"> by CFU assay</w:t>
      </w:r>
    </w:p>
    <w:p w14:paraId="6FDE31E1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7929917F" w14:textId="5BD58E49" w:rsidR="00D62E57" w:rsidRPr="00F767DA" w:rsidRDefault="00F00CA3" w:rsidP="00F36A88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To harvest, s</w:t>
      </w:r>
      <w:r w:rsidR="00821457" w:rsidRPr="00F767DA">
        <w:rPr>
          <w:highlight w:val="yellow"/>
        </w:rPr>
        <w:t>lightly tilt the dish and</w:t>
      </w:r>
      <w:r w:rsidR="005D3E94" w:rsidRPr="00F767DA">
        <w:rPr>
          <w:highlight w:val="yellow"/>
        </w:rPr>
        <w:t xml:space="preserve"> carefully remove the entire </w:t>
      </w:r>
      <w:r w:rsidRPr="00F767DA">
        <w:rPr>
          <w:highlight w:val="yellow"/>
        </w:rPr>
        <w:t>media from</w:t>
      </w:r>
      <w:r w:rsidR="005D3E94" w:rsidRPr="00F767DA">
        <w:rPr>
          <w:highlight w:val="yellow"/>
        </w:rPr>
        <w:t xml:space="preserve"> the well. Add 0.50 mL </w:t>
      </w:r>
      <w:r w:rsidR="00F36A88" w:rsidRPr="00F767DA">
        <w:rPr>
          <w:highlight w:val="yellow"/>
        </w:rPr>
        <w:t xml:space="preserve">of </w:t>
      </w:r>
      <w:r w:rsidR="005D3E94" w:rsidRPr="00F767DA">
        <w:rPr>
          <w:highlight w:val="yellow"/>
        </w:rPr>
        <w:t xml:space="preserve">distilled sterile water </w:t>
      </w:r>
      <w:r w:rsidR="00646E2D" w:rsidRPr="00F767DA">
        <w:rPr>
          <w:highlight w:val="yellow"/>
        </w:rPr>
        <w:t>(dsH</w:t>
      </w:r>
      <w:r w:rsidR="00646E2D" w:rsidRPr="00F767DA">
        <w:rPr>
          <w:highlight w:val="yellow"/>
          <w:vertAlign w:val="subscript"/>
        </w:rPr>
        <w:t>2</w:t>
      </w:r>
      <w:r w:rsidR="00646E2D" w:rsidRPr="00F767DA">
        <w:rPr>
          <w:highlight w:val="yellow"/>
        </w:rPr>
        <w:t xml:space="preserve">O) </w:t>
      </w:r>
      <w:r w:rsidR="005D3E94" w:rsidRPr="00F767DA">
        <w:rPr>
          <w:highlight w:val="yellow"/>
        </w:rPr>
        <w:t>to the well</w:t>
      </w:r>
      <w:r w:rsidR="00F36A88" w:rsidRPr="00F767DA">
        <w:rPr>
          <w:highlight w:val="yellow"/>
        </w:rPr>
        <w:t>. A</w:t>
      </w:r>
      <w:r w:rsidR="005D3E94" w:rsidRPr="00F767DA">
        <w:rPr>
          <w:highlight w:val="yellow"/>
        </w:rPr>
        <w:t xml:space="preserve">fter 30 </w:t>
      </w:r>
      <w:r w:rsidR="00F36A88" w:rsidRPr="00F767DA">
        <w:rPr>
          <w:highlight w:val="yellow"/>
        </w:rPr>
        <w:t>s,</w:t>
      </w:r>
      <w:r w:rsidR="005D3E94" w:rsidRPr="00F767DA">
        <w:rPr>
          <w:highlight w:val="yellow"/>
        </w:rPr>
        <w:t xml:space="preserve"> transfer the resulting water lysate</w:t>
      </w:r>
      <w:r w:rsidR="00821457" w:rsidRPr="00F767DA">
        <w:rPr>
          <w:highlight w:val="yellow"/>
        </w:rPr>
        <w:t xml:space="preserve"> (10</w:t>
      </w:r>
      <w:r w:rsidR="00821457" w:rsidRPr="00F767DA">
        <w:rPr>
          <w:highlight w:val="yellow"/>
          <w:vertAlign w:val="superscript"/>
        </w:rPr>
        <w:t>0</w:t>
      </w:r>
      <w:r w:rsidR="00821457" w:rsidRPr="00F767DA">
        <w:rPr>
          <w:highlight w:val="yellow"/>
        </w:rPr>
        <w:t>)</w:t>
      </w:r>
      <w:r w:rsidR="005D3E94" w:rsidRPr="00F767DA">
        <w:rPr>
          <w:highlight w:val="yellow"/>
        </w:rPr>
        <w:t xml:space="preserve"> to a 1.5 mL microcentrifuge</w:t>
      </w:r>
      <w:r w:rsidR="00646E2D" w:rsidRPr="00F767DA">
        <w:rPr>
          <w:highlight w:val="yellow"/>
        </w:rPr>
        <w:t xml:space="preserve"> tube and vortex vigorously for 10 </w:t>
      </w:r>
      <w:r w:rsidR="00F36A88" w:rsidRPr="00F767DA">
        <w:rPr>
          <w:highlight w:val="yellow"/>
        </w:rPr>
        <w:t>s</w:t>
      </w:r>
      <w:r w:rsidR="00646E2D" w:rsidRPr="00F767DA">
        <w:rPr>
          <w:highlight w:val="yellow"/>
        </w:rPr>
        <w:t xml:space="preserve">. </w:t>
      </w:r>
    </w:p>
    <w:p w14:paraId="62B4CC28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0494480C" w14:textId="4C3F92B3" w:rsidR="00D62E57" w:rsidRPr="00F767DA" w:rsidRDefault="00646E2D" w:rsidP="00F36A88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Prepare 10</w:t>
      </w:r>
      <w:r w:rsidRPr="00F767DA">
        <w:rPr>
          <w:highlight w:val="yellow"/>
          <w:vertAlign w:val="superscript"/>
        </w:rPr>
        <w:t>-1</w:t>
      </w:r>
      <w:r w:rsidRPr="00F767DA">
        <w:rPr>
          <w:highlight w:val="yellow"/>
        </w:rPr>
        <w:t xml:space="preserve"> and 10</w:t>
      </w:r>
      <w:r w:rsidRPr="00F767DA">
        <w:rPr>
          <w:highlight w:val="yellow"/>
          <w:vertAlign w:val="superscript"/>
        </w:rPr>
        <w:t>-2</w:t>
      </w:r>
      <w:r w:rsidRPr="00F767DA">
        <w:rPr>
          <w:highlight w:val="yellow"/>
        </w:rPr>
        <w:t xml:space="preserve"> dilutions by add</w:t>
      </w:r>
      <w:r w:rsidR="00CD6588" w:rsidRPr="00F767DA">
        <w:rPr>
          <w:highlight w:val="yellow"/>
        </w:rPr>
        <w:t>ing</w:t>
      </w:r>
      <w:r w:rsidRPr="00F767DA">
        <w:rPr>
          <w:highlight w:val="yellow"/>
        </w:rPr>
        <w:t xml:space="preserve"> either 4.5 μL or 50 μL of the water lysate </w:t>
      </w:r>
      <w:r w:rsidR="00CD6588" w:rsidRPr="00F767DA">
        <w:rPr>
          <w:highlight w:val="yellow"/>
        </w:rPr>
        <w:t>t</w:t>
      </w:r>
      <w:r w:rsidRPr="00F767DA">
        <w:rPr>
          <w:highlight w:val="yellow"/>
        </w:rPr>
        <w:t xml:space="preserve">o 450 μL </w:t>
      </w:r>
      <w:r w:rsidR="00F36A88" w:rsidRPr="00F767DA">
        <w:rPr>
          <w:highlight w:val="yellow"/>
        </w:rPr>
        <w:t xml:space="preserve">of </w:t>
      </w:r>
      <w:r w:rsidRPr="00F767DA">
        <w:rPr>
          <w:highlight w:val="yellow"/>
        </w:rPr>
        <w:t>dsH</w:t>
      </w:r>
      <w:r w:rsidRPr="00F767DA">
        <w:rPr>
          <w:highlight w:val="yellow"/>
          <w:vertAlign w:val="subscript"/>
        </w:rPr>
        <w:t>2</w:t>
      </w:r>
      <w:r w:rsidR="008F2DD3" w:rsidRPr="00F767DA">
        <w:rPr>
          <w:highlight w:val="yellow"/>
        </w:rPr>
        <w:t>O and briefly vortex to ensure thorough mixing.</w:t>
      </w:r>
      <w:r w:rsidRPr="00F767DA">
        <w:rPr>
          <w:highlight w:val="yellow"/>
        </w:rPr>
        <w:t xml:space="preserve"> </w:t>
      </w:r>
    </w:p>
    <w:p w14:paraId="41620D17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3DEBBCDE" w14:textId="2947FD07" w:rsidR="00D62E57" w:rsidRPr="00F767DA" w:rsidRDefault="00821457" w:rsidP="00F36A88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Spread 50 μL of the 10</w:t>
      </w:r>
      <w:r w:rsidRPr="00F767DA">
        <w:rPr>
          <w:highlight w:val="yellow"/>
          <w:vertAlign w:val="superscript"/>
        </w:rPr>
        <w:t>0</w:t>
      </w:r>
      <w:r w:rsidRPr="00F767DA">
        <w:rPr>
          <w:highlight w:val="yellow"/>
        </w:rPr>
        <w:t>, 10</w:t>
      </w:r>
      <w:r w:rsidRPr="00F767DA">
        <w:rPr>
          <w:highlight w:val="yellow"/>
          <w:vertAlign w:val="superscript"/>
        </w:rPr>
        <w:t>-1</w:t>
      </w:r>
      <w:r w:rsidRPr="00F767DA">
        <w:rPr>
          <w:highlight w:val="yellow"/>
        </w:rPr>
        <w:t xml:space="preserve"> and/or 10</w:t>
      </w:r>
      <w:r w:rsidRPr="00F767DA">
        <w:rPr>
          <w:highlight w:val="yellow"/>
          <w:vertAlign w:val="superscript"/>
        </w:rPr>
        <w:t>-2</w:t>
      </w:r>
      <w:r w:rsidRPr="00F767DA">
        <w:rPr>
          <w:highlight w:val="yellow"/>
        </w:rPr>
        <w:t xml:space="preserve"> samples onto</w:t>
      </w:r>
      <w:r w:rsidR="007323BD" w:rsidRPr="00F767DA">
        <w:rPr>
          <w:highlight w:val="yellow"/>
        </w:rPr>
        <w:t xml:space="preserve"> lysogeny broth (LB)</w:t>
      </w:r>
      <w:r w:rsidR="00DE2169" w:rsidRPr="00F767DA">
        <w:rPr>
          <w:highlight w:val="yellow"/>
        </w:rPr>
        <w:t xml:space="preserve"> agar plates</w:t>
      </w:r>
      <w:r w:rsidRPr="00F767DA">
        <w:rPr>
          <w:highlight w:val="yellow"/>
        </w:rPr>
        <w:t xml:space="preserve">. </w:t>
      </w:r>
    </w:p>
    <w:p w14:paraId="49C2CEC8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1621536D" w14:textId="10B15F1C" w:rsidR="00D62E57" w:rsidRPr="00F767DA" w:rsidRDefault="00DE2169" w:rsidP="00F36A88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  <w:rPr>
          <w:highlight w:val="yellow"/>
        </w:rPr>
      </w:pPr>
      <w:r w:rsidRPr="00F767DA">
        <w:rPr>
          <w:highlight w:val="yellow"/>
        </w:rPr>
        <w:t>To assay for e</w:t>
      </w:r>
      <w:r w:rsidR="009A1197" w:rsidRPr="00F767DA">
        <w:rPr>
          <w:highlight w:val="yellow"/>
        </w:rPr>
        <w:t xml:space="preserve">mergent </w:t>
      </w:r>
      <w:r w:rsidR="009A1197" w:rsidRPr="00F767DA">
        <w:rPr>
          <w:i/>
          <w:highlight w:val="yellow"/>
        </w:rPr>
        <w:t>Lm</w:t>
      </w:r>
      <w:r w:rsidR="009A1197" w:rsidRPr="00F767DA">
        <w:rPr>
          <w:highlight w:val="yellow"/>
        </w:rPr>
        <w:t xml:space="preserve"> (step </w:t>
      </w:r>
      <w:r w:rsidR="00C07048" w:rsidRPr="00F767DA">
        <w:rPr>
          <w:highlight w:val="yellow"/>
        </w:rPr>
        <w:t>3.</w:t>
      </w:r>
      <w:r w:rsidR="009A1197" w:rsidRPr="00F767DA">
        <w:rPr>
          <w:highlight w:val="yellow"/>
        </w:rPr>
        <w:t xml:space="preserve">6 above), </w:t>
      </w:r>
      <w:r w:rsidR="00CD0C73" w:rsidRPr="00F767DA">
        <w:rPr>
          <w:highlight w:val="yellow"/>
        </w:rPr>
        <w:t>remove 10 μL of the overlaying media and divide it</w:t>
      </w:r>
      <w:r w:rsidR="009A1197" w:rsidRPr="00F767DA">
        <w:rPr>
          <w:highlight w:val="yellow"/>
        </w:rPr>
        <w:t xml:space="preserve"> </w:t>
      </w:r>
      <w:r w:rsidR="00520E16" w:rsidRPr="00F767DA">
        <w:rPr>
          <w:highlight w:val="yellow"/>
        </w:rPr>
        <w:t xml:space="preserve">into two 5 μL aliquots: to one aliquot add 5 μL </w:t>
      </w:r>
      <w:r w:rsidR="00F36A88" w:rsidRPr="00F767DA">
        <w:rPr>
          <w:highlight w:val="yellow"/>
        </w:rPr>
        <w:t xml:space="preserve">of </w:t>
      </w:r>
      <w:r w:rsidR="00520E16" w:rsidRPr="00F767DA">
        <w:rPr>
          <w:highlight w:val="yellow"/>
        </w:rPr>
        <w:t xml:space="preserve">DMEM/FCS and to the second aliquot add 5 μL </w:t>
      </w:r>
      <w:r w:rsidR="00F36A88" w:rsidRPr="00F767DA">
        <w:rPr>
          <w:highlight w:val="yellow"/>
        </w:rPr>
        <w:t xml:space="preserve">of </w:t>
      </w:r>
      <w:r w:rsidR="00520E16" w:rsidRPr="00F767DA">
        <w:rPr>
          <w:highlight w:val="yellow"/>
        </w:rPr>
        <w:t xml:space="preserve">DMEM/FCS containing </w:t>
      </w:r>
      <w:r w:rsidR="00CD0C73" w:rsidRPr="00F767DA">
        <w:rPr>
          <w:highlight w:val="yellow"/>
        </w:rPr>
        <w:t>5</w:t>
      </w:r>
      <w:r w:rsidR="00520E16" w:rsidRPr="00F767DA">
        <w:rPr>
          <w:highlight w:val="yellow"/>
        </w:rPr>
        <w:t xml:space="preserve"> μg/mL gentamicin. </w:t>
      </w:r>
      <w:r w:rsidR="009631E7" w:rsidRPr="00F767DA">
        <w:rPr>
          <w:highlight w:val="yellow"/>
        </w:rPr>
        <w:t xml:space="preserve">The latter control distinguishes between extracellular </w:t>
      </w:r>
      <w:r w:rsidR="009631E7" w:rsidRPr="00F767DA">
        <w:rPr>
          <w:i/>
          <w:highlight w:val="yellow"/>
        </w:rPr>
        <w:t>Lm</w:t>
      </w:r>
      <w:r w:rsidR="009631E7" w:rsidRPr="00F767DA">
        <w:rPr>
          <w:highlight w:val="yellow"/>
        </w:rPr>
        <w:t xml:space="preserve"> (gentamicin sensitive) and intracellular </w:t>
      </w:r>
      <w:r w:rsidR="009631E7" w:rsidRPr="00F767DA">
        <w:rPr>
          <w:i/>
          <w:highlight w:val="yellow"/>
        </w:rPr>
        <w:t>Lm</w:t>
      </w:r>
      <w:r w:rsidR="009631E7" w:rsidRPr="00F767DA">
        <w:rPr>
          <w:highlight w:val="yellow"/>
        </w:rPr>
        <w:t xml:space="preserve"> (gentamicin resistant) in the subsequent CFU assay. </w:t>
      </w:r>
    </w:p>
    <w:p w14:paraId="1137C2CE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highlight w:val="yellow"/>
        </w:rPr>
      </w:pPr>
    </w:p>
    <w:p w14:paraId="1B761392" w14:textId="6788F57A" w:rsidR="00F36A88" w:rsidRPr="00F767DA" w:rsidRDefault="00430E26" w:rsidP="00F36A88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</w:pPr>
      <w:r w:rsidRPr="00F767DA">
        <w:rPr>
          <w:highlight w:val="yellow"/>
        </w:rPr>
        <w:t xml:space="preserve">After </w:t>
      </w:r>
      <w:r w:rsidR="00DE2169" w:rsidRPr="00F767DA">
        <w:rPr>
          <w:highlight w:val="yellow"/>
        </w:rPr>
        <w:t>5</w:t>
      </w:r>
      <w:r w:rsidRPr="00F767DA">
        <w:rPr>
          <w:highlight w:val="yellow"/>
        </w:rPr>
        <w:t xml:space="preserve"> min at room temperatur</w:t>
      </w:r>
      <w:r w:rsidR="00F36A88" w:rsidRPr="00F767DA">
        <w:rPr>
          <w:highlight w:val="yellow"/>
        </w:rPr>
        <w:t>e,</w:t>
      </w:r>
      <w:r w:rsidRPr="00F767DA">
        <w:rPr>
          <w:highlight w:val="yellow"/>
        </w:rPr>
        <w:t xml:space="preserve"> add 90 μL of dsH</w:t>
      </w:r>
      <w:r w:rsidRPr="00F767DA">
        <w:rPr>
          <w:highlight w:val="yellow"/>
          <w:vertAlign w:val="subscript"/>
        </w:rPr>
        <w:t>2</w:t>
      </w:r>
      <w:r w:rsidRPr="00F767DA">
        <w:rPr>
          <w:highlight w:val="yellow"/>
        </w:rPr>
        <w:t xml:space="preserve">O, vortex vigorously for 10 </w:t>
      </w:r>
      <w:r w:rsidR="00F36A88" w:rsidRPr="00F767DA">
        <w:rPr>
          <w:highlight w:val="yellow"/>
        </w:rPr>
        <w:t>s</w:t>
      </w:r>
      <w:r w:rsidRPr="00F767DA">
        <w:rPr>
          <w:highlight w:val="yellow"/>
        </w:rPr>
        <w:t xml:space="preserve">, and spread 50 μL on LB agar </w:t>
      </w:r>
      <w:r w:rsidR="00DD4878" w:rsidRPr="00F767DA">
        <w:rPr>
          <w:highlight w:val="yellow"/>
        </w:rPr>
        <w:t>plates.</w:t>
      </w:r>
      <w:r w:rsidR="00DD4878" w:rsidRPr="00F767DA">
        <w:t xml:space="preserve"> </w:t>
      </w:r>
    </w:p>
    <w:p w14:paraId="79890734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1A776533" w14:textId="12C02D4A" w:rsidR="00F00F9D" w:rsidRPr="00F767DA" w:rsidRDefault="00DD4878" w:rsidP="00F36A88">
      <w:pPr>
        <w:pStyle w:val="NormalWeb"/>
        <w:numPr>
          <w:ilvl w:val="1"/>
          <w:numId w:val="34"/>
        </w:numPr>
        <w:spacing w:before="0" w:beforeAutospacing="0" w:after="0" w:afterAutospacing="0"/>
        <w:ind w:left="0" w:firstLine="0"/>
        <w:contextualSpacing/>
      </w:pPr>
      <w:r w:rsidRPr="00F767DA">
        <w:t>E</w:t>
      </w:r>
      <w:r w:rsidR="00430E26" w:rsidRPr="00F767DA">
        <w:t xml:space="preserve">numerate </w:t>
      </w:r>
      <w:r w:rsidR="00D62E57" w:rsidRPr="00F767DA">
        <w:rPr>
          <w:i/>
        </w:rPr>
        <w:t>Lm</w:t>
      </w:r>
      <w:r w:rsidR="00D62E57" w:rsidRPr="00F767DA">
        <w:t xml:space="preserve"> </w:t>
      </w:r>
      <w:r w:rsidR="00430E26" w:rsidRPr="00F767DA">
        <w:t>colonies</w:t>
      </w:r>
      <w:r w:rsidRPr="00F767DA">
        <w:t xml:space="preserve"> on LB </w:t>
      </w:r>
      <w:r w:rsidR="00DE2169" w:rsidRPr="00F767DA">
        <w:t xml:space="preserve">agar </w:t>
      </w:r>
      <w:r w:rsidRPr="00F767DA">
        <w:t>plates following 2 days of incubation at 37 °C</w:t>
      </w:r>
      <w:r w:rsidR="00430E26" w:rsidRPr="00F767DA">
        <w:t xml:space="preserve">. </w:t>
      </w:r>
    </w:p>
    <w:p w14:paraId="71963557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5FDF2385" w14:textId="5F4C1121" w:rsidR="00AE5D68" w:rsidRPr="00F767DA" w:rsidRDefault="00AE5D68" w:rsidP="00F36A88">
      <w:pPr>
        <w:pStyle w:val="NormalWeb"/>
        <w:numPr>
          <w:ilvl w:val="0"/>
          <w:numId w:val="26"/>
        </w:numPr>
        <w:spacing w:before="0" w:beforeAutospacing="0" w:after="0" w:afterAutospacing="0"/>
        <w:ind w:left="0" w:firstLine="0"/>
        <w:contextualSpacing/>
        <w:rPr>
          <w:b/>
          <w:color w:val="auto"/>
        </w:rPr>
      </w:pPr>
      <w:r w:rsidRPr="00F767DA">
        <w:rPr>
          <w:b/>
          <w:color w:val="auto"/>
        </w:rPr>
        <w:t xml:space="preserve">Sampling </w:t>
      </w:r>
      <w:r w:rsidR="00F36A88" w:rsidRPr="00F767DA">
        <w:rPr>
          <w:b/>
          <w:color w:val="auto"/>
        </w:rPr>
        <w:t xml:space="preserve">processing and analysis of intracellular and emergent </w:t>
      </w:r>
      <w:proofErr w:type="spellStart"/>
      <w:r w:rsidR="00F20EC5" w:rsidRPr="00F767DA">
        <w:rPr>
          <w:b/>
          <w:i/>
          <w:color w:val="auto"/>
        </w:rPr>
        <w:t>Lm</w:t>
      </w:r>
      <w:proofErr w:type="spellEnd"/>
      <w:r w:rsidR="00F20EC5" w:rsidRPr="00F767DA">
        <w:rPr>
          <w:b/>
          <w:color w:val="auto"/>
        </w:rPr>
        <w:t xml:space="preserve"> by flow cytometry (FCM)</w:t>
      </w:r>
    </w:p>
    <w:p w14:paraId="42AFE5FE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</w:pPr>
    </w:p>
    <w:p w14:paraId="3EB87C85" w14:textId="40B6A70A" w:rsidR="00F36A88" w:rsidRPr="00F767DA" w:rsidRDefault="00AE5D68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Prepare RAW 264.7 cells as described in </w:t>
      </w:r>
      <w:r w:rsidR="00B3251C" w:rsidRPr="00F767DA">
        <w:rPr>
          <w:color w:val="auto"/>
          <w:highlight w:val="yellow"/>
        </w:rPr>
        <w:t>s</w:t>
      </w:r>
      <w:r w:rsidRPr="00F767DA">
        <w:rPr>
          <w:color w:val="auto"/>
          <w:highlight w:val="yellow"/>
        </w:rPr>
        <w:t>tep</w:t>
      </w:r>
      <w:r w:rsidR="00B3251C" w:rsidRPr="00F767DA">
        <w:rPr>
          <w:color w:val="auto"/>
          <w:highlight w:val="yellow"/>
        </w:rPr>
        <w:t>s</w:t>
      </w:r>
      <w:r w:rsidRPr="00F767DA">
        <w:rPr>
          <w:color w:val="auto"/>
          <w:highlight w:val="yellow"/>
        </w:rPr>
        <w:t xml:space="preserve"> 1</w:t>
      </w:r>
      <w:r w:rsidR="00B3251C" w:rsidRPr="00F767DA">
        <w:rPr>
          <w:color w:val="auto"/>
          <w:highlight w:val="yellow"/>
        </w:rPr>
        <w:t>.1-4</w:t>
      </w:r>
      <w:r w:rsidRPr="00F767DA">
        <w:rPr>
          <w:color w:val="auto"/>
          <w:highlight w:val="yellow"/>
        </w:rPr>
        <w:t>. Adjust cells to 1 x 10</w:t>
      </w:r>
      <w:r w:rsidRPr="00F767DA">
        <w:rPr>
          <w:color w:val="auto"/>
          <w:highlight w:val="yellow"/>
          <w:vertAlign w:val="superscript"/>
        </w:rPr>
        <w:t>6</w:t>
      </w:r>
      <w:r w:rsidRPr="00F767DA">
        <w:rPr>
          <w:color w:val="auto"/>
          <w:highlight w:val="yellow"/>
        </w:rPr>
        <w:t xml:space="preserve"> cells/mL and add 1 mL (1 x 10</w:t>
      </w:r>
      <w:r w:rsidRPr="00F767DA">
        <w:rPr>
          <w:color w:val="auto"/>
          <w:highlight w:val="yellow"/>
          <w:vertAlign w:val="superscript"/>
        </w:rPr>
        <w:t>6</w:t>
      </w:r>
      <w:r w:rsidRPr="00F767DA">
        <w:rPr>
          <w:color w:val="auto"/>
          <w:highlight w:val="yellow"/>
        </w:rPr>
        <w:t xml:space="preserve"> cells) to wells of a 6-well tissue culture dish.</w:t>
      </w:r>
    </w:p>
    <w:p w14:paraId="3A32F5A3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2336FA65" w14:textId="55929ACE" w:rsidR="00AE5D68" w:rsidRPr="00F767DA" w:rsidRDefault="00AE5D68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>Prepare bacterium inoculum as described in step 2.1-2.3 and infect cells with volume of inoculum corresponding to a MOI of 50 (5 x 10</w:t>
      </w:r>
      <w:r w:rsidRPr="00F767DA">
        <w:rPr>
          <w:color w:val="auto"/>
          <w:highlight w:val="yellow"/>
          <w:vertAlign w:val="superscript"/>
        </w:rPr>
        <w:t>7</w:t>
      </w:r>
      <w:r w:rsidRPr="00F767DA">
        <w:rPr>
          <w:color w:val="auto"/>
          <w:highlight w:val="yellow"/>
        </w:rPr>
        <w:t xml:space="preserve"> CFU)</w:t>
      </w:r>
      <w:r w:rsidR="00F36A88" w:rsidRPr="00F767DA">
        <w:rPr>
          <w:color w:val="auto"/>
          <w:highlight w:val="yellow"/>
        </w:rPr>
        <w:t>.</w:t>
      </w:r>
    </w:p>
    <w:p w14:paraId="175566D9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0F30B429" w14:textId="2A746AC0" w:rsidR="00AE5D68" w:rsidRPr="00F767DA" w:rsidRDefault="00AE5D68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>At 1.5 hours post infection (hpi)</w:t>
      </w:r>
      <w:r w:rsidR="00F36A88" w:rsidRPr="00F767DA">
        <w:rPr>
          <w:color w:val="auto"/>
          <w:highlight w:val="yellow"/>
        </w:rPr>
        <w:t>,</w:t>
      </w:r>
      <w:r w:rsidRPr="00F767DA">
        <w:rPr>
          <w:color w:val="auto"/>
          <w:highlight w:val="yellow"/>
        </w:rPr>
        <w:t xml:space="preserve"> collect media from first set of wells and place in a 1.5 mL microcentrifuge tube with 500 </w:t>
      </w:r>
      <w:r w:rsidR="002F1170" w:rsidRPr="00F767DA">
        <w:rPr>
          <w:color w:val="auto"/>
          <w:highlight w:val="yellow"/>
        </w:rPr>
        <w:t>μL</w:t>
      </w:r>
      <w:r w:rsidRPr="00F767DA">
        <w:rPr>
          <w:color w:val="auto"/>
          <w:highlight w:val="yellow"/>
        </w:rPr>
        <w:t xml:space="preserve"> of 4% </w:t>
      </w:r>
      <w:r w:rsidR="00F43091" w:rsidRPr="00F767DA">
        <w:rPr>
          <w:rStyle w:val="ilfuvd"/>
          <w:color w:val="222222"/>
          <w:highlight w:val="yellow"/>
        </w:rPr>
        <w:t>paraformaldehyde (</w:t>
      </w:r>
      <w:r w:rsidRPr="00F767DA">
        <w:rPr>
          <w:color w:val="auto"/>
          <w:highlight w:val="yellow"/>
        </w:rPr>
        <w:t>PFA</w:t>
      </w:r>
      <w:r w:rsidR="00F43091" w:rsidRPr="00F767DA">
        <w:rPr>
          <w:color w:val="auto"/>
          <w:highlight w:val="yellow"/>
        </w:rPr>
        <w:t>)</w:t>
      </w:r>
      <w:r w:rsidRPr="00F767DA">
        <w:rPr>
          <w:color w:val="auto"/>
          <w:highlight w:val="yellow"/>
        </w:rPr>
        <w:t xml:space="preserve"> and place on ice until</w:t>
      </w:r>
      <w:r w:rsidR="00147178" w:rsidRPr="00F767DA">
        <w:rPr>
          <w:color w:val="auto"/>
          <w:highlight w:val="yellow"/>
        </w:rPr>
        <w:t xml:space="preserve"> all wells have been processed.</w:t>
      </w:r>
    </w:p>
    <w:p w14:paraId="2778664B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6F8B6F1E" w14:textId="3FCB0081" w:rsidR="00AE5D68" w:rsidRPr="00F767DA" w:rsidRDefault="00147178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To collect intracellular </w:t>
      </w:r>
      <w:r w:rsidRPr="00F767DA">
        <w:rPr>
          <w:i/>
          <w:color w:val="auto"/>
          <w:highlight w:val="yellow"/>
        </w:rPr>
        <w:t>Lm</w:t>
      </w:r>
      <w:r w:rsidRPr="00F767DA">
        <w:rPr>
          <w:color w:val="auto"/>
          <w:highlight w:val="yellow"/>
        </w:rPr>
        <w:t>, a</w:t>
      </w:r>
      <w:r w:rsidR="00AE5D68" w:rsidRPr="00F767DA">
        <w:rPr>
          <w:color w:val="auto"/>
          <w:highlight w:val="yellow"/>
        </w:rPr>
        <w:t>d</w:t>
      </w:r>
      <w:r w:rsidRPr="00F767DA">
        <w:rPr>
          <w:color w:val="auto"/>
          <w:highlight w:val="yellow"/>
        </w:rPr>
        <w:t xml:space="preserve">d 1 mL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>d</w:t>
      </w:r>
      <w:r w:rsidR="00AE5D68" w:rsidRPr="00F767DA">
        <w:rPr>
          <w:color w:val="auto"/>
          <w:highlight w:val="yellow"/>
        </w:rPr>
        <w:t>sH</w:t>
      </w:r>
      <w:r w:rsidR="00AE5D68" w:rsidRPr="00F767DA">
        <w:rPr>
          <w:color w:val="auto"/>
          <w:highlight w:val="yellow"/>
          <w:vertAlign w:val="subscript"/>
        </w:rPr>
        <w:t>2</w:t>
      </w:r>
      <w:r w:rsidRPr="00F767DA">
        <w:rPr>
          <w:color w:val="auto"/>
          <w:highlight w:val="yellow"/>
        </w:rPr>
        <w:t>O</w:t>
      </w:r>
      <w:r w:rsidR="00AE5D68" w:rsidRPr="00F767DA">
        <w:rPr>
          <w:color w:val="auto"/>
          <w:highlight w:val="yellow"/>
        </w:rPr>
        <w:t xml:space="preserve"> to the well and after 60</w:t>
      </w:r>
      <w:r w:rsidR="00F36A88" w:rsidRPr="00F767DA">
        <w:rPr>
          <w:color w:val="auto"/>
          <w:highlight w:val="yellow"/>
        </w:rPr>
        <w:t xml:space="preserve"> s,</w:t>
      </w:r>
      <w:r w:rsidR="00AE5D68" w:rsidRPr="00F767DA">
        <w:rPr>
          <w:color w:val="auto"/>
          <w:highlight w:val="yellow"/>
        </w:rPr>
        <w:t xml:space="preserve"> transfer the resulting water lysate to a 1.5 mL microcentrifuge tube with 500 </w:t>
      </w:r>
      <w:r w:rsidR="002F1170" w:rsidRPr="00F767DA">
        <w:rPr>
          <w:color w:val="auto"/>
          <w:highlight w:val="yellow"/>
        </w:rPr>
        <w:t>μL</w:t>
      </w:r>
      <w:r w:rsidR="00AE5D68" w:rsidRPr="00F767DA">
        <w:rPr>
          <w:color w:val="auto"/>
          <w:highlight w:val="yellow"/>
        </w:rPr>
        <w:t xml:space="preserve"> of 4% PFA. Vortex vigorously for 10 </w:t>
      </w:r>
      <w:r w:rsidR="00F36A88" w:rsidRPr="00F767DA">
        <w:rPr>
          <w:color w:val="auto"/>
          <w:highlight w:val="yellow"/>
        </w:rPr>
        <w:t>s</w:t>
      </w:r>
      <w:r w:rsidR="00AE5D68" w:rsidRPr="00F767DA">
        <w:rPr>
          <w:color w:val="auto"/>
          <w:highlight w:val="yellow"/>
        </w:rPr>
        <w:t xml:space="preserve"> and place on ice until all wells </w:t>
      </w:r>
      <w:r w:rsidRPr="00F767DA">
        <w:rPr>
          <w:color w:val="auto"/>
          <w:highlight w:val="yellow"/>
        </w:rPr>
        <w:t>have been processed.</w:t>
      </w:r>
      <w:r w:rsidR="00140C4E" w:rsidRPr="00F767DA">
        <w:rPr>
          <w:color w:val="auto"/>
          <w:highlight w:val="yellow"/>
        </w:rPr>
        <w:t xml:space="preserve"> (Sam</w:t>
      </w:r>
      <w:r w:rsidR="00066384" w:rsidRPr="00F767DA">
        <w:rPr>
          <w:color w:val="auto"/>
          <w:highlight w:val="yellow"/>
        </w:rPr>
        <w:t xml:space="preserve">ple processing is described in </w:t>
      </w:r>
      <w:r w:rsidR="00066384" w:rsidRPr="00F767DA">
        <w:rPr>
          <w:color w:val="auto"/>
          <w:highlight w:val="yellow"/>
        </w:rPr>
        <w:lastRenderedPageBreak/>
        <w:t>s</w:t>
      </w:r>
      <w:r w:rsidR="00140C4E" w:rsidRPr="00F767DA">
        <w:rPr>
          <w:color w:val="auto"/>
          <w:highlight w:val="yellow"/>
        </w:rPr>
        <w:t xml:space="preserve">tep </w:t>
      </w:r>
      <w:r w:rsidR="00066384" w:rsidRPr="00F767DA">
        <w:rPr>
          <w:color w:val="auto"/>
          <w:highlight w:val="yellow"/>
        </w:rPr>
        <w:t>5.</w:t>
      </w:r>
      <w:r w:rsidR="00140C4E" w:rsidRPr="00F767DA">
        <w:rPr>
          <w:color w:val="auto"/>
          <w:highlight w:val="yellow"/>
        </w:rPr>
        <w:t>8 below.)</w:t>
      </w:r>
    </w:p>
    <w:p w14:paraId="1C50710B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5332C5D0" w14:textId="304AB537" w:rsidR="00AE5D68" w:rsidRPr="00F767DA" w:rsidRDefault="00AE5D68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>For remaining wells</w:t>
      </w:r>
      <w:r w:rsidR="00F36A88" w:rsidRPr="00F767DA">
        <w:rPr>
          <w:color w:val="auto"/>
          <w:highlight w:val="yellow"/>
        </w:rPr>
        <w:t>,</w:t>
      </w:r>
      <w:r w:rsidRPr="00F767DA">
        <w:rPr>
          <w:color w:val="auto"/>
          <w:highlight w:val="yellow"/>
        </w:rPr>
        <w:t xml:space="preserve"> remove media and replace with 1 mL of </w:t>
      </w:r>
      <w:r w:rsidR="00586B20" w:rsidRPr="00F767DA">
        <w:rPr>
          <w:highlight w:val="yellow"/>
        </w:rPr>
        <w:t>DMEM/FCS</w:t>
      </w:r>
      <w:r w:rsidR="00914561" w:rsidRPr="00F767DA">
        <w:rPr>
          <w:color w:val="auto"/>
          <w:highlight w:val="yellow"/>
        </w:rPr>
        <w:t xml:space="preserve"> with 5 μg/mL gentamicin </w:t>
      </w:r>
      <w:r w:rsidRPr="00F767DA">
        <w:rPr>
          <w:color w:val="auto"/>
          <w:highlight w:val="yellow"/>
        </w:rPr>
        <w:t xml:space="preserve">to kill extracellular </w:t>
      </w:r>
      <w:r w:rsidRPr="00F767DA">
        <w:rPr>
          <w:i/>
          <w:color w:val="auto"/>
          <w:highlight w:val="yellow"/>
        </w:rPr>
        <w:t>Lm</w:t>
      </w:r>
      <w:r w:rsidR="00914561" w:rsidRPr="00F767DA">
        <w:rPr>
          <w:color w:val="auto"/>
          <w:highlight w:val="yellow"/>
        </w:rPr>
        <w:t xml:space="preserve"> and promptly r</w:t>
      </w:r>
      <w:r w:rsidRPr="00F767DA">
        <w:rPr>
          <w:color w:val="auto"/>
          <w:highlight w:val="yellow"/>
        </w:rPr>
        <w:t>e</w:t>
      </w:r>
      <w:r w:rsidR="002F1170" w:rsidRPr="00F767DA">
        <w:rPr>
          <w:color w:val="auto"/>
          <w:highlight w:val="yellow"/>
        </w:rPr>
        <w:t xml:space="preserve">turn cells to incubator. </w:t>
      </w:r>
    </w:p>
    <w:p w14:paraId="3D16C471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6A527E55" w14:textId="5DDAF84B" w:rsidR="00664E53" w:rsidRPr="00F767DA" w:rsidRDefault="00914561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After 30 min (2 hpi) remove media and replace with </w:t>
      </w:r>
      <w:r w:rsidRPr="00F767DA">
        <w:rPr>
          <w:highlight w:val="yellow"/>
        </w:rPr>
        <w:t xml:space="preserve">DMEM/FCS without gentamicin. </w:t>
      </w:r>
    </w:p>
    <w:p w14:paraId="34743B60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5DDB9666" w14:textId="06F2C62F" w:rsidR="00AE5D68" w:rsidRPr="00F767DA" w:rsidRDefault="00914561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>After 2 and 4 hours</w:t>
      </w:r>
      <w:r w:rsidR="00AE5D68" w:rsidRPr="00F767DA">
        <w:rPr>
          <w:color w:val="auto"/>
          <w:highlight w:val="yellow"/>
        </w:rPr>
        <w:t xml:space="preserve"> (4</w:t>
      </w:r>
      <w:r w:rsidRPr="00F767DA">
        <w:rPr>
          <w:color w:val="auto"/>
          <w:highlight w:val="yellow"/>
        </w:rPr>
        <w:t xml:space="preserve"> and 6</w:t>
      </w:r>
      <w:r w:rsidR="00AE5D68" w:rsidRPr="00F767DA">
        <w:rPr>
          <w:color w:val="auto"/>
          <w:highlight w:val="yellow"/>
        </w:rPr>
        <w:t xml:space="preserve"> hpi) take second</w:t>
      </w:r>
      <w:r w:rsidRPr="00F767DA">
        <w:rPr>
          <w:color w:val="auto"/>
          <w:highlight w:val="yellow"/>
        </w:rPr>
        <w:t xml:space="preserve"> and third</w:t>
      </w:r>
      <w:r w:rsidR="00AE5D68" w:rsidRPr="00F767DA">
        <w:rPr>
          <w:color w:val="auto"/>
          <w:highlight w:val="yellow"/>
        </w:rPr>
        <w:t xml:space="preserve"> time point</w:t>
      </w:r>
      <w:r w:rsidRPr="00F767DA">
        <w:rPr>
          <w:color w:val="auto"/>
          <w:highlight w:val="yellow"/>
        </w:rPr>
        <w:t>s</w:t>
      </w:r>
      <w:r w:rsidR="00AE5D68" w:rsidRPr="00F767DA">
        <w:rPr>
          <w:color w:val="auto"/>
          <w:highlight w:val="yellow"/>
        </w:rPr>
        <w:t xml:space="preserve"> by collecting media and </w:t>
      </w:r>
      <w:r w:rsidRPr="00F767DA">
        <w:rPr>
          <w:color w:val="auto"/>
          <w:highlight w:val="yellow"/>
        </w:rPr>
        <w:t>lysate</w:t>
      </w:r>
      <w:r w:rsidR="00140C4E" w:rsidRPr="00F767DA">
        <w:rPr>
          <w:color w:val="auto"/>
          <w:highlight w:val="yellow"/>
        </w:rPr>
        <w:t xml:space="preserve">s as </w:t>
      </w:r>
      <w:r w:rsidR="00066384" w:rsidRPr="00F767DA">
        <w:rPr>
          <w:color w:val="auto"/>
          <w:highlight w:val="yellow"/>
        </w:rPr>
        <w:t>s</w:t>
      </w:r>
      <w:r w:rsidR="00B3251C" w:rsidRPr="00F767DA">
        <w:rPr>
          <w:color w:val="auto"/>
          <w:highlight w:val="yellow"/>
        </w:rPr>
        <w:t>teps 5.3 and 5.4</w:t>
      </w:r>
      <w:r w:rsidR="00AE5D68" w:rsidRPr="00F767DA">
        <w:rPr>
          <w:color w:val="auto"/>
          <w:highlight w:val="yellow"/>
        </w:rPr>
        <w:t xml:space="preserve">. </w:t>
      </w:r>
    </w:p>
    <w:p w14:paraId="2AA99AA5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56C023CB" w14:textId="5D73EA5A" w:rsidR="007A7037" w:rsidRPr="00F767DA" w:rsidRDefault="00140C4E" w:rsidP="00B843FA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Centrifuge tubes at 10,000 x </w:t>
      </w:r>
      <w:r w:rsidRPr="00F767DA">
        <w:rPr>
          <w:i/>
          <w:color w:val="auto"/>
          <w:highlight w:val="yellow"/>
        </w:rPr>
        <w:t>g</w:t>
      </w:r>
      <w:r w:rsidRPr="00F767DA">
        <w:rPr>
          <w:color w:val="auto"/>
          <w:highlight w:val="yellow"/>
        </w:rPr>
        <w:t xml:space="preserve"> for 7 min</w:t>
      </w:r>
      <w:r w:rsidR="00F36A88" w:rsidRPr="00F767DA">
        <w:rPr>
          <w:color w:val="auto"/>
          <w:highlight w:val="yellow"/>
        </w:rPr>
        <w:t xml:space="preserve">. </w:t>
      </w:r>
      <w:r w:rsidRPr="00F767DA">
        <w:rPr>
          <w:color w:val="auto"/>
          <w:highlight w:val="yellow"/>
        </w:rPr>
        <w:t>Remove supernatant without disturbing pellet.</w:t>
      </w:r>
    </w:p>
    <w:p w14:paraId="42F26DF7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440BDD93" w14:textId="2A958340" w:rsidR="00140C4E" w:rsidRPr="00F767DA" w:rsidRDefault="00140C4E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Suspend each </w:t>
      </w:r>
      <w:r w:rsidR="00B237CB" w:rsidRPr="00F767DA">
        <w:rPr>
          <w:color w:val="auto"/>
          <w:highlight w:val="yellow"/>
        </w:rPr>
        <w:t>pellet in staining cocktail of 50 μL</w:t>
      </w:r>
      <w:r w:rsidRPr="00F767DA">
        <w:rPr>
          <w:color w:val="auto"/>
          <w:highlight w:val="yellow"/>
        </w:rPr>
        <w:t xml:space="preserve">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>4% P</w:t>
      </w:r>
      <w:r w:rsidR="00B237CB" w:rsidRPr="00F767DA">
        <w:rPr>
          <w:color w:val="auto"/>
          <w:highlight w:val="yellow"/>
        </w:rPr>
        <w:t>FA and 15 μL</w:t>
      </w:r>
      <w:r w:rsidRPr="00F767DA">
        <w:rPr>
          <w:color w:val="auto"/>
          <w:highlight w:val="yellow"/>
        </w:rPr>
        <w:t xml:space="preserve">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 xml:space="preserve">phalloidin. Incubate tubes in the dark at 4 </w:t>
      </w:r>
      <w:r w:rsidR="00F36A88" w:rsidRPr="00F767DA">
        <w:rPr>
          <w:color w:val="auto"/>
          <w:highlight w:val="yellow"/>
        </w:rPr>
        <w:t>°</w:t>
      </w:r>
      <w:r w:rsidRPr="00F767DA">
        <w:rPr>
          <w:color w:val="auto"/>
          <w:highlight w:val="yellow"/>
        </w:rPr>
        <w:t>C for 20 min.</w:t>
      </w:r>
    </w:p>
    <w:p w14:paraId="57807AF5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1640381B" w14:textId="11F0D34A" w:rsidR="00140C4E" w:rsidRPr="00F767DA" w:rsidRDefault="00140C4E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After incubation add 1 mL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>FACS buffer to each tube and pipette up and down to mix</w:t>
      </w:r>
      <w:r w:rsidR="00F36A88" w:rsidRPr="00F767DA">
        <w:rPr>
          <w:color w:val="auto"/>
          <w:highlight w:val="yellow"/>
        </w:rPr>
        <w:t>.</w:t>
      </w:r>
    </w:p>
    <w:p w14:paraId="00094BA3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1A41CF8B" w14:textId="2B7FDA40" w:rsidR="00140C4E" w:rsidRPr="00F767DA" w:rsidRDefault="00140C4E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>Spin tubes at 10,000 x g for 7 min</w:t>
      </w:r>
      <w:r w:rsidR="00F36A88" w:rsidRPr="00F767DA">
        <w:rPr>
          <w:color w:val="auto"/>
          <w:highlight w:val="yellow"/>
        </w:rPr>
        <w:t xml:space="preserve">. </w:t>
      </w:r>
      <w:r w:rsidRPr="00F767DA">
        <w:rPr>
          <w:color w:val="auto"/>
          <w:highlight w:val="yellow"/>
        </w:rPr>
        <w:t>Remove supernatant without disturbing pellet.</w:t>
      </w:r>
    </w:p>
    <w:p w14:paraId="62E489D6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33B148C7" w14:textId="56C8DD47" w:rsidR="00140C4E" w:rsidRPr="00F767DA" w:rsidRDefault="00140C4E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  <w:highlight w:val="yellow"/>
        </w:rPr>
      </w:pPr>
      <w:r w:rsidRPr="00F767DA">
        <w:rPr>
          <w:color w:val="auto"/>
          <w:highlight w:val="yellow"/>
        </w:rPr>
        <w:t xml:space="preserve">Suspend each pellet in 400 μL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 xml:space="preserve">FACS buffer for immediate use, or 200 μL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 xml:space="preserve">FACS buffer and 200 μL </w:t>
      </w:r>
      <w:r w:rsidR="00F36A88" w:rsidRPr="00F767DA">
        <w:rPr>
          <w:color w:val="auto"/>
          <w:highlight w:val="yellow"/>
        </w:rPr>
        <w:t xml:space="preserve">of </w:t>
      </w:r>
      <w:r w:rsidRPr="00F767DA">
        <w:rPr>
          <w:color w:val="auto"/>
          <w:highlight w:val="yellow"/>
        </w:rPr>
        <w:t>4% PFA if storing for later analysis.</w:t>
      </w:r>
    </w:p>
    <w:p w14:paraId="317E3E44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  <w:highlight w:val="yellow"/>
        </w:rPr>
      </w:pPr>
    </w:p>
    <w:p w14:paraId="3BB081BA" w14:textId="2D19D402" w:rsidR="00F00F9D" w:rsidRPr="00F767DA" w:rsidRDefault="008C7F41" w:rsidP="00F36A88">
      <w:pPr>
        <w:pStyle w:val="NormalWeb"/>
        <w:numPr>
          <w:ilvl w:val="1"/>
          <w:numId w:val="35"/>
        </w:numPr>
        <w:spacing w:before="0" w:beforeAutospacing="0" w:after="0" w:afterAutospacing="0"/>
        <w:ind w:left="0" w:firstLine="0"/>
        <w:contextualSpacing/>
        <w:rPr>
          <w:color w:val="auto"/>
        </w:rPr>
      </w:pPr>
      <w:r w:rsidRPr="00F767DA">
        <w:rPr>
          <w:color w:val="auto"/>
        </w:rPr>
        <w:t>Run</w:t>
      </w:r>
      <w:r w:rsidR="00914561" w:rsidRPr="00F767DA">
        <w:rPr>
          <w:color w:val="auto"/>
        </w:rPr>
        <w:t xml:space="preserve"> samples</w:t>
      </w:r>
      <w:r w:rsidRPr="00F767DA">
        <w:rPr>
          <w:color w:val="auto"/>
        </w:rPr>
        <w:t xml:space="preserve"> on a</w:t>
      </w:r>
      <w:r w:rsidR="00AE5D68" w:rsidRPr="00F767DA">
        <w:rPr>
          <w:color w:val="auto"/>
        </w:rPr>
        <w:t xml:space="preserve"> flow cytometry</w:t>
      </w:r>
      <w:r w:rsidRPr="00F767DA">
        <w:rPr>
          <w:color w:val="auto"/>
        </w:rPr>
        <w:t xml:space="preserve"> and analyze the collected data</w:t>
      </w:r>
      <w:r w:rsidR="00AE5D68" w:rsidRPr="00F767DA">
        <w:rPr>
          <w:color w:val="auto"/>
        </w:rPr>
        <w:t xml:space="preserve">. </w:t>
      </w:r>
    </w:p>
    <w:p w14:paraId="52E718BB" w14:textId="77777777" w:rsidR="00F36A88" w:rsidRPr="00F767DA" w:rsidRDefault="00F36A88" w:rsidP="00F36A88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77FB684D" w14:textId="01B4A67A" w:rsidR="00AE5D68" w:rsidRPr="00F767DA" w:rsidRDefault="00AE5D68" w:rsidP="00F36A88">
      <w:pPr>
        <w:pStyle w:val="NormalWeb"/>
        <w:numPr>
          <w:ilvl w:val="0"/>
          <w:numId w:val="26"/>
        </w:numPr>
        <w:spacing w:before="0" w:beforeAutospacing="0" w:after="0" w:afterAutospacing="0"/>
        <w:contextualSpacing/>
        <w:rPr>
          <w:b/>
          <w:color w:val="auto"/>
        </w:rPr>
      </w:pPr>
      <w:r w:rsidRPr="00F767DA">
        <w:rPr>
          <w:b/>
          <w:color w:val="auto"/>
        </w:rPr>
        <w:t xml:space="preserve">Sampling </w:t>
      </w:r>
      <w:r w:rsidR="00F36A88" w:rsidRPr="00F767DA">
        <w:rPr>
          <w:b/>
          <w:color w:val="auto"/>
        </w:rPr>
        <w:t xml:space="preserve">processing and analysis </w:t>
      </w:r>
      <w:r w:rsidR="00C40B5D" w:rsidRPr="00F767DA">
        <w:rPr>
          <w:b/>
          <w:color w:val="auto"/>
        </w:rPr>
        <w:t xml:space="preserve">of </w:t>
      </w:r>
      <w:proofErr w:type="spellStart"/>
      <w:r w:rsidR="00C40B5D" w:rsidRPr="00F767DA">
        <w:rPr>
          <w:b/>
          <w:i/>
          <w:color w:val="auto"/>
        </w:rPr>
        <w:t>Lm</w:t>
      </w:r>
      <w:proofErr w:type="spellEnd"/>
      <w:r w:rsidR="00C40B5D" w:rsidRPr="00F767DA">
        <w:rPr>
          <w:b/>
          <w:color w:val="auto"/>
        </w:rPr>
        <w:t xml:space="preserve"> colonization and host responses in the liver</w:t>
      </w:r>
    </w:p>
    <w:p w14:paraId="0674CD79" w14:textId="77777777" w:rsidR="00F36A88" w:rsidRPr="00F767DA" w:rsidRDefault="00F36A88" w:rsidP="00F36A88">
      <w:pPr>
        <w:pStyle w:val="NormalWeb"/>
        <w:spacing w:before="0" w:beforeAutospacing="0" w:after="0" w:afterAutospacing="0"/>
        <w:ind w:left="720"/>
        <w:contextualSpacing/>
        <w:rPr>
          <w:color w:val="auto"/>
        </w:rPr>
      </w:pPr>
    </w:p>
    <w:p w14:paraId="02DD4CDC" w14:textId="11CAFD05" w:rsidR="00AE5D68" w:rsidRPr="00F767DA" w:rsidRDefault="00AE5D68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 xml:space="preserve">Prepare </w:t>
      </w:r>
      <w:proofErr w:type="spellStart"/>
      <w:r w:rsidRPr="00F767DA">
        <w:rPr>
          <w:i/>
          <w:color w:val="auto"/>
        </w:rPr>
        <w:t>Lm</w:t>
      </w:r>
      <w:proofErr w:type="spellEnd"/>
      <w:r w:rsidRPr="00F767DA">
        <w:rPr>
          <w:color w:val="auto"/>
        </w:rPr>
        <w:t xml:space="preserve"> for infection as described in step 2.1-2.3. </w:t>
      </w:r>
    </w:p>
    <w:p w14:paraId="33595C38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7EDA4333" w14:textId="7DF3CD8E" w:rsidR="00AE5D68" w:rsidRPr="00F767DA" w:rsidRDefault="00AE5D68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 xml:space="preserve">Calculate the necessary amount </w:t>
      </w:r>
      <w:r w:rsidR="00225ECA" w:rsidRPr="00F767DA">
        <w:rPr>
          <w:color w:val="auto"/>
        </w:rPr>
        <w:t>of subculture for desired titer of</w:t>
      </w:r>
      <w:r w:rsidRPr="00F767DA">
        <w:rPr>
          <w:color w:val="auto"/>
        </w:rPr>
        <w:t xml:space="preserve"> 3 x 10</w:t>
      </w:r>
      <w:r w:rsidRPr="00F767DA">
        <w:rPr>
          <w:color w:val="auto"/>
          <w:vertAlign w:val="superscript"/>
        </w:rPr>
        <w:t>6</w:t>
      </w:r>
      <w:r w:rsidRPr="00F767DA">
        <w:rPr>
          <w:color w:val="auto"/>
        </w:rPr>
        <w:t xml:space="preserve"> </w:t>
      </w:r>
      <w:r w:rsidR="00C40B5D" w:rsidRPr="00F767DA">
        <w:rPr>
          <w:color w:val="auto"/>
        </w:rPr>
        <w:t>CFU</w:t>
      </w:r>
      <w:r w:rsidRPr="00F767DA">
        <w:rPr>
          <w:color w:val="auto"/>
        </w:rPr>
        <w:t>/mL.</w:t>
      </w:r>
    </w:p>
    <w:p w14:paraId="0D21C450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1650ECF9" w14:textId="2F07F710" w:rsidR="00AE5D68" w:rsidRPr="00F767DA" w:rsidRDefault="00AE5D68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 xml:space="preserve">Just prior to infection </w:t>
      </w:r>
      <w:r w:rsidR="00C40B5D" w:rsidRPr="00F767DA">
        <w:rPr>
          <w:color w:val="auto"/>
        </w:rPr>
        <w:t>dilute</w:t>
      </w:r>
      <w:r w:rsidRPr="00F767DA">
        <w:rPr>
          <w:color w:val="auto"/>
        </w:rPr>
        <w:t xml:space="preserve"> the </w:t>
      </w:r>
      <w:proofErr w:type="gramStart"/>
      <w:r w:rsidRPr="00F767DA">
        <w:rPr>
          <w:color w:val="auto"/>
        </w:rPr>
        <w:t>a</w:t>
      </w:r>
      <w:r w:rsidR="00C40B5D" w:rsidRPr="00F767DA">
        <w:rPr>
          <w:color w:val="auto"/>
        </w:rPr>
        <w:t>mount</w:t>
      </w:r>
      <w:proofErr w:type="gramEnd"/>
      <w:r w:rsidR="00C40B5D" w:rsidRPr="00F767DA">
        <w:rPr>
          <w:color w:val="auto"/>
        </w:rPr>
        <w:t xml:space="preserve"> of calculated bacteria with pre-warmed</w:t>
      </w:r>
      <w:r w:rsidRPr="00F767DA">
        <w:rPr>
          <w:color w:val="auto"/>
        </w:rPr>
        <w:t xml:space="preserve"> Hank’s Balanced </w:t>
      </w:r>
      <w:r w:rsidR="00C40B5D" w:rsidRPr="00F767DA">
        <w:rPr>
          <w:color w:val="auto"/>
        </w:rPr>
        <w:t>Salt Solution (HBSS) in a final volume of 1 mL</w:t>
      </w:r>
      <w:r w:rsidRPr="00F767DA">
        <w:rPr>
          <w:color w:val="auto"/>
        </w:rPr>
        <w:t xml:space="preserve">. This is the input </w:t>
      </w:r>
      <w:r w:rsidR="00225ECA" w:rsidRPr="00F767DA">
        <w:rPr>
          <w:color w:val="auto"/>
        </w:rPr>
        <w:t>inoculum</w:t>
      </w:r>
      <w:r w:rsidRPr="00F767DA">
        <w:rPr>
          <w:color w:val="auto"/>
        </w:rPr>
        <w:t xml:space="preserve"> that is injected into the mouse.</w:t>
      </w:r>
    </w:p>
    <w:p w14:paraId="5F9DE525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10453904" w14:textId="260F64EC" w:rsidR="00E26E24" w:rsidRPr="00F767DA" w:rsidRDefault="00C40B5D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Using</w:t>
      </w:r>
      <w:r w:rsidR="00E26E24" w:rsidRPr="00F767DA">
        <w:rPr>
          <w:color w:val="auto"/>
        </w:rPr>
        <w:t xml:space="preserve"> a 28</w:t>
      </w:r>
      <w:r w:rsidR="00F36A88" w:rsidRPr="00F767DA">
        <w:rPr>
          <w:color w:val="auto"/>
        </w:rPr>
        <w:t xml:space="preserve"> </w:t>
      </w:r>
      <w:r w:rsidR="00D3454D" w:rsidRPr="00F767DA">
        <w:rPr>
          <w:color w:val="auto"/>
        </w:rPr>
        <w:t xml:space="preserve">G½ </w:t>
      </w:r>
      <w:r w:rsidR="000C4360" w:rsidRPr="00F767DA">
        <w:rPr>
          <w:color w:val="auto"/>
        </w:rPr>
        <w:t>100</w:t>
      </w:r>
      <w:r w:rsidR="003B62F5" w:rsidRPr="00F767DA">
        <w:rPr>
          <w:color w:val="auto"/>
        </w:rPr>
        <w:t>U</w:t>
      </w:r>
      <w:r w:rsidR="000C4360" w:rsidRPr="00F767DA">
        <w:rPr>
          <w:color w:val="auto"/>
        </w:rPr>
        <w:t xml:space="preserve"> insulin syringe, draw</w:t>
      </w:r>
      <w:r w:rsidR="00E26E24" w:rsidRPr="00F767DA">
        <w:rPr>
          <w:color w:val="auto"/>
        </w:rPr>
        <w:t xml:space="preserve"> 100</w:t>
      </w:r>
      <w:r w:rsidR="000C4360" w:rsidRPr="00F767DA">
        <w:rPr>
          <w:color w:val="auto"/>
        </w:rPr>
        <w:t xml:space="preserve"> μL</w:t>
      </w:r>
      <w:r w:rsidR="00E26E24" w:rsidRPr="00F767DA">
        <w:rPr>
          <w:color w:val="auto"/>
        </w:rPr>
        <w:t xml:space="preserve"> (3 x 10</w:t>
      </w:r>
      <w:r w:rsidR="00E26E24" w:rsidRPr="00F767DA">
        <w:rPr>
          <w:color w:val="auto"/>
          <w:vertAlign w:val="superscript"/>
        </w:rPr>
        <w:t>5</w:t>
      </w:r>
      <w:r w:rsidR="00E26E24" w:rsidRPr="00F767DA">
        <w:rPr>
          <w:color w:val="auto"/>
        </w:rPr>
        <w:t xml:space="preserve"> </w:t>
      </w:r>
      <w:r w:rsidR="000C4360" w:rsidRPr="00F767DA">
        <w:rPr>
          <w:color w:val="auto"/>
        </w:rPr>
        <w:t>CFU</w:t>
      </w:r>
      <w:r w:rsidR="00E26E24" w:rsidRPr="00F767DA">
        <w:rPr>
          <w:color w:val="auto"/>
        </w:rPr>
        <w:t>) of</w:t>
      </w:r>
      <w:r w:rsidR="000C4360" w:rsidRPr="00F767DA">
        <w:rPr>
          <w:color w:val="auto"/>
        </w:rPr>
        <w:t xml:space="preserve"> input </w:t>
      </w:r>
      <w:r w:rsidR="00225ECA" w:rsidRPr="00F767DA">
        <w:rPr>
          <w:color w:val="auto"/>
        </w:rPr>
        <w:t>inoculum</w:t>
      </w:r>
      <w:r w:rsidR="000C4360" w:rsidRPr="00F767DA">
        <w:rPr>
          <w:color w:val="auto"/>
        </w:rPr>
        <w:t xml:space="preserve"> and remove</w:t>
      </w:r>
      <w:r w:rsidR="00E26E24" w:rsidRPr="00F767DA">
        <w:rPr>
          <w:color w:val="auto"/>
        </w:rPr>
        <w:t xml:space="preserve"> any visible air bubbles.</w:t>
      </w:r>
    </w:p>
    <w:p w14:paraId="0B05B30D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4AA8F710" w14:textId="51D5566D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Place the mouse</w:t>
      </w:r>
      <w:r w:rsidR="00AF3D9A" w:rsidRPr="00F767DA">
        <w:rPr>
          <w:color w:val="auto"/>
        </w:rPr>
        <w:t xml:space="preserve"> (strain C57BL/6; males between 6 and 12 weeks old)</w:t>
      </w:r>
      <w:r w:rsidRPr="00F767DA">
        <w:rPr>
          <w:color w:val="auto"/>
        </w:rPr>
        <w:t xml:space="preserve"> into the holding restraint and use warm water (no more than 45 °C) to dilate the tail vein, then inject the</w:t>
      </w:r>
      <w:r w:rsidR="00225ECA" w:rsidRPr="00F767DA">
        <w:rPr>
          <w:color w:val="auto"/>
        </w:rPr>
        <w:t xml:space="preserve"> input</w:t>
      </w:r>
      <w:r w:rsidRPr="00F767DA">
        <w:rPr>
          <w:color w:val="auto"/>
        </w:rPr>
        <w:t xml:space="preserve"> </w:t>
      </w:r>
      <w:r w:rsidR="00225ECA" w:rsidRPr="00F767DA">
        <w:rPr>
          <w:color w:val="auto"/>
        </w:rPr>
        <w:t>inoculum</w:t>
      </w:r>
      <w:r w:rsidRPr="00F767DA">
        <w:rPr>
          <w:color w:val="auto"/>
        </w:rPr>
        <w:t xml:space="preserve"> into the vein.</w:t>
      </w:r>
    </w:p>
    <w:p w14:paraId="00617442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4F1B0BE2" w14:textId="1F338C8E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Plate 10</w:t>
      </w:r>
      <w:r w:rsidRPr="00F767DA">
        <w:rPr>
          <w:color w:val="auto"/>
          <w:vertAlign w:val="superscript"/>
        </w:rPr>
        <w:t xml:space="preserve">-2 </w:t>
      </w:r>
      <w:r w:rsidRPr="00F767DA">
        <w:rPr>
          <w:color w:val="auto"/>
        </w:rPr>
        <w:t>and 10</w:t>
      </w:r>
      <w:r w:rsidRPr="00F767DA">
        <w:rPr>
          <w:color w:val="auto"/>
          <w:vertAlign w:val="superscript"/>
        </w:rPr>
        <w:t>-3</w:t>
      </w:r>
      <w:r w:rsidRPr="00F767DA">
        <w:rPr>
          <w:color w:val="auto"/>
        </w:rPr>
        <w:t xml:space="preserve"> dilutions of the input </w:t>
      </w:r>
      <w:r w:rsidR="00225ECA" w:rsidRPr="00F767DA">
        <w:rPr>
          <w:color w:val="auto"/>
        </w:rPr>
        <w:t>inoculum</w:t>
      </w:r>
      <w:r w:rsidRPr="00F767DA">
        <w:rPr>
          <w:color w:val="auto"/>
        </w:rPr>
        <w:t xml:space="preserve"> onto LB agar </w:t>
      </w:r>
      <w:r w:rsidR="00325F0B" w:rsidRPr="00F767DA">
        <w:rPr>
          <w:color w:val="auto"/>
        </w:rPr>
        <w:t>10</w:t>
      </w:r>
      <w:r w:rsidR="00F36A88" w:rsidRPr="00F767DA">
        <w:rPr>
          <w:color w:val="auto"/>
        </w:rPr>
        <w:t>b</w:t>
      </w:r>
      <w:r w:rsidR="00325F0B" w:rsidRPr="00F767DA">
        <w:rPr>
          <w:color w:val="auto"/>
        </w:rPr>
        <w:t xml:space="preserve">cm </w:t>
      </w:r>
      <w:r w:rsidRPr="00F767DA">
        <w:rPr>
          <w:color w:val="auto"/>
        </w:rPr>
        <w:t>plates</w:t>
      </w:r>
      <w:r w:rsidR="00B3251C" w:rsidRPr="00F767DA">
        <w:rPr>
          <w:color w:val="auto"/>
        </w:rPr>
        <w:t xml:space="preserve"> and</w:t>
      </w:r>
      <w:r w:rsidRPr="00F767DA">
        <w:rPr>
          <w:color w:val="auto"/>
        </w:rPr>
        <w:t xml:space="preserve"> incuba</w:t>
      </w:r>
      <w:r w:rsidR="000C4360" w:rsidRPr="00F767DA">
        <w:rPr>
          <w:color w:val="auto"/>
        </w:rPr>
        <w:t>te overnight at 37 °C to determine</w:t>
      </w:r>
      <w:r w:rsidRPr="00F767DA">
        <w:rPr>
          <w:color w:val="auto"/>
        </w:rPr>
        <w:t xml:space="preserve"> the actual input </w:t>
      </w:r>
      <w:r w:rsidR="00225ECA" w:rsidRPr="00F767DA">
        <w:rPr>
          <w:color w:val="auto"/>
        </w:rPr>
        <w:t>dosage</w:t>
      </w:r>
      <w:r w:rsidRPr="00F767DA">
        <w:rPr>
          <w:color w:val="auto"/>
        </w:rPr>
        <w:t>.</w:t>
      </w:r>
    </w:p>
    <w:p w14:paraId="5064E1F1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rPr>
          <w:color w:val="auto"/>
        </w:rPr>
      </w:pPr>
    </w:p>
    <w:p w14:paraId="35ECC7D9" w14:textId="3DAF082A" w:rsidR="00E26E24" w:rsidRPr="00F767DA" w:rsidRDefault="000C4360" w:rsidP="00F36A8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rFonts w:eastAsia="Calibri"/>
          <w:color w:val="auto"/>
        </w:rPr>
      </w:pPr>
      <w:r w:rsidRPr="00F767DA">
        <w:rPr>
          <w:color w:val="auto"/>
        </w:rPr>
        <w:lastRenderedPageBreak/>
        <w:t xml:space="preserve">At 18 </w:t>
      </w:r>
      <w:proofErr w:type="spellStart"/>
      <w:r w:rsidRPr="00F767DA">
        <w:rPr>
          <w:color w:val="auto"/>
        </w:rPr>
        <w:t>hpi</w:t>
      </w:r>
      <w:proofErr w:type="spellEnd"/>
      <w:r w:rsidR="00F36A88" w:rsidRPr="00F767DA">
        <w:rPr>
          <w:color w:val="auto"/>
        </w:rPr>
        <w:t>,</w:t>
      </w:r>
      <w:r w:rsidRPr="00F767DA">
        <w:rPr>
          <w:color w:val="auto"/>
        </w:rPr>
        <w:t xml:space="preserve"> humanely</w:t>
      </w:r>
      <w:r w:rsidR="00E26E24" w:rsidRPr="00F767DA">
        <w:rPr>
          <w:color w:val="auto"/>
        </w:rPr>
        <w:t xml:space="preserve"> euthanize mouse</w:t>
      </w:r>
      <w:r w:rsidR="00D1343B" w:rsidRPr="00F767DA">
        <w:rPr>
          <w:color w:val="auto"/>
        </w:rPr>
        <w:t xml:space="preserve"> (CO</w:t>
      </w:r>
      <w:r w:rsidR="00D1343B" w:rsidRPr="00F767DA">
        <w:rPr>
          <w:color w:val="auto"/>
          <w:vertAlign w:val="subscript"/>
        </w:rPr>
        <w:t>2</w:t>
      </w:r>
      <w:r w:rsidR="00D1343B" w:rsidRPr="00F767DA">
        <w:rPr>
          <w:color w:val="auto"/>
        </w:rPr>
        <w:t xml:space="preserve"> asphyxiation followed by cervical dislocation)</w:t>
      </w:r>
      <w:r w:rsidR="00E26E24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and using </w:t>
      </w:r>
      <w:r w:rsidR="00E26E24" w:rsidRPr="00F767DA">
        <w:rPr>
          <w:color w:val="auto"/>
        </w:rPr>
        <w:t xml:space="preserve">sterile scissors cut open mouse peritoneum to collect </w:t>
      </w:r>
      <w:r w:rsidRPr="00F767DA">
        <w:rPr>
          <w:color w:val="auto"/>
        </w:rPr>
        <w:t>frontal</w:t>
      </w:r>
      <w:r w:rsidR="00E26E24" w:rsidRPr="00F767DA">
        <w:rPr>
          <w:color w:val="auto"/>
        </w:rPr>
        <w:t xml:space="preserve"> lobe of the liver using separate pairs of tweezers and scissors for the outside and inside of the mouse</w:t>
      </w:r>
      <w:r w:rsidR="00D1343B" w:rsidRPr="00F767DA">
        <w:rPr>
          <w:color w:val="auto"/>
        </w:rPr>
        <w:t>. P</w:t>
      </w:r>
      <w:r w:rsidR="00E26E24" w:rsidRPr="00F767DA">
        <w:rPr>
          <w:color w:val="auto"/>
        </w:rPr>
        <w:t xml:space="preserve">lace the liver in a </w:t>
      </w:r>
      <w:r w:rsidR="00D1343B" w:rsidRPr="00F767DA">
        <w:rPr>
          <w:color w:val="auto"/>
        </w:rPr>
        <w:t>6</w:t>
      </w:r>
      <w:r w:rsidR="00F36A88" w:rsidRPr="00F767DA">
        <w:rPr>
          <w:color w:val="auto"/>
        </w:rPr>
        <w:t xml:space="preserve"> </w:t>
      </w:r>
      <w:r w:rsidR="00D1343B" w:rsidRPr="00F767DA">
        <w:rPr>
          <w:color w:val="auto"/>
        </w:rPr>
        <w:t>cm</w:t>
      </w:r>
      <w:r w:rsidR="00E26E24" w:rsidRPr="00F767DA">
        <w:rPr>
          <w:color w:val="auto"/>
        </w:rPr>
        <w:t xml:space="preserve"> </w:t>
      </w:r>
      <w:r w:rsidR="00F36A88" w:rsidRPr="00F767DA">
        <w:rPr>
          <w:color w:val="auto"/>
        </w:rPr>
        <w:t>P</w:t>
      </w:r>
      <w:r w:rsidR="00E26E24" w:rsidRPr="00F767DA">
        <w:rPr>
          <w:color w:val="auto"/>
        </w:rPr>
        <w:t xml:space="preserve">etri dish on ice. </w:t>
      </w:r>
    </w:p>
    <w:p w14:paraId="5A539B0E" w14:textId="77777777" w:rsidR="00F36A88" w:rsidRPr="00F767DA" w:rsidRDefault="00F36A88" w:rsidP="00F36A88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rFonts w:eastAsia="Calibri"/>
          <w:color w:val="auto"/>
        </w:rPr>
      </w:pPr>
    </w:p>
    <w:p w14:paraId="57BBA77F" w14:textId="295B4B74" w:rsidR="00E26E24" w:rsidRPr="00F767DA" w:rsidRDefault="00E26E24" w:rsidP="00F36A8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rFonts w:eastAsia="Calibri"/>
          <w:color w:val="auto"/>
        </w:rPr>
      </w:pPr>
      <w:r w:rsidRPr="00F767DA">
        <w:rPr>
          <w:color w:val="auto"/>
        </w:rPr>
        <w:t>C</w:t>
      </w:r>
      <w:r w:rsidR="000C4360" w:rsidRPr="00F767DA">
        <w:rPr>
          <w:color w:val="auto"/>
        </w:rPr>
        <w:t>ut the</w:t>
      </w:r>
      <w:r w:rsidRPr="00F767DA">
        <w:rPr>
          <w:color w:val="auto"/>
        </w:rPr>
        <w:t xml:space="preserve"> liver into small cubes and place into a glass vial with a magnetic stir bar.</w:t>
      </w:r>
      <w:r w:rsidR="002D35C6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Add 2 mL of 2 mg/mL collagenase D reconstituted in </w:t>
      </w:r>
      <w:r w:rsidR="00CD08EB" w:rsidRPr="00F767DA">
        <w:t>DMEM</w:t>
      </w:r>
      <w:r w:rsidR="00CD08EB" w:rsidRPr="00F767DA">
        <w:rPr>
          <w:color w:val="auto"/>
        </w:rPr>
        <w:t xml:space="preserve"> </w:t>
      </w:r>
      <w:r w:rsidRPr="00F767DA">
        <w:rPr>
          <w:color w:val="auto"/>
        </w:rPr>
        <w:t>without F</w:t>
      </w:r>
      <w:r w:rsidR="00BB0D75" w:rsidRPr="00F767DA">
        <w:rPr>
          <w:color w:val="auto"/>
        </w:rPr>
        <w:t>C</w:t>
      </w:r>
      <w:r w:rsidRPr="00F767DA">
        <w:rPr>
          <w:color w:val="auto"/>
        </w:rPr>
        <w:t>S. Incubate vials at 37</w:t>
      </w:r>
      <w:r w:rsidR="000C4360" w:rsidRPr="00F767DA">
        <w:rPr>
          <w:color w:val="auto"/>
        </w:rPr>
        <w:t xml:space="preserve"> °</w:t>
      </w:r>
      <w:r w:rsidRPr="00F767DA">
        <w:rPr>
          <w:color w:val="auto"/>
        </w:rPr>
        <w:t>C on a magnetic stirrer for 30</w:t>
      </w:r>
      <w:r w:rsidR="00F36A88" w:rsidRPr="00F767DA">
        <w:rPr>
          <w:color w:val="auto"/>
        </w:rPr>
        <w:t>−</w:t>
      </w:r>
      <w:r w:rsidRPr="00F767DA">
        <w:rPr>
          <w:color w:val="auto"/>
        </w:rPr>
        <w:t>45 min. Once the tissue is homogenized</w:t>
      </w:r>
      <w:r w:rsidR="00F36A88" w:rsidRPr="00F767DA">
        <w:rPr>
          <w:color w:val="auto"/>
        </w:rPr>
        <w:t>,</w:t>
      </w:r>
      <w:r w:rsidRPr="00F767DA">
        <w:rPr>
          <w:color w:val="auto"/>
        </w:rPr>
        <w:t xml:space="preserve"> add 3 mL of </w:t>
      </w:r>
      <w:r w:rsidR="00CD08EB" w:rsidRPr="00F767DA">
        <w:t>DMEM/FCS</w:t>
      </w:r>
      <w:r w:rsidRPr="00F767DA">
        <w:rPr>
          <w:color w:val="auto"/>
        </w:rPr>
        <w:t xml:space="preserve"> to inactivate the collagenase</w:t>
      </w:r>
      <w:r w:rsidRPr="00F767DA">
        <w:rPr>
          <w:rFonts w:eastAsia="Calibri"/>
          <w:color w:val="auto"/>
        </w:rPr>
        <w:t>.</w:t>
      </w:r>
    </w:p>
    <w:p w14:paraId="554AA28F" w14:textId="77777777" w:rsidR="00F36A88" w:rsidRPr="00F767DA" w:rsidRDefault="00F36A88" w:rsidP="00F36A88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rFonts w:eastAsia="Calibri"/>
          <w:color w:val="auto"/>
        </w:rPr>
      </w:pPr>
    </w:p>
    <w:p w14:paraId="5515A0E8" w14:textId="5A4197D5" w:rsidR="00E26E24" w:rsidRPr="00F767DA" w:rsidRDefault="00E26E24" w:rsidP="00F36A8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rFonts w:eastAsia="Calibri"/>
          <w:color w:val="auto"/>
        </w:rPr>
      </w:pPr>
      <w:r w:rsidRPr="00F767DA">
        <w:rPr>
          <w:color w:val="auto"/>
        </w:rPr>
        <w:t xml:space="preserve">Filter the cells through a 70 </w:t>
      </w:r>
      <w:r w:rsidR="00CD08EB" w:rsidRPr="00F767DA">
        <w:rPr>
          <w:color w:val="auto"/>
        </w:rPr>
        <w:t>μ</w:t>
      </w:r>
      <w:r w:rsidRPr="00F767DA">
        <w:rPr>
          <w:color w:val="auto"/>
        </w:rPr>
        <w:t>m cell strainer into a conical tube</w:t>
      </w:r>
      <w:r w:rsidR="00F36A88" w:rsidRPr="00F767DA">
        <w:rPr>
          <w:color w:val="auto"/>
        </w:rPr>
        <w:t>,</w:t>
      </w:r>
      <w:r w:rsidRPr="00F767DA">
        <w:rPr>
          <w:color w:val="auto"/>
        </w:rPr>
        <w:t xml:space="preserve"> adding more </w:t>
      </w:r>
      <w:r w:rsidR="00CD08EB" w:rsidRPr="00F767DA">
        <w:t>DMEM/FCS</w:t>
      </w:r>
      <w:r w:rsidR="00CD08EB" w:rsidRPr="00F767DA">
        <w:rPr>
          <w:color w:val="auto"/>
        </w:rPr>
        <w:t xml:space="preserve"> if</w:t>
      </w:r>
      <w:r w:rsidRPr="00F767DA">
        <w:rPr>
          <w:color w:val="auto"/>
        </w:rPr>
        <w:t xml:space="preserve"> necessary.</w:t>
      </w:r>
      <w:bookmarkStart w:id="0" w:name="_gjdgxs" w:colFirst="0" w:colLast="0"/>
      <w:bookmarkEnd w:id="0"/>
    </w:p>
    <w:p w14:paraId="6EF54C10" w14:textId="77777777" w:rsidR="00F36A88" w:rsidRPr="00F767DA" w:rsidRDefault="00F36A88" w:rsidP="00F36A88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rFonts w:eastAsia="Calibri"/>
          <w:color w:val="auto"/>
        </w:rPr>
      </w:pPr>
    </w:p>
    <w:p w14:paraId="39CAC218" w14:textId="785DC024" w:rsidR="00E26E24" w:rsidRPr="00F767DA" w:rsidRDefault="00E26E24" w:rsidP="00F36A8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rFonts w:eastAsia="Calibri"/>
          <w:color w:val="auto"/>
        </w:rPr>
      </w:pPr>
      <w:r w:rsidRPr="00F767DA">
        <w:rPr>
          <w:color w:val="auto"/>
        </w:rPr>
        <w:t xml:space="preserve">Centrifuge cells at </w:t>
      </w:r>
      <w:r w:rsidR="00D20562" w:rsidRPr="00F767DA">
        <w:rPr>
          <w:color w:val="auto"/>
        </w:rPr>
        <w:t xml:space="preserve">800 x </w:t>
      </w:r>
      <w:r w:rsidR="00D20562" w:rsidRPr="00F767DA">
        <w:rPr>
          <w:i/>
          <w:color w:val="auto"/>
        </w:rPr>
        <w:t>g</w:t>
      </w:r>
      <w:r w:rsidR="003A3A4F" w:rsidRPr="00F767DA">
        <w:rPr>
          <w:color w:val="auto"/>
        </w:rPr>
        <w:t xml:space="preserve"> to pellet</w:t>
      </w:r>
      <w:r w:rsidRPr="00F767DA">
        <w:rPr>
          <w:color w:val="auto"/>
        </w:rPr>
        <w:t xml:space="preserve"> at 4</w:t>
      </w:r>
      <w:r w:rsidR="00F36A88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°C for 10 min, remove supernatant and </w:t>
      </w:r>
      <w:r w:rsidR="00D64F98" w:rsidRPr="00F767DA">
        <w:rPr>
          <w:color w:val="auto"/>
        </w:rPr>
        <w:t>suspend</w:t>
      </w:r>
      <w:r w:rsidRPr="00F767DA">
        <w:rPr>
          <w:color w:val="auto"/>
        </w:rPr>
        <w:t xml:space="preserve"> cell pellet in 500 </w:t>
      </w:r>
      <w:r w:rsidR="00CD08EB" w:rsidRPr="00F767DA">
        <w:rPr>
          <w:color w:val="auto"/>
        </w:rPr>
        <w:t xml:space="preserve">μL </w:t>
      </w:r>
      <w:r w:rsidR="00F36A88" w:rsidRPr="00F767DA">
        <w:rPr>
          <w:color w:val="auto"/>
        </w:rPr>
        <w:t xml:space="preserve">of </w:t>
      </w:r>
      <w:r w:rsidR="00CD08EB" w:rsidRPr="00F767DA">
        <w:rPr>
          <w:color w:val="auto"/>
        </w:rPr>
        <w:t>ACK buffer to lyse red blood cells.</w:t>
      </w:r>
    </w:p>
    <w:p w14:paraId="5D923846" w14:textId="77777777" w:rsidR="00F36A88" w:rsidRPr="00F767DA" w:rsidRDefault="00F36A88" w:rsidP="00F36A88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rFonts w:eastAsia="Calibri"/>
          <w:color w:val="auto"/>
        </w:rPr>
      </w:pPr>
    </w:p>
    <w:p w14:paraId="3284D615" w14:textId="78117E50" w:rsidR="00E26E24" w:rsidRPr="00F767DA" w:rsidRDefault="00E26E24" w:rsidP="00F36A8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rFonts w:eastAsia="Calibri"/>
          <w:color w:val="auto"/>
        </w:rPr>
      </w:pPr>
      <w:r w:rsidRPr="00F767DA">
        <w:rPr>
          <w:color w:val="auto"/>
        </w:rPr>
        <w:t>Incubate cells at room temp</w:t>
      </w:r>
      <w:r w:rsidR="00CD08EB" w:rsidRPr="00F767DA">
        <w:rPr>
          <w:color w:val="auto"/>
        </w:rPr>
        <w:t>erature</w:t>
      </w:r>
      <w:r w:rsidRPr="00F767DA">
        <w:rPr>
          <w:color w:val="auto"/>
        </w:rPr>
        <w:t xml:space="preserve"> for 5 min in ACK buffer. </w:t>
      </w:r>
      <w:r w:rsidR="00D64F98" w:rsidRPr="00F767DA">
        <w:rPr>
          <w:color w:val="auto"/>
        </w:rPr>
        <w:t>Suspend</w:t>
      </w:r>
      <w:r w:rsidRPr="00F767DA">
        <w:rPr>
          <w:color w:val="auto"/>
        </w:rPr>
        <w:t xml:space="preserve"> cells in 1 mL </w:t>
      </w:r>
      <w:r w:rsidR="00F36A88" w:rsidRPr="00F767DA">
        <w:rPr>
          <w:color w:val="auto"/>
        </w:rPr>
        <w:t xml:space="preserve">of </w:t>
      </w:r>
      <w:r w:rsidR="00CD08EB" w:rsidRPr="00F767DA">
        <w:t>DMEM/FCS</w:t>
      </w:r>
      <w:r w:rsidRPr="00F767DA">
        <w:rPr>
          <w:color w:val="auto"/>
        </w:rPr>
        <w:t>.</w:t>
      </w:r>
    </w:p>
    <w:p w14:paraId="77CE4B15" w14:textId="77777777" w:rsidR="00F36A88" w:rsidRPr="00F767DA" w:rsidRDefault="00F36A88" w:rsidP="00F36A88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rFonts w:eastAsia="Calibri"/>
          <w:color w:val="auto"/>
        </w:rPr>
      </w:pPr>
    </w:p>
    <w:p w14:paraId="2D15A26C" w14:textId="12ED4E92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F767DA">
        <w:rPr>
          <w:color w:val="auto"/>
        </w:rPr>
        <w:t xml:space="preserve">Centrifuge cells at </w:t>
      </w:r>
      <w:r w:rsidR="00D20562" w:rsidRPr="00F767DA">
        <w:rPr>
          <w:color w:val="auto"/>
        </w:rPr>
        <w:t xml:space="preserve">800 x </w:t>
      </w:r>
      <w:r w:rsidR="00D20562" w:rsidRPr="00F767DA">
        <w:rPr>
          <w:i/>
          <w:color w:val="auto"/>
        </w:rPr>
        <w:t>g</w:t>
      </w:r>
      <w:r w:rsidR="00D20562" w:rsidRPr="00F767DA">
        <w:rPr>
          <w:color w:val="auto"/>
        </w:rPr>
        <w:t xml:space="preserve"> </w:t>
      </w:r>
      <w:r w:rsidR="003B1415" w:rsidRPr="00F767DA">
        <w:rPr>
          <w:color w:val="auto"/>
        </w:rPr>
        <w:t>to pellet</w:t>
      </w:r>
      <w:r w:rsidRPr="00F767DA">
        <w:rPr>
          <w:color w:val="auto"/>
        </w:rPr>
        <w:t xml:space="preserve"> at 4</w:t>
      </w:r>
      <w:r w:rsidR="00CD08EB" w:rsidRPr="00F767DA">
        <w:rPr>
          <w:color w:val="auto"/>
        </w:rPr>
        <w:t xml:space="preserve"> °</w:t>
      </w:r>
      <w:r w:rsidRPr="00F767DA">
        <w:rPr>
          <w:color w:val="auto"/>
        </w:rPr>
        <w:t xml:space="preserve">C for 10 min, remove supernatant and </w:t>
      </w:r>
      <w:r w:rsidR="00D64F98" w:rsidRPr="00F767DA">
        <w:rPr>
          <w:color w:val="auto"/>
        </w:rPr>
        <w:t>suspend</w:t>
      </w:r>
      <w:r w:rsidRPr="00F767DA">
        <w:rPr>
          <w:color w:val="auto"/>
        </w:rPr>
        <w:t xml:space="preserve"> in 1</w:t>
      </w:r>
      <w:r w:rsidR="00CD08EB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mL </w:t>
      </w:r>
      <w:r w:rsidR="00F36A88" w:rsidRPr="00F767DA">
        <w:rPr>
          <w:color w:val="auto"/>
        </w:rPr>
        <w:t xml:space="preserve">of </w:t>
      </w:r>
      <w:r w:rsidR="00CD08EB" w:rsidRPr="00F767DA">
        <w:t>DMEM/FCS</w:t>
      </w:r>
      <w:r w:rsidR="00F36A88" w:rsidRPr="00F767DA">
        <w:rPr>
          <w:color w:val="auto"/>
        </w:rPr>
        <w:t>. T</w:t>
      </w:r>
      <w:r w:rsidRPr="00F767DA">
        <w:rPr>
          <w:color w:val="auto"/>
        </w:rPr>
        <w:t>hen</w:t>
      </w:r>
      <w:r w:rsidR="00F36A88" w:rsidRPr="00F767DA">
        <w:rPr>
          <w:color w:val="auto"/>
        </w:rPr>
        <w:t>,</w:t>
      </w:r>
      <w:r w:rsidRPr="00F767DA">
        <w:rPr>
          <w:color w:val="auto"/>
        </w:rPr>
        <w:t xml:space="preserve"> count the cells using a hemocytometer or an automated cell counter. </w:t>
      </w:r>
    </w:p>
    <w:p w14:paraId="1FA77C7F" w14:textId="77777777" w:rsidR="00F36A88" w:rsidRPr="00F767DA" w:rsidRDefault="00F36A88" w:rsidP="00F36A88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3204C4F4" w14:textId="6E504D60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F767DA">
        <w:rPr>
          <w:color w:val="auto"/>
        </w:rPr>
        <w:t>Transfer 1</w:t>
      </w:r>
      <w:r w:rsidR="00F36A88" w:rsidRPr="00F767DA">
        <w:rPr>
          <w:color w:val="auto"/>
        </w:rPr>
        <w:t xml:space="preserve"> </w:t>
      </w:r>
      <w:r w:rsidRPr="00F767DA">
        <w:rPr>
          <w:color w:val="auto"/>
        </w:rPr>
        <w:t>x</w:t>
      </w:r>
      <w:r w:rsidR="00F36A88" w:rsidRPr="00F767DA">
        <w:rPr>
          <w:color w:val="auto"/>
        </w:rPr>
        <w:t xml:space="preserve"> </w:t>
      </w:r>
      <w:r w:rsidRPr="00F767DA">
        <w:rPr>
          <w:color w:val="auto"/>
        </w:rPr>
        <w:t>10</w:t>
      </w:r>
      <w:r w:rsidRPr="00F767DA">
        <w:rPr>
          <w:color w:val="auto"/>
          <w:vertAlign w:val="superscript"/>
        </w:rPr>
        <w:t>6</w:t>
      </w:r>
      <w:r w:rsidRPr="00F767DA">
        <w:rPr>
          <w:color w:val="auto"/>
        </w:rPr>
        <w:t xml:space="preserve"> cells to 1.5 mL microcentrifuge tube and spin to pellet</w:t>
      </w:r>
      <w:r w:rsidR="007F7836" w:rsidRPr="00F767DA">
        <w:rPr>
          <w:color w:val="auto"/>
        </w:rPr>
        <w:t>. T</w:t>
      </w:r>
      <w:r w:rsidRPr="00F767DA">
        <w:rPr>
          <w:color w:val="auto"/>
        </w:rPr>
        <w:t xml:space="preserve">hen </w:t>
      </w:r>
      <w:r w:rsidR="00D64F98" w:rsidRPr="00F767DA">
        <w:rPr>
          <w:color w:val="auto"/>
        </w:rPr>
        <w:t>suspend</w:t>
      </w:r>
      <w:r w:rsidRPr="00F767DA">
        <w:rPr>
          <w:color w:val="auto"/>
        </w:rPr>
        <w:t xml:space="preserve"> in 1 mL </w:t>
      </w:r>
      <w:r w:rsidR="007F7836" w:rsidRPr="00F767DA">
        <w:rPr>
          <w:color w:val="auto"/>
        </w:rPr>
        <w:t xml:space="preserve">of </w:t>
      </w:r>
      <w:r w:rsidRPr="00F767DA">
        <w:rPr>
          <w:color w:val="auto"/>
        </w:rPr>
        <w:t>dsH</w:t>
      </w:r>
      <w:r w:rsidRPr="00F767DA">
        <w:rPr>
          <w:color w:val="auto"/>
          <w:vertAlign w:val="subscript"/>
        </w:rPr>
        <w:t>2</w:t>
      </w:r>
      <w:r w:rsidRPr="00F767DA">
        <w:rPr>
          <w:color w:val="auto"/>
        </w:rPr>
        <w:t>O and vortex to lyse the cells.</w:t>
      </w:r>
      <w:r w:rsidR="002D35C6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Plate 50 </w:t>
      </w:r>
      <w:r w:rsidR="00CD08EB" w:rsidRPr="00F767DA">
        <w:rPr>
          <w:color w:val="auto"/>
        </w:rPr>
        <w:t>μL on LB plates at undiluted</w:t>
      </w:r>
      <w:r w:rsidRPr="00F767DA">
        <w:rPr>
          <w:color w:val="auto"/>
        </w:rPr>
        <w:t xml:space="preserve"> and 10</w:t>
      </w:r>
      <w:r w:rsidRPr="00F767DA">
        <w:rPr>
          <w:color w:val="auto"/>
          <w:vertAlign w:val="superscript"/>
        </w:rPr>
        <w:t>-2</w:t>
      </w:r>
      <w:r w:rsidRPr="00F767DA">
        <w:rPr>
          <w:color w:val="auto"/>
        </w:rPr>
        <w:t xml:space="preserve"> dilutions and incubate at 37</w:t>
      </w:r>
      <w:r w:rsidR="00CD08EB" w:rsidRPr="00F767DA">
        <w:rPr>
          <w:color w:val="auto"/>
        </w:rPr>
        <w:t xml:space="preserve"> °</w:t>
      </w:r>
      <w:r w:rsidRPr="00F767DA">
        <w:rPr>
          <w:color w:val="auto"/>
        </w:rPr>
        <w:t xml:space="preserve">C to enumerate </w:t>
      </w:r>
      <w:proofErr w:type="spellStart"/>
      <w:r w:rsidRPr="00F767DA">
        <w:rPr>
          <w:i/>
          <w:color w:val="auto"/>
        </w:rPr>
        <w:t>Lm</w:t>
      </w:r>
      <w:proofErr w:type="spellEnd"/>
      <w:r w:rsidRPr="00F767DA">
        <w:rPr>
          <w:color w:val="auto"/>
        </w:rPr>
        <w:t xml:space="preserve"> for CFU analysis.</w:t>
      </w:r>
    </w:p>
    <w:p w14:paraId="19B54AEC" w14:textId="77777777" w:rsidR="007F7836" w:rsidRPr="00F767DA" w:rsidRDefault="007F7836" w:rsidP="007F7836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7C04958F" w14:textId="1E4C8098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Transfer 1</w:t>
      </w:r>
      <w:r w:rsidR="007F7836" w:rsidRPr="00F767DA">
        <w:rPr>
          <w:color w:val="auto"/>
        </w:rPr>
        <w:t xml:space="preserve"> </w:t>
      </w:r>
      <w:r w:rsidRPr="00F767DA">
        <w:rPr>
          <w:color w:val="auto"/>
        </w:rPr>
        <w:t>x</w:t>
      </w:r>
      <w:r w:rsidR="007F7836" w:rsidRPr="00F767DA">
        <w:rPr>
          <w:color w:val="auto"/>
        </w:rPr>
        <w:t xml:space="preserve"> </w:t>
      </w:r>
      <w:r w:rsidRPr="00F767DA">
        <w:rPr>
          <w:color w:val="auto"/>
        </w:rPr>
        <w:t>10</w:t>
      </w:r>
      <w:r w:rsidRPr="00F767DA">
        <w:rPr>
          <w:color w:val="auto"/>
          <w:vertAlign w:val="superscript"/>
        </w:rPr>
        <w:t>6</w:t>
      </w:r>
      <w:r w:rsidRPr="00F767DA">
        <w:rPr>
          <w:color w:val="auto"/>
        </w:rPr>
        <w:t xml:space="preserve"> cells into FACS tubes for each tissue sample according to the cell counts and wash with</w:t>
      </w:r>
      <w:r w:rsidR="00CD08EB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1 mL </w:t>
      </w:r>
      <w:r w:rsidR="007F7836" w:rsidRPr="00F767DA">
        <w:rPr>
          <w:color w:val="auto"/>
        </w:rPr>
        <w:t xml:space="preserve">of </w:t>
      </w:r>
      <w:r w:rsidRPr="00F767DA">
        <w:rPr>
          <w:color w:val="auto"/>
        </w:rPr>
        <w:t>FACS buffer.</w:t>
      </w:r>
    </w:p>
    <w:p w14:paraId="21769D67" w14:textId="77777777" w:rsidR="007F7836" w:rsidRPr="00F767DA" w:rsidRDefault="007F7836" w:rsidP="007F7836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color w:val="auto"/>
        </w:rPr>
      </w:pPr>
    </w:p>
    <w:p w14:paraId="56EA95BF" w14:textId="0A58095B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 xml:space="preserve">Centrifuge cells at </w:t>
      </w:r>
      <w:r w:rsidR="00D20562" w:rsidRPr="00F767DA">
        <w:rPr>
          <w:color w:val="auto"/>
        </w:rPr>
        <w:t xml:space="preserve">800 x </w:t>
      </w:r>
      <w:r w:rsidR="00D20562" w:rsidRPr="00F767DA">
        <w:rPr>
          <w:i/>
          <w:color w:val="auto"/>
        </w:rPr>
        <w:t>g</w:t>
      </w:r>
      <w:r w:rsidR="00D20562" w:rsidRPr="00F767DA">
        <w:rPr>
          <w:color w:val="auto"/>
        </w:rPr>
        <w:t xml:space="preserve"> </w:t>
      </w:r>
      <w:r w:rsidR="003B1415" w:rsidRPr="00F767DA">
        <w:rPr>
          <w:color w:val="auto"/>
        </w:rPr>
        <w:t>to pellet</w:t>
      </w:r>
      <w:r w:rsidRPr="00F767DA">
        <w:rPr>
          <w:color w:val="auto"/>
        </w:rPr>
        <w:t xml:space="preserve"> at 4</w:t>
      </w:r>
      <w:r w:rsidR="00CD08EB" w:rsidRPr="00F767DA">
        <w:rPr>
          <w:color w:val="auto"/>
        </w:rPr>
        <w:t xml:space="preserve"> °</w:t>
      </w:r>
      <w:r w:rsidRPr="00F767DA">
        <w:rPr>
          <w:color w:val="auto"/>
        </w:rPr>
        <w:t>C for 10 min and remove supernatant</w:t>
      </w:r>
      <w:r w:rsidR="00CD08EB" w:rsidRPr="00F767DA">
        <w:rPr>
          <w:color w:val="auto"/>
        </w:rPr>
        <w:t>.</w:t>
      </w:r>
      <w:r w:rsidRPr="00F767DA">
        <w:rPr>
          <w:color w:val="auto"/>
        </w:rPr>
        <w:t xml:space="preserve"> </w:t>
      </w:r>
    </w:p>
    <w:p w14:paraId="6E6BAA84" w14:textId="77777777" w:rsidR="007F7836" w:rsidRPr="00F767DA" w:rsidRDefault="007F7836" w:rsidP="007F7836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color w:val="auto"/>
        </w:rPr>
      </w:pPr>
    </w:p>
    <w:p w14:paraId="007F918A" w14:textId="757D56D5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 xml:space="preserve">Prepare an antibody cocktail containing the antibodies of interest based on the recommended concentration for each antibody and FACS buffer. See </w:t>
      </w:r>
      <w:r w:rsidR="007F7836" w:rsidRPr="00F767DA">
        <w:rPr>
          <w:b/>
          <w:color w:val="auto"/>
        </w:rPr>
        <w:t>Table of Materials</w:t>
      </w:r>
      <w:r w:rsidRPr="00F767DA">
        <w:rPr>
          <w:color w:val="auto"/>
        </w:rPr>
        <w:t xml:space="preserve"> for recommended amounts used in </w:t>
      </w:r>
      <w:r w:rsidR="007F7836" w:rsidRPr="00F767DA">
        <w:rPr>
          <w:color w:val="auto"/>
        </w:rPr>
        <w:t>the</w:t>
      </w:r>
      <w:r w:rsidRPr="00F767DA">
        <w:rPr>
          <w:color w:val="auto"/>
        </w:rPr>
        <w:t xml:space="preserve"> analysis. </w:t>
      </w:r>
    </w:p>
    <w:p w14:paraId="2ADCA693" w14:textId="77777777" w:rsidR="007F7836" w:rsidRPr="00F767DA" w:rsidRDefault="007F7836" w:rsidP="007F7836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color w:val="auto"/>
        </w:rPr>
      </w:pPr>
    </w:p>
    <w:p w14:paraId="75958187" w14:textId="44BAA008" w:rsidR="00DF3798" w:rsidRPr="00F767DA" w:rsidRDefault="00BB0D75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Suspend pellet in</w:t>
      </w:r>
      <w:r w:rsidR="00E26E24" w:rsidRPr="00F767DA">
        <w:rPr>
          <w:color w:val="auto"/>
        </w:rPr>
        <w:t xml:space="preserve"> 100 </w:t>
      </w:r>
      <w:r w:rsidR="00CD08EB" w:rsidRPr="00F767DA">
        <w:rPr>
          <w:color w:val="auto"/>
        </w:rPr>
        <w:t>μL</w:t>
      </w:r>
      <w:r w:rsidR="00E26E24" w:rsidRPr="00F767DA">
        <w:rPr>
          <w:color w:val="auto"/>
        </w:rPr>
        <w:t xml:space="preserve"> of antibody</w:t>
      </w:r>
      <w:r w:rsidRPr="00F767DA">
        <w:rPr>
          <w:color w:val="auto"/>
        </w:rPr>
        <w:t xml:space="preserve"> cocktail and</w:t>
      </w:r>
      <w:r w:rsidR="00E26E24" w:rsidRPr="00F767DA">
        <w:rPr>
          <w:color w:val="auto"/>
        </w:rPr>
        <w:t xml:space="preserve"> incubate tubes in the dark at </w:t>
      </w:r>
      <w:r w:rsidR="00CD08EB" w:rsidRPr="00F767DA">
        <w:rPr>
          <w:color w:val="auto"/>
        </w:rPr>
        <w:t>4 °C</w:t>
      </w:r>
      <w:r w:rsidR="00E26E24" w:rsidRPr="00F767DA">
        <w:rPr>
          <w:color w:val="auto"/>
        </w:rPr>
        <w:t xml:space="preserve"> for 30 min.</w:t>
      </w:r>
    </w:p>
    <w:p w14:paraId="469A258D" w14:textId="77777777" w:rsidR="007F7836" w:rsidRPr="00F767DA" w:rsidRDefault="007F7836" w:rsidP="007F7836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color w:val="auto"/>
        </w:rPr>
      </w:pPr>
    </w:p>
    <w:p w14:paraId="1A39240E" w14:textId="3E981CB6" w:rsidR="00DF3798" w:rsidRPr="00F767DA" w:rsidRDefault="00E26E24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After incubation</w:t>
      </w:r>
      <w:r w:rsidR="007F7836" w:rsidRPr="00F767DA">
        <w:rPr>
          <w:color w:val="auto"/>
        </w:rPr>
        <w:t>,</w:t>
      </w:r>
      <w:r w:rsidRPr="00F767DA">
        <w:rPr>
          <w:color w:val="auto"/>
        </w:rPr>
        <w:t xml:space="preserve"> add 2 mL</w:t>
      </w:r>
      <w:r w:rsidR="00B26CFD" w:rsidRPr="00F767DA">
        <w:rPr>
          <w:color w:val="auto"/>
        </w:rPr>
        <w:t xml:space="preserve"> </w:t>
      </w:r>
      <w:r w:rsidR="007F7836" w:rsidRPr="00F767DA">
        <w:rPr>
          <w:color w:val="auto"/>
        </w:rPr>
        <w:t xml:space="preserve">of </w:t>
      </w:r>
      <w:r w:rsidR="00B26CFD" w:rsidRPr="00F767DA">
        <w:rPr>
          <w:color w:val="auto"/>
        </w:rPr>
        <w:t xml:space="preserve">FACS buffer to each tube and </w:t>
      </w:r>
      <w:r w:rsidRPr="00F767DA">
        <w:rPr>
          <w:color w:val="auto"/>
        </w:rPr>
        <w:t>suspend cells.</w:t>
      </w:r>
    </w:p>
    <w:p w14:paraId="266D0F43" w14:textId="77777777" w:rsidR="007F7836" w:rsidRPr="00F767DA" w:rsidRDefault="007F7836" w:rsidP="007F7836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color w:val="auto"/>
        </w:rPr>
      </w:pPr>
    </w:p>
    <w:p w14:paraId="69DD09F2" w14:textId="66330BB4" w:rsidR="00DF3798" w:rsidRPr="00F767DA" w:rsidRDefault="00E26E24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 xml:space="preserve">Centrifuge cells at </w:t>
      </w:r>
      <w:r w:rsidR="00D20562" w:rsidRPr="00F767DA">
        <w:rPr>
          <w:color w:val="auto"/>
        </w:rPr>
        <w:t xml:space="preserve">800 x </w:t>
      </w:r>
      <w:r w:rsidR="00D20562" w:rsidRPr="00F767DA">
        <w:rPr>
          <w:i/>
          <w:color w:val="auto"/>
        </w:rPr>
        <w:t>g</w:t>
      </w:r>
      <w:r w:rsidR="00D20562" w:rsidRPr="00F767DA">
        <w:rPr>
          <w:color w:val="auto"/>
        </w:rPr>
        <w:t xml:space="preserve"> </w:t>
      </w:r>
      <w:r w:rsidR="003B1415" w:rsidRPr="00F767DA">
        <w:rPr>
          <w:color w:val="auto"/>
        </w:rPr>
        <w:t>to pellet</w:t>
      </w:r>
      <w:r w:rsidRPr="00F767DA">
        <w:rPr>
          <w:color w:val="auto"/>
        </w:rPr>
        <w:t xml:space="preserve"> at 4</w:t>
      </w:r>
      <w:r w:rsidR="00CD08EB" w:rsidRPr="00F767DA">
        <w:rPr>
          <w:color w:val="auto"/>
        </w:rPr>
        <w:t xml:space="preserve"> °</w:t>
      </w:r>
      <w:r w:rsidRPr="00F767DA">
        <w:rPr>
          <w:color w:val="auto"/>
        </w:rPr>
        <w:t>C and discard the supernatant</w:t>
      </w:r>
      <w:r w:rsidR="007F7836" w:rsidRPr="00F767DA">
        <w:rPr>
          <w:color w:val="auto"/>
        </w:rPr>
        <w:t>. T</w:t>
      </w:r>
      <w:r w:rsidRPr="00F767DA">
        <w:rPr>
          <w:color w:val="auto"/>
        </w:rPr>
        <w:t xml:space="preserve">hen </w:t>
      </w:r>
      <w:r w:rsidR="00D64F98" w:rsidRPr="00F767DA">
        <w:rPr>
          <w:color w:val="auto"/>
        </w:rPr>
        <w:t>suspend</w:t>
      </w:r>
      <w:r w:rsidRPr="00F767DA">
        <w:rPr>
          <w:color w:val="auto"/>
        </w:rPr>
        <w:t xml:space="preserve"> the pellet in 400</w:t>
      </w:r>
      <w:r w:rsidR="00CD08EB" w:rsidRPr="00F767DA">
        <w:rPr>
          <w:color w:val="auto"/>
        </w:rPr>
        <w:t xml:space="preserve"> μL</w:t>
      </w:r>
      <w:r w:rsidRPr="00F767DA">
        <w:rPr>
          <w:color w:val="auto"/>
        </w:rPr>
        <w:t xml:space="preserve"> </w:t>
      </w:r>
      <w:r w:rsidR="007F7836" w:rsidRPr="00F767DA">
        <w:rPr>
          <w:color w:val="auto"/>
        </w:rPr>
        <w:t>of F</w:t>
      </w:r>
      <w:r w:rsidRPr="00F767DA">
        <w:rPr>
          <w:color w:val="auto"/>
        </w:rPr>
        <w:t>ACS buffer for immediate use, or 200</w:t>
      </w:r>
      <w:r w:rsidR="00CD08EB" w:rsidRPr="00F767DA">
        <w:rPr>
          <w:color w:val="auto"/>
        </w:rPr>
        <w:t xml:space="preserve"> μL</w:t>
      </w:r>
      <w:r w:rsidRPr="00F767DA">
        <w:rPr>
          <w:color w:val="auto"/>
        </w:rPr>
        <w:t xml:space="preserve"> </w:t>
      </w:r>
      <w:r w:rsidR="007F7836" w:rsidRPr="00F767DA">
        <w:rPr>
          <w:color w:val="auto"/>
        </w:rPr>
        <w:t xml:space="preserve">of </w:t>
      </w:r>
      <w:r w:rsidRPr="00F767DA">
        <w:rPr>
          <w:color w:val="auto"/>
        </w:rPr>
        <w:t>FACS buffer and 200</w:t>
      </w:r>
      <w:r w:rsidR="00CD08EB" w:rsidRPr="00F767DA">
        <w:rPr>
          <w:color w:val="auto"/>
        </w:rPr>
        <w:t xml:space="preserve"> μL</w:t>
      </w:r>
      <w:r w:rsidRPr="00F767DA">
        <w:rPr>
          <w:color w:val="auto"/>
        </w:rPr>
        <w:t xml:space="preserve"> of 4% PFA if storing for later.</w:t>
      </w:r>
      <w:r w:rsidR="002D35C6" w:rsidRPr="00F767DA">
        <w:rPr>
          <w:color w:val="auto"/>
        </w:rPr>
        <w:t xml:space="preserve"> </w:t>
      </w:r>
    </w:p>
    <w:p w14:paraId="73258E23" w14:textId="77777777" w:rsidR="007F7836" w:rsidRPr="00F767DA" w:rsidRDefault="007F7836" w:rsidP="007F7836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/>
        <w:rPr>
          <w:color w:val="auto"/>
        </w:rPr>
      </w:pPr>
    </w:p>
    <w:p w14:paraId="34A4C376" w14:textId="0D58DE1A" w:rsidR="00E26E24" w:rsidRPr="00F767DA" w:rsidRDefault="00E26E24" w:rsidP="00F36A88">
      <w:pPr>
        <w:pStyle w:val="ListParagraph"/>
        <w:widowControl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ind w:left="0" w:firstLine="0"/>
        <w:rPr>
          <w:color w:val="auto"/>
        </w:rPr>
      </w:pPr>
      <w:r w:rsidRPr="00F767DA">
        <w:rPr>
          <w:color w:val="auto"/>
        </w:rPr>
        <w:t>Analyze cells by flow cytometry</w:t>
      </w:r>
      <w:r w:rsidR="00501B73" w:rsidRPr="00F767DA">
        <w:rPr>
          <w:color w:val="auto"/>
        </w:rPr>
        <w:t xml:space="preserve"> (see step 5.1</w:t>
      </w:r>
      <w:r w:rsidR="007F7836" w:rsidRPr="00F767DA">
        <w:rPr>
          <w:color w:val="auto"/>
        </w:rPr>
        <w:t>3</w:t>
      </w:r>
      <w:r w:rsidR="00501B73" w:rsidRPr="00F767DA">
        <w:rPr>
          <w:color w:val="auto"/>
        </w:rPr>
        <w:t>)</w:t>
      </w:r>
      <w:r w:rsidRPr="00F767DA">
        <w:rPr>
          <w:color w:val="auto"/>
        </w:rPr>
        <w:t>.</w:t>
      </w:r>
    </w:p>
    <w:p w14:paraId="6E11ADEF" w14:textId="77777777" w:rsidR="00D20562" w:rsidRPr="00F767DA" w:rsidRDefault="00D20562" w:rsidP="00F36A88">
      <w:pPr>
        <w:pStyle w:val="NormalWeb"/>
        <w:spacing w:before="0" w:beforeAutospacing="0" w:after="0" w:afterAutospacing="0"/>
        <w:contextualSpacing/>
        <w:rPr>
          <w:b/>
        </w:rPr>
      </w:pPr>
    </w:p>
    <w:p w14:paraId="432EBDD4" w14:textId="470AB1F6" w:rsidR="006A4778" w:rsidRPr="00F767DA" w:rsidRDefault="006305D7" w:rsidP="00F36A88">
      <w:pPr>
        <w:pStyle w:val="NormalWeb"/>
        <w:spacing w:before="0" w:beforeAutospacing="0" w:after="0" w:afterAutospacing="0"/>
        <w:contextualSpacing/>
        <w:rPr>
          <w:color w:val="auto"/>
          <w:u w:val="single"/>
        </w:rPr>
      </w:pPr>
      <w:r w:rsidRPr="00F767DA">
        <w:rPr>
          <w:b/>
        </w:rPr>
        <w:t>REPRESENTATIVE RESULTS</w:t>
      </w:r>
      <w:r w:rsidR="00EF1462" w:rsidRPr="00F767DA">
        <w:rPr>
          <w:b/>
        </w:rPr>
        <w:t xml:space="preserve">: </w:t>
      </w:r>
    </w:p>
    <w:p w14:paraId="6D7EDC23" w14:textId="65012F54" w:rsidR="00D50F53" w:rsidRPr="00F767DA" w:rsidRDefault="00D50F53" w:rsidP="00F36A88">
      <w:pPr>
        <w:contextualSpacing/>
        <w:rPr>
          <w:b/>
          <w:color w:val="auto"/>
        </w:rPr>
      </w:pPr>
      <w:r w:rsidRPr="00F767DA">
        <w:rPr>
          <w:b/>
          <w:color w:val="auto"/>
        </w:rPr>
        <w:t xml:space="preserve">Assessing the role of pathogen and host-encoded factors impacting cellular infection </w:t>
      </w:r>
    </w:p>
    <w:p w14:paraId="2984987E" w14:textId="55DF8983" w:rsidR="00665F6A" w:rsidRPr="00F767DA" w:rsidRDefault="00D31B6A" w:rsidP="00F36A88">
      <w:pPr>
        <w:contextualSpacing/>
        <w:rPr>
          <w:color w:val="auto"/>
        </w:rPr>
      </w:pPr>
      <w:r w:rsidRPr="00F767DA">
        <w:rPr>
          <w:color w:val="auto"/>
        </w:rPr>
        <w:t>Using</w:t>
      </w:r>
      <w:r w:rsidR="004D4276" w:rsidRPr="00F767DA">
        <w:rPr>
          <w:color w:val="auto"/>
        </w:rPr>
        <w:t xml:space="preserve"> the infection c</w:t>
      </w:r>
      <w:r w:rsidR="00FE214B" w:rsidRPr="00F767DA">
        <w:rPr>
          <w:color w:val="auto"/>
        </w:rPr>
        <w:t>onditions described above, 0.15</w:t>
      </w:r>
      <w:r w:rsidR="004D4276" w:rsidRPr="00F767DA">
        <w:rPr>
          <w:color w:val="auto"/>
        </w:rPr>
        <w:t>% of the input</w:t>
      </w:r>
      <w:r w:rsidRPr="00F767DA">
        <w:rPr>
          <w:color w:val="auto"/>
        </w:rPr>
        <w:t xml:space="preserve"> wild-type</w:t>
      </w:r>
      <w:r w:rsidR="004D4276" w:rsidRPr="00F767DA">
        <w:rPr>
          <w:color w:val="auto"/>
        </w:rPr>
        <w:t xml:space="preserve"> </w:t>
      </w:r>
      <w:r w:rsidR="003B4D7D" w:rsidRPr="00F767DA">
        <w:rPr>
          <w:i/>
          <w:color w:val="auto"/>
        </w:rPr>
        <w:t>L</w:t>
      </w:r>
      <w:r w:rsidR="004D4276" w:rsidRPr="00F767DA">
        <w:rPr>
          <w:i/>
          <w:color w:val="auto"/>
        </w:rPr>
        <w:t>m</w:t>
      </w:r>
      <w:r w:rsidR="004D4276" w:rsidRPr="00F767DA">
        <w:rPr>
          <w:color w:val="auto"/>
        </w:rPr>
        <w:t xml:space="preserve"> is recovered after 1.5</w:t>
      </w:r>
      <w:r w:rsidR="007F7836" w:rsidRPr="00F767DA">
        <w:rPr>
          <w:color w:val="auto"/>
        </w:rPr>
        <w:t xml:space="preserve"> h</w:t>
      </w:r>
      <w:r w:rsidR="004D4276" w:rsidRPr="00F767DA">
        <w:rPr>
          <w:color w:val="auto"/>
        </w:rPr>
        <w:t xml:space="preserve"> of </w:t>
      </w:r>
      <w:r w:rsidRPr="00F767DA">
        <w:rPr>
          <w:color w:val="auto"/>
        </w:rPr>
        <w:t>co-incubation with cultured macrophages (</w:t>
      </w:r>
      <w:r w:rsidR="007F7836" w:rsidRPr="00F767DA">
        <w:rPr>
          <w:b/>
          <w:color w:val="auto"/>
        </w:rPr>
        <w:t>Figure</w:t>
      </w:r>
      <w:r w:rsidRPr="00F767DA">
        <w:rPr>
          <w:b/>
          <w:color w:val="auto"/>
        </w:rPr>
        <w:t xml:space="preserve"> 1A</w:t>
      </w:r>
      <w:r w:rsidRPr="00F767DA">
        <w:rPr>
          <w:color w:val="auto"/>
        </w:rPr>
        <w:t>)</w:t>
      </w:r>
      <w:r w:rsidR="004D4276" w:rsidRPr="00F767DA">
        <w:rPr>
          <w:color w:val="auto"/>
        </w:rPr>
        <w:t xml:space="preserve">. </w:t>
      </w:r>
      <w:r w:rsidRPr="00F767DA">
        <w:rPr>
          <w:color w:val="auto"/>
        </w:rPr>
        <w:t>In the subsequent 1.5</w:t>
      </w:r>
      <w:r w:rsidR="007F7836" w:rsidRPr="00F767DA">
        <w:rPr>
          <w:color w:val="auto"/>
        </w:rPr>
        <w:t xml:space="preserve"> h</w:t>
      </w:r>
      <w:r w:rsidRPr="00F767DA">
        <w:rPr>
          <w:color w:val="auto"/>
        </w:rPr>
        <w:t xml:space="preserve"> of co-incu</w:t>
      </w:r>
      <w:r w:rsidR="00116933" w:rsidRPr="00F767DA">
        <w:rPr>
          <w:color w:val="auto"/>
        </w:rPr>
        <w:t>bation (3</w:t>
      </w:r>
      <w:r w:rsidR="007F7836" w:rsidRPr="00F767DA">
        <w:rPr>
          <w:color w:val="auto"/>
        </w:rPr>
        <w:t xml:space="preserve"> h</w:t>
      </w:r>
      <w:r w:rsidR="00116933" w:rsidRPr="00F767DA">
        <w:rPr>
          <w:color w:val="auto"/>
        </w:rPr>
        <w:t xml:space="preserve"> post infection, </w:t>
      </w:r>
      <w:proofErr w:type="spellStart"/>
      <w:r w:rsidR="00116933" w:rsidRPr="00F767DA">
        <w:rPr>
          <w:color w:val="auto"/>
        </w:rPr>
        <w:t>hpi</w:t>
      </w:r>
      <w:proofErr w:type="spellEnd"/>
      <w:r w:rsidR="00116933" w:rsidRPr="00F767DA">
        <w:rPr>
          <w:color w:val="auto"/>
        </w:rPr>
        <w:t>), there wa</w:t>
      </w:r>
      <w:r w:rsidR="006E4FFC" w:rsidRPr="00F767DA">
        <w:rPr>
          <w:color w:val="auto"/>
        </w:rPr>
        <w:t>s a 4-fold increase in recovery of viable</w:t>
      </w:r>
      <w:r w:rsidR="00116933" w:rsidRPr="00F767DA">
        <w:rPr>
          <w:color w:val="auto"/>
        </w:rPr>
        <w:t xml:space="preserve"> </w:t>
      </w:r>
      <w:r w:rsidR="00116933" w:rsidRPr="00F767DA">
        <w:rPr>
          <w:i/>
          <w:color w:val="auto"/>
        </w:rPr>
        <w:t>Lm</w:t>
      </w:r>
      <w:r w:rsidR="00116933" w:rsidRPr="00F767DA">
        <w:rPr>
          <w:color w:val="auto"/>
        </w:rPr>
        <w:t xml:space="preserve"> and from 3 to 6 hpi there was an additional 7.5-fold increase in </w:t>
      </w:r>
      <w:r w:rsidR="006E4FFC" w:rsidRPr="00F767DA">
        <w:rPr>
          <w:color w:val="auto"/>
        </w:rPr>
        <w:t>the recovery of viable</w:t>
      </w:r>
      <w:r w:rsidR="00116933" w:rsidRPr="00F767DA">
        <w:rPr>
          <w:color w:val="auto"/>
        </w:rPr>
        <w:t xml:space="preserve"> </w:t>
      </w:r>
      <w:r w:rsidR="00116933" w:rsidRPr="00F767DA">
        <w:rPr>
          <w:i/>
          <w:color w:val="auto"/>
        </w:rPr>
        <w:t>Lm</w:t>
      </w:r>
      <w:r w:rsidR="00116933" w:rsidRPr="00F767DA">
        <w:rPr>
          <w:color w:val="auto"/>
        </w:rPr>
        <w:t xml:space="preserve">. </w:t>
      </w:r>
      <w:r w:rsidR="00FF5A9B" w:rsidRPr="00F767DA">
        <w:rPr>
          <w:color w:val="auto"/>
        </w:rPr>
        <w:t>Since the cell-</w:t>
      </w:r>
      <w:r w:rsidR="002951AF" w:rsidRPr="00F767DA">
        <w:rPr>
          <w:color w:val="auto"/>
        </w:rPr>
        <w:t>impermeable antibiotic gentamicin is added to the co-cultures at 1 hpi</w:t>
      </w:r>
      <w:r w:rsidR="00865DB6" w:rsidRPr="00F767DA">
        <w:rPr>
          <w:color w:val="auto"/>
        </w:rPr>
        <w:t xml:space="preserve"> to eliminate extracellular </w:t>
      </w:r>
      <w:r w:rsidR="00865DB6" w:rsidRPr="00F767DA">
        <w:rPr>
          <w:i/>
          <w:color w:val="auto"/>
        </w:rPr>
        <w:t>Lm</w:t>
      </w:r>
      <w:r w:rsidR="002951AF" w:rsidRPr="00F767DA">
        <w:rPr>
          <w:color w:val="auto"/>
        </w:rPr>
        <w:t>, t</w:t>
      </w:r>
      <w:r w:rsidR="00116933" w:rsidRPr="00F767DA">
        <w:rPr>
          <w:color w:val="auto"/>
        </w:rPr>
        <w:t>he 30-fold increase in</w:t>
      </w:r>
      <w:r w:rsidR="006E4FFC" w:rsidRPr="00F767DA">
        <w:rPr>
          <w:color w:val="auto"/>
        </w:rPr>
        <w:t xml:space="preserve"> viable</w:t>
      </w:r>
      <w:r w:rsidR="00116933" w:rsidRPr="00F767DA">
        <w:rPr>
          <w:color w:val="auto"/>
        </w:rPr>
        <w:t xml:space="preserve"> </w:t>
      </w:r>
      <w:r w:rsidR="002951AF" w:rsidRPr="00F767DA">
        <w:rPr>
          <w:i/>
          <w:color w:val="auto"/>
        </w:rPr>
        <w:t>Lm</w:t>
      </w:r>
      <w:r w:rsidR="002951AF" w:rsidRPr="00F767DA">
        <w:rPr>
          <w:color w:val="auto"/>
        </w:rPr>
        <w:t xml:space="preserve"> levels between 1.5 and 6 hpi exclusively represents intracellular proliferation.</w:t>
      </w:r>
      <w:r w:rsidR="002D35C6" w:rsidRPr="00F767DA">
        <w:rPr>
          <w:color w:val="auto"/>
        </w:rPr>
        <w:t xml:space="preserve"> </w:t>
      </w:r>
    </w:p>
    <w:p w14:paraId="7BAB4E96" w14:textId="77777777" w:rsidR="007F7836" w:rsidRPr="00F767DA" w:rsidRDefault="007F7836" w:rsidP="00F36A88">
      <w:pPr>
        <w:contextualSpacing/>
        <w:rPr>
          <w:color w:val="auto"/>
        </w:rPr>
      </w:pPr>
    </w:p>
    <w:p w14:paraId="32CA375A" w14:textId="42754F89" w:rsidR="00F312A2" w:rsidRPr="00F767DA" w:rsidRDefault="00F312A2" w:rsidP="00F36A88">
      <w:pPr>
        <w:contextualSpacing/>
        <w:rPr>
          <w:color w:val="auto"/>
        </w:rPr>
      </w:pP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rapidly gains access to the cytosol following its internalization within eukaryotic cells</w:t>
      </w:r>
      <w:r w:rsidR="00794397" w:rsidRPr="00F767DA">
        <w:rPr>
          <w:color w:val="auto"/>
        </w:rPr>
        <w:t xml:space="preserve"> (see </w:t>
      </w:r>
      <w:r w:rsidR="00794397" w:rsidRPr="00F767DA">
        <w:rPr>
          <w:i/>
          <w:color w:val="auto"/>
        </w:rPr>
        <w:t>Introduction</w:t>
      </w:r>
      <w:r w:rsidR="00794397" w:rsidRPr="00F767DA">
        <w:rPr>
          <w:color w:val="auto"/>
        </w:rPr>
        <w:t>)</w:t>
      </w:r>
      <w:r w:rsidRPr="00F767DA">
        <w:rPr>
          <w:color w:val="auto"/>
        </w:rPr>
        <w:t xml:space="preserve">. Cytosolic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associates with the actin polymerization machinery by which means it propels itself </w:t>
      </w:r>
      <w:r w:rsidR="00212529" w:rsidRPr="00F767DA">
        <w:rPr>
          <w:color w:val="auto"/>
        </w:rPr>
        <w:t xml:space="preserve">capable of penetrating the plasma membrane. In the </w:t>
      </w:r>
      <w:r w:rsidR="002D35C6" w:rsidRPr="00F767DA">
        <w:rPr>
          <w:color w:val="auto"/>
        </w:rPr>
        <w:t>in vitro</w:t>
      </w:r>
      <w:r w:rsidR="00212529" w:rsidRPr="00F767DA">
        <w:rPr>
          <w:color w:val="auto"/>
        </w:rPr>
        <w:t xml:space="preserve"> infection assay described above, if gentamicin is removed from the wells at 6 hpi, </w:t>
      </w:r>
      <w:r w:rsidR="00992CFF" w:rsidRPr="00F767DA">
        <w:rPr>
          <w:color w:val="auto"/>
        </w:rPr>
        <w:t xml:space="preserve">extracellular </w:t>
      </w:r>
      <w:r w:rsidR="00992CFF" w:rsidRPr="00F767DA">
        <w:rPr>
          <w:i/>
          <w:color w:val="auto"/>
        </w:rPr>
        <w:t>Lm</w:t>
      </w:r>
      <w:r w:rsidR="00992CFF" w:rsidRPr="00F767DA">
        <w:rPr>
          <w:color w:val="auto"/>
        </w:rPr>
        <w:t xml:space="preserve"> can be readily detected 1</w:t>
      </w:r>
      <w:r w:rsidR="007F7836" w:rsidRPr="00F767DA">
        <w:rPr>
          <w:color w:val="auto"/>
        </w:rPr>
        <w:t xml:space="preserve"> h</w:t>
      </w:r>
      <w:r w:rsidR="00992CFF" w:rsidRPr="00F767DA">
        <w:rPr>
          <w:color w:val="auto"/>
        </w:rPr>
        <w:t xml:space="preserve"> later (7 </w:t>
      </w:r>
      <w:proofErr w:type="spellStart"/>
      <w:r w:rsidR="00992CFF" w:rsidRPr="00F767DA">
        <w:rPr>
          <w:color w:val="auto"/>
        </w:rPr>
        <w:t>hpi</w:t>
      </w:r>
      <w:proofErr w:type="spellEnd"/>
      <w:r w:rsidR="00992CFF" w:rsidRPr="00F767DA">
        <w:rPr>
          <w:color w:val="auto"/>
        </w:rPr>
        <w:t>) in the overlying media (</w:t>
      </w:r>
      <w:r w:rsidR="007F7836" w:rsidRPr="00F767DA">
        <w:rPr>
          <w:b/>
          <w:color w:val="auto"/>
        </w:rPr>
        <w:t>Figure</w:t>
      </w:r>
      <w:r w:rsidR="00992CFF" w:rsidRPr="00F767DA">
        <w:rPr>
          <w:b/>
          <w:color w:val="auto"/>
        </w:rPr>
        <w:t xml:space="preserve"> 1B</w:t>
      </w:r>
      <w:r w:rsidR="00992CFF" w:rsidRPr="00F767DA">
        <w:rPr>
          <w:color w:val="auto"/>
        </w:rPr>
        <w:t>).</w:t>
      </w:r>
      <w:r w:rsidR="00A8392F" w:rsidRPr="00F767DA">
        <w:rPr>
          <w:color w:val="auto"/>
        </w:rPr>
        <w:t xml:space="preserve"> </w:t>
      </w:r>
      <w:r w:rsidR="00186467" w:rsidRPr="00F767DA">
        <w:rPr>
          <w:color w:val="auto"/>
        </w:rPr>
        <w:t>No CFUs were recovered from c</w:t>
      </w:r>
      <w:r w:rsidR="00760108" w:rsidRPr="00F767DA">
        <w:rPr>
          <w:color w:val="auto"/>
        </w:rPr>
        <w:t xml:space="preserve">ontrol wells that were not seeded with macrophages but that were otherwise treated identically as seeded wells </w:t>
      </w:r>
      <w:r w:rsidR="00186467" w:rsidRPr="00F767DA">
        <w:rPr>
          <w:color w:val="auto"/>
        </w:rPr>
        <w:t>thereby showing</w:t>
      </w:r>
      <w:r w:rsidR="00760108" w:rsidRPr="00F767DA">
        <w:rPr>
          <w:color w:val="auto"/>
        </w:rPr>
        <w:t xml:space="preserve"> that t</w:t>
      </w:r>
      <w:r w:rsidR="00A8392F" w:rsidRPr="00F767DA">
        <w:rPr>
          <w:color w:val="auto"/>
        </w:rPr>
        <w:t xml:space="preserve">he appearance of extracellular </w:t>
      </w:r>
      <w:r w:rsidR="00A8392F" w:rsidRPr="00F767DA">
        <w:rPr>
          <w:i/>
          <w:color w:val="auto"/>
        </w:rPr>
        <w:t>Lm</w:t>
      </w:r>
      <w:r w:rsidR="00A8392F" w:rsidRPr="00F767DA">
        <w:rPr>
          <w:color w:val="auto"/>
        </w:rPr>
        <w:t xml:space="preserve"> was </w:t>
      </w:r>
      <w:r w:rsidR="00186467" w:rsidRPr="00F767DA">
        <w:rPr>
          <w:color w:val="auto"/>
        </w:rPr>
        <w:t xml:space="preserve">entirely </w:t>
      </w:r>
      <w:r w:rsidR="00A8392F" w:rsidRPr="00F767DA">
        <w:rPr>
          <w:color w:val="auto"/>
        </w:rPr>
        <w:t>dependent on the presence of macrophages</w:t>
      </w:r>
      <w:r w:rsidR="00760108" w:rsidRPr="00F767DA">
        <w:rPr>
          <w:color w:val="auto"/>
        </w:rPr>
        <w:t xml:space="preserve"> and not a result of incomplete antibiotic killing</w:t>
      </w:r>
      <w:r w:rsidR="00A8392F" w:rsidRPr="00F767DA">
        <w:rPr>
          <w:color w:val="auto"/>
        </w:rPr>
        <w:t xml:space="preserve"> (</w:t>
      </w:r>
      <w:r w:rsidR="00A8392F" w:rsidRPr="00F767DA">
        <w:rPr>
          <w:i/>
          <w:color w:val="auto"/>
        </w:rPr>
        <w:t>not shown</w:t>
      </w:r>
      <w:r w:rsidR="00A8392F" w:rsidRPr="00F767DA">
        <w:rPr>
          <w:color w:val="auto"/>
        </w:rPr>
        <w:t>).</w:t>
      </w:r>
      <w:r w:rsidR="00992CFF" w:rsidRPr="00F767DA">
        <w:rPr>
          <w:color w:val="auto"/>
        </w:rPr>
        <w:t xml:space="preserve"> </w:t>
      </w:r>
    </w:p>
    <w:p w14:paraId="26FDB854" w14:textId="12DE7628" w:rsidR="00865DB6" w:rsidRPr="00F767DA" w:rsidRDefault="00247678" w:rsidP="00F36A88">
      <w:pPr>
        <w:contextualSpacing/>
        <w:rPr>
          <w:color w:val="auto"/>
        </w:rPr>
      </w:pPr>
      <w:r w:rsidRPr="00F767DA">
        <w:rPr>
          <w:color w:val="auto"/>
        </w:rPr>
        <w:t xml:space="preserve">The capability of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to survive and proliferate intracellularly is largely dependent on a suite of genes whose expression are controlled by the transcription factor Positive Regulatory Factor A (</w:t>
      </w:r>
      <w:proofErr w:type="spellStart"/>
      <w:r w:rsidRPr="00F767DA">
        <w:rPr>
          <w:color w:val="auto"/>
        </w:rPr>
        <w:t>PrfA</w:t>
      </w:r>
      <w:proofErr w:type="spellEnd"/>
      <w:r w:rsidRPr="00F767DA">
        <w:rPr>
          <w:color w:val="auto"/>
        </w:rPr>
        <w:t>)</w:t>
      </w:r>
      <w:r w:rsidR="00B26CFD" w:rsidRPr="00F767DA">
        <w:rPr>
          <w:color w:val="auto"/>
          <w:vertAlign w:val="superscript"/>
        </w:rPr>
        <w:t>1</w:t>
      </w:r>
      <w:r w:rsidRPr="00F767DA">
        <w:rPr>
          <w:color w:val="auto"/>
        </w:rPr>
        <w:t xml:space="preserve">. </w:t>
      </w:r>
      <w:r w:rsidR="00C72206" w:rsidRPr="00F767DA">
        <w:rPr>
          <w:color w:val="auto"/>
        </w:rPr>
        <w:t>Initially</w:t>
      </w:r>
      <w:r w:rsidR="007F7836" w:rsidRPr="00F767DA">
        <w:rPr>
          <w:color w:val="auto"/>
        </w:rPr>
        <w:t>,</w:t>
      </w:r>
      <w:r w:rsidR="00C72206" w:rsidRPr="00F767DA">
        <w:rPr>
          <w:color w:val="auto"/>
        </w:rPr>
        <w:t xml:space="preserve"> t</w:t>
      </w:r>
      <w:r w:rsidR="006E4FFC" w:rsidRPr="00F767DA">
        <w:rPr>
          <w:color w:val="auto"/>
        </w:rPr>
        <w:t>here is a comparable recovery of</w:t>
      </w:r>
      <w:r w:rsidR="00C72206" w:rsidRPr="00F767DA">
        <w:rPr>
          <w:color w:val="auto"/>
        </w:rPr>
        <w:t xml:space="preserve"> the wild-type </w:t>
      </w:r>
      <w:r w:rsidR="00C72206" w:rsidRPr="00F767DA">
        <w:rPr>
          <w:i/>
          <w:color w:val="auto"/>
        </w:rPr>
        <w:t>Lm</w:t>
      </w:r>
      <w:r w:rsidR="00C72206" w:rsidRPr="00F767DA">
        <w:rPr>
          <w:color w:val="auto"/>
        </w:rPr>
        <w:t xml:space="preserve"> strain and</w:t>
      </w:r>
      <w:r w:rsidR="006E4FFC" w:rsidRPr="00F767DA">
        <w:rPr>
          <w:color w:val="auto"/>
        </w:rPr>
        <w:t xml:space="preserve"> a</w:t>
      </w:r>
      <w:r w:rsidR="00840ABB" w:rsidRPr="00F767DA">
        <w:rPr>
          <w:color w:val="auto"/>
        </w:rPr>
        <w:t xml:space="preserve"> </w:t>
      </w:r>
      <w:r w:rsidR="00840ABB" w:rsidRPr="00F767DA">
        <w:rPr>
          <w:i/>
          <w:color w:val="auto"/>
        </w:rPr>
        <w:t>Lm</w:t>
      </w:r>
      <w:r w:rsidR="00840ABB" w:rsidRPr="00F767DA">
        <w:rPr>
          <w:color w:val="auto"/>
        </w:rPr>
        <w:t xml:space="preserve"> mutant strain deleted for this factor (</w:t>
      </w:r>
      <w:proofErr w:type="spellStart"/>
      <w:r w:rsidR="00840ABB" w:rsidRPr="00F767DA">
        <w:rPr>
          <w:color w:val="auto"/>
        </w:rPr>
        <w:t>Δ</w:t>
      </w:r>
      <w:r w:rsidR="00840ABB" w:rsidRPr="00F767DA">
        <w:rPr>
          <w:i/>
          <w:color w:val="auto"/>
        </w:rPr>
        <w:t>prfA</w:t>
      </w:r>
      <w:proofErr w:type="spellEnd"/>
      <w:r w:rsidR="006E4FFC" w:rsidRPr="00F767DA">
        <w:rPr>
          <w:color w:val="auto"/>
        </w:rPr>
        <w:t>)</w:t>
      </w:r>
      <w:r w:rsidR="00840ABB" w:rsidRPr="00F767DA">
        <w:rPr>
          <w:color w:val="auto"/>
        </w:rPr>
        <w:t xml:space="preserve"> </w:t>
      </w:r>
      <w:r w:rsidR="00C72206" w:rsidRPr="00F767DA">
        <w:rPr>
          <w:color w:val="auto"/>
        </w:rPr>
        <w:t>(</w:t>
      </w:r>
      <w:r w:rsidR="007F7836" w:rsidRPr="00F767DA">
        <w:rPr>
          <w:b/>
          <w:color w:val="auto"/>
        </w:rPr>
        <w:t>Figure</w:t>
      </w:r>
      <w:r w:rsidR="00C72206" w:rsidRPr="00F767DA">
        <w:rPr>
          <w:b/>
          <w:color w:val="auto"/>
        </w:rPr>
        <w:t xml:space="preserve"> 1A</w:t>
      </w:r>
      <w:r w:rsidR="00C72206" w:rsidRPr="00F767DA">
        <w:rPr>
          <w:color w:val="auto"/>
        </w:rPr>
        <w:t xml:space="preserve">). </w:t>
      </w:r>
      <w:r w:rsidR="00E83EB1" w:rsidRPr="00F767DA">
        <w:rPr>
          <w:color w:val="auto"/>
        </w:rPr>
        <w:t>However,</w:t>
      </w:r>
      <w:r w:rsidR="00C72206" w:rsidRPr="00F767DA">
        <w:rPr>
          <w:color w:val="auto"/>
        </w:rPr>
        <w:t xml:space="preserve"> there is a</w:t>
      </w:r>
      <w:r w:rsidR="00E83EB1" w:rsidRPr="00F767DA">
        <w:rPr>
          <w:color w:val="auto"/>
        </w:rPr>
        <w:t xml:space="preserve"> subsequent</w:t>
      </w:r>
      <w:r w:rsidR="00C72206" w:rsidRPr="00F767DA">
        <w:rPr>
          <w:color w:val="auto"/>
        </w:rPr>
        <w:t xml:space="preserve"> reduction in the recovery of the Δ</w:t>
      </w:r>
      <w:r w:rsidR="00C72206" w:rsidRPr="00F767DA">
        <w:rPr>
          <w:i/>
          <w:color w:val="auto"/>
        </w:rPr>
        <w:t>prfA</w:t>
      </w:r>
      <w:r w:rsidR="00C72206" w:rsidRPr="00F767DA">
        <w:rPr>
          <w:color w:val="auto"/>
        </w:rPr>
        <w:t xml:space="preserve"> strain</w:t>
      </w:r>
      <w:r w:rsidR="00E83EB1" w:rsidRPr="00F767DA">
        <w:rPr>
          <w:color w:val="auto"/>
        </w:rPr>
        <w:t xml:space="preserve"> after prolonged co-incubation such that the recovery at 6 hpi is 3-fold less</w:t>
      </w:r>
      <w:r w:rsidR="00B41365" w:rsidRPr="00F767DA">
        <w:rPr>
          <w:color w:val="auto"/>
        </w:rPr>
        <w:t xml:space="preserve"> than the </w:t>
      </w:r>
      <w:r w:rsidR="00743800" w:rsidRPr="00F767DA">
        <w:rPr>
          <w:color w:val="auto"/>
        </w:rPr>
        <w:t>recovery at 1.5 hpi. Relatedly</w:t>
      </w:r>
      <w:r w:rsidR="00922BF9" w:rsidRPr="00F767DA">
        <w:rPr>
          <w:color w:val="auto"/>
        </w:rPr>
        <w:t xml:space="preserve"> and expectedly</w:t>
      </w:r>
      <w:r w:rsidR="00FE214B" w:rsidRPr="00F767DA">
        <w:rPr>
          <w:color w:val="auto"/>
        </w:rPr>
        <w:t>,</w:t>
      </w:r>
      <w:r w:rsidR="000575EB" w:rsidRPr="00F767DA">
        <w:rPr>
          <w:color w:val="auto"/>
        </w:rPr>
        <w:t xml:space="preserve"> Δ</w:t>
      </w:r>
      <w:r w:rsidR="000575EB" w:rsidRPr="00F767DA">
        <w:rPr>
          <w:i/>
          <w:color w:val="auto"/>
        </w:rPr>
        <w:t>prfA</w:t>
      </w:r>
      <w:r w:rsidR="00FE214B" w:rsidRPr="00F767DA">
        <w:rPr>
          <w:color w:val="auto"/>
        </w:rPr>
        <w:t xml:space="preserve"> bacteria</w:t>
      </w:r>
      <w:r w:rsidR="000575EB" w:rsidRPr="00F767DA">
        <w:rPr>
          <w:color w:val="auto"/>
        </w:rPr>
        <w:t xml:space="preserve"> </w:t>
      </w:r>
      <w:r w:rsidR="00743800" w:rsidRPr="00F767DA">
        <w:rPr>
          <w:color w:val="auto"/>
        </w:rPr>
        <w:t>w</w:t>
      </w:r>
      <w:r w:rsidR="00FE214B" w:rsidRPr="00F767DA">
        <w:rPr>
          <w:color w:val="auto"/>
        </w:rPr>
        <w:t>ere</w:t>
      </w:r>
      <w:r w:rsidR="00743800" w:rsidRPr="00F767DA">
        <w:rPr>
          <w:color w:val="auto"/>
        </w:rPr>
        <w:t xml:space="preserve"> not detected in the overlying media at 7 </w:t>
      </w:r>
      <w:proofErr w:type="spellStart"/>
      <w:r w:rsidR="00743800" w:rsidRPr="00F767DA">
        <w:rPr>
          <w:color w:val="auto"/>
        </w:rPr>
        <w:t>hpi</w:t>
      </w:r>
      <w:proofErr w:type="spellEnd"/>
      <w:r w:rsidR="00743800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743800" w:rsidRPr="00F767DA">
        <w:rPr>
          <w:b/>
          <w:color w:val="auto"/>
        </w:rPr>
        <w:t xml:space="preserve"> 1B</w:t>
      </w:r>
      <w:r w:rsidR="00743800" w:rsidRPr="00F767DA">
        <w:rPr>
          <w:color w:val="auto"/>
        </w:rPr>
        <w:t xml:space="preserve">). </w:t>
      </w:r>
    </w:p>
    <w:p w14:paraId="4447B177" w14:textId="77777777" w:rsidR="007F7836" w:rsidRPr="00F767DA" w:rsidRDefault="007F7836" w:rsidP="00F36A88">
      <w:pPr>
        <w:contextualSpacing/>
        <w:rPr>
          <w:color w:val="auto"/>
        </w:rPr>
      </w:pPr>
    </w:p>
    <w:p w14:paraId="01A5F0CD" w14:textId="6AC8725A" w:rsidR="00E83EB1" w:rsidRPr="00F767DA" w:rsidRDefault="00E83EB1" w:rsidP="00F36A88">
      <w:pPr>
        <w:contextualSpacing/>
        <w:rPr>
          <w:color w:val="auto"/>
        </w:rPr>
      </w:pPr>
      <w:r w:rsidRPr="00F767DA">
        <w:rPr>
          <w:color w:val="auto"/>
        </w:rPr>
        <w:t>The activity of PrfA is regulated at multiple</w:t>
      </w:r>
      <w:r w:rsidR="00590A85" w:rsidRPr="00F767DA">
        <w:rPr>
          <w:color w:val="auto"/>
        </w:rPr>
        <w:t xml:space="preserve"> levels. </w:t>
      </w:r>
      <w:proofErr w:type="gramStart"/>
      <w:r w:rsidR="00590A85" w:rsidRPr="00F767DA">
        <w:rPr>
          <w:color w:val="auto"/>
        </w:rPr>
        <w:t>A number of</w:t>
      </w:r>
      <w:proofErr w:type="gramEnd"/>
      <w:r w:rsidR="00590A85" w:rsidRPr="00F767DA">
        <w:rPr>
          <w:color w:val="auto"/>
        </w:rPr>
        <w:t xml:space="preserve"> c</w:t>
      </w:r>
      <w:r w:rsidRPr="00F767DA">
        <w:rPr>
          <w:color w:val="auto"/>
        </w:rPr>
        <w:t xml:space="preserve">onstitutively active </w:t>
      </w:r>
      <w:r w:rsidR="00590A85" w:rsidRPr="00F767DA">
        <w:rPr>
          <w:color w:val="auto"/>
        </w:rPr>
        <w:t>PrfA variants, encoded by</w:t>
      </w:r>
      <w:r w:rsidR="00EF0EC8" w:rsidRPr="00F767DA">
        <w:rPr>
          <w:color w:val="auto"/>
        </w:rPr>
        <w:t xml:space="preserve"> hyper-virulent</w:t>
      </w:r>
      <w:r w:rsidR="00590A85" w:rsidRPr="00F767DA">
        <w:rPr>
          <w:color w:val="auto"/>
        </w:rPr>
        <w:t xml:space="preserve"> </w:t>
      </w:r>
      <w:proofErr w:type="spellStart"/>
      <w:r w:rsidR="00590A85" w:rsidRPr="00F767DA">
        <w:rPr>
          <w:i/>
          <w:color w:val="auto"/>
        </w:rPr>
        <w:t>prfA</w:t>
      </w:r>
      <w:proofErr w:type="spellEnd"/>
      <w:r w:rsidR="00590A85" w:rsidRPr="00F767DA">
        <w:rPr>
          <w:i/>
          <w:color w:val="auto"/>
        </w:rPr>
        <w:t>*</w:t>
      </w:r>
      <w:r w:rsidR="00590A85" w:rsidRPr="00F767DA">
        <w:rPr>
          <w:color w:val="auto"/>
        </w:rPr>
        <w:t xml:space="preserve"> alleles, have been isolated</w:t>
      </w:r>
      <w:r w:rsidR="007E1E2A" w:rsidRPr="00F767DA">
        <w:rPr>
          <w:color w:val="auto"/>
          <w:vertAlign w:val="superscript"/>
        </w:rPr>
        <w:t>3</w:t>
      </w:r>
      <w:r w:rsidR="00590A85" w:rsidRPr="00F767DA">
        <w:rPr>
          <w:color w:val="auto"/>
        </w:rPr>
        <w:t xml:space="preserve">. A </w:t>
      </w:r>
      <w:r w:rsidR="00590A85" w:rsidRPr="00F767DA">
        <w:rPr>
          <w:i/>
          <w:color w:val="auto"/>
        </w:rPr>
        <w:t>Lm</w:t>
      </w:r>
      <w:r w:rsidR="00590A85" w:rsidRPr="00F767DA">
        <w:rPr>
          <w:color w:val="auto"/>
        </w:rPr>
        <w:t xml:space="preserve"> strain possessing a </w:t>
      </w:r>
      <w:proofErr w:type="spellStart"/>
      <w:r w:rsidR="00590A85" w:rsidRPr="00F767DA">
        <w:rPr>
          <w:i/>
          <w:color w:val="auto"/>
        </w:rPr>
        <w:t>prfA</w:t>
      </w:r>
      <w:proofErr w:type="spellEnd"/>
      <w:r w:rsidR="00590A85" w:rsidRPr="00F767DA">
        <w:rPr>
          <w:i/>
          <w:color w:val="auto"/>
        </w:rPr>
        <w:t>*</w:t>
      </w:r>
      <w:r w:rsidR="00590A85" w:rsidRPr="00F767DA">
        <w:rPr>
          <w:color w:val="auto"/>
        </w:rPr>
        <w:t xml:space="preserve"> has a</w:t>
      </w:r>
      <w:r w:rsidR="009E0D16" w:rsidRPr="00F767DA">
        <w:rPr>
          <w:color w:val="auto"/>
        </w:rPr>
        <w:t>n initial</w:t>
      </w:r>
      <w:r w:rsidR="00590A85" w:rsidRPr="00F767DA">
        <w:rPr>
          <w:color w:val="auto"/>
        </w:rPr>
        <w:t xml:space="preserve"> infection profile </w:t>
      </w:r>
      <w:r w:rsidR="009E0D16" w:rsidRPr="00F767DA">
        <w:rPr>
          <w:color w:val="auto"/>
        </w:rPr>
        <w:t xml:space="preserve">that is comparable to the </w:t>
      </w:r>
      <w:r w:rsidR="00590A85" w:rsidRPr="00F767DA">
        <w:rPr>
          <w:color w:val="auto"/>
        </w:rPr>
        <w:t>isogenic wild-type strain</w:t>
      </w:r>
      <w:r w:rsidR="009E0D16" w:rsidRPr="00F767DA">
        <w:rPr>
          <w:color w:val="auto"/>
        </w:rPr>
        <w:t xml:space="preserve"> at 1.5 and 3 </w:t>
      </w:r>
      <w:proofErr w:type="spellStart"/>
      <w:r w:rsidR="009E0D16" w:rsidRPr="00F767DA">
        <w:rPr>
          <w:color w:val="auto"/>
        </w:rPr>
        <w:t>hpi</w:t>
      </w:r>
      <w:proofErr w:type="spellEnd"/>
      <w:r w:rsidR="009E0D16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9E0D16" w:rsidRPr="00F767DA">
        <w:rPr>
          <w:b/>
          <w:color w:val="auto"/>
        </w:rPr>
        <w:t xml:space="preserve"> 1A</w:t>
      </w:r>
      <w:r w:rsidR="009E0D16" w:rsidRPr="00F767DA">
        <w:rPr>
          <w:color w:val="auto"/>
        </w:rPr>
        <w:t xml:space="preserve">). </w:t>
      </w:r>
      <w:r w:rsidR="006467F4" w:rsidRPr="00F767DA">
        <w:rPr>
          <w:color w:val="auto"/>
        </w:rPr>
        <w:t xml:space="preserve">However, between 3 and 6 </w:t>
      </w:r>
      <w:proofErr w:type="spellStart"/>
      <w:r w:rsidR="006467F4" w:rsidRPr="00F767DA">
        <w:rPr>
          <w:color w:val="auto"/>
        </w:rPr>
        <w:t>hpi</w:t>
      </w:r>
      <w:proofErr w:type="spellEnd"/>
      <w:r w:rsidR="007F7836" w:rsidRPr="00F767DA">
        <w:rPr>
          <w:color w:val="auto"/>
        </w:rPr>
        <w:t>,</w:t>
      </w:r>
      <w:r w:rsidR="006467F4" w:rsidRPr="00F767DA">
        <w:rPr>
          <w:color w:val="auto"/>
        </w:rPr>
        <w:t xml:space="preserve"> the fold-increase of the </w:t>
      </w:r>
      <w:proofErr w:type="spellStart"/>
      <w:r w:rsidR="006467F4" w:rsidRPr="00F767DA">
        <w:rPr>
          <w:i/>
          <w:color w:val="auto"/>
        </w:rPr>
        <w:t>prfA</w:t>
      </w:r>
      <w:proofErr w:type="spellEnd"/>
      <w:r w:rsidR="006467F4" w:rsidRPr="00F767DA">
        <w:rPr>
          <w:i/>
          <w:color w:val="auto"/>
        </w:rPr>
        <w:t>*</w:t>
      </w:r>
      <w:r w:rsidR="006467F4" w:rsidRPr="00F767DA">
        <w:rPr>
          <w:color w:val="auto"/>
        </w:rPr>
        <w:t xml:space="preserve"> strain significantly differed from that of the wild-type strain. </w:t>
      </w:r>
      <w:r w:rsidR="000575EB" w:rsidRPr="00F767DA">
        <w:rPr>
          <w:color w:val="auto"/>
        </w:rPr>
        <w:t>Again, relatedly</w:t>
      </w:r>
      <w:r w:rsidR="00922BF9" w:rsidRPr="00F767DA">
        <w:rPr>
          <w:color w:val="auto"/>
        </w:rPr>
        <w:t xml:space="preserve"> and expectedly</w:t>
      </w:r>
      <w:r w:rsidR="000575EB" w:rsidRPr="00F767DA">
        <w:rPr>
          <w:color w:val="auto"/>
        </w:rPr>
        <w:t xml:space="preserve">, the </w:t>
      </w:r>
      <w:proofErr w:type="spellStart"/>
      <w:r w:rsidR="000575EB" w:rsidRPr="00F767DA">
        <w:rPr>
          <w:i/>
          <w:color w:val="auto"/>
        </w:rPr>
        <w:t>prfA</w:t>
      </w:r>
      <w:proofErr w:type="spellEnd"/>
      <w:r w:rsidR="000575EB" w:rsidRPr="00F767DA">
        <w:rPr>
          <w:i/>
          <w:color w:val="auto"/>
        </w:rPr>
        <w:t>*</w:t>
      </w:r>
      <w:r w:rsidR="000575EB" w:rsidRPr="00F767DA">
        <w:rPr>
          <w:color w:val="auto"/>
        </w:rPr>
        <w:t xml:space="preserve"> strain</w:t>
      </w:r>
      <w:r w:rsidR="00AC79EC" w:rsidRPr="00F767DA">
        <w:rPr>
          <w:color w:val="auto"/>
        </w:rPr>
        <w:t xml:space="preserve"> was readily detected in the overlying media at 7 hpi at levels that significantly exceeded that observed for the wild-type </w:t>
      </w:r>
      <w:proofErr w:type="spellStart"/>
      <w:r w:rsidR="00AC79EC" w:rsidRPr="00F767DA">
        <w:rPr>
          <w:i/>
          <w:color w:val="auto"/>
        </w:rPr>
        <w:t>Lm</w:t>
      </w:r>
      <w:proofErr w:type="spellEnd"/>
      <w:r w:rsidR="00AC79EC" w:rsidRPr="00F767DA">
        <w:rPr>
          <w:color w:val="auto"/>
        </w:rPr>
        <w:t xml:space="preserve"> strain (</w:t>
      </w:r>
      <w:r w:rsidR="007F7836" w:rsidRPr="00F767DA">
        <w:rPr>
          <w:b/>
          <w:color w:val="auto"/>
        </w:rPr>
        <w:t>Figure</w:t>
      </w:r>
      <w:r w:rsidR="00AC79EC" w:rsidRPr="00F767DA">
        <w:rPr>
          <w:b/>
          <w:color w:val="auto"/>
        </w:rPr>
        <w:t xml:space="preserve"> 1B</w:t>
      </w:r>
      <w:r w:rsidR="00AC79EC" w:rsidRPr="00F767DA">
        <w:rPr>
          <w:color w:val="auto"/>
        </w:rPr>
        <w:t>).</w:t>
      </w:r>
      <w:r w:rsidR="00DC7BEB" w:rsidRPr="00F767DA">
        <w:rPr>
          <w:color w:val="auto"/>
        </w:rPr>
        <w:t xml:space="preserve"> </w:t>
      </w:r>
    </w:p>
    <w:p w14:paraId="6ADE03F1" w14:textId="77777777" w:rsidR="007F7836" w:rsidRPr="00F767DA" w:rsidRDefault="007F7836" w:rsidP="00F36A88">
      <w:pPr>
        <w:contextualSpacing/>
        <w:rPr>
          <w:color w:val="auto"/>
        </w:rPr>
      </w:pPr>
    </w:p>
    <w:p w14:paraId="144B5B0C" w14:textId="658A4FA8" w:rsidR="007F132D" w:rsidRPr="00F767DA" w:rsidRDefault="00794397" w:rsidP="00F36A88">
      <w:pPr>
        <w:contextualSpacing/>
        <w:rPr>
          <w:color w:val="auto"/>
        </w:rPr>
      </w:pPr>
      <w:r w:rsidRPr="00F767DA">
        <w:rPr>
          <w:color w:val="auto"/>
        </w:rPr>
        <w:t>F</w:t>
      </w:r>
      <w:r w:rsidR="00557515" w:rsidRPr="00F767DA">
        <w:rPr>
          <w:color w:val="auto"/>
        </w:rPr>
        <w:t xml:space="preserve">ollowing its release into the cytosol, </w:t>
      </w:r>
      <w:r w:rsidR="00557515" w:rsidRPr="00F767DA">
        <w:rPr>
          <w:i/>
          <w:color w:val="auto"/>
        </w:rPr>
        <w:t>Lm</w:t>
      </w:r>
      <w:r w:rsidR="00557515" w:rsidRPr="00F767DA">
        <w:rPr>
          <w:color w:val="auto"/>
        </w:rPr>
        <w:t xml:space="preserve"> associates with the cellular actin polymerization machinery that results in the bacterium being enveloped by polymerized actin. </w:t>
      </w:r>
      <w:r w:rsidR="007F132D" w:rsidRPr="00F767DA">
        <w:rPr>
          <w:color w:val="auto"/>
        </w:rPr>
        <w:t xml:space="preserve">To confirm that extracellular </w:t>
      </w:r>
      <w:r w:rsidR="007F132D" w:rsidRPr="00F767DA">
        <w:rPr>
          <w:i/>
          <w:color w:val="auto"/>
        </w:rPr>
        <w:t>Lm</w:t>
      </w:r>
      <w:r w:rsidR="007F132D" w:rsidRPr="00F767DA">
        <w:rPr>
          <w:color w:val="auto"/>
        </w:rPr>
        <w:t xml:space="preserve"> is derived from the </w:t>
      </w:r>
      <w:r w:rsidR="00313E39" w:rsidRPr="00F767DA">
        <w:rPr>
          <w:color w:val="auto"/>
        </w:rPr>
        <w:t xml:space="preserve">actin-rich </w:t>
      </w:r>
      <w:r w:rsidR="007F132D" w:rsidRPr="00F767DA">
        <w:rPr>
          <w:color w:val="auto"/>
        </w:rPr>
        <w:t xml:space="preserve">cytosol of the infected host cell, </w:t>
      </w:r>
      <w:r w:rsidR="00FE6F3C" w:rsidRPr="00F767DA">
        <w:rPr>
          <w:color w:val="auto"/>
        </w:rPr>
        <w:t xml:space="preserve">macrophages </w:t>
      </w:r>
      <w:r w:rsidR="001C6E00" w:rsidRPr="00F767DA">
        <w:rPr>
          <w:color w:val="auto"/>
        </w:rPr>
        <w:t xml:space="preserve">were </w:t>
      </w:r>
      <w:r w:rsidR="00A627B1" w:rsidRPr="00F767DA">
        <w:rPr>
          <w:color w:val="auto"/>
        </w:rPr>
        <w:t xml:space="preserve">either left uninfected or </w:t>
      </w:r>
      <w:r w:rsidR="00FE6F3C" w:rsidRPr="00F767DA">
        <w:rPr>
          <w:color w:val="auto"/>
        </w:rPr>
        <w:t xml:space="preserve">infected with </w:t>
      </w:r>
      <w:r w:rsidR="001C6E00" w:rsidRPr="00F767DA">
        <w:rPr>
          <w:color w:val="auto"/>
        </w:rPr>
        <w:t>a GFP-expressing</w:t>
      </w:r>
      <w:r w:rsidR="00FE6F3C" w:rsidRPr="00F767DA">
        <w:rPr>
          <w:color w:val="auto"/>
        </w:rPr>
        <w:t xml:space="preserve"> </w:t>
      </w:r>
      <w:proofErr w:type="spellStart"/>
      <w:r w:rsidR="00FE6F3C" w:rsidRPr="00F767DA">
        <w:rPr>
          <w:i/>
          <w:color w:val="auto"/>
        </w:rPr>
        <w:t>prfA</w:t>
      </w:r>
      <w:proofErr w:type="spellEnd"/>
      <w:r w:rsidR="00FE6F3C" w:rsidRPr="00F767DA">
        <w:rPr>
          <w:i/>
          <w:color w:val="auto"/>
        </w:rPr>
        <w:t>*</w:t>
      </w:r>
      <w:r w:rsidR="00FE6F3C" w:rsidRPr="00F767DA">
        <w:rPr>
          <w:color w:val="auto"/>
        </w:rPr>
        <w:t xml:space="preserve"> </w:t>
      </w:r>
      <w:r w:rsidR="001C6E00" w:rsidRPr="00F767DA">
        <w:rPr>
          <w:color w:val="auto"/>
        </w:rPr>
        <w:t xml:space="preserve">strain and the overlying media was </w:t>
      </w:r>
      <w:r w:rsidR="00706928" w:rsidRPr="00F767DA">
        <w:rPr>
          <w:color w:val="auto"/>
        </w:rPr>
        <w:t>collected a</w:t>
      </w:r>
      <w:r w:rsidR="00F76FBE" w:rsidRPr="00F767DA">
        <w:rPr>
          <w:color w:val="auto"/>
        </w:rPr>
        <w:t>t 1.5, 4, and 6 hpi</w:t>
      </w:r>
      <w:r w:rsidR="00A627B1" w:rsidRPr="00F767DA">
        <w:rPr>
          <w:color w:val="auto"/>
        </w:rPr>
        <w:t>, stained with phalloidin</w:t>
      </w:r>
      <w:r w:rsidR="001E0FEB" w:rsidRPr="00F767DA">
        <w:rPr>
          <w:color w:val="auto"/>
        </w:rPr>
        <w:t xml:space="preserve"> that binds polymerized actin</w:t>
      </w:r>
      <w:r w:rsidR="00A627B1" w:rsidRPr="00F767DA">
        <w:rPr>
          <w:color w:val="auto"/>
        </w:rPr>
        <w:t>, and analyzed by flow cytometry</w:t>
      </w:r>
      <w:r w:rsidR="00F76FBE" w:rsidRPr="00F767DA">
        <w:rPr>
          <w:color w:val="auto"/>
        </w:rPr>
        <w:t xml:space="preserve">. </w:t>
      </w:r>
      <w:r w:rsidR="00A627B1" w:rsidRPr="00F767DA">
        <w:rPr>
          <w:color w:val="auto"/>
        </w:rPr>
        <w:t xml:space="preserve">Media overlaying both uninfected and infected macrophages contained </w:t>
      </w:r>
      <w:r w:rsidR="0015148E" w:rsidRPr="00F767DA">
        <w:rPr>
          <w:color w:val="auto"/>
        </w:rPr>
        <w:t xml:space="preserve">light-scattering bacterium-sized </w:t>
      </w:r>
      <w:r w:rsidR="00A627B1" w:rsidRPr="00F767DA">
        <w:rPr>
          <w:color w:val="auto"/>
        </w:rPr>
        <w:t>particulate matter</w:t>
      </w:r>
      <w:r w:rsidR="0015148E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15148E" w:rsidRPr="00F767DA">
        <w:rPr>
          <w:b/>
          <w:color w:val="auto"/>
        </w:rPr>
        <w:t xml:space="preserve"> 2A</w:t>
      </w:r>
      <w:r w:rsidR="0015148E" w:rsidRPr="00F767DA">
        <w:rPr>
          <w:color w:val="auto"/>
        </w:rPr>
        <w:t xml:space="preserve">), however, only media from infected </w:t>
      </w:r>
      <w:r w:rsidR="0015148E" w:rsidRPr="00F767DA">
        <w:rPr>
          <w:color w:val="auto"/>
        </w:rPr>
        <w:lastRenderedPageBreak/>
        <w:t xml:space="preserve">macrophages possessed GFP-positive signals within this </w:t>
      </w:r>
      <w:r w:rsidR="001E0FEB" w:rsidRPr="00F767DA">
        <w:rPr>
          <w:color w:val="auto"/>
        </w:rPr>
        <w:t>size gating</w:t>
      </w:r>
      <w:r w:rsidR="0015148E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15148E" w:rsidRPr="00F767DA">
        <w:rPr>
          <w:b/>
          <w:color w:val="auto"/>
        </w:rPr>
        <w:t xml:space="preserve"> 2B</w:t>
      </w:r>
      <w:r w:rsidR="001E0FEB" w:rsidRPr="00F767DA">
        <w:rPr>
          <w:color w:val="auto"/>
        </w:rPr>
        <w:t>;</w:t>
      </w:r>
      <w:r w:rsidR="001E0FEB" w:rsidRPr="00F767DA">
        <w:rPr>
          <w:b/>
          <w:color w:val="auto"/>
        </w:rPr>
        <w:t xml:space="preserve"> </w:t>
      </w:r>
      <w:r w:rsidR="001E0FEB" w:rsidRPr="00F767DA">
        <w:rPr>
          <w:color w:val="auto"/>
        </w:rPr>
        <w:t>left panel</w:t>
      </w:r>
      <w:r w:rsidR="0015148E" w:rsidRPr="00F767DA">
        <w:rPr>
          <w:color w:val="auto"/>
        </w:rPr>
        <w:t xml:space="preserve">). </w:t>
      </w:r>
      <w:r w:rsidR="00313E39" w:rsidRPr="00F767DA">
        <w:rPr>
          <w:color w:val="auto"/>
        </w:rPr>
        <w:t>There was a time-dependent increase in the appearance of phalloidin</w:t>
      </w:r>
      <w:r w:rsidR="001E0FEB" w:rsidRPr="00F767DA">
        <w:rPr>
          <w:color w:val="auto"/>
        </w:rPr>
        <w:t>-</w:t>
      </w:r>
      <w:r w:rsidR="00313E39" w:rsidRPr="00F767DA">
        <w:rPr>
          <w:color w:val="auto"/>
        </w:rPr>
        <w:t xml:space="preserve">positive </w:t>
      </w:r>
      <w:r w:rsidR="00313E39" w:rsidRPr="00F767DA">
        <w:rPr>
          <w:i/>
          <w:color w:val="auto"/>
        </w:rPr>
        <w:t>Lm</w:t>
      </w:r>
      <w:r w:rsidR="00313E39" w:rsidRPr="00F767DA">
        <w:rPr>
          <w:color w:val="auto"/>
        </w:rPr>
        <w:t xml:space="preserve"> </w:t>
      </w:r>
      <w:r w:rsidR="001E0FEB" w:rsidRPr="00F767DA">
        <w:rPr>
          <w:color w:val="auto"/>
        </w:rPr>
        <w:t xml:space="preserve">in the media overlaying infected macrophages </w:t>
      </w:r>
      <w:r w:rsidR="00313E39" w:rsidRPr="00F767DA">
        <w:rPr>
          <w:color w:val="auto"/>
        </w:rPr>
        <w:t>(</w:t>
      </w:r>
      <w:r w:rsidR="007F7836" w:rsidRPr="00F767DA">
        <w:rPr>
          <w:b/>
          <w:color w:val="auto"/>
        </w:rPr>
        <w:t>Figure</w:t>
      </w:r>
      <w:r w:rsidR="00313E39" w:rsidRPr="00F767DA">
        <w:rPr>
          <w:b/>
          <w:color w:val="auto"/>
        </w:rPr>
        <w:t xml:space="preserve"> 2</w:t>
      </w:r>
      <w:r w:rsidR="001E0FEB" w:rsidRPr="00F767DA">
        <w:rPr>
          <w:b/>
          <w:color w:val="auto"/>
        </w:rPr>
        <w:t>B</w:t>
      </w:r>
      <w:r w:rsidR="001E0FEB" w:rsidRPr="00F767DA">
        <w:rPr>
          <w:color w:val="auto"/>
        </w:rPr>
        <w:t>; right three panels</w:t>
      </w:r>
      <w:r w:rsidR="00313E39" w:rsidRPr="00F767DA">
        <w:rPr>
          <w:color w:val="auto"/>
        </w:rPr>
        <w:t xml:space="preserve">). </w:t>
      </w:r>
      <w:r w:rsidR="00845965" w:rsidRPr="00F767DA">
        <w:rPr>
          <w:color w:val="auto"/>
        </w:rPr>
        <w:t xml:space="preserve">Phalloidin-positive </w:t>
      </w:r>
      <w:r w:rsidR="006F3053" w:rsidRPr="00F767DA">
        <w:rPr>
          <w:color w:val="auto"/>
        </w:rPr>
        <w:t xml:space="preserve">GFP-expressing </w:t>
      </w:r>
      <w:r w:rsidR="001E0FEB" w:rsidRPr="00F767DA">
        <w:rPr>
          <w:i/>
          <w:color w:val="auto"/>
        </w:rPr>
        <w:t>Lm</w:t>
      </w:r>
      <w:r w:rsidR="006F3053" w:rsidRPr="00F767DA">
        <w:rPr>
          <w:color w:val="auto"/>
        </w:rPr>
        <w:t xml:space="preserve"> were</w:t>
      </w:r>
      <w:r w:rsidR="00845965" w:rsidRPr="00F767DA">
        <w:rPr>
          <w:color w:val="auto"/>
        </w:rPr>
        <w:t xml:space="preserve"> also detected in lysates prepared from </w:t>
      </w:r>
      <w:r w:rsidR="007D1A7B" w:rsidRPr="00F767DA">
        <w:rPr>
          <w:color w:val="auto"/>
        </w:rPr>
        <w:t>infected macrophages</w:t>
      </w:r>
      <w:r w:rsidR="001E0FEB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1E0FEB" w:rsidRPr="00F767DA">
        <w:rPr>
          <w:b/>
          <w:color w:val="auto"/>
        </w:rPr>
        <w:t xml:space="preserve"> 2C</w:t>
      </w:r>
      <w:r w:rsidR="001E0FEB" w:rsidRPr="00F767DA">
        <w:rPr>
          <w:color w:val="auto"/>
        </w:rPr>
        <w:t>; left panel). H</w:t>
      </w:r>
      <w:r w:rsidR="007D1A7B" w:rsidRPr="00F767DA">
        <w:rPr>
          <w:color w:val="auto"/>
        </w:rPr>
        <w:t xml:space="preserve">owever, no phalloidin-positive </w:t>
      </w:r>
      <w:r w:rsidR="007D1A7B" w:rsidRPr="00F767DA">
        <w:rPr>
          <w:i/>
          <w:color w:val="auto"/>
        </w:rPr>
        <w:t>Lm</w:t>
      </w:r>
      <w:r w:rsidR="007D1A7B" w:rsidRPr="00F767DA">
        <w:rPr>
          <w:color w:val="auto"/>
        </w:rPr>
        <w:t xml:space="preserve"> was detected in lysates prepared from macrophages infected with a GFP-expressing </w:t>
      </w:r>
      <w:r w:rsidR="007D1A7B" w:rsidRPr="00F767DA">
        <w:rPr>
          <w:i/>
          <w:color w:val="auto"/>
        </w:rPr>
        <w:t>Lm</w:t>
      </w:r>
      <w:r w:rsidR="007D1A7B" w:rsidRPr="00F767DA">
        <w:rPr>
          <w:color w:val="auto"/>
        </w:rPr>
        <w:t xml:space="preserve"> </w:t>
      </w:r>
      <w:r w:rsidR="001E0FEB" w:rsidRPr="00F767DA">
        <w:rPr>
          <w:color w:val="auto"/>
        </w:rPr>
        <w:t xml:space="preserve">mutant </w:t>
      </w:r>
      <w:r w:rsidR="007D1A7B" w:rsidRPr="00F767DA">
        <w:rPr>
          <w:color w:val="auto"/>
        </w:rPr>
        <w:t xml:space="preserve">strain that lacked the virulence factor </w:t>
      </w:r>
      <w:proofErr w:type="spellStart"/>
      <w:r w:rsidR="007D1A7B" w:rsidRPr="00F767DA">
        <w:rPr>
          <w:color w:val="auto"/>
        </w:rPr>
        <w:t>ActA</w:t>
      </w:r>
      <w:proofErr w:type="spellEnd"/>
      <w:r w:rsidR="007D1A7B" w:rsidRPr="00F767DA">
        <w:rPr>
          <w:color w:val="auto"/>
        </w:rPr>
        <w:t xml:space="preserve"> that is required to recruit the actin-polymerization machinery to the outer surface of </w:t>
      </w:r>
      <w:r w:rsidR="00F76FBE" w:rsidRPr="00F767DA">
        <w:rPr>
          <w:i/>
          <w:color w:val="auto"/>
        </w:rPr>
        <w:t>Lm</w:t>
      </w:r>
      <w:r w:rsidR="00F76FBE" w:rsidRPr="00F767DA">
        <w:rPr>
          <w:color w:val="auto"/>
        </w:rPr>
        <w:t xml:space="preserve"> following its release into the cytosol</w:t>
      </w:r>
      <w:r w:rsidR="007D1A7B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7D1A7B" w:rsidRPr="00F767DA">
        <w:rPr>
          <w:b/>
          <w:color w:val="auto"/>
        </w:rPr>
        <w:t xml:space="preserve"> 2</w:t>
      </w:r>
      <w:r w:rsidR="001E0FEB" w:rsidRPr="00F767DA">
        <w:rPr>
          <w:b/>
          <w:color w:val="auto"/>
        </w:rPr>
        <w:t>C</w:t>
      </w:r>
      <w:r w:rsidR="001E0FEB" w:rsidRPr="00F767DA">
        <w:rPr>
          <w:color w:val="auto"/>
        </w:rPr>
        <w:t>; right panel</w:t>
      </w:r>
      <w:r w:rsidR="007D1A7B" w:rsidRPr="00F767DA">
        <w:rPr>
          <w:color w:val="auto"/>
        </w:rPr>
        <w:t xml:space="preserve">). </w:t>
      </w:r>
      <w:r w:rsidR="00F5123C" w:rsidRPr="00F767DA">
        <w:rPr>
          <w:color w:val="auto"/>
        </w:rPr>
        <w:t>These data support a scenario that</w:t>
      </w:r>
      <w:r w:rsidR="007A6C3D" w:rsidRPr="00F767DA">
        <w:rPr>
          <w:color w:val="auto"/>
        </w:rPr>
        <w:t xml:space="preserve"> in an </w:t>
      </w:r>
      <w:r w:rsidR="002D35C6" w:rsidRPr="00F767DA">
        <w:rPr>
          <w:color w:val="auto"/>
        </w:rPr>
        <w:t>in vitro</w:t>
      </w:r>
      <w:r w:rsidR="007A6C3D" w:rsidRPr="00F767DA">
        <w:rPr>
          <w:color w:val="auto"/>
        </w:rPr>
        <w:t xml:space="preserve"> infection model</w:t>
      </w:r>
      <w:r w:rsidR="00F5123C" w:rsidRPr="00F767DA">
        <w:rPr>
          <w:color w:val="auto"/>
        </w:rPr>
        <w:t xml:space="preserve"> </w:t>
      </w:r>
      <w:r w:rsidR="007A6C3D" w:rsidRPr="00F767DA">
        <w:rPr>
          <w:color w:val="auto"/>
        </w:rPr>
        <w:t>‘emergent’</w:t>
      </w:r>
      <w:r w:rsidR="00F5123C" w:rsidRPr="00F767DA">
        <w:rPr>
          <w:color w:val="auto"/>
        </w:rPr>
        <w:t xml:space="preserve"> extracellular </w:t>
      </w:r>
      <w:r w:rsidR="00F5123C" w:rsidRPr="00F767DA">
        <w:rPr>
          <w:i/>
          <w:color w:val="auto"/>
        </w:rPr>
        <w:t>Lm</w:t>
      </w:r>
      <w:r w:rsidR="00F5123C" w:rsidRPr="00F767DA">
        <w:rPr>
          <w:color w:val="auto"/>
        </w:rPr>
        <w:t xml:space="preserve"> are derived from the infected cell cytosol. </w:t>
      </w:r>
    </w:p>
    <w:p w14:paraId="061ECCAE" w14:textId="77777777" w:rsidR="007F7836" w:rsidRPr="00F767DA" w:rsidRDefault="007F7836" w:rsidP="00F36A88">
      <w:pPr>
        <w:contextualSpacing/>
        <w:rPr>
          <w:color w:val="auto"/>
        </w:rPr>
      </w:pPr>
    </w:p>
    <w:p w14:paraId="7FD5DD7C" w14:textId="33C8AC0A" w:rsidR="005B0352" w:rsidRPr="00F767DA" w:rsidRDefault="00E65044" w:rsidP="00F36A88">
      <w:pPr>
        <w:contextualSpacing/>
        <w:rPr>
          <w:color w:val="auto"/>
        </w:rPr>
      </w:pPr>
      <w:r w:rsidRPr="00F767DA">
        <w:rPr>
          <w:color w:val="auto"/>
        </w:rPr>
        <w:t xml:space="preserve">In addition to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-encoding factors, </w:t>
      </w:r>
      <w:proofErr w:type="gramStart"/>
      <w:r w:rsidRPr="00F767DA">
        <w:rPr>
          <w:color w:val="auto"/>
        </w:rPr>
        <w:t>a number of</w:t>
      </w:r>
      <w:proofErr w:type="gramEnd"/>
      <w:r w:rsidRPr="00F767DA">
        <w:rPr>
          <w:color w:val="auto"/>
        </w:rPr>
        <w:t xml:space="preserve"> host factors have been identified that impact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cellular infection</w:t>
      </w:r>
      <w:r w:rsidR="00787CC3" w:rsidRPr="00F767DA">
        <w:rPr>
          <w:color w:val="auto"/>
        </w:rPr>
        <w:t xml:space="preserve"> (</w:t>
      </w:r>
      <w:r w:rsidR="003B62F5" w:rsidRPr="00F767DA">
        <w:rPr>
          <w:color w:val="auto"/>
        </w:rPr>
        <w:t xml:space="preserve">see </w:t>
      </w:r>
      <w:r w:rsidR="003B62F5" w:rsidRPr="00F767DA">
        <w:rPr>
          <w:i/>
          <w:color w:val="auto"/>
        </w:rPr>
        <w:t>Discussion</w:t>
      </w:r>
      <w:r w:rsidR="00787CC3" w:rsidRPr="00F767DA">
        <w:rPr>
          <w:color w:val="auto"/>
        </w:rPr>
        <w:t>)</w:t>
      </w:r>
      <w:r w:rsidRPr="00F767DA">
        <w:rPr>
          <w:color w:val="auto"/>
        </w:rPr>
        <w:t xml:space="preserve">. </w:t>
      </w:r>
      <w:r w:rsidR="00922BF9" w:rsidRPr="00F767DA">
        <w:rPr>
          <w:color w:val="auto"/>
        </w:rPr>
        <w:t>Recently, the hos</w:t>
      </w:r>
      <w:r w:rsidR="001E17BC" w:rsidRPr="00F767DA">
        <w:rPr>
          <w:color w:val="auto"/>
        </w:rPr>
        <w:t xml:space="preserve">t factor Perforin-2 (P2) has been shown to be a critical component of cell-level defenses against </w:t>
      </w:r>
      <w:proofErr w:type="gramStart"/>
      <w:r w:rsidR="001E17BC" w:rsidRPr="00F767DA">
        <w:rPr>
          <w:color w:val="auto"/>
        </w:rPr>
        <w:t>a number of</w:t>
      </w:r>
      <w:proofErr w:type="gramEnd"/>
      <w:r w:rsidR="001E17BC" w:rsidRPr="00F767DA">
        <w:rPr>
          <w:color w:val="auto"/>
        </w:rPr>
        <w:t xml:space="preserve"> bacterial pathogens</w:t>
      </w:r>
      <w:r w:rsidR="00FC34E1" w:rsidRPr="00F767DA">
        <w:rPr>
          <w:color w:val="auto"/>
        </w:rPr>
        <w:t xml:space="preserve">. Peritoneal exudate macrophages (PEMs) isolated from </w:t>
      </w:r>
      <w:r w:rsidR="00426822" w:rsidRPr="00F767DA">
        <w:rPr>
          <w:color w:val="auto"/>
        </w:rPr>
        <w:t>wild-type (</w:t>
      </w:r>
      <w:r w:rsidR="00FC34E1" w:rsidRPr="00F767DA">
        <w:rPr>
          <w:i/>
          <w:color w:val="auto"/>
        </w:rPr>
        <w:t>P2</w:t>
      </w:r>
      <w:r w:rsidR="00B94D45" w:rsidRPr="00F767DA">
        <w:rPr>
          <w:color w:val="auto"/>
          <w:vertAlign w:val="superscript"/>
        </w:rPr>
        <w:t>+/+</w:t>
      </w:r>
      <w:r w:rsidR="00426822" w:rsidRPr="00F767DA">
        <w:rPr>
          <w:color w:val="auto"/>
        </w:rPr>
        <w:t>)</w:t>
      </w:r>
      <w:r w:rsidR="00FC34E1" w:rsidRPr="00F767DA">
        <w:rPr>
          <w:color w:val="auto"/>
        </w:rPr>
        <w:t xml:space="preserve"> and </w:t>
      </w:r>
      <w:r w:rsidR="00B94D45" w:rsidRPr="00F767DA">
        <w:rPr>
          <w:i/>
          <w:color w:val="auto"/>
        </w:rPr>
        <w:t>P2</w:t>
      </w:r>
      <w:r w:rsidR="00B94D45" w:rsidRPr="00F767DA">
        <w:rPr>
          <w:color w:val="auto"/>
          <w:vertAlign w:val="superscript"/>
        </w:rPr>
        <w:t>-/-</w:t>
      </w:r>
      <w:r w:rsidR="00FC34E1" w:rsidRPr="00F767DA">
        <w:rPr>
          <w:color w:val="auto"/>
        </w:rPr>
        <w:t xml:space="preserve"> mice are initially comparably infected</w:t>
      </w:r>
      <w:r w:rsidR="00843F63" w:rsidRPr="00F767DA">
        <w:rPr>
          <w:color w:val="auto"/>
        </w:rPr>
        <w:t xml:space="preserve"> by </w:t>
      </w:r>
      <w:r w:rsidR="00843F63" w:rsidRPr="00F767DA">
        <w:rPr>
          <w:i/>
          <w:color w:val="auto"/>
        </w:rPr>
        <w:t>Lm</w:t>
      </w:r>
      <w:r w:rsidR="00FC34E1" w:rsidRPr="00F767DA">
        <w:rPr>
          <w:color w:val="auto"/>
        </w:rPr>
        <w:t xml:space="preserve"> as measured by CFU assay at 1 </w:t>
      </w:r>
      <w:proofErr w:type="spellStart"/>
      <w:r w:rsidR="00FC34E1" w:rsidRPr="00F767DA">
        <w:rPr>
          <w:color w:val="auto"/>
        </w:rPr>
        <w:t>hpi</w:t>
      </w:r>
      <w:proofErr w:type="spellEnd"/>
      <w:r w:rsidR="00FC34E1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FC34E1" w:rsidRPr="00F767DA">
        <w:rPr>
          <w:b/>
          <w:color w:val="auto"/>
        </w:rPr>
        <w:t xml:space="preserve"> </w:t>
      </w:r>
      <w:r w:rsidR="00557515" w:rsidRPr="00F767DA">
        <w:rPr>
          <w:b/>
          <w:color w:val="auto"/>
        </w:rPr>
        <w:t>3</w:t>
      </w:r>
      <w:r w:rsidR="00FC34E1" w:rsidRPr="00F767DA">
        <w:rPr>
          <w:b/>
          <w:color w:val="auto"/>
        </w:rPr>
        <w:t>A</w:t>
      </w:r>
      <w:r w:rsidR="00FC34E1" w:rsidRPr="00F767DA">
        <w:rPr>
          <w:color w:val="auto"/>
        </w:rPr>
        <w:t xml:space="preserve">). </w:t>
      </w:r>
      <w:r w:rsidR="00426822" w:rsidRPr="00F767DA">
        <w:rPr>
          <w:color w:val="auto"/>
        </w:rPr>
        <w:t xml:space="preserve">In </w:t>
      </w:r>
      <w:r w:rsidR="00B94D45" w:rsidRPr="00F767DA">
        <w:rPr>
          <w:i/>
          <w:color w:val="auto"/>
        </w:rPr>
        <w:t>P2</w:t>
      </w:r>
      <w:r w:rsidR="00B94D45" w:rsidRPr="00F767DA">
        <w:rPr>
          <w:color w:val="auto"/>
          <w:vertAlign w:val="superscript"/>
        </w:rPr>
        <w:t>+/+</w:t>
      </w:r>
      <w:r w:rsidR="00426822" w:rsidRPr="00F767DA">
        <w:rPr>
          <w:color w:val="auto"/>
        </w:rPr>
        <w:t xml:space="preserve"> PEMs the number of CFUs </w:t>
      </w:r>
      <w:r w:rsidR="00D17706" w:rsidRPr="00F767DA">
        <w:rPr>
          <w:color w:val="auto"/>
        </w:rPr>
        <w:t xml:space="preserve">recovered at 6 hpi is </w:t>
      </w:r>
      <w:r w:rsidR="00426822" w:rsidRPr="00F767DA">
        <w:rPr>
          <w:color w:val="auto"/>
        </w:rPr>
        <w:t xml:space="preserve">10-fold </w:t>
      </w:r>
      <w:r w:rsidR="00D17706" w:rsidRPr="00F767DA">
        <w:rPr>
          <w:color w:val="auto"/>
        </w:rPr>
        <w:t>greater compared to the levels recovered at 1 hpi</w:t>
      </w:r>
      <w:r w:rsidR="00426822" w:rsidRPr="00F767DA">
        <w:rPr>
          <w:color w:val="auto"/>
        </w:rPr>
        <w:t xml:space="preserve">. </w:t>
      </w:r>
      <w:proofErr w:type="gramStart"/>
      <w:r w:rsidR="00D17706" w:rsidRPr="00F767DA">
        <w:rPr>
          <w:color w:val="auto"/>
        </w:rPr>
        <w:t>Si</w:t>
      </w:r>
      <w:r w:rsidR="00FC34E1" w:rsidRPr="00F767DA">
        <w:rPr>
          <w:color w:val="auto"/>
        </w:rPr>
        <w:t>milar to</w:t>
      </w:r>
      <w:proofErr w:type="gramEnd"/>
      <w:r w:rsidR="00FC34E1" w:rsidRPr="00F767DA">
        <w:rPr>
          <w:color w:val="auto"/>
        </w:rPr>
        <w:t xml:space="preserve"> previously published findings,</w:t>
      </w:r>
      <w:r w:rsidR="00426822" w:rsidRPr="00F767DA">
        <w:rPr>
          <w:color w:val="auto"/>
        </w:rPr>
        <w:t xml:space="preserve"> in </w:t>
      </w:r>
      <w:r w:rsidR="00B94D45" w:rsidRPr="00F767DA">
        <w:rPr>
          <w:i/>
          <w:color w:val="auto"/>
        </w:rPr>
        <w:t>P2</w:t>
      </w:r>
      <w:r w:rsidR="00B94D45" w:rsidRPr="00F767DA">
        <w:rPr>
          <w:color w:val="auto"/>
          <w:vertAlign w:val="superscript"/>
        </w:rPr>
        <w:t>-/-</w:t>
      </w:r>
      <w:r w:rsidR="00426822" w:rsidRPr="00F767DA">
        <w:rPr>
          <w:color w:val="auto"/>
        </w:rPr>
        <w:t xml:space="preserve"> PEMs </w:t>
      </w:r>
      <w:r w:rsidR="00D17706" w:rsidRPr="00F767DA">
        <w:rPr>
          <w:color w:val="auto"/>
        </w:rPr>
        <w:t>the number of CFUs recovered at 6 hpi is 80-fold greater compared to the levels recovered at 1 hpi</w:t>
      </w:r>
      <w:r w:rsidR="007E1E2A" w:rsidRPr="00F767DA">
        <w:rPr>
          <w:color w:val="auto"/>
          <w:vertAlign w:val="superscript"/>
        </w:rPr>
        <w:t>4</w:t>
      </w:r>
      <w:r w:rsidR="00D17706" w:rsidRPr="00F767DA">
        <w:rPr>
          <w:color w:val="auto"/>
        </w:rPr>
        <w:t>.</w:t>
      </w:r>
      <w:r w:rsidR="005D5F54" w:rsidRPr="00F767DA">
        <w:rPr>
          <w:color w:val="auto"/>
        </w:rPr>
        <w:t xml:space="preserve"> </w:t>
      </w:r>
      <w:r w:rsidR="00DF1DE5" w:rsidRPr="00F767DA">
        <w:rPr>
          <w:color w:val="auto"/>
        </w:rPr>
        <w:t xml:space="preserve">Enhanced </w:t>
      </w:r>
      <w:r w:rsidR="00DF1DE5" w:rsidRPr="00F767DA">
        <w:rPr>
          <w:i/>
          <w:color w:val="auto"/>
        </w:rPr>
        <w:t>Lm</w:t>
      </w:r>
      <w:r w:rsidR="00A76876" w:rsidRPr="00F767DA">
        <w:rPr>
          <w:color w:val="auto"/>
        </w:rPr>
        <w:t xml:space="preserve"> intracellular proliferation in </w:t>
      </w:r>
      <w:r w:rsidR="00B94D45" w:rsidRPr="00F767DA">
        <w:rPr>
          <w:i/>
          <w:color w:val="auto"/>
        </w:rPr>
        <w:t>P2</w:t>
      </w:r>
      <w:r w:rsidR="00B94D45" w:rsidRPr="00F767DA">
        <w:rPr>
          <w:color w:val="auto"/>
          <w:vertAlign w:val="superscript"/>
        </w:rPr>
        <w:t>-/-</w:t>
      </w:r>
      <w:r w:rsidR="00A76876" w:rsidRPr="00F767DA">
        <w:rPr>
          <w:color w:val="auto"/>
        </w:rPr>
        <w:t xml:space="preserve"> PEMs was accompanied</w:t>
      </w:r>
      <w:r w:rsidR="00DF1DE5" w:rsidRPr="00F767DA">
        <w:rPr>
          <w:color w:val="auto"/>
        </w:rPr>
        <w:t xml:space="preserve"> with greater levels of</w:t>
      </w:r>
      <w:r w:rsidR="00C37BE3" w:rsidRPr="00F767DA">
        <w:rPr>
          <w:color w:val="auto"/>
        </w:rPr>
        <w:t xml:space="preserve"> viable</w:t>
      </w:r>
      <w:r w:rsidR="00DF1DE5" w:rsidRPr="00F767DA">
        <w:rPr>
          <w:color w:val="auto"/>
        </w:rPr>
        <w:t xml:space="preserve"> </w:t>
      </w:r>
      <w:r w:rsidR="00DF1DE5" w:rsidRPr="00F767DA">
        <w:rPr>
          <w:i/>
          <w:color w:val="auto"/>
        </w:rPr>
        <w:t>Lm</w:t>
      </w:r>
      <w:r w:rsidR="00DF1DE5" w:rsidRPr="00F767DA">
        <w:rPr>
          <w:color w:val="auto"/>
        </w:rPr>
        <w:t xml:space="preserve"> detected in the overlying media compared to levels detected in </w:t>
      </w:r>
      <w:r w:rsidR="00B94D45" w:rsidRPr="00F767DA">
        <w:rPr>
          <w:i/>
          <w:color w:val="auto"/>
        </w:rPr>
        <w:t>P2</w:t>
      </w:r>
      <w:r w:rsidR="00B94D45" w:rsidRPr="00F767DA">
        <w:rPr>
          <w:color w:val="auto"/>
          <w:vertAlign w:val="superscript"/>
        </w:rPr>
        <w:t>+/+</w:t>
      </w:r>
      <w:r w:rsidR="00DF1DE5" w:rsidRPr="00F767DA">
        <w:rPr>
          <w:color w:val="auto"/>
        </w:rPr>
        <w:t xml:space="preserve"> PEMs (</w:t>
      </w:r>
      <w:r w:rsidR="007F7836" w:rsidRPr="00F767DA">
        <w:rPr>
          <w:b/>
          <w:color w:val="auto"/>
        </w:rPr>
        <w:t>Figure</w:t>
      </w:r>
      <w:r w:rsidR="00DF1DE5" w:rsidRPr="00F767DA">
        <w:rPr>
          <w:b/>
          <w:color w:val="auto"/>
        </w:rPr>
        <w:t xml:space="preserve"> </w:t>
      </w:r>
      <w:r w:rsidR="00557515" w:rsidRPr="00F767DA">
        <w:rPr>
          <w:b/>
          <w:color w:val="auto"/>
        </w:rPr>
        <w:t>3</w:t>
      </w:r>
      <w:r w:rsidR="00DF1DE5" w:rsidRPr="00F767DA">
        <w:rPr>
          <w:b/>
          <w:color w:val="auto"/>
        </w:rPr>
        <w:t>B</w:t>
      </w:r>
      <w:r w:rsidR="00DF1DE5" w:rsidRPr="00F767DA">
        <w:rPr>
          <w:color w:val="auto"/>
        </w:rPr>
        <w:t xml:space="preserve">). </w:t>
      </w:r>
      <w:r w:rsidR="001218F7" w:rsidRPr="00F767DA">
        <w:rPr>
          <w:color w:val="auto"/>
        </w:rPr>
        <w:t xml:space="preserve">These data show that in an </w:t>
      </w:r>
      <w:r w:rsidR="002D35C6" w:rsidRPr="00F767DA">
        <w:rPr>
          <w:color w:val="auto"/>
        </w:rPr>
        <w:t>in vitro</w:t>
      </w:r>
      <w:r w:rsidR="001218F7" w:rsidRPr="00F767DA">
        <w:rPr>
          <w:color w:val="auto"/>
        </w:rPr>
        <w:t xml:space="preserve"> assay that the appearance of emergent extracellular </w:t>
      </w:r>
      <w:r w:rsidR="001218F7" w:rsidRPr="00F767DA">
        <w:rPr>
          <w:i/>
          <w:color w:val="auto"/>
        </w:rPr>
        <w:t>Lm</w:t>
      </w:r>
      <w:r w:rsidR="001218F7" w:rsidRPr="00F767DA">
        <w:rPr>
          <w:color w:val="auto"/>
        </w:rPr>
        <w:t xml:space="preserve"> can also report on host factors that impact infection.</w:t>
      </w:r>
    </w:p>
    <w:p w14:paraId="0A001A16" w14:textId="77777777" w:rsidR="007F7836" w:rsidRPr="00F767DA" w:rsidRDefault="007F7836" w:rsidP="00F36A88">
      <w:pPr>
        <w:contextualSpacing/>
        <w:rPr>
          <w:color w:val="auto"/>
          <w:u w:val="single"/>
        </w:rPr>
      </w:pPr>
    </w:p>
    <w:p w14:paraId="377A1BCB" w14:textId="46CEC398" w:rsidR="00E26706" w:rsidRPr="00F767DA" w:rsidRDefault="002D35C6" w:rsidP="00F36A88">
      <w:pPr>
        <w:contextualSpacing/>
        <w:rPr>
          <w:b/>
          <w:color w:val="auto"/>
        </w:rPr>
      </w:pPr>
      <w:r w:rsidRPr="00F767DA">
        <w:rPr>
          <w:b/>
          <w:color w:val="auto"/>
        </w:rPr>
        <w:t>In vivo</w:t>
      </w:r>
      <w:r w:rsidR="00B94D45" w:rsidRPr="00F767DA">
        <w:rPr>
          <w:b/>
          <w:color w:val="auto"/>
        </w:rPr>
        <w:t xml:space="preserve"> i</w:t>
      </w:r>
      <w:r w:rsidR="00E26706" w:rsidRPr="00F767DA">
        <w:rPr>
          <w:b/>
          <w:color w:val="auto"/>
        </w:rPr>
        <w:t>nfection</w:t>
      </w:r>
      <w:r w:rsidR="00B94D45" w:rsidRPr="00F767DA">
        <w:rPr>
          <w:b/>
          <w:color w:val="auto"/>
        </w:rPr>
        <w:t xml:space="preserve"> and analysis of the liver</w:t>
      </w:r>
    </w:p>
    <w:p w14:paraId="17DFD351" w14:textId="36C65065" w:rsidR="00312FA5" w:rsidRPr="00F767DA" w:rsidRDefault="00312FA5" w:rsidP="00F36A88">
      <w:pPr>
        <w:contextualSpacing/>
        <w:rPr>
          <w:color w:val="auto"/>
        </w:rPr>
      </w:pPr>
      <w:r w:rsidRPr="00F767DA">
        <w:rPr>
          <w:color w:val="auto"/>
        </w:rPr>
        <w:t xml:space="preserve">In addition to the </w:t>
      </w:r>
      <w:r w:rsidR="002D35C6" w:rsidRPr="00F767DA">
        <w:rPr>
          <w:color w:val="auto"/>
        </w:rPr>
        <w:t>in vitro</w:t>
      </w:r>
      <w:r w:rsidRPr="00F767DA">
        <w:rPr>
          <w:color w:val="auto"/>
        </w:rPr>
        <w:t xml:space="preserve"> infection assays described above, the relative infectivity of</w:t>
      </w:r>
      <w:r w:rsidR="008233B8" w:rsidRPr="00F767DA">
        <w:rPr>
          <w:color w:val="auto"/>
        </w:rPr>
        <w:t xml:space="preserve"> the wild-type, attenuated, and hyper</w:t>
      </w:r>
      <w:r w:rsidR="0000702C" w:rsidRPr="00F767DA">
        <w:rPr>
          <w:color w:val="auto"/>
        </w:rPr>
        <w:t>-</w:t>
      </w:r>
      <w:r w:rsidR="008233B8" w:rsidRPr="00F767DA">
        <w:rPr>
          <w:color w:val="auto"/>
        </w:rPr>
        <w:t>virulent</w:t>
      </w:r>
      <w:r w:rsidRPr="00F767DA">
        <w:rPr>
          <w:color w:val="auto"/>
        </w:rPr>
        <w:t xml:space="preserve">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strains can also be assessed by </w:t>
      </w:r>
      <w:r w:rsidR="002D35C6" w:rsidRPr="00F767DA">
        <w:rPr>
          <w:color w:val="auto"/>
        </w:rPr>
        <w:t>in vivo</w:t>
      </w:r>
      <w:r w:rsidRPr="00F767DA">
        <w:rPr>
          <w:color w:val="auto"/>
        </w:rPr>
        <w:t xml:space="preserve"> infection assays. Mice</w:t>
      </w:r>
      <w:r w:rsidR="00B94D45" w:rsidRPr="00F767DA">
        <w:rPr>
          <w:color w:val="auto"/>
        </w:rPr>
        <w:t xml:space="preserve"> were</w:t>
      </w:r>
      <w:r w:rsidRPr="00F767DA">
        <w:rPr>
          <w:color w:val="auto"/>
        </w:rPr>
        <w:t xml:space="preserve"> intravenously co-infected with an equal mixture of the wild-type and Δ</w:t>
      </w:r>
      <w:r w:rsidRPr="00F767DA">
        <w:rPr>
          <w:i/>
          <w:color w:val="auto"/>
        </w:rPr>
        <w:t>prfA</w:t>
      </w:r>
      <w:r w:rsidRPr="00F767DA">
        <w:rPr>
          <w:color w:val="auto"/>
        </w:rPr>
        <w:t xml:space="preserve"> </w:t>
      </w:r>
      <w:proofErr w:type="spellStart"/>
      <w:r w:rsidRPr="00F767DA">
        <w:rPr>
          <w:i/>
          <w:color w:val="auto"/>
        </w:rPr>
        <w:t>Lm</w:t>
      </w:r>
      <w:proofErr w:type="spellEnd"/>
      <w:r w:rsidR="00B94D45" w:rsidRPr="00F767DA">
        <w:rPr>
          <w:color w:val="auto"/>
        </w:rPr>
        <w:t xml:space="preserve"> strains and 18</w:t>
      </w:r>
      <w:r w:rsidR="007F7836" w:rsidRPr="00F767DA">
        <w:rPr>
          <w:color w:val="auto"/>
        </w:rPr>
        <w:t xml:space="preserve"> h</w:t>
      </w:r>
      <w:r w:rsidRPr="00F767DA">
        <w:rPr>
          <w:color w:val="auto"/>
        </w:rPr>
        <w:t xml:space="preserve"> later were humanely euthanized, livers excised, and singl</w:t>
      </w:r>
      <w:r w:rsidR="00B94D45" w:rsidRPr="00F767DA">
        <w:rPr>
          <w:color w:val="auto"/>
        </w:rPr>
        <w:t>e cell preparations were made. Isolated l</w:t>
      </w:r>
      <w:r w:rsidRPr="00F767DA">
        <w:rPr>
          <w:color w:val="auto"/>
        </w:rPr>
        <w:t xml:space="preserve">iver cells were </w:t>
      </w:r>
      <w:proofErr w:type="gramStart"/>
      <w:r w:rsidRPr="00F767DA">
        <w:rPr>
          <w:color w:val="auto"/>
        </w:rPr>
        <w:t>lysed</w:t>
      </w:r>
      <w:proofErr w:type="gramEnd"/>
      <w:r w:rsidRPr="00F767DA">
        <w:rPr>
          <w:color w:val="auto"/>
        </w:rPr>
        <w:t xml:space="preserve"> and the resulting lysates subjected to a CFU assay that could distinguish between the wild-type and Δ</w:t>
      </w:r>
      <w:r w:rsidRPr="00F767DA">
        <w:rPr>
          <w:i/>
          <w:color w:val="auto"/>
        </w:rPr>
        <w:t>prfA</w:t>
      </w:r>
      <w:r w:rsidRPr="00F767DA">
        <w:rPr>
          <w:color w:val="auto"/>
        </w:rPr>
        <w:t xml:space="preserve">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strains. Compared to the 1:1 ratio of these two strains in the original inoculum (the ‘input’), the Δ</w:t>
      </w:r>
      <w:r w:rsidRPr="00F767DA">
        <w:rPr>
          <w:i/>
          <w:color w:val="auto"/>
        </w:rPr>
        <w:t>prfA</w:t>
      </w:r>
      <w:r w:rsidRPr="00F767DA">
        <w:rPr>
          <w:color w:val="auto"/>
        </w:rPr>
        <w:t>/wild type ratio at 18 hpi (the ‘output’) was considerably less than unity (for 6 mice range was 0.001 to 0.330; mean 0.100) (</w:t>
      </w:r>
      <w:r w:rsidR="007F7836" w:rsidRPr="00F767DA">
        <w:rPr>
          <w:b/>
          <w:color w:val="auto"/>
        </w:rPr>
        <w:t>Figure</w:t>
      </w:r>
      <w:r w:rsidRPr="00F767DA">
        <w:rPr>
          <w:b/>
          <w:color w:val="auto"/>
        </w:rPr>
        <w:t xml:space="preserve"> 4</w:t>
      </w:r>
      <w:r w:rsidRPr="00F767DA">
        <w:rPr>
          <w:color w:val="auto"/>
        </w:rPr>
        <w:t xml:space="preserve">). In contrast, mice co-infected with an equal mixture of the wild-type and </w:t>
      </w:r>
      <w:proofErr w:type="spellStart"/>
      <w:r w:rsidRPr="00F767DA">
        <w:rPr>
          <w:i/>
          <w:color w:val="auto"/>
        </w:rPr>
        <w:t>prfA</w:t>
      </w:r>
      <w:proofErr w:type="spellEnd"/>
      <w:r w:rsidRPr="00F767DA">
        <w:rPr>
          <w:i/>
          <w:color w:val="auto"/>
        </w:rPr>
        <w:t>*</w:t>
      </w:r>
      <w:r w:rsidRPr="00F767DA">
        <w:rPr>
          <w:color w:val="auto"/>
        </w:rPr>
        <w:t xml:space="preserve"> </w:t>
      </w:r>
      <w:proofErr w:type="spellStart"/>
      <w:r w:rsidRPr="00F767DA">
        <w:rPr>
          <w:i/>
          <w:color w:val="auto"/>
        </w:rPr>
        <w:t>Lm</w:t>
      </w:r>
      <w:proofErr w:type="spellEnd"/>
      <w:r w:rsidRPr="00F767DA">
        <w:rPr>
          <w:color w:val="auto"/>
        </w:rPr>
        <w:t xml:space="preserve"> strains the </w:t>
      </w:r>
      <w:proofErr w:type="spellStart"/>
      <w:r w:rsidRPr="00F767DA">
        <w:rPr>
          <w:i/>
          <w:color w:val="auto"/>
        </w:rPr>
        <w:t>prfA</w:t>
      </w:r>
      <w:proofErr w:type="spellEnd"/>
      <w:r w:rsidRPr="00F767DA">
        <w:rPr>
          <w:i/>
          <w:color w:val="auto"/>
        </w:rPr>
        <w:t>*</w:t>
      </w:r>
      <w:r w:rsidRPr="00F767DA">
        <w:rPr>
          <w:color w:val="auto"/>
        </w:rPr>
        <w:t xml:space="preserve">/wild type ratios ranged from 2.4 to 10.2 (mean 7.1). This experiment shows that the relative infectivity of these three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strains (wild type, </w:t>
      </w:r>
      <w:proofErr w:type="spellStart"/>
      <w:r w:rsidRPr="00F767DA">
        <w:rPr>
          <w:color w:val="auto"/>
        </w:rPr>
        <w:t>Δ</w:t>
      </w:r>
      <w:r w:rsidRPr="00F767DA">
        <w:rPr>
          <w:i/>
          <w:color w:val="auto"/>
        </w:rPr>
        <w:t>prfA</w:t>
      </w:r>
      <w:proofErr w:type="spellEnd"/>
      <w:r w:rsidRPr="00F767DA">
        <w:rPr>
          <w:color w:val="auto"/>
        </w:rPr>
        <w:t xml:space="preserve">, and </w:t>
      </w:r>
      <w:proofErr w:type="spellStart"/>
      <w:r w:rsidRPr="00F767DA">
        <w:rPr>
          <w:i/>
          <w:color w:val="auto"/>
        </w:rPr>
        <w:t>prfA</w:t>
      </w:r>
      <w:proofErr w:type="spellEnd"/>
      <w:r w:rsidRPr="00F767DA">
        <w:rPr>
          <w:i/>
          <w:color w:val="auto"/>
        </w:rPr>
        <w:t>*</w:t>
      </w:r>
      <w:r w:rsidRPr="00F767DA">
        <w:rPr>
          <w:color w:val="auto"/>
        </w:rPr>
        <w:t xml:space="preserve">) in an intact organism resembles that observed in </w:t>
      </w:r>
      <w:r w:rsidR="002D35C6" w:rsidRPr="00F767DA">
        <w:rPr>
          <w:color w:val="auto"/>
        </w:rPr>
        <w:t>in vitro</w:t>
      </w:r>
      <w:r w:rsidRPr="00F767DA">
        <w:rPr>
          <w:color w:val="auto"/>
        </w:rPr>
        <w:t xml:space="preserve"> infection assays. </w:t>
      </w:r>
    </w:p>
    <w:p w14:paraId="7106F6F3" w14:textId="77777777" w:rsidR="007F7836" w:rsidRPr="00F767DA" w:rsidRDefault="007F7836" w:rsidP="00F36A88">
      <w:pPr>
        <w:contextualSpacing/>
        <w:rPr>
          <w:color w:val="auto"/>
        </w:rPr>
      </w:pPr>
    </w:p>
    <w:p w14:paraId="72225345" w14:textId="739BD38D" w:rsidR="004C675F" w:rsidRPr="00F767DA" w:rsidRDefault="00EE5B04" w:rsidP="00F36A88">
      <w:pPr>
        <w:contextualSpacing/>
        <w:rPr>
          <w:color w:val="auto"/>
        </w:rPr>
      </w:pPr>
      <w:r w:rsidRPr="00F767DA">
        <w:rPr>
          <w:color w:val="auto"/>
        </w:rPr>
        <w:t>The host</w:t>
      </w:r>
      <w:r w:rsidR="008233B8" w:rsidRPr="00F767DA">
        <w:rPr>
          <w:color w:val="auto"/>
        </w:rPr>
        <w:t xml:space="preserve"> can also be monitored to determine whether the varying level of infectivity of the </w:t>
      </w:r>
      <w:r w:rsidRPr="00F767DA">
        <w:rPr>
          <w:color w:val="auto"/>
        </w:rPr>
        <w:t>wild-</w:t>
      </w:r>
      <w:r w:rsidR="008233B8" w:rsidRPr="00F767DA">
        <w:rPr>
          <w:color w:val="auto"/>
        </w:rPr>
        <w:t xml:space="preserve">type, </w:t>
      </w:r>
      <w:proofErr w:type="spellStart"/>
      <w:r w:rsidR="008233B8" w:rsidRPr="00F767DA">
        <w:rPr>
          <w:color w:val="auto"/>
        </w:rPr>
        <w:t>Δ</w:t>
      </w:r>
      <w:r w:rsidR="008233B8" w:rsidRPr="00F767DA">
        <w:rPr>
          <w:i/>
          <w:color w:val="auto"/>
        </w:rPr>
        <w:t>prfA</w:t>
      </w:r>
      <w:proofErr w:type="spellEnd"/>
      <w:r w:rsidR="008233B8" w:rsidRPr="00F767DA">
        <w:rPr>
          <w:color w:val="auto"/>
        </w:rPr>
        <w:t xml:space="preserve">, and </w:t>
      </w:r>
      <w:proofErr w:type="spellStart"/>
      <w:r w:rsidR="008233B8" w:rsidRPr="00F767DA">
        <w:rPr>
          <w:i/>
          <w:color w:val="auto"/>
        </w:rPr>
        <w:t>prfA</w:t>
      </w:r>
      <w:proofErr w:type="spellEnd"/>
      <w:r w:rsidR="008233B8" w:rsidRPr="00F767DA">
        <w:rPr>
          <w:i/>
          <w:color w:val="auto"/>
        </w:rPr>
        <w:t>*</w:t>
      </w:r>
      <w:r w:rsidR="008233B8" w:rsidRPr="00F767DA">
        <w:rPr>
          <w:color w:val="auto"/>
        </w:rPr>
        <w:t xml:space="preserve"> strains are associated with a corresponding </w:t>
      </w:r>
      <w:r w:rsidRPr="00F767DA">
        <w:rPr>
          <w:color w:val="auto"/>
        </w:rPr>
        <w:t>gradation</w:t>
      </w:r>
      <w:r w:rsidR="008233B8" w:rsidRPr="00F767DA">
        <w:rPr>
          <w:color w:val="auto"/>
        </w:rPr>
        <w:t xml:space="preserve"> of</w:t>
      </w:r>
      <w:r w:rsidRPr="00F767DA">
        <w:rPr>
          <w:color w:val="auto"/>
        </w:rPr>
        <w:t xml:space="preserve"> the</w:t>
      </w:r>
      <w:r w:rsidR="008233B8" w:rsidRPr="00F767DA">
        <w:rPr>
          <w:color w:val="auto"/>
        </w:rPr>
        <w:t xml:space="preserve"> innate </w:t>
      </w:r>
      <w:r w:rsidRPr="00F767DA">
        <w:rPr>
          <w:color w:val="auto"/>
        </w:rPr>
        <w:t xml:space="preserve">immune </w:t>
      </w:r>
      <w:r w:rsidR="008233B8" w:rsidRPr="00F767DA">
        <w:rPr>
          <w:color w:val="auto"/>
        </w:rPr>
        <w:t>response.</w:t>
      </w:r>
      <w:r w:rsidRPr="00F767DA">
        <w:rPr>
          <w:color w:val="auto"/>
        </w:rPr>
        <w:t xml:space="preserve"> </w:t>
      </w:r>
      <w:r w:rsidR="00F8345C" w:rsidRPr="00F767DA">
        <w:rPr>
          <w:color w:val="auto"/>
        </w:rPr>
        <w:t>Previously it has been shown that</w:t>
      </w:r>
      <w:r w:rsidR="006A22BD" w:rsidRPr="00F767DA">
        <w:rPr>
          <w:color w:val="auto"/>
        </w:rPr>
        <w:t xml:space="preserve"> resident macrophages (Küpffer cells) and infiltrating</w:t>
      </w:r>
      <w:r w:rsidR="00F8345C" w:rsidRPr="00F767DA">
        <w:rPr>
          <w:color w:val="auto"/>
        </w:rPr>
        <w:t xml:space="preserve"> </w:t>
      </w:r>
      <w:r w:rsidR="00861334" w:rsidRPr="00F767DA">
        <w:rPr>
          <w:color w:val="auto"/>
        </w:rPr>
        <w:t>inflammatory monocytes and neutrophils play critical</w:t>
      </w:r>
      <w:r w:rsidR="006A22BD" w:rsidRPr="00F767DA">
        <w:rPr>
          <w:color w:val="auto"/>
        </w:rPr>
        <w:t xml:space="preserve"> and interrelated</w:t>
      </w:r>
      <w:r w:rsidR="00861334" w:rsidRPr="00F767DA">
        <w:rPr>
          <w:color w:val="auto"/>
        </w:rPr>
        <w:t xml:space="preserve"> roles in protecting the liver during </w:t>
      </w:r>
      <w:r w:rsidR="00861334" w:rsidRPr="00F767DA">
        <w:rPr>
          <w:i/>
          <w:color w:val="auto"/>
        </w:rPr>
        <w:t>Lm</w:t>
      </w:r>
      <w:r w:rsidR="00861334" w:rsidRPr="00F767DA">
        <w:rPr>
          <w:color w:val="auto"/>
        </w:rPr>
        <w:t xml:space="preserve"> inf</w:t>
      </w:r>
      <w:r w:rsidR="007E1E2A" w:rsidRPr="00F767DA">
        <w:rPr>
          <w:color w:val="auto"/>
        </w:rPr>
        <w:t>ection</w:t>
      </w:r>
      <w:r w:rsidR="007E1E2A" w:rsidRPr="00F767DA">
        <w:rPr>
          <w:color w:val="auto"/>
          <w:vertAlign w:val="superscript"/>
        </w:rPr>
        <w:t>5-</w:t>
      </w:r>
      <w:r w:rsidR="001D008C" w:rsidRPr="00F767DA">
        <w:rPr>
          <w:color w:val="auto"/>
          <w:vertAlign w:val="superscript"/>
        </w:rPr>
        <w:t>8</w:t>
      </w:r>
      <w:r w:rsidR="00861334" w:rsidRPr="00F767DA">
        <w:rPr>
          <w:color w:val="auto"/>
        </w:rPr>
        <w:t xml:space="preserve">. </w:t>
      </w:r>
      <w:r w:rsidR="00312FA5" w:rsidRPr="00F767DA">
        <w:rPr>
          <w:color w:val="auto"/>
        </w:rPr>
        <w:t>Cells prepared from uninfected</w:t>
      </w:r>
      <w:r w:rsidR="00CA6BA8" w:rsidRPr="00F767DA">
        <w:rPr>
          <w:color w:val="auto"/>
        </w:rPr>
        <w:t xml:space="preserve"> mice and mice infected with </w:t>
      </w:r>
      <w:r w:rsidRPr="00F767DA">
        <w:rPr>
          <w:color w:val="auto"/>
        </w:rPr>
        <w:t>the</w:t>
      </w:r>
      <w:r w:rsidR="00CA6BA8" w:rsidRPr="00F767DA">
        <w:rPr>
          <w:color w:val="auto"/>
        </w:rPr>
        <w:t xml:space="preserve"> GFP-expressing</w:t>
      </w:r>
      <w:r w:rsidR="00312FA5" w:rsidRPr="00F767DA">
        <w:rPr>
          <w:color w:val="auto"/>
        </w:rPr>
        <w:t xml:space="preserve"> wild-type </w:t>
      </w:r>
      <w:proofErr w:type="spellStart"/>
      <w:r w:rsidR="00312FA5" w:rsidRPr="00F767DA">
        <w:rPr>
          <w:i/>
          <w:color w:val="auto"/>
        </w:rPr>
        <w:t>Lm</w:t>
      </w:r>
      <w:proofErr w:type="spellEnd"/>
      <w:r w:rsidR="001D1B15" w:rsidRPr="00F767DA">
        <w:rPr>
          <w:color w:val="auto"/>
        </w:rPr>
        <w:t xml:space="preserve"> </w:t>
      </w:r>
      <w:r w:rsidR="00CA6BA8" w:rsidRPr="00F767DA">
        <w:rPr>
          <w:color w:val="auto"/>
        </w:rPr>
        <w:t xml:space="preserve">strain </w:t>
      </w:r>
      <w:r w:rsidR="001D1B15" w:rsidRPr="00F767DA">
        <w:rPr>
          <w:color w:val="auto"/>
        </w:rPr>
        <w:t>for 18</w:t>
      </w:r>
      <w:r w:rsidR="007F7836" w:rsidRPr="00F767DA">
        <w:rPr>
          <w:color w:val="auto"/>
        </w:rPr>
        <w:t xml:space="preserve"> h</w:t>
      </w:r>
      <w:r w:rsidR="00312FA5" w:rsidRPr="00F767DA">
        <w:rPr>
          <w:color w:val="auto"/>
        </w:rPr>
        <w:t xml:space="preserve"> were stained with cell type-spec</w:t>
      </w:r>
      <w:r w:rsidRPr="00F767DA">
        <w:rPr>
          <w:color w:val="auto"/>
        </w:rPr>
        <w:t>ific markers and analyzed by flow cytometry</w:t>
      </w:r>
      <w:r w:rsidR="00312FA5" w:rsidRPr="00F767DA">
        <w:rPr>
          <w:color w:val="auto"/>
        </w:rPr>
        <w:t>. In terms of non-immune cells of the liver (</w:t>
      </w:r>
      <w:r w:rsidR="00CA6BA8" w:rsidRPr="00F767DA">
        <w:rPr>
          <w:color w:val="auto"/>
        </w:rPr>
        <w:t xml:space="preserve">e.g., </w:t>
      </w:r>
      <w:r w:rsidR="00312FA5" w:rsidRPr="00F767DA">
        <w:rPr>
          <w:color w:val="auto"/>
        </w:rPr>
        <w:t xml:space="preserve">hepatocytes and </w:t>
      </w:r>
      <w:r w:rsidR="00312FA5" w:rsidRPr="00F767DA">
        <w:rPr>
          <w:color w:val="auto"/>
        </w:rPr>
        <w:lastRenderedPageBreak/>
        <w:t>endothelial cells), there were no detectable differences between uninfected and infected mice. In contrast, there were notable infection-related changes in the</w:t>
      </w:r>
      <w:r w:rsidR="00302A35" w:rsidRPr="00F767DA">
        <w:rPr>
          <w:color w:val="auto"/>
        </w:rPr>
        <w:t xml:space="preserve"> liver in terms of the proportion of immune cells</w:t>
      </w:r>
      <w:r w:rsidR="00312FA5" w:rsidRPr="00F767DA">
        <w:rPr>
          <w:color w:val="auto"/>
        </w:rPr>
        <w:t xml:space="preserve"> that positively stained for the</w:t>
      </w:r>
      <w:r w:rsidR="00CA6BA8" w:rsidRPr="00F767DA">
        <w:rPr>
          <w:color w:val="auto"/>
        </w:rPr>
        <w:t xml:space="preserve"> leukocyte common antigen CD45</w:t>
      </w:r>
      <w:r w:rsidR="00302A35" w:rsidRPr="00F767DA">
        <w:rPr>
          <w:color w:val="auto"/>
        </w:rPr>
        <w:t xml:space="preserve"> (</w:t>
      </w:r>
      <w:r w:rsidR="007F7836" w:rsidRPr="00F767DA">
        <w:rPr>
          <w:b/>
          <w:color w:val="auto"/>
        </w:rPr>
        <w:t>Figure</w:t>
      </w:r>
      <w:r w:rsidR="00302A35" w:rsidRPr="00F767DA">
        <w:rPr>
          <w:b/>
          <w:color w:val="auto"/>
        </w:rPr>
        <w:t xml:space="preserve"> 5A</w:t>
      </w:r>
      <w:r w:rsidR="00302A35" w:rsidRPr="00F767DA">
        <w:rPr>
          <w:color w:val="auto"/>
        </w:rPr>
        <w:t>)</w:t>
      </w:r>
      <w:r w:rsidR="00312FA5" w:rsidRPr="00F767DA">
        <w:rPr>
          <w:color w:val="auto"/>
        </w:rPr>
        <w:t xml:space="preserve">. </w:t>
      </w:r>
      <w:r w:rsidR="00B55B7A" w:rsidRPr="00F767DA">
        <w:rPr>
          <w:color w:val="auto"/>
        </w:rPr>
        <w:t xml:space="preserve">Specifically, mice infected with the wild-type and </w:t>
      </w:r>
      <w:proofErr w:type="spellStart"/>
      <w:r w:rsidR="00B55B7A" w:rsidRPr="00F767DA">
        <w:rPr>
          <w:i/>
          <w:color w:val="auto"/>
        </w:rPr>
        <w:t>prfA</w:t>
      </w:r>
      <w:proofErr w:type="spellEnd"/>
      <w:r w:rsidR="00B55B7A" w:rsidRPr="00F767DA">
        <w:rPr>
          <w:i/>
          <w:color w:val="auto"/>
          <w:vertAlign w:val="superscript"/>
        </w:rPr>
        <w:t>*</w:t>
      </w:r>
      <w:r w:rsidR="00B55B7A" w:rsidRPr="00F767DA">
        <w:rPr>
          <w:color w:val="auto"/>
        </w:rPr>
        <w:t xml:space="preserve"> </w:t>
      </w:r>
      <w:proofErr w:type="spellStart"/>
      <w:r w:rsidR="00B55B7A" w:rsidRPr="00F767DA">
        <w:rPr>
          <w:i/>
          <w:color w:val="auto"/>
        </w:rPr>
        <w:t>Lm</w:t>
      </w:r>
      <w:proofErr w:type="spellEnd"/>
      <w:r w:rsidR="00B55B7A" w:rsidRPr="00F767DA">
        <w:rPr>
          <w:color w:val="auto"/>
        </w:rPr>
        <w:t xml:space="preserve"> strains had significantly higher levels of CD45</w:t>
      </w:r>
      <w:r w:rsidR="00B55B7A" w:rsidRPr="00F767DA">
        <w:rPr>
          <w:color w:val="auto"/>
          <w:vertAlign w:val="superscript"/>
        </w:rPr>
        <w:t>+</w:t>
      </w:r>
      <w:r w:rsidR="00B55B7A" w:rsidRPr="00F767DA">
        <w:rPr>
          <w:color w:val="auto"/>
        </w:rPr>
        <w:t xml:space="preserve"> cells in the liver </w:t>
      </w:r>
      <w:r w:rsidR="00B237CB" w:rsidRPr="00F767DA">
        <w:rPr>
          <w:color w:val="auto"/>
        </w:rPr>
        <w:t xml:space="preserve">compared to uninfected mice </w:t>
      </w:r>
      <w:r w:rsidR="00B55B7A" w:rsidRPr="00F767DA">
        <w:rPr>
          <w:color w:val="auto"/>
        </w:rPr>
        <w:t>whereas the levels of CD45</w:t>
      </w:r>
      <w:r w:rsidR="00B55B7A" w:rsidRPr="00F767DA">
        <w:rPr>
          <w:color w:val="auto"/>
          <w:vertAlign w:val="superscript"/>
        </w:rPr>
        <w:t>+</w:t>
      </w:r>
      <w:r w:rsidR="00B55B7A" w:rsidRPr="00F767DA">
        <w:rPr>
          <w:color w:val="auto"/>
        </w:rPr>
        <w:t xml:space="preserve"> liver cells in mice infected with the attenuated Δ</w:t>
      </w:r>
      <w:r w:rsidR="00B55B7A" w:rsidRPr="00F767DA">
        <w:rPr>
          <w:i/>
          <w:color w:val="auto"/>
        </w:rPr>
        <w:t>prfA</w:t>
      </w:r>
      <w:r w:rsidR="00B55B7A" w:rsidRPr="00F767DA">
        <w:rPr>
          <w:color w:val="auto"/>
        </w:rPr>
        <w:t xml:space="preserve"> </w:t>
      </w:r>
      <w:r w:rsidR="00B55B7A" w:rsidRPr="00F767DA">
        <w:rPr>
          <w:i/>
          <w:color w:val="auto"/>
        </w:rPr>
        <w:t>Lm</w:t>
      </w:r>
      <w:r w:rsidR="00B55B7A" w:rsidRPr="00F767DA">
        <w:rPr>
          <w:color w:val="auto"/>
        </w:rPr>
        <w:t xml:space="preserve"> strain were not notably differ</w:t>
      </w:r>
      <w:r w:rsidR="00B237CB" w:rsidRPr="00F767DA">
        <w:rPr>
          <w:color w:val="auto"/>
        </w:rPr>
        <w:t xml:space="preserve">ent than </w:t>
      </w:r>
      <w:r w:rsidR="00B55B7A" w:rsidRPr="00F767DA">
        <w:rPr>
          <w:color w:val="auto"/>
        </w:rPr>
        <w:t xml:space="preserve">levels observed in uninfected mice. </w:t>
      </w:r>
      <w:r w:rsidR="00302A35" w:rsidRPr="00F767DA">
        <w:rPr>
          <w:color w:val="auto"/>
        </w:rPr>
        <w:t>T</w:t>
      </w:r>
      <w:r w:rsidR="00FA12D3" w:rsidRPr="00F767DA">
        <w:rPr>
          <w:color w:val="auto"/>
        </w:rPr>
        <w:t>o further characterize</w:t>
      </w:r>
      <w:r w:rsidR="00302A35" w:rsidRPr="00F767DA">
        <w:rPr>
          <w:color w:val="auto"/>
        </w:rPr>
        <w:t xml:space="preserve"> both resident and infiltrating immune cell populations</w:t>
      </w:r>
      <w:r w:rsidR="00312FA5" w:rsidRPr="00F767DA">
        <w:rPr>
          <w:color w:val="auto"/>
        </w:rPr>
        <w:t>, CD45</w:t>
      </w:r>
      <w:r w:rsidR="00FA12D3" w:rsidRPr="00F767DA">
        <w:rPr>
          <w:color w:val="auto"/>
          <w:vertAlign w:val="superscript"/>
        </w:rPr>
        <w:t>+</w:t>
      </w:r>
      <w:r w:rsidR="00CA6BA8" w:rsidRPr="00F767DA">
        <w:rPr>
          <w:color w:val="auto"/>
        </w:rPr>
        <w:t xml:space="preserve"> cells can be</w:t>
      </w:r>
      <w:r w:rsidR="00BB0D75" w:rsidRPr="00F767DA">
        <w:rPr>
          <w:color w:val="auto"/>
        </w:rPr>
        <w:t xml:space="preserve"> furthered</w:t>
      </w:r>
      <w:r w:rsidR="00297A2D" w:rsidRPr="00F767DA">
        <w:rPr>
          <w:color w:val="auto"/>
        </w:rPr>
        <w:t xml:space="preserve"> subtyped</w:t>
      </w:r>
      <w:r w:rsidR="00312FA5" w:rsidRPr="00F767DA">
        <w:rPr>
          <w:color w:val="auto"/>
        </w:rPr>
        <w:t xml:space="preserve">. </w:t>
      </w:r>
      <w:r w:rsidR="00450A22" w:rsidRPr="00F767DA">
        <w:rPr>
          <w:color w:val="auto"/>
        </w:rPr>
        <w:t>A</w:t>
      </w:r>
      <w:r w:rsidR="00493255" w:rsidRPr="00F767DA">
        <w:rPr>
          <w:color w:val="auto"/>
        </w:rPr>
        <w:t>s observed</w:t>
      </w:r>
      <w:r w:rsidR="006C12A4" w:rsidRPr="00F767DA">
        <w:rPr>
          <w:color w:val="auto"/>
        </w:rPr>
        <w:t xml:space="preserve"> by others</w:t>
      </w:r>
      <w:r w:rsidR="006C12A4" w:rsidRPr="00F767DA">
        <w:rPr>
          <w:color w:val="auto"/>
          <w:vertAlign w:val="superscript"/>
        </w:rPr>
        <w:t>9</w:t>
      </w:r>
      <w:r w:rsidR="00493255" w:rsidRPr="00F767DA">
        <w:rPr>
          <w:color w:val="auto"/>
        </w:rPr>
        <w:t>, a</w:t>
      </w:r>
      <w:r w:rsidR="00450A22" w:rsidRPr="00F767DA">
        <w:rPr>
          <w:color w:val="auto"/>
        </w:rPr>
        <w:t xml:space="preserve"> notable shift with infection is the almost complete disappearance of</w:t>
      </w:r>
      <w:r w:rsidR="00493255" w:rsidRPr="00F767DA">
        <w:rPr>
          <w:color w:val="auto"/>
        </w:rPr>
        <w:t xml:space="preserve"> resident Küpffer Cells</w:t>
      </w:r>
      <w:r w:rsidR="00450A22" w:rsidRPr="00F767DA">
        <w:rPr>
          <w:color w:val="auto"/>
        </w:rPr>
        <w:t xml:space="preserve"> </w:t>
      </w:r>
      <w:r w:rsidR="00493255" w:rsidRPr="00F767DA">
        <w:rPr>
          <w:color w:val="auto"/>
        </w:rPr>
        <w:t>(</w:t>
      </w:r>
      <w:r w:rsidR="00450A22" w:rsidRPr="00F767DA">
        <w:rPr>
          <w:color w:val="auto"/>
        </w:rPr>
        <w:t>CD11b</w:t>
      </w:r>
      <w:r w:rsidR="00450A22" w:rsidRPr="00F767DA">
        <w:rPr>
          <w:color w:val="auto"/>
          <w:vertAlign w:val="superscript"/>
        </w:rPr>
        <w:t>mid</w:t>
      </w:r>
      <w:r w:rsidR="00450A22" w:rsidRPr="00F767DA">
        <w:rPr>
          <w:color w:val="auto"/>
        </w:rPr>
        <w:t xml:space="preserve"> F4/80</w:t>
      </w:r>
      <w:r w:rsidR="00450A22" w:rsidRPr="00F767DA">
        <w:rPr>
          <w:color w:val="auto"/>
          <w:vertAlign w:val="superscript"/>
        </w:rPr>
        <w:t>+</w:t>
      </w:r>
      <w:r w:rsidR="00493255" w:rsidRPr="00F767DA">
        <w:rPr>
          <w:color w:val="auto"/>
        </w:rPr>
        <w:t>) in the</w:t>
      </w:r>
      <w:r w:rsidR="00F03F01" w:rsidRPr="00F767DA">
        <w:rPr>
          <w:color w:val="auto"/>
        </w:rPr>
        <w:t xml:space="preserve"> liver and the concomitant appearance of </w:t>
      </w:r>
      <w:r w:rsidR="00312FA5" w:rsidRPr="00F767DA">
        <w:rPr>
          <w:color w:val="auto"/>
        </w:rPr>
        <w:t>a distinct population of CD11b</w:t>
      </w:r>
      <w:r w:rsidR="00312FA5" w:rsidRPr="00F767DA">
        <w:rPr>
          <w:color w:val="auto"/>
          <w:vertAlign w:val="superscript"/>
        </w:rPr>
        <w:t>hi</w:t>
      </w:r>
      <w:r w:rsidR="00312FA5" w:rsidRPr="00F767DA">
        <w:rPr>
          <w:color w:val="auto"/>
        </w:rPr>
        <w:t xml:space="preserve"> cells</w:t>
      </w:r>
      <w:r w:rsidR="00F03F01" w:rsidRPr="00F767DA">
        <w:rPr>
          <w:color w:val="auto"/>
        </w:rPr>
        <w:t xml:space="preserve"> </w:t>
      </w:r>
      <w:r w:rsidR="00312FA5" w:rsidRPr="00F767DA">
        <w:rPr>
          <w:color w:val="auto"/>
        </w:rPr>
        <w:t>that represent infiltrating neutrophils (</w:t>
      </w:r>
      <w:r w:rsidR="007F7836" w:rsidRPr="00F767DA">
        <w:rPr>
          <w:b/>
          <w:color w:val="auto"/>
        </w:rPr>
        <w:t>Figure</w:t>
      </w:r>
      <w:r w:rsidR="00312FA5" w:rsidRPr="00F767DA">
        <w:rPr>
          <w:b/>
          <w:color w:val="auto"/>
        </w:rPr>
        <w:t xml:space="preserve"> 5</w:t>
      </w:r>
      <w:r w:rsidR="00493255" w:rsidRPr="00F767DA">
        <w:rPr>
          <w:b/>
          <w:color w:val="auto"/>
        </w:rPr>
        <w:t>B</w:t>
      </w:r>
      <w:r w:rsidR="00FB161A" w:rsidRPr="00F767DA">
        <w:rPr>
          <w:color w:val="auto"/>
        </w:rPr>
        <w:t>;</w:t>
      </w:r>
      <w:r w:rsidR="00FB161A" w:rsidRPr="00F767DA">
        <w:rPr>
          <w:i/>
          <w:color w:val="auto"/>
        </w:rPr>
        <w:t xml:space="preserve"> lower middle panel</w:t>
      </w:r>
      <w:r w:rsidR="00312FA5" w:rsidRPr="00F767DA">
        <w:rPr>
          <w:color w:val="auto"/>
        </w:rPr>
        <w:t>).</w:t>
      </w:r>
      <w:r w:rsidR="00450A22" w:rsidRPr="00F767DA">
        <w:rPr>
          <w:color w:val="auto"/>
        </w:rPr>
        <w:t xml:space="preserve"> </w:t>
      </w:r>
      <w:r w:rsidR="00312FA5" w:rsidRPr="00F767DA">
        <w:rPr>
          <w:color w:val="auto"/>
        </w:rPr>
        <w:t>Also appearing in the liver at 18 hpi, are CD11b</w:t>
      </w:r>
      <w:r w:rsidR="00B237CB" w:rsidRPr="00F767DA">
        <w:rPr>
          <w:color w:val="auto"/>
          <w:vertAlign w:val="superscript"/>
        </w:rPr>
        <w:t>mid</w:t>
      </w:r>
      <w:r w:rsidR="00312FA5" w:rsidRPr="00F767DA">
        <w:rPr>
          <w:color w:val="auto"/>
        </w:rPr>
        <w:t xml:space="preserve"> F4/80</w:t>
      </w:r>
      <w:r w:rsidR="00F03F01" w:rsidRPr="00F767DA">
        <w:rPr>
          <w:color w:val="auto"/>
          <w:vertAlign w:val="superscript"/>
        </w:rPr>
        <w:t>-</w:t>
      </w:r>
      <w:r w:rsidR="00312FA5" w:rsidRPr="00F767DA">
        <w:rPr>
          <w:color w:val="auto"/>
        </w:rPr>
        <w:t xml:space="preserve"> cells appear that, since they also are Ly6C</w:t>
      </w:r>
      <w:r w:rsidR="00312FA5" w:rsidRPr="00F767DA">
        <w:rPr>
          <w:color w:val="auto"/>
          <w:vertAlign w:val="superscript"/>
        </w:rPr>
        <w:t>hi</w:t>
      </w:r>
      <w:r w:rsidR="00312FA5" w:rsidRPr="00F767DA">
        <w:rPr>
          <w:color w:val="auto"/>
        </w:rPr>
        <w:t>, represent infiltrating inflammatory monocytes (</w:t>
      </w:r>
      <w:r w:rsidR="007F7836" w:rsidRPr="00F767DA">
        <w:rPr>
          <w:b/>
          <w:color w:val="auto"/>
        </w:rPr>
        <w:t>Figure</w:t>
      </w:r>
      <w:r w:rsidR="00312FA5" w:rsidRPr="00F767DA">
        <w:rPr>
          <w:b/>
          <w:color w:val="auto"/>
        </w:rPr>
        <w:t xml:space="preserve"> 5</w:t>
      </w:r>
      <w:r w:rsidR="00493255" w:rsidRPr="00F767DA">
        <w:rPr>
          <w:b/>
          <w:color w:val="auto"/>
        </w:rPr>
        <w:t>B</w:t>
      </w:r>
      <w:r w:rsidR="00FB161A" w:rsidRPr="00F767DA">
        <w:rPr>
          <w:color w:val="auto"/>
        </w:rPr>
        <w:t xml:space="preserve">; </w:t>
      </w:r>
      <w:r w:rsidR="00FB161A" w:rsidRPr="00F767DA">
        <w:rPr>
          <w:i/>
          <w:color w:val="auto"/>
        </w:rPr>
        <w:t>lower middle and right panels</w:t>
      </w:r>
      <w:r w:rsidR="00312FA5" w:rsidRPr="00F767DA">
        <w:rPr>
          <w:color w:val="auto"/>
        </w:rPr>
        <w:t xml:space="preserve">). </w:t>
      </w:r>
      <w:r w:rsidR="00FB161A" w:rsidRPr="00F767DA">
        <w:rPr>
          <w:color w:val="auto"/>
        </w:rPr>
        <w:t>In infected mice t</w:t>
      </w:r>
      <w:r w:rsidR="0036025D" w:rsidRPr="00F767DA">
        <w:rPr>
          <w:color w:val="auto"/>
        </w:rPr>
        <w:t xml:space="preserve">hese latter cells are the only cells </w:t>
      </w:r>
      <w:r w:rsidR="00FB161A" w:rsidRPr="00F767DA">
        <w:rPr>
          <w:color w:val="auto"/>
        </w:rPr>
        <w:t>in which</w:t>
      </w:r>
      <w:r w:rsidR="0036025D" w:rsidRPr="00F767DA">
        <w:rPr>
          <w:color w:val="auto"/>
        </w:rPr>
        <w:t xml:space="preserve"> appreciable GFP signal was detected</w:t>
      </w:r>
      <w:r w:rsidR="00F43091" w:rsidRPr="00F767DA">
        <w:rPr>
          <w:color w:val="auto"/>
        </w:rPr>
        <w:t xml:space="preserve"> following 18</w:t>
      </w:r>
      <w:r w:rsidR="007F7836" w:rsidRPr="00F767DA">
        <w:rPr>
          <w:color w:val="auto"/>
        </w:rPr>
        <w:t xml:space="preserve"> </w:t>
      </w:r>
      <w:proofErr w:type="spellStart"/>
      <w:r w:rsidR="007F7836" w:rsidRPr="00F767DA">
        <w:rPr>
          <w:color w:val="auto"/>
        </w:rPr>
        <w:t>h</w:t>
      </w:r>
      <w:r w:rsidR="00F43091" w:rsidRPr="00F767DA">
        <w:rPr>
          <w:color w:val="auto"/>
        </w:rPr>
        <w:t>s</w:t>
      </w:r>
      <w:proofErr w:type="spellEnd"/>
      <w:r w:rsidR="00F43091" w:rsidRPr="00F767DA">
        <w:rPr>
          <w:color w:val="auto"/>
        </w:rPr>
        <w:t xml:space="preserve"> of infection</w:t>
      </w:r>
      <w:r w:rsidR="0036025D" w:rsidRPr="00F767DA">
        <w:rPr>
          <w:color w:val="auto"/>
        </w:rPr>
        <w:t xml:space="preserve"> </w:t>
      </w:r>
      <w:r w:rsidR="00312FA5" w:rsidRPr="00F767DA">
        <w:rPr>
          <w:color w:val="auto"/>
        </w:rPr>
        <w:t>(</w:t>
      </w:r>
      <w:r w:rsidR="007F7836" w:rsidRPr="00F767DA">
        <w:rPr>
          <w:b/>
          <w:color w:val="auto"/>
        </w:rPr>
        <w:t>Figure</w:t>
      </w:r>
      <w:r w:rsidR="00312FA5" w:rsidRPr="00F767DA">
        <w:rPr>
          <w:b/>
          <w:color w:val="auto"/>
        </w:rPr>
        <w:t xml:space="preserve"> </w:t>
      </w:r>
      <w:r w:rsidR="00493255" w:rsidRPr="00F767DA">
        <w:rPr>
          <w:b/>
          <w:color w:val="auto"/>
        </w:rPr>
        <w:t>5C</w:t>
      </w:r>
      <w:r w:rsidR="00312FA5" w:rsidRPr="00F767DA">
        <w:rPr>
          <w:color w:val="auto"/>
        </w:rPr>
        <w:t xml:space="preserve">). </w:t>
      </w:r>
      <w:r w:rsidR="004556A3" w:rsidRPr="00F767DA">
        <w:rPr>
          <w:color w:val="auto"/>
        </w:rPr>
        <w:t xml:space="preserve">This latter finding is </w:t>
      </w:r>
      <w:proofErr w:type="gramStart"/>
      <w:r w:rsidR="004556A3" w:rsidRPr="00F767DA">
        <w:rPr>
          <w:color w:val="auto"/>
        </w:rPr>
        <w:t>similar to</w:t>
      </w:r>
      <w:proofErr w:type="gramEnd"/>
      <w:r w:rsidR="004556A3" w:rsidRPr="00F767DA">
        <w:rPr>
          <w:color w:val="auto"/>
        </w:rPr>
        <w:t xml:space="preserve"> that recently reported by Jones and </w:t>
      </w:r>
      <w:proofErr w:type="spellStart"/>
      <w:r w:rsidR="004556A3" w:rsidRPr="00F767DA">
        <w:rPr>
          <w:color w:val="auto"/>
        </w:rPr>
        <w:t>D’Orazio</w:t>
      </w:r>
      <w:proofErr w:type="spellEnd"/>
      <w:r w:rsidR="004556A3" w:rsidRPr="00F767DA">
        <w:rPr>
          <w:color w:val="auto"/>
        </w:rPr>
        <w:t xml:space="preserve"> who showed that in mice, </w:t>
      </w:r>
      <w:r w:rsidR="004556A3" w:rsidRPr="00F767DA">
        <w:rPr>
          <w:i/>
          <w:color w:val="auto"/>
        </w:rPr>
        <w:t>Lm</w:t>
      </w:r>
      <w:r w:rsidR="004556A3" w:rsidRPr="00F767DA">
        <w:rPr>
          <w:color w:val="auto"/>
        </w:rPr>
        <w:t xml:space="preserve"> primarily is associated with Ly6C</w:t>
      </w:r>
      <w:r w:rsidR="004556A3" w:rsidRPr="00F767DA">
        <w:rPr>
          <w:color w:val="auto"/>
          <w:vertAlign w:val="superscript"/>
        </w:rPr>
        <w:t>hi</w:t>
      </w:r>
      <w:r w:rsidR="004556A3" w:rsidRPr="00F767DA">
        <w:rPr>
          <w:color w:val="auto"/>
        </w:rPr>
        <w:t xml:space="preserve"> monocytes that infiltrate the gut following food-borne infection</w:t>
      </w:r>
      <w:r w:rsidR="006862AE" w:rsidRPr="00F767DA">
        <w:rPr>
          <w:color w:val="auto"/>
          <w:vertAlign w:val="superscript"/>
        </w:rPr>
        <w:t>10</w:t>
      </w:r>
      <w:r w:rsidR="004556A3" w:rsidRPr="00F767DA">
        <w:rPr>
          <w:color w:val="auto"/>
        </w:rPr>
        <w:t>.</w:t>
      </w:r>
      <w:r w:rsidR="00493255" w:rsidRPr="00F767DA">
        <w:rPr>
          <w:color w:val="auto"/>
        </w:rPr>
        <w:t xml:space="preserve"> </w:t>
      </w:r>
      <w:r w:rsidR="00131949" w:rsidRPr="00F767DA">
        <w:rPr>
          <w:color w:val="auto"/>
        </w:rPr>
        <w:t>The profile of liver CD45</w:t>
      </w:r>
      <w:r w:rsidR="00131949" w:rsidRPr="00F767DA">
        <w:rPr>
          <w:color w:val="auto"/>
          <w:vertAlign w:val="superscript"/>
        </w:rPr>
        <w:t>hi</w:t>
      </w:r>
      <w:r w:rsidR="00131949" w:rsidRPr="00F767DA">
        <w:rPr>
          <w:color w:val="auto"/>
        </w:rPr>
        <w:t xml:space="preserve"> cells of mice infected with the </w:t>
      </w:r>
      <w:r w:rsidR="00131949" w:rsidRPr="00F767DA">
        <w:rPr>
          <w:i/>
          <w:color w:val="auto"/>
        </w:rPr>
        <w:t>Lm</w:t>
      </w:r>
      <w:r w:rsidR="00131949" w:rsidRPr="00F767DA">
        <w:rPr>
          <w:color w:val="auto"/>
        </w:rPr>
        <w:t xml:space="preserve"> Δ</w:t>
      </w:r>
      <w:r w:rsidR="00131949" w:rsidRPr="00F767DA">
        <w:rPr>
          <w:i/>
          <w:color w:val="auto"/>
        </w:rPr>
        <w:t>prfA</w:t>
      </w:r>
      <w:r w:rsidR="004556A3" w:rsidRPr="00F767DA">
        <w:rPr>
          <w:color w:val="auto"/>
        </w:rPr>
        <w:t xml:space="preserve"> </w:t>
      </w:r>
      <w:r w:rsidR="00131949" w:rsidRPr="00F767DA">
        <w:rPr>
          <w:color w:val="auto"/>
        </w:rPr>
        <w:t xml:space="preserve">strain resembled that of uninfected mice whereas mice infected with the hyper-virulent </w:t>
      </w:r>
      <w:proofErr w:type="spellStart"/>
      <w:r w:rsidR="00131949" w:rsidRPr="00F767DA">
        <w:rPr>
          <w:i/>
          <w:color w:val="auto"/>
        </w:rPr>
        <w:t>Lm</w:t>
      </w:r>
      <w:proofErr w:type="spellEnd"/>
      <w:r w:rsidR="00131949" w:rsidRPr="00F767DA">
        <w:rPr>
          <w:color w:val="auto"/>
        </w:rPr>
        <w:t xml:space="preserve"> </w:t>
      </w:r>
      <w:proofErr w:type="spellStart"/>
      <w:r w:rsidR="00131949" w:rsidRPr="00F767DA">
        <w:rPr>
          <w:i/>
          <w:color w:val="auto"/>
        </w:rPr>
        <w:t>prfA</w:t>
      </w:r>
      <w:proofErr w:type="spellEnd"/>
      <w:r w:rsidR="00131949" w:rsidRPr="00F767DA">
        <w:rPr>
          <w:i/>
          <w:color w:val="auto"/>
        </w:rPr>
        <w:t>*</w:t>
      </w:r>
      <w:r w:rsidR="00131949" w:rsidRPr="00F767DA">
        <w:rPr>
          <w:color w:val="auto"/>
        </w:rPr>
        <w:t xml:space="preserve"> strain had modestly enhanced levels</w:t>
      </w:r>
      <w:r w:rsidR="00775894" w:rsidRPr="00F767DA">
        <w:rPr>
          <w:color w:val="auto"/>
        </w:rPr>
        <w:t xml:space="preserve"> </w:t>
      </w:r>
      <w:r w:rsidR="00131949" w:rsidRPr="00F767DA">
        <w:rPr>
          <w:color w:val="auto"/>
        </w:rPr>
        <w:t>of infiltrating neutrophils and inflammatory monocytes</w:t>
      </w:r>
      <w:r w:rsidR="00775894" w:rsidRPr="00F767DA">
        <w:rPr>
          <w:color w:val="auto"/>
        </w:rPr>
        <w:t xml:space="preserve"> compared to mice infected with the wild-type </w:t>
      </w:r>
      <w:r w:rsidR="00775894" w:rsidRPr="00F767DA">
        <w:rPr>
          <w:i/>
          <w:color w:val="auto"/>
        </w:rPr>
        <w:t>Lm</w:t>
      </w:r>
      <w:r w:rsidR="00775894" w:rsidRPr="00F767DA">
        <w:rPr>
          <w:color w:val="auto"/>
        </w:rPr>
        <w:t xml:space="preserve"> strain</w:t>
      </w:r>
      <w:r w:rsidR="00131949" w:rsidRPr="00F767DA">
        <w:rPr>
          <w:color w:val="auto"/>
        </w:rPr>
        <w:t xml:space="preserve"> (</w:t>
      </w:r>
      <w:r w:rsidR="00131949" w:rsidRPr="00F767DA">
        <w:rPr>
          <w:i/>
          <w:color w:val="auto"/>
        </w:rPr>
        <w:t>data not shown</w:t>
      </w:r>
      <w:r w:rsidR="00131949" w:rsidRPr="00F767DA">
        <w:rPr>
          <w:color w:val="auto"/>
        </w:rPr>
        <w:t>).</w:t>
      </w:r>
    </w:p>
    <w:p w14:paraId="1BE2F44B" w14:textId="77777777" w:rsidR="00312FA5" w:rsidRPr="00F767DA" w:rsidRDefault="00312FA5" w:rsidP="00F36A88">
      <w:pPr>
        <w:contextualSpacing/>
        <w:rPr>
          <w:color w:val="auto"/>
        </w:rPr>
      </w:pPr>
    </w:p>
    <w:p w14:paraId="75182EC3" w14:textId="0E82E588" w:rsidR="00B32616" w:rsidRPr="00F767DA" w:rsidRDefault="00B32616" w:rsidP="00F36A88">
      <w:pPr>
        <w:contextualSpacing/>
        <w:rPr>
          <w:color w:val="808080"/>
        </w:rPr>
      </w:pPr>
      <w:r w:rsidRPr="00F767DA">
        <w:rPr>
          <w:b/>
        </w:rPr>
        <w:t xml:space="preserve">FIGURE </w:t>
      </w:r>
      <w:r w:rsidR="0013621E" w:rsidRPr="00F767DA">
        <w:rPr>
          <w:b/>
        </w:rPr>
        <w:t xml:space="preserve">AND TABLE </w:t>
      </w:r>
      <w:r w:rsidRPr="00F767DA">
        <w:rPr>
          <w:b/>
        </w:rPr>
        <w:t>LEGENDS:</w:t>
      </w:r>
      <w:r w:rsidRPr="00F767DA">
        <w:rPr>
          <w:color w:val="808080"/>
        </w:rPr>
        <w:t xml:space="preserve"> </w:t>
      </w:r>
    </w:p>
    <w:p w14:paraId="11096998" w14:textId="0E058B3A" w:rsidR="007F185B" w:rsidRPr="00F767DA" w:rsidRDefault="007F185B" w:rsidP="00F36A88">
      <w:pPr>
        <w:contextualSpacing/>
        <w:rPr>
          <w:color w:val="auto"/>
        </w:rPr>
      </w:pPr>
      <w:r w:rsidRPr="00F767DA">
        <w:rPr>
          <w:b/>
          <w:bCs/>
          <w:color w:val="auto"/>
        </w:rPr>
        <w:t xml:space="preserve">Figure 1: Infection of cultured macrophages by </w:t>
      </w:r>
      <w:r w:rsidRPr="00F767DA">
        <w:rPr>
          <w:b/>
          <w:bCs/>
          <w:i/>
          <w:iCs/>
          <w:color w:val="auto"/>
        </w:rPr>
        <w:t xml:space="preserve">Listeria monocytogenes </w:t>
      </w:r>
      <w:r w:rsidRPr="00F767DA">
        <w:rPr>
          <w:b/>
          <w:bCs/>
          <w:color w:val="auto"/>
        </w:rPr>
        <w:t>(</w:t>
      </w:r>
      <w:r w:rsidRPr="00F767DA">
        <w:rPr>
          <w:b/>
          <w:bCs/>
          <w:i/>
          <w:iCs/>
          <w:color w:val="auto"/>
        </w:rPr>
        <w:t>Lm</w:t>
      </w:r>
      <w:r w:rsidRPr="00F767DA">
        <w:rPr>
          <w:b/>
          <w:bCs/>
          <w:color w:val="auto"/>
        </w:rPr>
        <w:t>).</w:t>
      </w:r>
      <w:r w:rsidR="005D5967" w:rsidRPr="00F767DA">
        <w:rPr>
          <w:color w:val="auto"/>
        </w:rPr>
        <w:t xml:space="preserve"> The mouse macrophage cell line RAW 264.7 </w:t>
      </w:r>
      <w:r w:rsidRPr="00F767DA">
        <w:rPr>
          <w:color w:val="auto"/>
        </w:rPr>
        <w:t xml:space="preserve">were infected </w:t>
      </w:r>
      <w:r w:rsidR="002D35C6" w:rsidRPr="00F767DA">
        <w:rPr>
          <w:iCs/>
          <w:color w:val="auto"/>
        </w:rPr>
        <w:t>in vitro</w:t>
      </w:r>
      <w:r w:rsidRPr="00F767DA">
        <w:rPr>
          <w:i/>
          <w:iCs/>
          <w:color w:val="auto"/>
        </w:rPr>
        <w:t xml:space="preserve"> </w:t>
      </w:r>
      <w:r w:rsidRPr="00F767DA">
        <w:rPr>
          <w:color w:val="auto"/>
        </w:rPr>
        <w:t xml:space="preserve">with either wild-type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 xml:space="preserve"> (</w:t>
      </w:r>
      <w:r w:rsidRPr="00F767DA">
        <w:rPr>
          <w:i/>
          <w:iCs/>
          <w:color w:val="auto"/>
        </w:rPr>
        <w:t>wt</w:t>
      </w:r>
      <w:r w:rsidRPr="00F767DA">
        <w:rPr>
          <w:color w:val="auto"/>
        </w:rPr>
        <w:t xml:space="preserve">; filled circles), attenuated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 xml:space="preserve"> (</w:t>
      </w:r>
      <w:r w:rsidRPr="00F767DA">
        <w:rPr>
          <w:color w:val="auto"/>
          <w:lang w:val="el-GR"/>
        </w:rPr>
        <w:t>Δ</w:t>
      </w:r>
      <w:proofErr w:type="spellStart"/>
      <w:r w:rsidRPr="00F767DA">
        <w:rPr>
          <w:i/>
          <w:iCs/>
          <w:color w:val="auto"/>
        </w:rPr>
        <w:t>prfA</w:t>
      </w:r>
      <w:proofErr w:type="spellEnd"/>
      <w:r w:rsidRPr="00F767DA">
        <w:rPr>
          <w:color w:val="auto"/>
        </w:rPr>
        <w:t>; open circles), or hyper-virulent (</w:t>
      </w:r>
      <w:proofErr w:type="spellStart"/>
      <w:r w:rsidRPr="00F767DA">
        <w:rPr>
          <w:i/>
          <w:iCs/>
          <w:color w:val="auto"/>
        </w:rPr>
        <w:t>prfA</w:t>
      </w:r>
      <w:proofErr w:type="spellEnd"/>
      <w:r w:rsidRPr="00F767DA">
        <w:rPr>
          <w:i/>
          <w:iCs/>
          <w:color w:val="auto"/>
        </w:rPr>
        <w:t>*</w:t>
      </w:r>
      <w:r w:rsidRPr="00F767DA">
        <w:rPr>
          <w:color w:val="auto"/>
        </w:rPr>
        <w:t xml:space="preserve">; open squares)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 xml:space="preserve"> strains (see text for details). (</w:t>
      </w:r>
      <w:r w:rsidRPr="00F767DA">
        <w:rPr>
          <w:b/>
          <w:bCs/>
          <w:color w:val="auto"/>
        </w:rPr>
        <w:t>A</w:t>
      </w:r>
      <w:r w:rsidRPr="00F767DA">
        <w:rPr>
          <w:color w:val="auto"/>
        </w:rPr>
        <w:t xml:space="preserve">) At 1.5, 3, and 6 hours post infection (hpi), macrophages were </w:t>
      </w:r>
      <w:proofErr w:type="gramStart"/>
      <w:r w:rsidRPr="00F767DA">
        <w:rPr>
          <w:color w:val="auto"/>
        </w:rPr>
        <w:t>lysed</w:t>
      </w:r>
      <w:proofErr w:type="gramEnd"/>
      <w:r w:rsidRPr="00F767DA">
        <w:rPr>
          <w:color w:val="auto"/>
        </w:rPr>
        <w:t xml:space="preserve"> and the cellular contents were analyzed by colony-forming unit (CFU) assay. (</w:t>
      </w:r>
      <w:r w:rsidRPr="00F767DA">
        <w:rPr>
          <w:b/>
          <w:bCs/>
          <w:color w:val="auto"/>
        </w:rPr>
        <w:t>B</w:t>
      </w:r>
      <w:r w:rsidRPr="00F767DA">
        <w:rPr>
          <w:color w:val="auto"/>
        </w:rPr>
        <w:t>) Infected macrophage</w:t>
      </w:r>
      <w:r w:rsidR="005D5967" w:rsidRPr="00F767DA">
        <w:rPr>
          <w:color w:val="auto"/>
        </w:rPr>
        <w:t>s</w:t>
      </w:r>
      <w:r w:rsidRPr="00F767DA">
        <w:rPr>
          <w:color w:val="auto"/>
        </w:rPr>
        <w:t xml:space="preserve"> were briefly treated with the antibiotic gentamicin to eliminate non-internalized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and at 6 hpi the overlaying media was collected and analyzed by CFU assay. Dotted line represents the detection limit of the assay. Each data point represents an independent well/infection and P values were determined by Student’s T test. </w:t>
      </w:r>
      <w:r w:rsidR="005D5967" w:rsidRPr="00F767DA">
        <w:rPr>
          <w:color w:val="auto"/>
        </w:rPr>
        <w:t>Shown are the results of a single representative experiment performed three times with similar outcomes.</w:t>
      </w:r>
    </w:p>
    <w:p w14:paraId="0010D146" w14:textId="77777777" w:rsidR="00527999" w:rsidRPr="00F767DA" w:rsidRDefault="00527999" w:rsidP="00F36A88">
      <w:pPr>
        <w:contextualSpacing/>
        <w:rPr>
          <w:color w:val="auto"/>
        </w:rPr>
      </w:pPr>
    </w:p>
    <w:p w14:paraId="4FD992B7" w14:textId="7610F5AA" w:rsidR="00A46F4A" w:rsidRPr="00F767DA" w:rsidRDefault="007F185B" w:rsidP="00F36A88">
      <w:pPr>
        <w:contextualSpacing/>
        <w:rPr>
          <w:color w:val="auto"/>
        </w:rPr>
      </w:pPr>
      <w:r w:rsidRPr="00F767DA">
        <w:rPr>
          <w:b/>
          <w:bCs/>
          <w:color w:val="auto"/>
        </w:rPr>
        <w:t xml:space="preserve">Figure 2: Actin-bound </w:t>
      </w:r>
      <w:r w:rsidRPr="00F767DA">
        <w:rPr>
          <w:b/>
          <w:bCs/>
          <w:i/>
          <w:iCs/>
          <w:color w:val="auto"/>
        </w:rPr>
        <w:t>Lm</w:t>
      </w:r>
      <w:r w:rsidRPr="00F767DA">
        <w:rPr>
          <w:b/>
          <w:bCs/>
          <w:color w:val="auto"/>
        </w:rPr>
        <w:t xml:space="preserve"> analyzed by flow cytometry. </w:t>
      </w:r>
      <w:r w:rsidR="005D5967" w:rsidRPr="00F767DA">
        <w:rPr>
          <w:color w:val="auto"/>
        </w:rPr>
        <w:t xml:space="preserve">The mouse macrophage cell line RAW 264.7 </w:t>
      </w:r>
      <w:r w:rsidRPr="00F767DA">
        <w:rPr>
          <w:color w:val="auto"/>
        </w:rPr>
        <w:t xml:space="preserve">were either left uninfected or infected </w:t>
      </w:r>
      <w:r w:rsidR="002D35C6" w:rsidRPr="00F767DA">
        <w:rPr>
          <w:iCs/>
          <w:color w:val="auto"/>
        </w:rPr>
        <w:t>in vitro</w:t>
      </w:r>
      <w:r w:rsidRPr="00F767DA">
        <w:rPr>
          <w:i/>
          <w:iCs/>
          <w:color w:val="auto"/>
        </w:rPr>
        <w:t xml:space="preserve"> </w:t>
      </w:r>
      <w:r w:rsidRPr="00F767DA">
        <w:rPr>
          <w:color w:val="auto"/>
        </w:rPr>
        <w:t xml:space="preserve">with GFP-expressing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>.</w:t>
      </w:r>
      <w:r w:rsidR="0000702C" w:rsidRPr="00F767DA">
        <w:rPr>
          <w:color w:val="auto"/>
        </w:rPr>
        <w:t xml:space="preserve"> T</w:t>
      </w:r>
      <w:r w:rsidRPr="00F767DA">
        <w:rPr>
          <w:color w:val="auto"/>
        </w:rPr>
        <w:t>he overlying media was removed, centrifuged, and the collected material stained with actin-binding phalloidin. The stained material was analyzed by flow cytometry and shown is</w:t>
      </w:r>
      <w:r w:rsidR="0000702C" w:rsidRPr="00F767DA">
        <w:rPr>
          <w:color w:val="auto"/>
        </w:rPr>
        <w:t xml:space="preserve"> the light-scattering plots (</w:t>
      </w:r>
      <w:r w:rsidR="0000702C" w:rsidRPr="00F767DA">
        <w:rPr>
          <w:b/>
          <w:color w:val="auto"/>
        </w:rPr>
        <w:t>A</w:t>
      </w:r>
      <w:r w:rsidR="0000702C" w:rsidRPr="00F767DA">
        <w:rPr>
          <w:color w:val="auto"/>
        </w:rPr>
        <w:t>) indicating the gating used for</w:t>
      </w:r>
      <w:r w:rsidRPr="00F767DA">
        <w:rPr>
          <w:color w:val="auto"/>
        </w:rPr>
        <w:t xml:space="preserve"> the GFP- and phalloidin-associated levels of extracellular (i.e., media-derived)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="0000702C" w:rsidRPr="00F767DA">
        <w:rPr>
          <w:iCs/>
          <w:color w:val="auto"/>
        </w:rPr>
        <w:t xml:space="preserve"> shown in (</w:t>
      </w:r>
      <w:r w:rsidR="0000702C" w:rsidRPr="00F767DA">
        <w:rPr>
          <w:b/>
          <w:iCs/>
          <w:color w:val="auto"/>
        </w:rPr>
        <w:t>B</w:t>
      </w:r>
      <w:r w:rsidR="0000702C" w:rsidRPr="00F767DA">
        <w:rPr>
          <w:iCs/>
          <w:color w:val="auto"/>
        </w:rPr>
        <w:t>)</w:t>
      </w:r>
      <w:r w:rsidRPr="00F767DA">
        <w:rPr>
          <w:color w:val="auto"/>
        </w:rPr>
        <w:t>.</w:t>
      </w:r>
      <w:r w:rsidR="002D35C6" w:rsidRPr="00F767DA">
        <w:rPr>
          <w:color w:val="auto"/>
        </w:rPr>
        <w:t xml:space="preserve"> </w:t>
      </w:r>
      <w:r w:rsidR="0000702C" w:rsidRPr="00F767DA">
        <w:rPr>
          <w:color w:val="auto"/>
        </w:rPr>
        <w:t>(</w:t>
      </w:r>
      <w:r w:rsidR="0000702C" w:rsidRPr="00F767DA">
        <w:rPr>
          <w:b/>
          <w:color w:val="auto"/>
        </w:rPr>
        <w:t>B</w:t>
      </w:r>
      <w:r w:rsidR="0000702C" w:rsidRPr="00F767DA">
        <w:rPr>
          <w:color w:val="auto"/>
        </w:rPr>
        <w:t xml:space="preserve">) </w:t>
      </w:r>
      <w:r w:rsidRPr="00F767DA">
        <w:rPr>
          <w:color w:val="auto"/>
        </w:rPr>
        <w:t xml:space="preserve">The </w:t>
      </w:r>
      <w:r w:rsidR="0000702C" w:rsidRPr="00F767DA">
        <w:rPr>
          <w:color w:val="auto"/>
        </w:rPr>
        <w:t>indicated</w:t>
      </w:r>
      <w:r w:rsidRPr="00F767DA">
        <w:rPr>
          <w:color w:val="auto"/>
        </w:rPr>
        <w:t xml:space="preserve"> area represents the GFP/actin double positive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and their abundance as a percentage of the total events</w:t>
      </w:r>
      <w:r w:rsidR="0000702C" w:rsidRPr="00F767DA">
        <w:rPr>
          <w:color w:val="auto"/>
        </w:rPr>
        <w:t xml:space="preserve"> within the light-scattering gates</w:t>
      </w:r>
      <w:r w:rsidRPr="00F767DA">
        <w:rPr>
          <w:color w:val="auto"/>
        </w:rPr>
        <w:t xml:space="preserve">. </w:t>
      </w:r>
      <w:r w:rsidRPr="00F767DA">
        <w:rPr>
          <w:b/>
          <w:bCs/>
          <w:color w:val="auto"/>
        </w:rPr>
        <w:t>(</w:t>
      </w:r>
      <w:r w:rsidR="0000702C" w:rsidRPr="00F767DA">
        <w:rPr>
          <w:b/>
          <w:bCs/>
          <w:color w:val="auto"/>
        </w:rPr>
        <w:t>C</w:t>
      </w:r>
      <w:r w:rsidRPr="00F767DA">
        <w:rPr>
          <w:b/>
          <w:bCs/>
          <w:color w:val="auto"/>
        </w:rPr>
        <w:t>)</w:t>
      </w:r>
      <w:r w:rsidRPr="00F767DA">
        <w:rPr>
          <w:color w:val="auto"/>
        </w:rPr>
        <w:t xml:space="preserve"> Mouse macrophages were infected with either GFP-expressing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or a GFP-expressing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strain lacking the gene encoding </w:t>
      </w:r>
      <w:proofErr w:type="spellStart"/>
      <w:r w:rsidRPr="00F767DA">
        <w:rPr>
          <w:color w:val="auto"/>
        </w:rPr>
        <w:t>ActA</w:t>
      </w:r>
      <w:proofErr w:type="spellEnd"/>
      <w:r w:rsidRPr="00F767DA">
        <w:rPr>
          <w:color w:val="auto"/>
        </w:rPr>
        <w:t xml:space="preserve"> </w:t>
      </w:r>
      <w:r w:rsidR="00B65F8B" w:rsidRPr="00F767DA">
        <w:rPr>
          <w:color w:val="auto"/>
        </w:rPr>
        <w:t>(∆</w:t>
      </w:r>
      <w:proofErr w:type="spellStart"/>
      <w:r w:rsidR="00B65F8B" w:rsidRPr="00F767DA">
        <w:rPr>
          <w:i/>
          <w:color w:val="auto"/>
        </w:rPr>
        <w:t>actA</w:t>
      </w:r>
      <w:proofErr w:type="spellEnd"/>
      <w:r w:rsidR="00B65F8B" w:rsidRPr="00F767DA">
        <w:rPr>
          <w:color w:val="auto"/>
        </w:rPr>
        <w:t xml:space="preserve">) </w:t>
      </w:r>
      <w:r w:rsidRPr="00F767DA">
        <w:rPr>
          <w:color w:val="auto"/>
        </w:rPr>
        <w:t xml:space="preserve">that recruits the actin-polymerization machinery of the host cell to the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cell surface. At 6 hpi, infected cells were lysed and the released cellular contents, including the intracellular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, were stained for actin and analyzed by </w:t>
      </w:r>
      <w:r w:rsidRPr="00F767DA">
        <w:rPr>
          <w:color w:val="auto"/>
        </w:rPr>
        <w:lastRenderedPageBreak/>
        <w:t>flow cytometry.</w:t>
      </w:r>
      <w:r w:rsidR="005D5967" w:rsidRPr="00F767DA">
        <w:rPr>
          <w:color w:val="auto"/>
        </w:rPr>
        <w:t xml:space="preserve"> Shown are the results of a single representative experiment performed three times with similar outcomes.</w:t>
      </w:r>
    </w:p>
    <w:p w14:paraId="3B354787" w14:textId="77777777" w:rsidR="007F185B" w:rsidRPr="00F767DA" w:rsidRDefault="007F185B" w:rsidP="00F36A88">
      <w:pPr>
        <w:contextualSpacing/>
        <w:rPr>
          <w:color w:val="auto"/>
        </w:rPr>
      </w:pPr>
    </w:p>
    <w:p w14:paraId="7082625C" w14:textId="2F098508" w:rsidR="007F185B" w:rsidRPr="00F767DA" w:rsidRDefault="007F185B" w:rsidP="00F36A88">
      <w:pPr>
        <w:contextualSpacing/>
        <w:rPr>
          <w:color w:val="auto"/>
        </w:rPr>
      </w:pPr>
      <w:r w:rsidRPr="00F767DA">
        <w:rPr>
          <w:b/>
          <w:bCs/>
          <w:color w:val="auto"/>
        </w:rPr>
        <w:t xml:space="preserve">Figure 3: Infection of wild-type and </w:t>
      </w:r>
      <w:r w:rsidRPr="00F767DA">
        <w:rPr>
          <w:b/>
          <w:bCs/>
          <w:i/>
          <w:iCs/>
          <w:color w:val="auto"/>
        </w:rPr>
        <w:t>Perforin-2</w:t>
      </w:r>
      <w:r w:rsidRPr="00F767DA">
        <w:rPr>
          <w:b/>
          <w:bCs/>
          <w:color w:val="auto"/>
        </w:rPr>
        <w:t xml:space="preserve"> knockout macrophages by </w:t>
      </w:r>
      <w:r w:rsidRPr="00F767DA">
        <w:rPr>
          <w:b/>
          <w:bCs/>
          <w:i/>
          <w:iCs/>
          <w:color w:val="auto"/>
        </w:rPr>
        <w:t>Lm</w:t>
      </w:r>
      <w:r w:rsidRPr="00F767DA">
        <w:rPr>
          <w:b/>
          <w:bCs/>
          <w:color w:val="auto"/>
        </w:rPr>
        <w:t>.</w:t>
      </w:r>
      <w:r w:rsidRPr="00F767DA">
        <w:rPr>
          <w:color w:val="auto"/>
        </w:rPr>
        <w:t xml:space="preserve"> Peritoneal macrophages isolated from either a wild-type (</w:t>
      </w:r>
      <w:r w:rsidRPr="00F767DA">
        <w:rPr>
          <w:i/>
          <w:iCs/>
          <w:color w:val="auto"/>
        </w:rPr>
        <w:t>P2</w:t>
      </w:r>
      <w:r w:rsidRPr="00F767DA">
        <w:rPr>
          <w:color w:val="auto"/>
          <w:vertAlign w:val="superscript"/>
        </w:rPr>
        <w:t>+/+</w:t>
      </w:r>
      <w:r w:rsidRPr="00F767DA">
        <w:rPr>
          <w:color w:val="auto"/>
        </w:rPr>
        <w:t>; filled circles) or knockout (</w:t>
      </w:r>
      <w:r w:rsidRPr="00F767DA">
        <w:rPr>
          <w:i/>
          <w:iCs/>
          <w:color w:val="auto"/>
        </w:rPr>
        <w:t>P2</w:t>
      </w:r>
      <w:r w:rsidRPr="00F767DA">
        <w:rPr>
          <w:color w:val="auto"/>
          <w:vertAlign w:val="superscript"/>
        </w:rPr>
        <w:t>-/-</w:t>
      </w:r>
      <w:r w:rsidRPr="00F767DA">
        <w:rPr>
          <w:color w:val="auto"/>
        </w:rPr>
        <w:t xml:space="preserve">; </w:t>
      </w:r>
      <w:r w:rsidR="00C54EB9" w:rsidRPr="00F767DA">
        <w:rPr>
          <w:color w:val="auto"/>
        </w:rPr>
        <w:t>dotted</w:t>
      </w:r>
      <w:r w:rsidRPr="00F767DA">
        <w:rPr>
          <w:color w:val="auto"/>
        </w:rPr>
        <w:t xml:space="preserve"> circles) were infected </w:t>
      </w:r>
      <w:r w:rsidR="002D35C6" w:rsidRPr="00F767DA">
        <w:rPr>
          <w:iCs/>
          <w:color w:val="auto"/>
        </w:rPr>
        <w:t>in vitro</w:t>
      </w:r>
      <w:r w:rsidRPr="00F767DA">
        <w:rPr>
          <w:i/>
          <w:iCs/>
          <w:color w:val="auto"/>
        </w:rPr>
        <w:t xml:space="preserve"> </w:t>
      </w:r>
      <w:r w:rsidRPr="00F767DA">
        <w:rPr>
          <w:color w:val="auto"/>
        </w:rPr>
        <w:t xml:space="preserve">with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>. (</w:t>
      </w:r>
      <w:r w:rsidRPr="00F767DA">
        <w:rPr>
          <w:b/>
          <w:bCs/>
          <w:color w:val="auto"/>
        </w:rPr>
        <w:t>A</w:t>
      </w:r>
      <w:r w:rsidRPr="00F767DA">
        <w:rPr>
          <w:color w:val="auto"/>
        </w:rPr>
        <w:t xml:space="preserve">) At 1 and 6 hpi, macrophages were </w:t>
      </w:r>
      <w:proofErr w:type="gramStart"/>
      <w:r w:rsidRPr="00F767DA">
        <w:rPr>
          <w:color w:val="auto"/>
        </w:rPr>
        <w:t>lysed</w:t>
      </w:r>
      <w:proofErr w:type="gramEnd"/>
      <w:r w:rsidRPr="00F767DA">
        <w:rPr>
          <w:color w:val="auto"/>
        </w:rPr>
        <w:t xml:space="preserve"> and the cellular contents a</w:t>
      </w:r>
      <w:r w:rsidR="00B11516" w:rsidRPr="00F767DA">
        <w:rPr>
          <w:color w:val="auto"/>
        </w:rPr>
        <w:t>nalyzed by CFU</w:t>
      </w:r>
      <w:r w:rsidRPr="00F767DA">
        <w:rPr>
          <w:color w:val="auto"/>
        </w:rPr>
        <w:t xml:space="preserve"> assay. (</w:t>
      </w:r>
      <w:r w:rsidRPr="00F767DA">
        <w:rPr>
          <w:b/>
          <w:bCs/>
          <w:color w:val="auto"/>
        </w:rPr>
        <w:t>B</w:t>
      </w:r>
      <w:r w:rsidRPr="00F767DA">
        <w:rPr>
          <w:color w:val="auto"/>
        </w:rPr>
        <w:t xml:space="preserve">) Infected peritoneal macrophages were briefly treated with the antibiotic gentamicin and at 2.5 and 6 hpi the overlaying media was collected and analyzed by CFU assay. Each data point represents an independent well/infection and P values were determined by Student’s T test. </w:t>
      </w:r>
      <w:r w:rsidR="00346BC1" w:rsidRPr="00F767DA">
        <w:rPr>
          <w:color w:val="auto"/>
        </w:rPr>
        <w:t>Shown are the results of a single representative experiment performed three times with similar outcomes.</w:t>
      </w:r>
    </w:p>
    <w:p w14:paraId="51203E0D" w14:textId="77777777" w:rsidR="007F185B" w:rsidRPr="00F767DA" w:rsidRDefault="007F185B" w:rsidP="00F36A88">
      <w:pPr>
        <w:contextualSpacing/>
        <w:rPr>
          <w:color w:val="auto"/>
        </w:rPr>
      </w:pPr>
    </w:p>
    <w:p w14:paraId="0D4A7897" w14:textId="0DF2E596" w:rsidR="007F185B" w:rsidRPr="00F767DA" w:rsidRDefault="007F185B" w:rsidP="00F36A88">
      <w:pPr>
        <w:contextualSpacing/>
        <w:rPr>
          <w:color w:val="auto"/>
        </w:rPr>
      </w:pPr>
      <w:r w:rsidRPr="00F767DA">
        <w:rPr>
          <w:b/>
          <w:bCs/>
          <w:color w:val="auto"/>
        </w:rPr>
        <w:t xml:space="preserve">Figure 4: </w:t>
      </w:r>
      <w:r w:rsidRPr="00F767DA">
        <w:rPr>
          <w:b/>
          <w:bCs/>
          <w:i/>
          <w:iCs/>
          <w:color w:val="auto"/>
        </w:rPr>
        <w:t>Lm</w:t>
      </w:r>
      <w:r w:rsidRPr="00F767DA">
        <w:rPr>
          <w:b/>
          <w:bCs/>
          <w:color w:val="auto"/>
        </w:rPr>
        <w:t xml:space="preserve"> infection of the mouse.</w:t>
      </w:r>
      <w:r w:rsidRPr="00F767DA">
        <w:rPr>
          <w:color w:val="auto"/>
        </w:rPr>
        <w:t xml:space="preserve"> Groups of 6 mice were infected with an equal mixture of either the wild-type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 xml:space="preserve"> (</w:t>
      </w:r>
      <w:r w:rsidRPr="00F767DA">
        <w:rPr>
          <w:i/>
          <w:iCs/>
          <w:color w:val="auto"/>
        </w:rPr>
        <w:t>wt</w:t>
      </w:r>
      <w:r w:rsidRPr="00F767DA">
        <w:rPr>
          <w:color w:val="auto"/>
        </w:rPr>
        <w:t xml:space="preserve">) and attenuated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 xml:space="preserve"> (</w:t>
      </w:r>
      <w:r w:rsidRPr="00F767DA">
        <w:rPr>
          <w:color w:val="auto"/>
          <w:lang w:val="el-GR"/>
        </w:rPr>
        <w:t>Δ</w:t>
      </w:r>
      <w:proofErr w:type="spellStart"/>
      <w:r w:rsidRPr="00F767DA">
        <w:rPr>
          <w:i/>
          <w:iCs/>
          <w:color w:val="auto"/>
        </w:rPr>
        <w:t>prfA</w:t>
      </w:r>
      <w:proofErr w:type="spellEnd"/>
      <w:r w:rsidRPr="00F767DA">
        <w:rPr>
          <w:color w:val="auto"/>
        </w:rPr>
        <w:t xml:space="preserve">) strains or an equal mixture of the wild-type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and hyper-virulent (</w:t>
      </w:r>
      <w:proofErr w:type="spellStart"/>
      <w:r w:rsidRPr="00F767DA">
        <w:rPr>
          <w:i/>
          <w:iCs/>
          <w:color w:val="auto"/>
        </w:rPr>
        <w:t>prfA</w:t>
      </w:r>
      <w:proofErr w:type="spellEnd"/>
      <w:r w:rsidRPr="00F767DA">
        <w:rPr>
          <w:i/>
          <w:iCs/>
          <w:color w:val="auto"/>
        </w:rPr>
        <w:t>*</w:t>
      </w:r>
      <w:r w:rsidRPr="00F767DA">
        <w:rPr>
          <w:color w:val="auto"/>
        </w:rPr>
        <w:t xml:space="preserve">) strains. At 18 hpi mice the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burden in the liver was determined by CFU assay. In this experiment the wild-type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strain possesses an antibiotic-resistance gene that allows it to be distinguished from the antibiotic-sensitive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mutant strains. Liver homogenates were plated on both antibiotic-containing and antibiotic-free media and the ratio of mutant and wild-type </w:t>
      </w:r>
      <w:r w:rsidRPr="00F767DA">
        <w:rPr>
          <w:i/>
          <w:iCs/>
          <w:color w:val="auto"/>
        </w:rPr>
        <w:t>Lm</w:t>
      </w:r>
      <w:r w:rsidRPr="00F767DA">
        <w:rPr>
          <w:color w:val="auto"/>
        </w:rPr>
        <w:t xml:space="preserve"> were plotted. The dotted line represents the mutant/wild-type ratio of the infecting dose. The absolute levels of the wild-type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in the two cohorts of mice were 12 and 15 CFU/10</w:t>
      </w:r>
      <w:r w:rsidRPr="00F767DA">
        <w:rPr>
          <w:color w:val="auto"/>
          <w:vertAlign w:val="superscript"/>
        </w:rPr>
        <w:t>6</w:t>
      </w:r>
      <w:r w:rsidRPr="00F767DA">
        <w:rPr>
          <w:color w:val="auto"/>
        </w:rPr>
        <w:t xml:space="preserve"> liver cells, respectively. </w:t>
      </w:r>
      <w:r w:rsidR="00346BC1" w:rsidRPr="00F767DA">
        <w:rPr>
          <w:color w:val="auto"/>
        </w:rPr>
        <w:t>Shown are the results of a single representative experiment performed two times with similar outcomes.</w:t>
      </w:r>
    </w:p>
    <w:p w14:paraId="6E59ECF0" w14:textId="77777777" w:rsidR="007F185B" w:rsidRPr="00F767DA" w:rsidRDefault="007F185B" w:rsidP="00F36A88">
      <w:pPr>
        <w:contextualSpacing/>
        <w:rPr>
          <w:color w:val="auto"/>
        </w:rPr>
      </w:pPr>
    </w:p>
    <w:p w14:paraId="4D5C1DDE" w14:textId="457484BD" w:rsidR="008F4869" w:rsidRPr="00F767DA" w:rsidRDefault="008F4869" w:rsidP="00F36A88">
      <w:pPr>
        <w:contextualSpacing/>
        <w:rPr>
          <w:color w:val="auto"/>
        </w:rPr>
      </w:pPr>
      <w:r w:rsidRPr="00F767DA">
        <w:rPr>
          <w:b/>
          <w:bCs/>
          <w:color w:val="auto"/>
        </w:rPr>
        <w:t xml:space="preserve">Figure 5: Immunological response to </w:t>
      </w:r>
      <w:r w:rsidRPr="00F767DA">
        <w:rPr>
          <w:b/>
          <w:bCs/>
          <w:i/>
          <w:iCs/>
          <w:color w:val="auto"/>
        </w:rPr>
        <w:t>Lm</w:t>
      </w:r>
      <w:r w:rsidRPr="00F767DA">
        <w:rPr>
          <w:b/>
          <w:bCs/>
          <w:color w:val="auto"/>
        </w:rPr>
        <w:t xml:space="preserve"> infection in the mouse liver. </w:t>
      </w:r>
      <w:r w:rsidRPr="00F767DA">
        <w:rPr>
          <w:color w:val="auto"/>
        </w:rPr>
        <w:t>Mice were either uninfected or systemically infected with 2 x 10</w:t>
      </w:r>
      <w:r w:rsidRPr="00F767DA">
        <w:rPr>
          <w:color w:val="auto"/>
          <w:vertAlign w:val="superscript"/>
        </w:rPr>
        <w:t>5</w:t>
      </w:r>
      <w:r w:rsidRPr="00F767DA">
        <w:rPr>
          <w:color w:val="auto"/>
        </w:rPr>
        <w:t xml:space="preserve"> CFU of GFP-expressing </w:t>
      </w:r>
      <w:proofErr w:type="spellStart"/>
      <w:r w:rsidRPr="00F767DA">
        <w:rPr>
          <w:i/>
          <w:iCs/>
          <w:color w:val="auto"/>
        </w:rPr>
        <w:t>Lm</w:t>
      </w:r>
      <w:proofErr w:type="spellEnd"/>
      <w:r w:rsidRPr="00F767DA">
        <w:rPr>
          <w:color w:val="auto"/>
        </w:rPr>
        <w:t xml:space="preserve"> </w:t>
      </w:r>
      <w:r w:rsidR="008C7F41" w:rsidRPr="00F767DA">
        <w:rPr>
          <w:color w:val="auto"/>
        </w:rPr>
        <w:t xml:space="preserve">strains </w:t>
      </w:r>
      <w:r w:rsidRPr="00F767DA">
        <w:rPr>
          <w:color w:val="auto"/>
        </w:rPr>
        <w:t>for 18</w:t>
      </w:r>
      <w:r w:rsidR="007F7836" w:rsidRPr="00F767DA">
        <w:rPr>
          <w:color w:val="auto"/>
        </w:rPr>
        <w:t xml:space="preserve"> h</w:t>
      </w:r>
      <w:r w:rsidRPr="00F767DA">
        <w:rPr>
          <w:color w:val="auto"/>
        </w:rPr>
        <w:t xml:space="preserve">. Single-cell preparations of livers were analyzed by flow cytometry for expression of immune- and myeloid-specific markers. </w:t>
      </w:r>
      <w:r w:rsidR="0004128A" w:rsidRPr="00F767DA">
        <w:rPr>
          <w:b/>
          <w:color w:val="auto"/>
        </w:rPr>
        <w:t>(A)</w:t>
      </w:r>
      <w:r w:rsidR="0004128A" w:rsidRPr="00F767DA">
        <w:rPr>
          <w:color w:val="auto"/>
        </w:rPr>
        <w:t xml:space="preserve"> The percentage of</w:t>
      </w:r>
      <w:r w:rsidR="00856242" w:rsidRPr="00F767DA">
        <w:rPr>
          <w:color w:val="auto"/>
        </w:rPr>
        <w:t xml:space="preserve"> cells staining</w:t>
      </w:r>
      <w:r w:rsidR="00297A2D" w:rsidRPr="00F767DA">
        <w:rPr>
          <w:color w:val="auto"/>
        </w:rPr>
        <w:t xml:space="preserve"> positive</w:t>
      </w:r>
      <w:r w:rsidR="00856242" w:rsidRPr="00F767DA">
        <w:rPr>
          <w:color w:val="auto"/>
        </w:rPr>
        <w:t xml:space="preserve"> for the immune-specific cell surface marker</w:t>
      </w:r>
      <w:r w:rsidR="0004128A" w:rsidRPr="00F767DA">
        <w:rPr>
          <w:color w:val="auto"/>
        </w:rPr>
        <w:t xml:space="preserve"> CD45</w:t>
      </w:r>
      <w:r w:rsidR="0004128A" w:rsidRPr="00F767DA">
        <w:rPr>
          <w:color w:val="auto"/>
          <w:vertAlign w:val="superscript"/>
        </w:rPr>
        <w:t>+</w:t>
      </w:r>
      <w:r w:rsidR="00856242" w:rsidRPr="00F767DA">
        <w:rPr>
          <w:color w:val="auto"/>
        </w:rPr>
        <w:t xml:space="preserve"> per</w:t>
      </w:r>
      <w:r w:rsidR="0004128A" w:rsidRPr="00F767DA">
        <w:rPr>
          <w:color w:val="auto"/>
        </w:rPr>
        <w:t xml:space="preserve"> 10</w:t>
      </w:r>
      <w:r w:rsidR="0004128A" w:rsidRPr="00F767DA">
        <w:rPr>
          <w:color w:val="auto"/>
          <w:vertAlign w:val="superscript"/>
        </w:rPr>
        <w:t>6</w:t>
      </w:r>
      <w:r w:rsidR="0004128A" w:rsidRPr="00F767DA">
        <w:rPr>
          <w:color w:val="auto"/>
        </w:rPr>
        <w:t xml:space="preserve"> isolated</w:t>
      </w:r>
      <w:r w:rsidR="00856242" w:rsidRPr="00F767DA">
        <w:rPr>
          <w:color w:val="auto"/>
        </w:rPr>
        <w:t xml:space="preserve"> total live</w:t>
      </w:r>
      <w:r w:rsidR="0004128A" w:rsidRPr="00F767DA">
        <w:rPr>
          <w:color w:val="auto"/>
        </w:rPr>
        <w:t xml:space="preserve"> liver cells shown for uninfected mice and mice infected with either the wild-type</w:t>
      </w:r>
      <w:r w:rsidR="00856242" w:rsidRPr="00F767DA">
        <w:rPr>
          <w:color w:val="auto"/>
        </w:rPr>
        <w:t xml:space="preserve"> (</w:t>
      </w:r>
      <w:r w:rsidR="00856242" w:rsidRPr="00F767DA">
        <w:rPr>
          <w:i/>
          <w:color w:val="auto"/>
        </w:rPr>
        <w:t xml:space="preserve">wt </w:t>
      </w:r>
      <w:proofErr w:type="spellStart"/>
      <w:r w:rsidR="00856242" w:rsidRPr="00F767DA">
        <w:rPr>
          <w:i/>
          <w:color w:val="auto"/>
        </w:rPr>
        <w:t>Lm</w:t>
      </w:r>
      <w:proofErr w:type="spellEnd"/>
      <w:r w:rsidR="00856242" w:rsidRPr="00F767DA">
        <w:rPr>
          <w:color w:val="auto"/>
        </w:rPr>
        <w:t>)</w:t>
      </w:r>
      <w:r w:rsidR="0004128A" w:rsidRPr="00F767DA">
        <w:rPr>
          <w:color w:val="auto"/>
        </w:rPr>
        <w:t>, attenuated (</w:t>
      </w:r>
      <w:r w:rsidR="0004128A" w:rsidRPr="00F767DA">
        <w:rPr>
          <w:color w:val="auto"/>
          <w:lang w:val="el-GR"/>
        </w:rPr>
        <w:t>Δ</w:t>
      </w:r>
      <w:proofErr w:type="spellStart"/>
      <w:r w:rsidR="0004128A" w:rsidRPr="00F767DA">
        <w:rPr>
          <w:i/>
          <w:iCs/>
          <w:color w:val="auto"/>
        </w:rPr>
        <w:t>prfA</w:t>
      </w:r>
      <w:proofErr w:type="spellEnd"/>
      <w:r w:rsidR="0004128A" w:rsidRPr="00F767DA">
        <w:rPr>
          <w:color w:val="auto"/>
        </w:rPr>
        <w:t>), or hyper-virulent (</w:t>
      </w:r>
      <w:proofErr w:type="spellStart"/>
      <w:r w:rsidR="0004128A" w:rsidRPr="00F767DA">
        <w:rPr>
          <w:i/>
          <w:iCs/>
          <w:color w:val="auto"/>
        </w:rPr>
        <w:t>prfA</w:t>
      </w:r>
      <w:proofErr w:type="spellEnd"/>
      <w:r w:rsidR="0004128A" w:rsidRPr="00F767DA">
        <w:rPr>
          <w:i/>
          <w:iCs/>
          <w:color w:val="auto"/>
        </w:rPr>
        <w:t>*</w:t>
      </w:r>
      <w:r w:rsidR="0004128A" w:rsidRPr="00F767DA">
        <w:rPr>
          <w:color w:val="auto"/>
        </w:rPr>
        <w:t xml:space="preserve">) </w:t>
      </w:r>
      <w:r w:rsidR="0004128A" w:rsidRPr="00F767DA">
        <w:rPr>
          <w:i/>
          <w:iCs/>
          <w:color w:val="auto"/>
        </w:rPr>
        <w:t>Lm</w:t>
      </w:r>
      <w:r w:rsidR="0004128A" w:rsidRPr="00F767DA">
        <w:rPr>
          <w:color w:val="auto"/>
        </w:rPr>
        <w:t xml:space="preserve"> strains.</w:t>
      </w:r>
      <w:r w:rsidR="004D0C13" w:rsidRPr="00F767DA">
        <w:rPr>
          <w:color w:val="auto"/>
        </w:rPr>
        <w:t xml:space="preserve"> Plotted is the mean of three mice per group</w:t>
      </w:r>
      <w:r w:rsidR="00867EE1" w:rsidRPr="00F767DA">
        <w:rPr>
          <w:color w:val="auto"/>
        </w:rPr>
        <w:t xml:space="preserve"> and P values were determined by Student’s T test</w:t>
      </w:r>
      <w:r w:rsidR="004D0C13" w:rsidRPr="00F767DA">
        <w:rPr>
          <w:color w:val="auto"/>
        </w:rPr>
        <w:t>.</w:t>
      </w:r>
      <w:r w:rsidR="00856242" w:rsidRPr="00F767DA">
        <w:rPr>
          <w:color w:val="auto"/>
        </w:rPr>
        <w:t xml:space="preserve"> </w:t>
      </w:r>
      <w:r w:rsidR="0004128A" w:rsidRPr="00F767DA">
        <w:rPr>
          <w:b/>
          <w:color w:val="auto"/>
        </w:rPr>
        <w:t>(B)</w:t>
      </w:r>
      <w:r w:rsidR="0004128A" w:rsidRPr="00F767DA">
        <w:rPr>
          <w:color w:val="auto"/>
        </w:rPr>
        <w:t xml:space="preserve"> </w:t>
      </w:r>
      <w:r w:rsidRPr="00F767DA">
        <w:rPr>
          <w:color w:val="auto"/>
        </w:rPr>
        <w:t xml:space="preserve">Shown in the left panels are the </w:t>
      </w:r>
      <w:r w:rsidR="00E602F6" w:rsidRPr="00F767DA">
        <w:rPr>
          <w:color w:val="auto"/>
        </w:rPr>
        <w:t>staining profile of CD45-staining</w:t>
      </w:r>
      <w:r w:rsidRPr="00F767DA">
        <w:rPr>
          <w:color w:val="auto"/>
        </w:rPr>
        <w:t xml:space="preserve"> liver cells from</w:t>
      </w:r>
      <w:r w:rsidR="00867EE1" w:rsidRPr="00F767DA">
        <w:rPr>
          <w:color w:val="auto"/>
        </w:rPr>
        <w:t xml:space="preserve"> an individual</w:t>
      </w:r>
      <w:r w:rsidRPr="00F767DA">
        <w:rPr>
          <w:color w:val="auto"/>
        </w:rPr>
        <w:t xml:space="preserve"> uninfected</w:t>
      </w:r>
      <w:r w:rsidR="00867EE1" w:rsidRPr="00F767DA">
        <w:rPr>
          <w:color w:val="auto"/>
        </w:rPr>
        <w:t xml:space="preserve"> mouse</w:t>
      </w:r>
      <w:r w:rsidRPr="00F767DA">
        <w:rPr>
          <w:color w:val="auto"/>
        </w:rPr>
        <w:t xml:space="preserve"> (</w:t>
      </w:r>
      <w:r w:rsidRPr="00F767DA">
        <w:rPr>
          <w:iCs/>
          <w:color w:val="auto"/>
        </w:rPr>
        <w:t>top</w:t>
      </w:r>
      <w:r w:rsidRPr="00F767DA">
        <w:rPr>
          <w:color w:val="auto"/>
        </w:rPr>
        <w:t>) and</w:t>
      </w:r>
      <w:r w:rsidR="00867EE1" w:rsidRPr="00F767DA">
        <w:rPr>
          <w:color w:val="auto"/>
        </w:rPr>
        <w:t xml:space="preserve"> an individual</w:t>
      </w:r>
      <w:r w:rsidR="00856242" w:rsidRPr="00F767DA">
        <w:rPr>
          <w:color w:val="auto"/>
        </w:rPr>
        <w:t xml:space="preserve"> </w:t>
      </w:r>
      <w:r w:rsidR="00856242" w:rsidRPr="00F767DA">
        <w:rPr>
          <w:i/>
          <w:color w:val="auto"/>
        </w:rPr>
        <w:t xml:space="preserve">wt </w:t>
      </w:r>
      <w:proofErr w:type="spellStart"/>
      <w:r w:rsidR="00856242" w:rsidRPr="00F767DA">
        <w:rPr>
          <w:i/>
          <w:color w:val="auto"/>
        </w:rPr>
        <w:t>Lm</w:t>
      </w:r>
      <w:proofErr w:type="spellEnd"/>
      <w:r w:rsidR="00856242" w:rsidRPr="00F767DA">
        <w:rPr>
          <w:color w:val="auto"/>
        </w:rPr>
        <w:t>-</w:t>
      </w:r>
      <w:r w:rsidRPr="00F767DA">
        <w:rPr>
          <w:color w:val="auto"/>
        </w:rPr>
        <w:t xml:space="preserve"> infected (</w:t>
      </w:r>
      <w:r w:rsidRPr="00F767DA">
        <w:rPr>
          <w:iCs/>
          <w:color w:val="auto"/>
        </w:rPr>
        <w:t>bottom</w:t>
      </w:r>
      <w:r w:rsidR="00E602F6" w:rsidRPr="00F767DA">
        <w:rPr>
          <w:color w:val="auto"/>
        </w:rPr>
        <w:t>)</w:t>
      </w:r>
      <w:r w:rsidRPr="00F767DA">
        <w:rPr>
          <w:color w:val="auto"/>
        </w:rPr>
        <w:t>;</w:t>
      </w:r>
      <w:r w:rsidR="00465173" w:rsidRPr="00F767DA">
        <w:rPr>
          <w:color w:val="auto"/>
        </w:rPr>
        <w:t xml:space="preserve"> in the middle panels is </w:t>
      </w:r>
      <w:r w:rsidR="001216E0" w:rsidRPr="00F767DA">
        <w:rPr>
          <w:color w:val="auto"/>
        </w:rPr>
        <w:t xml:space="preserve">shown the expression levels of </w:t>
      </w:r>
      <w:r w:rsidR="00465173" w:rsidRPr="00F767DA">
        <w:rPr>
          <w:color w:val="auto"/>
        </w:rPr>
        <w:t>myeloid-specific markers CD11b and F4/80 of the CD45</w:t>
      </w:r>
      <w:r w:rsidR="00465173" w:rsidRPr="00F767DA">
        <w:rPr>
          <w:color w:val="auto"/>
          <w:vertAlign w:val="superscript"/>
        </w:rPr>
        <w:t>+</w:t>
      </w:r>
      <w:r w:rsidR="00465173" w:rsidRPr="00F767DA">
        <w:rPr>
          <w:color w:val="auto"/>
        </w:rPr>
        <w:t xml:space="preserve"> cells; </w:t>
      </w:r>
      <w:r w:rsidRPr="00F767DA">
        <w:rPr>
          <w:color w:val="auto"/>
        </w:rPr>
        <w:t xml:space="preserve">and on the right panels is shown the Ly6C expression levels of the indicated gated cells. In the </w:t>
      </w:r>
      <w:proofErr w:type="gramStart"/>
      <w:r w:rsidRPr="00F767DA">
        <w:rPr>
          <w:color w:val="auto"/>
        </w:rPr>
        <w:t>far right</w:t>
      </w:r>
      <w:proofErr w:type="gramEnd"/>
      <w:r w:rsidRPr="00F767DA">
        <w:rPr>
          <w:color w:val="auto"/>
        </w:rPr>
        <w:t xml:space="preserve"> panel is shown an overlay of the Ly6C</w:t>
      </w:r>
      <w:r w:rsidRPr="00F767DA">
        <w:rPr>
          <w:color w:val="auto"/>
          <w:vertAlign w:val="superscript"/>
        </w:rPr>
        <w:t>+</w:t>
      </w:r>
      <w:r w:rsidRPr="00F767DA">
        <w:rPr>
          <w:color w:val="auto"/>
        </w:rPr>
        <w:t xml:space="preserve"> cells from the uninfected and infected mice including the percentage and mean fluorescence intensities (MFI) of the CD11b</w:t>
      </w:r>
      <w:r w:rsidR="00E61304" w:rsidRPr="00F767DA">
        <w:rPr>
          <w:color w:val="auto"/>
          <w:vertAlign w:val="superscript"/>
        </w:rPr>
        <w:t xml:space="preserve">+ </w:t>
      </w:r>
      <w:r w:rsidRPr="00F767DA">
        <w:rPr>
          <w:color w:val="auto"/>
        </w:rPr>
        <w:t>F4/80</w:t>
      </w:r>
      <w:r w:rsidRPr="00F767DA">
        <w:rPr>
          <w:color w:val="auto"/>
          <w:vertAlign w:val="superscript"/>
        </w:rPr>
        <w:t>-</w:t>
      </w:r>
      <w:r w:rsidRPr="00F767DA">
        <w:rPr>
          <w:color w:val="auto"/>
        </w:rPr>
        <w:t xml:space="preserve"> cells positive for the indicated Ly6C gate. Shown is</w:t>
      </w:r>
      <w:r w:rsidR="00E602F6" w:rsidRPr="00F767DA">
        <w:rPr>
          <w:color w:val="auto"/>
        </w:rPr>
        <w:t xml:space="preserve"> a representative mouse from 3</w:t>
      </w:r>
      <w:r w:rsidRPr="00F767DA">
        <w:rPr>
          <w:color w:val="auto"/>
        </w:rPr>
        <w:t xml:space="preserve"> mice per group.</w:t>
      </w:r>
      <w:r w:rsidR="000F2C96" w:rsidRPr="00F767DA">
        <w:rPr>
          <w:color w:val="auto"/>
        </w:rPr>
        <w:t xml:space="preserve"> </w:t>
      </w:r>
      <w:r w:rsidR="000F2C96" w:rsidRPr="00F767DA">
        <w:rPr>
          <w:b/>
          <w:bCs/>
          <w:color w:val="auto"/>
        </w:rPr>
        <w:t xml:space="preserve">(C) </w:t>
      </w:r>
      <w:r w:rsidRPr="00F767DA">
        <w:rPr>
          <w:color w:val="auto"/>
        </w:rPr>
        <w:t>Ly6C</w:t>
      </w:r>
      <w:r w:rsidRPr="00F767DA">
        <w:rPr>
          <w:color w:val="auto"/>
          <w:vertAlign w:val="superscript"/>
        </w:rPr>
        <w:t>+</w:t>
      </w:r>
      <w:r w:rsidRPr="00F767DA">
        <w:rPr>
          <w:color w:val="auto"/>
        </w:rPr>
        <w:t xml:space="preserve"> cells derived from livers of uninfected and in</w:t>
      </w:r>
      <w:r w:rsidR="000F2C96" w:rsidRPr="00F767DA">
        <w:rPr>
          <w:color w:val="auto"/>
        </w:rPr>
        <w:t xml:space="preserve">fected mice (described </w:t>
      </w:r>
      <w:r w:rsidR="000F2C96" w:rsidRPr="00F767DA">
        <w:rPr>
          <w:b/>
          <w:color w:val="auto"/>
        </w:rPr>
        <w:t>(B)</w:t>
      </w:r>
      <w:r w:rsidRPr="00F767DA">
        <w:rPr>
          <w:color w:val="auto"/>
        </w:rPr>
        <w:t xml:space="preserve">; middle and right panels) were analyzed for </w:t>
      </w:r>
      <w:r w:rsidR="000F2C96" w:rsidRPr="00F767DA">
        <w:rPr>
          <w:color w:val="auto"/>
        </w:rPr>
        <w:t>GFP expression by flow cytometry</w:t>
      </w:r>
      <w:r w:rsidRPr="00F767DA">
        <w:rPr>
          <w:color w:val="auto"/>
        </w:rPr>
        <w:t>.</w:t>
      </w:r>
    </w:p>
    <w:p w14:paraId="67FBD9AC" w14:textId="77777777" w:rsidR="00527999" w:rsidRPr="00F767DA" w:rsidRDefault="00527999" w:rsidP="00F36A88">
      <w:pPr>
        <w:contextualSpacing/>
        <w:rPr>
          <w:color w:val="808080" w:themeColor="background1" w:themeShade="80"/>
        </w:rPr>
      </w:pPr>
    </w:p>
    <w:p w14:paraId="64B8CF78" w14:textId="33F99598" w:rsidR="006305D7" w:rsidRPr="00F767DA" w:rsidRDefault="006305D7" w:rsidP="00F36A88">
      <w:pPr>
        <w:contextualSpacing/>
        <w:rPr>
          <w:b/>
        </w:rPr>
      </w:pPr>
      <w:r w:rsidRPr="00F767DA">
        <w:rPr>
          <w:b/>
        </w:rPr>
        <w:t>DISCUSSION</w:t>
      </w:r>
      <w:r w:rsidRPr="00F767DA">
        <w:rPr>
          <w:b/>
          <w:bCs/>
        </w:rPr>
        <w:t xml:space="preserve">: </w:t>
      </w:r>
    </w:p>
    <w:p w14:paraId="31924CAC" w14:textId="0A2D32B8" w:rsidR="006D48B5" w:rsidRPr="00F767DA" w:rsidRDefault="00552A52" w:rsidP="00F36A88">
      <w:pPr>
        <w:contextualSpacing/>
        <w:rPr>
          <w:color w:val="auto"/>
        </w:rPr>
      </w:pPr>
      <w:r w:rsidRPr="00F767DA">
        <w:rPr>
          <w:color w:val="auto"/>
        </w:rPr>
        <w:t xml:space="preserve">Due to its rapid and processive cellular infection program, </w:t>
      </w:r>
      <w:r w:rsidRPr="00F767DA">
        <w:rPr>
          <w:i/>
          <w:color w:val="auto"/>
        </w:rPr>
        <w:t>Lm</w:t>
      </w:r>
      <w:r w:rsidRPr="00F767DA">
        <w:rPr>
          <w:color w:val="auto"/>
        </w:rPr>
        <w:t xml:space="preserve"> is an ideal pathogen to probe cellular activities that impact infection. </w:t>
      </w:r>
      <w:proofErr w:type="gramStart"/>
      <w:r w:rsidR="00E9020E" w:rsidRPr="00F767DA">
        <w:rPr>
          <w:color w:val="auto"/>
        </w:rPr>
        <w:t>A numbe</w:t>
      </w:r>
      <w:r w:rsidR="00EA6C34" w:rsidRPr="00F767DA">
        <w:rPr>
          <w:color w:val="auto"/>
        </w:rPr>
        <w:t>r of</w:t>
      </w:r>
      <w:proofErr w:type="gramEnd"/>
      <w:r w:rsidR="00EA6C34" w:rsidRPr="00F767DA">
        <w:rPr>
          <w:color w:val="auto"/>
        </w:rPr>
        <w:t xml:space="preserve"> host factors have been identified that either positively or ne</w:t>
      </w:r>
      <w:r w:rsidR="00A861EA" w:rsidRPr="00F767DA">
        <w:rPr>
          <w:color w:val="auto"/>
        </w:rPr>
        <w:t xml:space="preserve">gatively affect </w:t>
      </w:r>
      <w:r w:rsidR="00A861EA" w:rsidRPr="00F767DA">
        <w:rPr>
          <w:i/>
          <w:color w:val="auto"/>
        </w:rPr>
        <w:t>Lm</w:t>
      </w:r>
      <w:r w:rsidR="00EA6C34" w:rsidRPr="00F767DA">
        <w:rPr>
          <w:color w:val="auto"/>
        </w:rPr>
        <w:t xml:space="preserve"> cellular infection</w:t>
      </w:r>
      <w:r w:rsidR="006862AE" w:rsidRPr="00F767DA">
        <w:rPr>
          <w:color w:val="auto"/>
          <w:vertAlign w:val="superscript"/>
        </w:rPr>
        <w:t>11-14</w:t>
      </w:r>
      <w:r w:rsidR="00A861EA" w:rsidRPr="00F767DA">
        <w:rPr>
          <w:color w:val="auto"/>
        </w:rPr>
        <w:t xml:space="preserve">. Two such host factors characterized in </w:t>
      </w:r>
      <w:r w:rsidR="00A861EA" w:rsidRPr="00F767DA">
        <w:rPr>
          <w:color w:val="auto"/>
        </w:rPr>
        <w:lastRenderedPageBreak/>
        <w:t>our laboratory, Perforin-2 and the Heme Regulated Inhibitor (P2 and</w:t>
      </w:r>
      <w:r w:rsidR="007F7836" w:rsidRPr="00F767DA">
        <w:rPr>
          <w:color w:val="auto"/>
        </w:rPr>
        <w:t xml:space="preserve"> </w:t>
      </w:r>
      <w:proofErr w:type="spellStart"/>
      <w:r w:rsidR="007F7836" w:rsidRPr="00F767DA">
        <w:rPr>
          <w:color w:val="auto"/>
        </w:rPr>
        <w:t>h</w:t>
      </w:r>
      <w:r w:rsidR="00A861EA" w:rsidRPr="00F767DA">
        <w:rPr>
          <w:color w:val="auto"/>
        </w:rPr>
        <w:t>I</w:t>
      </w:r>
      <w:proofErr w:type="spellEnd"/>
      <w:r w:rsidR="00A861EA" w:rsidRPr="00F767DA">
        <w:rPr>
          <w:color w:val="auto"/>
        </w:rPr>
        <w:t xml:space="preserve">), regulate distinct </w:t>
      </w:r>
      <w:r w:rsidR="00604AF3" w:rsidRPr="00F767DA">
        <w:rPr>
          <w:color w:val="auto"/>
        </w:rPr>
        <w:t>features</w:t>
      </w:r>
      <w:r w:rsidR="00A861EA" w:rsidRPr="00F767DA">
        <w:rPr>
          <w:color w:val="auto"/>
        </w:rPr>
        <w:t xml:space="preserve"> of the </w:t>
      </w:r>
      <w:r w:rsidR="00604AF3" w:rsidRPr="00F767DA">
        <w:rPr>
          <w:i/>
          <w:color w:val="auto"/>
        </w:rPr>
        <w:t>Lm</w:t>
      </w:r>
      <w:r w:rsidR="00604AF3" w:rsidRPr="00F767DA">
        <w:rPr>
          <w:color w:val="auto"/>
        </w:rPr>
        <w:t xml:space="preserve"> i</w:t>
      </w:r>
      <w:r w:rsidR="00A861EA" w:rsidRPr="00F767DA">
        <w:rPr>
          <w:color w:val="auto"/>
        </w:rPr>
        <w:t xml:space="preserve">nfection </w:t>
      </w:r>
      <w:r w:rsidR="00604AF3" w:rsidRPr="00F767DA">
        <w:rPr>
          <w:color w:val="auto"/>
        </w:rPr>
        <w:t xml:space="preserve">process. As shown in </w:t>
      </w:r>
      <w:r w:rsidR="007F7836" w:rsidRPr="00F767DA">
        <w:rPr>
          <w:b/>
          <w:color w:val="auto"/>
        </w:rPr>
        <w:t>Figure</w:t>
      </w:r>
      <w:r w:rsidR="00604AF3" w:rsidRPr="00F767DA">
        <w:rPr>
          <w:b/>
          <w:color w:val="auto"/>
        </w:rPr>
        <w:t xml:space="preserve"> 3</w:t>
      </w:r>
      <w:r w:rsidR="00604AF3" w:rsidRPr="00F767DA">
        <w:rPr>
          <w:color w:val="auto"/>
        </w:rPr>
        <w:t xml:space="preserve">, P2 deficient cells are highly susceptible to </w:t>
      </w:r>
      <w:r w:rsidR="00604AF3" w:rsidRPr="00F767DA">
        <w:rPr>
          <w:i/>
          <w:color w:val="auto"/>
        </w:rPr>
        <w:t>Lm</w:t>
      </w:r>
      <w:r w:rsidR="00604AF3" w:rsidRPr="00F767DA">
        <w:rPr>
          <w:color w:val="auto"/>
        </w:rPr>
        <w:t xml:space="preserve"> and this enhanced susceptibility also is true of the P2 knockout mice</w:t>
      </w:r>
      <w:r w:rsidR="003F72B9" w:rsidRPr="00F767DA">
        <w:rPr>
          <w:color w:val="auto"/>
          <w:vertAlign w:val="superscript"/>
        </w:rPr>
        <w:t>4</w:t>
      </w:r>
      <w:r w:rsidR="00604AF3" w:rsidRPr="00F767DA">
        <w:rPr>
          <w:color w:val="auto"/>
        </w:rPr>
        <w:t xml:space="preserve">. Detailed comparative studies of P2-expressing and P2-deficient macrophages showed that the latter cells formed highly acidified </w:t>
      </w:r>
      <w:r w:rsidR="00604AF3" w:rsidRPr="00F767DA">
        <w:rPr>
          <w:i/>
          <w:color w:val="auto"/>
        </w:rPr>
        <w:t>Lm</w:t>
      </w:r>
      <w:r w:rsidR="00604AF3" w:rsidRPr="00F767DA">
        <w:rPr>
          <w:color w:val="auto"/>
        </w:rPr>
        <w:t>-containing phagosomes</w:t>
      </w:r>
      <w:r w:rsidR="00B90565" w:rsidRPr="00F767DA">
        <w:rPr>
          <w:color w:val="auto"/>
        </w:rPr>
        <w:t xml:space="preserve"> that resulted in enhanced virulence gene expression</w:t>
      </w:r>
      <w:r w:rsidR="00C60ED1" w:rsidRPr="00F767DA">
        <w:rPr>
          <w:color w:val="auto"/>
        </w:rPr>
        <w:t xml:space="preserve">. The hypothesis that differential virulence gene expression contributes to the enhanced susceptibility of P2-deficient macrophages was </w:t>
      </w:r>
      <w:r w:rsidR="00C44943" w:rsidRPr="00F767DA">
        <w:rPr>
          <w:color w:val="auto"/>
        </w:rPr>
        <w:t xml:space="preserve">supported by the finding that the hyper-virulent </w:t>
      </w:r>
      <w:proofErr w:type="spellStart"/>
      <w:r w:rsidR="00C44943" w:rsidRPr="00F767DA">
        <w:rPr>
          <w:i/>
          <w:color w:val="auto"/>
        </w:rPr>
        <w:t>prfA</w:t>
      </w:r>
      <w:proofErr w:type="spellEnd"/>
      <w:r w:rsidR="00C44943" w:rsidRPr="00F767DA">
        <w:rPr>
          <w:i/>
          <w:color w:val="auto"/>
        </w:rPr>
        <w:t>*</w:t>
      </w:r>
      <w:r w:rsidR="00212667" w:rsidRPr="00F767DA">
        <w:rPr>
          <w:color w:val="auto"/>
        </w:rPr>
        <w:t xml:space="preserve"> strain</w:t>
      </w:r>
      <w:r w:rsidR="00064B28" w:rsidRPr="00F767DA">
        <w:rPr>
          <w:color w:val="auto"/>
        </w:rPr>
        <w:t>, that, as mentioned earlier, expresses virulence genes at a constitutively high level,</w:t>
      </w:r>
      <w:r w:rsidR="00212667" w:rsidRPr="00F767DA">
        <w:rPr>
          <w:color w:val="auto"/>
        </w:rPr>
        <w:t xml:space="preserve"> infected P2-expressing and P2-deficient macrophages equally well</w:t>
      </w:r>
      <w:r w:rsidR="003F72B9" w:rsidRPr="00F767DA">
        <w:rPr>
          <w:color w:val="auto"/>
          <w:vertAlign w:val="superscript"/>
        </w:rPr>
        <w:t>4</w:t>
      </w:r>
      <w:r w:rsidR="00B90565" w:rsidRPr="00F767DA">
        <w:rPr>
          <w:color w:val="auto"/>
        </w:rPr>
        <w:t>.</w:t>
      </w:r>
      <w:r w:rsidR="00ED2B2A" w:rsidRPr="00F767DA">
        <w:rPr>
          <w:color w:val="auto"/>
        </w:rPr>
        <w:t xml:space="preserve"> Thus, the availability of a hyper-virulent </w:t>
      </w:r>
      <w:r w:rsidR="00ED2B2A" w:rsidRPr="00F767DA">
        <w:rPr>
          <w:i/>
          <w:color w:val="auto"/>
        </w:rPr>
        <w:t>Lm</w:t>
      </w:r>
      <w:r w:rsidR="00ED2B2A" w:rsidRPr="00F767DA">
        <w:rPr>
          <w:color w:val="auto"/>
        </w:rPr>
        <w:t xml:space="preserve"> stra</w:t>
      </w:r>
      <w:r w:rsidR="00E8432C" w:rsidRPr="00F767DA">
        <w:rPr>
          <w:color w:val="auto"/>
        </w:rPr>
        <w:t>in made it possible to</w:t>
      </w:r>
      <w:r w:rsidR="00ED2B2A" w:rsidRPr="00F767DA">
        <w:rPr>
          <w:color w:val="auto"/>
        </w:rPr>
        <w:t xml:space="preserve"> test the hypothesis that the P2 host factor negatively regulates pathogen virulence </w:t>
      </w:r>
      <w:r w:rsidR="00150C65" w:rsidRPr="00F767DA">
        <w:rPr>
          <w:color w:val="auto"/>
        </w:rPr>
        <w:t>factor deployment.</w:t>
      </w:r>
      <w:r w:rsidR="00B90565" w:rsidRPr="00F767DA">
        <w:rPr>
          <w:color w:val="auto"/>
        </w:rPr>
        <w:t xml:space="preserve"> </w:t>
      </w:r>
      <w:r w:rsidR="0041069B" w:rsidRPr="00F767DA">
        <w:rPr>
          <w:color w:val="auto"/>
        </w:rPr>
        <w:t>For</w:t>
      </w:r>
      <w:r w:rsidR="007F7836" w:rsidRPr="00F767DA">
        <w:rPr>
          <w:color w:val="auto"/>
        </w:rPr>
        <w:t xml:space="preserve"> </w:t>
      </w:r>
      <w:proofErr w:type="spellStart"/>
      <w:r w:rsidR="007F7836" w:rsidRPr="00F767DA">
        <w:rPr>
          <w:color w:val="auto"/>
        </w:rPr>
        <w:t>h</w:t>
      </w:r>
      <w:r w:rsidR="0041069B" w:rsidRPr="00F767DA">
        <w:rPr>
          <w:color w:val="auto"/>
        </w:rPr>
        <w:t>I</w:t>
      </w:r>
      <w:proofErr w:type="spellEnd"/>
      <w:r w:rsidR="0041069B" w:rsidRPr="00F767DA">
        <w:rPr>
          <w:color w:val="auto"/>
        </w:rPr>
        <w:t>, we showed</w:t>
      </w:r>
      <w:r w:rsidR="00C26964" w:rsidRPr="00F767DA">
        <w:rPr>
          <w:color w:val="auto"/>
        </w:rPr>
        <w:t xml:space="preserve"> that this host factor regulates the intracellular trafficking of </w:t>
      </w:r>
      <w:r w:rsidR="00C26964" w:rsidRPr="00F767DA">
        <w:rPr>
          <w:i/>
          <w:color w:val="auto"/>
        </w:rPr>
        <w:t>Lm</w:t>
      </w:r>
      <w:r w:rsidR="00C26964" w:rsidRPr="00F767DA">
        <w:rPr>
          <w:color w:val="auto"/>
        </w:rPr>
        <w:t xml:space="preserve"> </w:t>
      </w:r>
      <w:r w:rsidR="00BC3791" w:rsidRPr="00F767DA">
        <w:rPr>
          <w:color w:val="auto"/>
        </w:rPr>
        <w:t xml:space="preserve">such that its </w:t>
      </w:r>
      <w:r w:rsidR="0041069B" w:rsidRPr="00F767DA">
        <w:rPr>
          <w:color w:val="auto"/>
        </w:rPr>
        <w:t>emergence from the infected cell</w:t>
      </w:r>
      <w:r w:rsidR="00BC3791" w:rsidRPr="00F767DA">
        <w:rPr>
          <w:color w:val="auto"/>
        </w:rPr>
        <w:t xml:space="preserve"> is restricted</w:t>
      </w:r>
      <w:r w:rsidR="00C26964" w:rsidRPr="00F767DA">
        <w:rPr>
          <w:color w:val="auto"/>
        </w:rPr>
        <w:t>;</w:t>
      </w:r>
      <w:r w:rsidR="00EC0DC9" w:rsidRPr="00F767DA">
        <w:rPr>
          <w:color w:val="auto"/>
        </w:rPr>
        <w:t xml:space="preserve"> this cellular activity is likely the bases for the enhanced susceptibility of</w:t>
      </w:r>
      <w:r w:rsidR="007F7836" w:rsidRPr="00F767DA">
        <w:rPr>
          <w:color w:val="auto"/>
        </w:rPr>
        <w:t xml:space="preserve"> </w:t>
      </w:r>
      <w:proofErr w:type="spellStart"/>
      <w:r w:rsidR="007F7836" w:rsidRPr="00F767DA">
        <w:rPr>
          <w:color w:val="auto"/>
        </w:rPr>
        <w:t>h</w:t>
      </w:r>
      <w:r w:rsidR="00EC0DC9" w:rsidRPr="00F767DA">
        <w:rPr>
          <w:color w:val="auto"/>
        </w:rPr>
        <w:t>I</w:t>
      </w:r>
      <w:proofErr w:type="spellEnd"/>
      <w:r w:rsidR="00EC0DC9" w:rsidRPr="00F767DA">
        <w:rPr>
          <w:color w:val="auto"/>
        </w:rPr>
        <w:t xml:space="preserve">-deficient mice for </w:t>
      </w:r>
      <w:proofErr w:type="spellStart"/>
      <w:r w:rsidR="00EC0DC9" w:rsidRPr="00F767DA">
        <w:rPr>
          <w:i/>
          <w:color w:val="auto"/>
        </w:rPr>
        <w:t>Lm</w:t>
      </w:r>
      <w:proofErr w:type="spellEnd"/>
      <w:r w:rsidR="00EC0DC9" w:rsidRPr="00F767DA">
        <w:rPr>
          <w:color w:val="auto"/>
        </w:rPr>
        <w:t xml:space="preserve"> infection</w:t>
      </w:r>
      <w:r w:rsidR="006862AE" w:rsidRPr="00F767DA">
        <w:rPr>
          <w:color w:val="auto"/>
          <w:vertAlign w:val="superscript"/>
        </w:rPr>
        <w:t>15</w:t>
      </w:r>
      <w:r w:rsidR="003F72B9" w:rsidRPr="00F767DA">
        <w:rPr>
          <w:color w:val="auto"/>
          <w:vertAlign w:val="superscript"/>
        </w:rPr>
        <w:t>,1</w:t>
      </w:r>
      <w:r w:rsidR="006862AE" w:rsidRPr="00F767DA">
        <w:rPr>
          <w:color w:val="auto"/>
          <w:vertAlign w:val="superscript"/>
        </w:rPr>
        <w:t>6</w:t>
      </w:r>
      <w:r w:rsidR="00EC0DC9" w:rsidRPr="00F767DA">
        <w:rPr>
          <w:color w:val="auto"/>
        </w:rPr>
        <w:t xml:space="preserve">. </w:t>
      </w:r>
    </w:p>
    <w:p w14:paraId="02FF635C" w14:textId="77777777" w:rsidR="00F767DA" w:rsidRPr="00F767DA" w:rsidRDefault="00F767DA" w:rsidP="00F36A88">
      <w:pPr>
        <w:contextualSpacing/>
        <w:rPr>
          <w:color w:val="auto"/>
        </w:rPr>
      </w:pPr>
    </w:p>
    <w:p w14:paraId="0298AC23" w14:textId="6DFEA9B3" w:rsidR="00CE20B5" w:rsidRPr="00F767DA" w:rsidRDefault="006D48B5" w:rsidP="00F36A88">
      <w:pPr>
        <w:contextualSpacing/>
        <w:rPr>
          <w:color w:val="auto"/>
        </w:rPr>
      </w:pPr>
      <w:r w:rsidRPr="00F767DA">
        <w:rPr>
          <w:color w:val="auto"/>
        </w:rPr>
        <w:t>In studies that documented cellular activities occurring wi</w:t>
      </w:r>
      <w:r w:rsidR="00C64BB8" w:rsidRPr="00F767DA">
        <w:rPr>
          <w:color w:val="auto"/>
        </w:rPr>
        <w:t>thin minutes of infection, it i</w:t>
      </w:r>
      <w:r w:rsidR="00ED2B2A" w:rsidRPr="00F767DA">
        <w:rPr>
          <w:color w:val="auto"/>
        </w:rPr>
        <w:t>s crucial</w:t>
      </w:r>
      <w:r w:rsidRPr="00F767DA">
        <w:rPr>
          <w:color w:val="auto"/>
        </w:rPr>
        <w:t xml:space="preserve"> that prior to their co-incubation, that </w:t>
      </w:r>
      <w:r w:rsidR="005A6A6B" w:rsidRPr="00F767DA">
        <w:rPr>
          <w:color w:val="auto"/>
        </w:rPr>
        <w:t xml:space="preserve">both the bacteria and the </w:t>
      </w:r>
      <w:r w:rsidRPr="00F767DA">
        <w:rPr>
          <w:color w:val="auto"/>
        </w:rPr>
        <w:t xml:space="preserve">host cells </w:t>
      </w:r>
      <w:r w:rsidR="00C64BB8" w:rsidRPr="00F767DA">
        <w:rPr>
          <w:color w:val="auto"/>
        </w:rPr>
        <w:t>are</w:t>
      </w:r>
      <w:r w:rsidRPr="00F767DA">
        <w:rPr>
          <w:color w:val="auto"/>
        </w:rPr>
        <w:t xml:space="preserve"> </w:t>
      </w:r>
      <w:r w:rsidR="00C64BB8" w:rsidRPr="00F767DA">
        <w:rPr>
          <w:color w:val="auto"/>
        </w:rPr>
        <w:t>not excessively exposed to fluctuating temperatures or other environmental conditions that may activate stress responses</w:t>
      </w:r>
      <w:r w:rsidR="00594795" w:rsidRPr="00F767DA">
        <w:rPr>
          <w:color w:val="auto"/>
        </w:rPr>
        <w:t xml:space="preserve"> that would overlap (and</w:t>
      </w:r>
      <w:r w:rsidR="00C64BB8" w:rsidRPr="00F767DA">
        <w:rPr>
          <w:color w:val="auto"/>
        </w:rPr>
        <w:t xml:space="preserve"> confound) infection-induced activities. </w:t>
      </w:r>
      <w:r w:rsidR="00D174D2" w:rsidRPr="00F767DA">
        <w:rPr>
          <w:color w:val="auto"/>
        </w:rPr>
        <w:t xml:space="preserve">For the studies described above, this includes such </w:t>
      </w:r>
      <w:r w:rsidR="004C43E8" w:rsidRPr="00F767DA">
        <w:rPr>
          <w:color w:val="auto"/>
        </w:rPr>
        <w:t xml:space="preserve">seemingly </w:t>
      </w:r>
      <w:r w:rsidR="00D174D2" w:rsidRPr="00F767DA">
        <w:rPr>
          <w:color w:val="auto"/>
        </w:rPr>
        <w:t xml:space="preserve">simple points as minimizing the handling time of </w:t>
      </w:r>
      <w:r w:rsidR="00D174D2" w:rsidRPr="00F767DA">
        <w:rPr>
          <w:i/>
          <w:color w:val="auto"/>
        </w:rPr>
        <w:t>Lm</w:t>
      </w:r>
      <w:r w:rsidR="00D174D2" w:rsidRPr="00F767DA">
        <w:rPr>
          <w:color w:val="auto"/>
        </w:rPr>
        <w:t xml:space="preserve"> just prior to initiating infection. </w:t>
      </w:r>
      <w:r w:rsidR="00357910" w:rsidRPr="00F767DA">
        <w:rPr>
          <w:color w:val="auto"/>
        </w:rPr>
        <w:t>For example, i</w:t>
      </w:r>
      <w:r w:rsidR="00D174D2" w:rsidRPr="00F767DA">
        <w:rPr>
          <w:color w:val="auto"/>
        </w:rPr>
        <w:t>f a bacterial culture is removed from a shaking 37 °C incubator and allowed to sit</w:t>
      </w:r>
      <w:r w:rsidR="0099248C" w:rsidRPr="00F767DA">
        <w:rPr>
          <w:color w:val="auto"/>
        </w:rPr>
        <w:t xml:space="preserve"> on a bench top, shifts in both temperature and oxygen </w:t>
      </w:r>
      <w:r w:rsidR="00357910" w:rsidRPr="00F767DA">
        <w:rPr>
          <w:color w:val="auto"/>
        </w:rPr>
        <w:t>availability</w:t>
      </w:r>
      <w:r w:rsidR="0099248C" w:rsidRPr="00F767DA">
        <w:rPr>
          <w:color w:val="auto"/>
        </w:rPr>
        <w:t xml:space="preserve"> (among other things) </w:t>
      </w:r>
      <w:r w:rsidR="00357910" w:rsidRPr="00F767DA">
        <w:rPr>
          <w:color w:val="auto"/>
        </w:rPr>
        <w:t>will activate adaptations that may affect the initial phase of the subsequent interaction</w:t>
      </w:r>
      <w:r w:rsidR="005A6A6B" w:rsidRPr="00F767DA">
        <w:rPr>
          <w:color w:val="auto"/>
        </w:rPr>
        <w:t xml:space="preserve"> with the host </w:t>
      </w:r>
      <w:r w:rsidR="00357910" w:rsidRPr="00F767DA">
        <w:rPr>
          <w:color w:val="auto"/>
        </w:rPr>
        <w:t xml:space="preserve">cell. Similarly, </w:t>
      </w:r>
      <w:r w:rsidR="005A6A6B" w:rsidRPr="00F767DA">
        <w:rPr>
          <w:color w:val="auto"/>
        </w:rPr>
        <w:t xml:space="preserve">host cells are also sensitive to temperature and media shifts that may affect initial infection responses. Although in practice it is impossible to </w:t>
      </w:r>
      <w:proofErr w:type="gramStart"/>
      <w:r w:rsidR="005A6A6B" w:rsidRPr="00F767DA">
        <w:rPr>
          <w:color w:val="auto"/>
        </w:rPr>
        <w:t>completely eliminate</w:t>
      </w:r>
      <w:proofErr w:type="gramEnd"/>
      <w:r w:rsidR="005A6A6B" w:rsidRPr="00F767DA">
        <w:rPr>
          <w:color w:val="auto"/>
        </w:rPr>
        <w:t xml:space="preserve"> all fluctuations in bacterial and </w:t>
      </w:r>
      <w:r w:rsidR="00A34823" w:rsidRPr="00F767DA">
        <w:rPr>
          <w:color w:val="auto"/>
        </w:rPr>
        <w:t>host cell culturing conditions,</w:t>
      </w:r>
      <w:r w:rsidR="00CE20B5" w:rsidRPr="00F767DA">
        <w:rPr>
          <w:color w:val="auto"/>
        </w:rPr>
        <w:t xml:space="preserve"> </w:t>
      </w:r>
      <w:r w:rsidR="005A6A6B" w:rsidRPr="00F767DA">
        <w:rPr>
          <w:color w:val="auto"/>
        </w:rPr>
        <w:t>by reducing them as much as possible and establishing a standard operating plan, variation between experiments will be minimized.</w:t>
      </w:r>
      <w:r w:rsidR="00ED2B2A" w:rsidRPr="00F767DA">
        <w:rPr>
          <w:color w:val="auto"/>
        </w:rPr>
        <w:t xml:space="preserve"> </w:t>
      </w:r>
    </w:p>
    <w:p w14:paraId="5DC11F0D" w14:textId="77777777" w:rsidR="00F767DA" w:rsidRPr="00F767DA" w:rsidRDefault="00F767DA" w:rsidP="00F36A88">
      <w:pPr>
        <w:contextualSpacing/>
        <w:rPr>
          <w:color w:val="auto"/>
        </w:rPr>
      </w:pPr>
    </w:p>
    <w:p w14:paraId="0001BAB8" w14:textId="10D5B91E" w:rsidR="00A76FFE" w:rsidRPr="00F767DA" w:rsidRDefault="000450BB" w:rsidP="00F36A88">
      <w:pPr>
        <w:contextualSpacing/>
        <w:rPr>
          <w:color w:val="auto"/>
        </w:rPr>
      </w:pPr>
      <w:r w:rsidRPr="00F767DA">
        <w:rPr>
          <w:color w:val="auto"/>
        </w:rPr>
        <w:t>A</w:t>
      </w:r>
      <w:r w:rsidR="00CE20B5" w:rsidRPr="00F767DA">
        <w:rPr>
          <w:color w:val="auto"/>
        </w:rPr>
        <w:t>n additional variable</w:t>
      </w:r>
      <w:r w:rsidR="00297A2D" w:rsidRPr="00F767DA">
        <w:rPr>
          <w:color w:val="auto"/>
        </w:rPr>
        <w:t>,</w:t>
      </w:r>
      <w:r w:rsidRPr="00F767DA">
        <w:rPr>
          <w:color w:val="auto"/>
        </w:rPr>
        <w:t xml:space="preserve"> t</w:t>
      </w:r>
      <w:r w:rsidR="00CE20B5" w:rsidRPr="00F767DA">
        <w:rPr>
          <w:color w:val="auto"/>
        </w:rPr>
        <w:t>hat in our opinion</w:t>
      </w:r>
      <w:r w:rsidRPr="00F767DA">
        <w:rPr>
          <w:color w:val="auto"/>
        </w:rPr>
        <w:t xml:space="preserve"> the importance of which</w:t>
      </w:r>
      <w:r w:rsidR="00CE20B5" w:rsidRPr="00F767DA">
        <w:rPr>
          <w:color w:val="auto"/>
        </w:rPr>
        <w:t xml:space="preserve"> is </w:t>
      </w:r>
      <w:r w:rsidRPr="00F767DA">
        <w:rPr>
          <w:color w:val="auto"/>
        </w:rPr>
        <w:t xml:space="preserve">also </w:t>
      </w:r>
      <w:r w:rsidR="00CE20B5" w:rsidRPr="00F767DA">
        <w:rPr>
          <w:color w:val="auto"/>
        </w:rPr>
        <w:t>underappreciated</w:t>
      </w:r>
      <w:r w:rsidRPr="00F767DA">
        <w:rPr>
          <w:color w:val="auto"/>
        </w:rPr>
        <w:t xml:space="preserve">, is that of the use of antibiotics in cell culture infection models. Gentamicin is often the antibiotic of choice because it is relatively impermeable to the eukaryotic plasma membrane. </w:t>
      </w:r>
      <w:r w:rsidR="009B229E" w:rsidRPr="00F767DA">
        <w:rPr>
          <w:color w:val="auto"/>
        </w:rPr>
        <w:t xml:space="preserve">In both older and current </w:t>
      </w:r>
      <w:r w:rsidR="00F767DA" w:rsidRPr="00F767DA">
        <w:rPr>
          <w:color w:val="auto"/>
        </w:rPr>
        <w:t>literature,</w:t>
      </w:r>
      <w:r w:rsidR="009B229E" w:rsidRPr="00F767DA">
        <w:rPr>
          <w:color w:val="auto"/>
        </w:rPr>
        <w:t xml:space="preserve"> it is generally used at 50 μg/m</w:t>
      </w:r>
      <w:r w:rsidR="00F767DA" w:rsidRPr="00F767DA">
        <w:rPr>
          <w:color w:val="auto"/>
        </w:rPr>
        <w:t>L</w:t>
      </w:r>
      <w:r w:rsidR="009B229E" w:rsidRPr="00F767DA">
        <w:rPr>
          <w:color w:val="auto"/>
        </w:rPr>
        <w:t xml:space="preserve"> to kill extracellular (i.e., non-internalized) bacteria. </w:t>
      </w:r>
      <w:r w:rsidR="00DF7467" w:rsidRPr="00F767DA">
        <w:rPr>
          <w:color w:val="auto"/>
        </w:rPr>
        <w:t>Recently it has been directly demonstrated that when present at 25 μg/m</w:t>
      </w:r>
      <w:r w:rsidR="00F767DA" w:rsidRPr="00F767DA">
        <w:rPr>
          <w:color w:val="auto"/>
        </w:rPr>
        <w:t>L</w:t>
      </w:r>
      <w:r w:rsidR="00DF7467" w:rsidRPr="00F767DA">
        <w:rPr>
          <w:color w:val="auto"/>
        </w:rPr>
        <w:t xml:space="preserve">, there is </w:t>
      </w:r>
      <w:proofErr w:type="gramStart"/>
      <w:r w:rsidR="00DF7467" w:rsidRPr="00F767DA">
        <w:rPr>
          <w:color w:val="auto"/>
        </w:rPr>
        <w:t>sufficient</w:t>
      </w:r>
      <w:proofErr w:type="gramEnd"/>
      <w:r w:rsidR="00DF7467" w:rsidRPr="00F767DA">
        <w:rPr>
          <w:color w:val="auto"/>
        </w:rPr>
        <w:t xml:space="preserve"> diffusion of gentamicin across the eukaryotic membrane to kill intracellular </w:t>
      </w:r>
      <w:r w:rsidR="00DF7467" w:rsidRPr="00F767DA">
        <w:rPr>
          <w:i/>
          <w:color w:val="auto"/>
        </w:rPr>
        <w:t>Lm</w:t>
      </w:r>
      <w:r w:rsidR="00256A28" w:rsidRPr="00F767DA">
        <w:rPr>
          <w:rFonts w:eastAsia="MyriadPro-Regular"/>
          <w:color w:val="auto"/>
          <w:vertAlign w:val="superscript"/>
        </w:rPr>
        <w:t>17</w:t>
      </w:r>
      <w:r w:rsidR="00DF7467" w:rsidRPr="00F767DA">
        <w:rPr>
          <w:color w:val="auto"/>
        </w:rPr>
        <w:t xml:space="preserve">. </w:t>
      </w:r>
      <w:r w:rsidR="00E06501" w:rsidRPr="00F767DA">
        <w:rPr>
          <w:color w:val="auto"/>
        </w:rPr>
        <w:t xml:space="preserve">In our experience, this level of gentamicin kills </w:t>
      </w:r>
      <w:r w:rsidR="00E06501" w:rsidRPr="00F767DA">
        <w:rPr>
          <w:i/>
          <w:color w:val="auto"/>
        </w:rPr>
        <w:t>Lm</w:t>
      </w:r>
      <w:r w:rsidR="00E06501" w:rsidRPr="00F767DA">
        <w:rPr>
          <w:color w:val="auto"/>
        </w:rPr>
        <w:t xml:space="preserve"> immediately upon contact, whereas much lower levels, in the 2 to 5 μg/m</w:t>
      </w:r>
      <w:r w:rsidR="00F767DA" w:rsidRPr="00F767DA">
        <w:rPr>
          <w:color w:val="auto"/>
        </w:rPr>
        <w:t xml:space="preserve">L </w:t>
      </w:r>
      <w:r w:rsidR="00E06501" w:rsidRPr="00F767DA">
        <w:rPr>
          <w:color w:val="auto"/>
        </w:rPr>
        <w:t xml:space="preserve">range kill &gt;99.9% </w:t>
      </w:r>
      <w:r w:rsidR="00E06501" w:rsidRPr="00F767DA">
        <w:rPr>
          <w:i/>
          <w:color w:val="auto"/>
        </w:rPr>
        <w:t>Lm</w:t>
      </w:r>
      <w:r w:rsidR="00E06501" w:rsidRPr="00F767DA">
        <w:rPr>
          <w:color w:val="auto"/>
        </w:rPr>
        <w:t xml:space="preserve"> in less than 5</w:t>
      </w:r>
      <w:r w:rsidR="00DE3C10" w:rsidRPr="00F767DA">
        <w:rPr>
          <w:color w:val="auto"/>
        </w:rPr>
        <w:t xml:space="preserve"> minutes</w:t>
      </w:r>
      <w:r w:rsidR="00DE3C10" w:rsidRPr="00F767DA">
        <w:rPr>
          <w:color w:val="auto"/>
          <w:vertAlign w:val="superscript"/>
        </w:rPr>
        <w:t>4</w:t>
      </w:r>
      <w:r w:rsidR="00E06501" w:rsidRPr="00F767DA">
        <w:rPr>
          <w:color w:val="auto"/>
        </w:rPr>
        <w:t xml:space="preserve">. </w:t>
      </w:r>
      <w:proofErr w:type="spellStart"/>
      <w:r w:rsidR="00DF7467" w:rsidRPr="00F767DA">
        <w:rPr>
          <w:color w:val="auto"/>
        </w:rPr>
        <w:t>Lawrenz</w:t>
      </w:r>
      <w:proofErr w:type="spellEnd"/>
      <w:r w:rsidR="00DF7467" w:rsidRPr="00F767DA">
        <w:rPr>
          <w:color w:val="auto"/>
        </w:rPr>
        <w:t xml:space="preserve"> and colleagues have shown that </w:t>
      </w:r>
      <w:r w:rsidR="003D6092" w:rsidRPr="00F767DA">
        <w:rPr>
          <w:color w:val="auto"/>
        </w:rPr>
        <w:t>the widely-used gentamicin concentrations of 25 – 50 μg/m</w:t>
      </w:r>
      <w:r w:rsidR="00F767DA" w:rsidRPr="00F767DA">
        <w:rPr>
          <w:color w:val="auto"/>
        </w:rPr>
        <w:t>L</w:t>
      </w:r>
      <w:r w:rsidR="003D6092" w:rsidRPr="00F767DA">
        <w:rPr>
          <w:color w:val="auto"/>
        </w:rPr>
        <w:t xml:space="preserve"> are also </w:t>
      </w:r>
      <w:proofErr w:type="gramStart"/>
      <w:r w:rsidR="003D6092" w:rsidRPr="00F767DA">
        <w:rPr>
          <w:color w:val="auto"/>
        </w:rPr>
        <w:t>sufficient</w:t>
      </w:r>
      <w:proofErr w:type="gramEnd"/>
      <w:r w:rsidR="003D6092" w:rsidRPr="00F767DA">
        <w:rPr>
          <w:color w:val="auto"/>
        </w:rPr>
        <w:t xml:space="preserve"> to kill intracellular </w:t>
      </w:r>
      <w:r w:rsidR="003D6092" w:rsidRPr="00F767DA">
        <w:rPr>
          <w:i/>
          <w:color w:val="auto"/>
        </w:rPr>
        <w:t>Yersinia pestis</w:t>
      </w:r>
      <w:r w:rsidR="00DE3C10" w:rsidRPr="00F767DA">
        <w:rPr>
          <w:color w:val="auto"/>
          <w:vertAlign w:val="superscript"/>
        </w:rPr>
        <w:t>1</w:t>
      </w:r>
      <w:r w:rsidR="00256A28" w:rsidRPr="00F767DA">
        <w:rPr>
          <w:color w:val="auto"/>
          <w:vertAlign w:val="superscript"/>
        </w:rPr>
        <w:t>8</w:t>
      </w:r>
      <w:r w:rsidR="003D6092" w:rsidRPr="00F767DA">
        <w:rPr>
          <w:color w:val="auto"/>
        </w:rPr>
        <w:t>. Interesting</w:t>
      </w:r>
      <w:r w:rsidR="00BC3791" w:rsidRPr="00F767DA">
        <w:rPr>
          <w:color w:val="auto"/>
        </w:rPr>
        <w:t>ly</w:t>
      </w:r>
      <w:r w:rsidR="00F767DA" w:rsidRPr="00F767DA">
        <w:rPr>
          <w:color w:val="auto"/>
        </w:rPr>
        <w:t>,</w:t>
      </w:r>
      <w:r w:rsidR="003D6092" w:rsidRPr="00F767DA">
        <w:rPr>
          <w:color w:val="auto"/>
        </w:rPr>
        <w:t xml:space="preserve"> this group also show</w:t>
      </w:r>
      <w:r w:rsidR="00BB0D75" w:rsidRPr="00F767DA">
        <w:rPr>
          <w:color w:val="auto"/>
        </w:rPr>
        <w:t>ed</w:t>
      </w:r>
      <w:r w:rsidR="003D6092" w:rsidRPr="00F767DA">
        <w:rPr>
          <w:color w:val="auto"/>
        </w:rPr>
        <w:t xml:space="preserve"> considerable differences between cell types in terms of gentamicin permeabilization highlighting that optimal conditions should be determined for each pathogen-host cell pairing. </w:t>
      </w:r>
    </w:p>
    <w:p w14:paraId="1502FC01" w14:textId="77777777" w:rsidR="00EB153C" w:rsidRPr="00F767DA" w:rsidRDefault="00EB153C" w:rsidP="00F36A88">
      <w:pPr>
        <w:contextualSpacing/>
        <w:rPr>
          <w:color w:val="auto"/>
        </w:rPr>
      </w:pPr>
    </w:p>
    <w:p w14:paraId="5D52ED8B" w14:textId="07894626" w:rsidR="00AA03DF" w:rsidRPr="00F767DA" w:rsidRDefault="00AA03DF" w:rsidP="00F36A88">
      <w:pPr>
        <w:pStyle w:val="NormalWeb"/>
        <w:spacing w:before="0" w:beforeAutospacing="0" w:after="0" w:afterAutospacing="0"/>
        <w:contextualSpacing/>
        <w:rPr>
          <w:color w:val="808080"/>
        </w:rPr>
      </w:pPr>
      <w:r w:rsidRPr="00F767DA">
        <w:rPr>
          <w:b/>
        </w:rPr>
        <w:t>DISCLOSURES</w:t>
      </w:r>
      <w:r w:rsidRPr="00F767DA">
        <w:rPr>
          <w:b/>
          <w:bCs/>
        </w:rPr>
        <w:t xml:space="preserve">: </w:t>
      </w:r>
    </w:p>
    <w:p w14:paraId="66030076" w14:textId="5E8AA282" w:rsidR="00AA03DF" w:rsidRPr="00F767DA" w:rsidRDefault="00BC3791" w:rsidP="00F36A88">
      <w:pPr>
        <w:contextualSpacing/>
        <w:rPr>
          <w:color w:val="auto"/>
        </w:rPr>
      </w:pPr>
      <w:r w:rsidRPr="00F767DA">
        <w:rPr>
          <w:color w:val="auto"/>
        </w:rPr>
        <w:t>The authors have nothing to disclose.</w:t>
      </w:r>
    </w:p>
    <w:p w14:paraId="7C40FFC6" w14:textId="77777777" w:rsidR="00BC3791" w:rsidRPr="00F767DA" w:rsidRDefault="00BC3791" w:rsidP="00F36A88">
      <w:pPr>
        <w:contextualSpacing/>
        <w:rPr>
          <w:b/>
          <w:bCs/>
        </w:rPr>
      </w:pPr>
    </w:p>
    <w:p w14:paraId="315B4FAD" w14:textId="30B374B6" w:rsidR="00B32616" w:rsidRPr="00F767DA" w:rsidRDefault="009726EE" w:rsidP="00F36A88">
      <w:pPr>
        <w:contextualSpacing/>
      </w:pPr>
      <w:r w:rsidRPr="00F767DA">
        <w:rPr>
          <w:b/>
          <w:bCs/>
        </w:rPr>
        <w:t>REFERENCES</w:t>
      </w:r>
      <w:r w:rsidR="00D04760" w:rsidRPr="00F767DA">
        <w:rPr>
          <w:b/>
          <w:bCs/>
        </w:rPr>
        <w:t>:</w:t>
      </w:r>
      <w:r w:rsidRPr="00F767DA">
        <w:t xml:space="preserve"> </w:t>
      </w:r>
      <w:bookmarkStart w:id="1" w:name="_GoBack"/>
      <w:bookmarkEnd w:id="1"/>
    </w:p>
    <w:p w14:paraId="7B0232DC" w14:textId="3926FAD5" w:rsidR="006A1A3D" w:rsidRPr="00F767DA" w:rsidRDefault="00895769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sz w:val="24"/>
          <w:szCs w:val="24"/>
          <w:vertAlign w:val="superscript"/>
          <w:lang w:val="en"/>
        </w:rPr>
        <w:t>1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Freitag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,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N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E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, Port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,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G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C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, Miner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,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M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D. </w:t>
      </w:r>
      <w:hyperlink r:id="rId12" w:history="1">
        <w:r w:rsidR="006A1A3D" w:rsidRPr="00F767DA">
          <w:rPr>
            <w:rFonts w:ascii="Calibri" w:hAnsi="Calibri" w:cs="Calibri"/>
            <w:bCs/>
            <w:sz w:val="24"/>
            <w:szCs w:val="24"/>
            <w:lang w:val="en"/>
          </w:rPr>
          <w:t>Listeria</w:t>
        </w:r>
        <w:r w:rsidR="006A1A3D" w:rsidRPr="00F767DA">
          <w:rPr>
            <w:rFonts w:ascii="Calibri" w:hAnsi="Calibri" w:cs="Calibri"/>
            <w:sz w:val="24"/>
            <w:szCs w:val="24"/>
            <w:lang w:val="en"/>
          </w:rPr>
          <w:t xml:space="preserve"> monocytogenes - from saprophyte to intracellular pathogen.</w:t>
        </w:r>
      </w:hyperlink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Nat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ure</w:t>
      </w:r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Rev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iew</w:t>
      </w:r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Microbiol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ogy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.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150C65" w:rsidRPr="00F767DA">
        <w:rPr>
          <w:rFonts w:ascii="Calibri" w:hAnsi="Calibri" w:cs="Calibri"/>
          <w:b/>
          <w:sz w:val="24"/>
          <w:szCs w:val="24"/>
          <w:lang w:val="en"/>
        </w:rPr>
        <w:t>7</w:t>
      </w:r>
      <w:r w:rsidR="00F767DA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150C65" w:rsidRPr="00F767DA">
        <w:rPr>
          <w:rFonts w:ascii="Calibri" w:hAnsi="Calibri" w:cs="Calibri"/>
          <w:sz w:val="24"/>
          <w:szCs w:val="24"/>
          <w:lang w:val="en"/>
        </w:rPr>
        <w:t>(9), 623-628 (2009)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29CCDFA9" w14:textId="77777777" w:rsidR="0052012E" w:rsidRPr="00F767DA" w:rsidRDefault="0052012E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064355C4" w14:textId="08ED6EE7" w:rsidR="00895769" w:rsidRPr="00F767DA" w:rsidRDefault="00895769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sz w:val="24"/>
          <w:szCs w:val="24"/>
          <w:vertAlign w:val="superscript"/>
          <w:lang w:val="en"/>
        </w:rPr>
        <w:t>2</w:t>
      </w:r>
      <w:r w:rsidRPr="00F767DA">
        <w:rPr>
          <w:rFonts w:ascii="Calibri" w:hAnsi="Calibri" w:cs="Calibri"/>
          <w:sz w:val="24"/>
          <w:szCs w:val="24"/>
          <w:lang w:val="en"/>
        </w:rPr>
        <w:t>Ray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K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 w:rsidRPr="00F767DA">
        <w:rPr>
          <w:rFonts w:ascii="Calibri" w:hAnsi="Calibri" w:cs="Calibri"/>
          <w:sz w:val="24"/>
          <w:szCs w:val="24"/>
          <w:lang w:val="en"/>
        </w:rPr>
        <w:t>Marteyn</w:t>
      </w:r>
      <w:proofErr w:type="spellEnd"/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B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 w:rsidRPr="00F767DA">
        <w:rPr>
          <w:rFonts w:ascii="Calibri" w:hAnsi="Calibri" w:cs="Calibri"/>
          <w:sz w:val="24"/>
          <w:szCs w:val="24"/>
          <w:lang w:val="en"/>
        </w:rPr>
        <w:t>Sansonetti</w:t>
      </w:r>
      <w:proofErr w:type="spellEnd"/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P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J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, Tang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C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M. </w:t>
      </w:r>
      <w:hyperlink r:id="rId13" w:history="1">
        <w:r w:rsidRPr="00F767DA">
          <w:rPr>
            <w:rFonts w:ascii="Calibri" w:hAnsi="Calibri" w:cs="Calibri"/>
            <w:sz w:val="24"/>
            <w:szCs w:val="24"/>
            <w:lang w:val="en"/>
          </w:rPr>
          <w:t>Life on the inside: the intracellular lifestyle of cytosolic bacteria.</w:t>
        </w:r>
      </w:hyperlink>
      <w:r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Nature Review Microbiology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.</w:t>
      </w:r>
      <w:r w:rsidR="00A93531" w:rsidRPr="00F767DA">
        <w:rPr>
          <w:rStyle w:val="jrnl"/>
          <w:rFonts w:ascii="Calibri" w:hAnsi="Calibri" w:cs="Calibri"/>
          <w:bCs/>
          <w:i/>
        </w:rPr>
        <w:t xml:space="preserve"> </w:t>
      </w:r>
      <w:r w:rsidRPr="00F767DA">
        <w:rPr>
          <w:rFonts w:ascii="Calibri" w:hAnsi="Calibri" w:cs="Calibri"/>
          <w:b/>
          <w:sz w:val="24"/>
          <w:szCs w:val="24"/>
          <w:lang w:val="en"/>
        </w:rPr>
        <w:t>7</w:t>
      </w:r>
      <w:r w:rsid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Pr="00F767DA">
        <w:rPr>
          <w:rFonts w:ascii="Calibri" w:hAnsi="Calibri" w:cs="Calibri"/>
          <w:sz w:val="24"/>
          <w:szCs w:val="24"/>
          <w:lang w:val="en"/>
        </w:rPr>
        <w:t>(5)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Pr="00F767DA">
        <w:rPr>
          <w:rFonts w:ascii="Calibri" w:hAnsi="Calibri" w:cs="Calibri"/>
          <w:sz w:val="24"/>
          <w:szCs w:val="24"/>
          <w:lang w:val="en"/>
        </w:rPr>
        <w:t>333-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3</w:t>
      </w:r>
      <w:r w:rsidRPr="00F767DA">
        <w:rPr>
          <w:rFonts w:ascii="Calibri" w:hAnsi="Calibri" w:cs="Calibri"/>
          <w:sz w:val="24"/>
          <w:szCs w:val="24"/>
          <w:lang w:val="en"/>
        </w:rPr>
        <w:t>40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(2009)</w:t>
      </w:r>
      <w:r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6C714F88" w14:textId="77777777" w:rsidR="0052012E" w:rsidRPr="00F767DA" w:rsidRDefault="0052012E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1E1C987E" w14:textId="20AD68D8" w:rsidR="00895769" w:rsidRPr="00F767DA" w:rsidRDefault="00895769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bCs/>
          <w:sz w:val="24"/>
          <w:szCs w:val="24"/>
          <w:vertAlign w:val="superscript"/>
          <w:lang w:val="en"/>
        </w:rPr>
        <w:t>3</w:t>
      </w:r>
      <w:r w:rsidRPr="00F767DA">
        <w:rPr>
          <w:rFonts w:ascii="Calibri" w:hAnsi="Calibri" w:cs="Calibri"/>
          <w:bCs/>
          <w:sz w:val="24"/>
          <w:szCs w:val="24"/>
          <w:lang w:val="en"/>
        </w:rPr>
        <w:t>Miner</w:t>
      </w:r>
      <w:r w:rsidR="00A93531" w:rsidRPr="00F767DA">
        <w:rPr>
          <w:rFonts w:ascii="Calibri" w:hAnsi="Calibri" w:cs="Calibri"/>
          <w:bCs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M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D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, Port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G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C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, Freitag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N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E. </w:t>
      </w:r>
      <w:hyperlink r:id="rId14" w:history="1">
        <w:r w:rsidRPr="00F767DA">
          <w:rPr>
            <w:rFonts w:ascii="Calibri" w:hAnsi="Calibri" w:cs="Calibri"/>
            <w:sz w:val="24"/>
            <w:szCs w:val="24"/>
            <w:lang w:val="en"/>
          </w:rPr>
          <w:t xml:space="preserve">Functional impact of mutational activation on the </w:t>
        </w:r>
        <w:r w:rsidRPr="00F767DA">
          <w:rPr>
            <w:rFonts w:ascii="Calibri" w:hAnsi="Calibri" w:cs="Calibri"/>
            <w:bCs/>
            <w:sz w:val="24"/>
            <w:szCs w:val="24"/>
            <w:lang w:val="en"/>
          </w:rPr>
          <w:t>Listeria</w:t>
        </w:r>
        <w:r w:rsidRPr="00F767DA">
          <w:rPr>
            <w:rFonts w:ascii="Calibri" w:hAnsi="Calibri" w:cs="Calibri"/>
            <w:sz w:val="24"/>
            <w:szCs w:val="24"/>
            <w:lang w:val="en"/>
          </w:rPr>
          <w:t xml:space="preserve"> monocytogenes central virulence regulator PrfA.</w:t>
        </w:r>
      </w:hyperlink>
      <w:r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Microbiology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.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A93531" w:rsidRPr="00F767DA">
        <w:rPr>
          <w:rFonts w:ascii="Calibri" w:hAnsi="Calibri" w:cs="Calibri"/>
          <w:b/>
          <w:sz w:val="24"/>
          <w:szCs w:val="24"/>
          <w:lang w:val="en"/>
        </w:rPr>
        <w:t>154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Pr="00F767DA">
        <w:rPr>
          <w:rFonts w:ascii="Calibri" w:hAnsi="Calibri" w:cs="Calibri"/>
          <w:sz w:val="24"/>
          <w:szCs w:val="24"/>
          <w:lang w:val="en"/>
        </w:rPr>
        <w:t>3579-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35</w:t>
      </w:r>
      <w:r w:rsidRPr="00F767DA">
        <w:rPr>
          <w:rFonts w:ascii="Calibri" w:hAnsi="Calibri" w:cs="Calibri"/>
          <w:sz w:val="24"/>
          <w:szCs w:val="24"/>
          <w:lang w:val="en"/>
        </w:rPr>
        <w:t>89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(2008)</w:t>
      </w:r>
      <w:r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270C01AD" w14:textId="77777777" w:rsidR="0052012E" w:rsidRPr="00F767DA" w:rsidRDefault="0052012E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7E23A2D3" w14:textId="792CD7DB" w:rsidR="0052012E" w:rsidRPr="00F767DA" w:rsidRDefault="0052012E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sz w:val="24"/>
          <w:szCs w:val="24"/>
          <w:vertAlign w:val="superscript"/>
          <w:lang w:val="en"/>
        </w:rPr>
        <w:t>4</w:t>
      </w:r>
      <w:r w:rsidRPr="00F767DA">
        <w:rPr>
          <w:rFonts w:ascii="Calibri" w:hAnsi="Calibri" w:cs="Calibri"/>
          <w:sz w:val="24"/>
          <w:szCs w:val="24"/>
          <w:lang w:val="en"/>
        </w:rPr>
        <w:t>McCormack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R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. </w:t>
      </w:r>
      <w:r w:rsidR="002D35C6" w:rsidRPr="00F767DA">
        <w:rPr>
          <w:rFonts w:ascii="Calibri" w:hAnsi="Calibri" w:cs="Calibri"/>
          <w:sz w:val="24"/>
          <w:szCs w:val="24"/>
          <w:lang w:val="en"/>
        </w:rPr>
        <w:t>et al.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hyperlink r:id="rId15" w:history="1">
        <w:r w:rsidRPr="00F767DA">
          <w:rPr>
            <w:rFonts w:ascii="Calibri" w:hAnsi="Calibri" w:cs="Calibri"/>
            <w:sz w:val="24"/>
            <w:szCs w:val="24"/>
            <w:lang w:val="en"/>
          </w:rPr>
          <w:t>Perforin-2 Protects Host Cells and Mice by Restricting the Vacuole to Cytosol Transitioning of a Bacterial Pathogen.</w:t>
        </w:r>
      </w:hyperlink>
      <w:r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Infect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ion and</w:t>
      </w:r>
      <w:r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</w:t>
      </w:r>
      <w:proofErr w:type="spellStart"/>
      <w:r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Immun</w:t>
      </w:r>
      <w:r w:rsidR="006C03A2" w:rsidRPr="00F767DA">
        <w:rPr>
          <w:rStyle w:val="jrnl"/>
          <w:rFonts w:ascii="Calibri" w:hAnsi="Calibri" w:cs="Calibri"/>
          <w:bCs/>
          <w:i/>
        </w:rPr>
        <w:t>ity</w:t>
      </w:r>
      <w:proofErr w:type="spellEnd"/>
      <w:r w:rsidR="00F767DA">
        <w:rPr>
          <w:rStyle w:val="jrnl"/>
          <w:rFonts w:ascii="Calibri" w:hAnsi="Calibri" w:cs="Calibri"/>
          <w:bCs/>
          <w:i/>
        </w:rPr>
        <w:t>.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A93531" w:rsidRPr="00F767DA">
        <w:rPr>
          <w:rFonts w:ascii="Calibri" w:hAnsi="Calibri" w:cs="Calibri"/>
          <w:b/>
          <w:sz w:val="24"/>
          <w:szCs w:val="24"/>
          <w:lang w:val="en"/>
        </w:rPr>
        <w:t>84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Pr="00F767DA">
        <w:rPr>
          <w:rFonts w:ascii="Calibri" w:hAnsi="Calibri" w:cs="Calibri"/>
          <w:sz w:val="24"/>
          <w:szCs w:val="24"/>
          <w:lang w:val="en"/>
        </w:rPr>
        <w:t>1083-1091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(2016)</w:t>
      </w:r>
      <w:r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62EBDACB" w14:textId="77777777" w:rsidR="006A1A3D" w:rsidRPr="00F767DA" w:rsidRDefault="006A1A3D" w:rsidP="00F36A88">
      <w:pPr>
        <w:pStyle w:val="title1"/>
        <w:shd w:val="clear" w:color="auto" w:fill="FFFFFF"/>
        <w:contextualSpacing/>
        <w:rPr>
          <w:rFonts w:ascii="Calibri" w:hAnsi="Calibri" w:cs="Calibri"/>
          <w:bCs/>
          <w:sz w:val="24"/>
          <w:szCs w:val="24"/>
          <w:lang w:val="en"/>
        </w:rPr>
      </w:pPr>
    </w:p>
    <w:p w14:paraId="4D014D42" w14:textId="10844CB5" w:rsidR="006A1A3D" w:rsidRPr="00F767DA" w:rsidRDefault="00895769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bCs/>
          <w:sz w:val="24"/>
          <w:szCs w:val="24"/>
          <w:vertAlign w:val="superscript"/>
          <w:lang w:val="en"/>
        </w:rPr>
        <w:t>5</w:t>
      </w:r>
      <w:r w:rsidR="006A1A3D" w:rsidRPr="00F767DA">
        <w:rPr>
          <w:rFonts w:ascii="Calibri" w:hAnsi="Calibri" w:cs="Calibri"/>
          <w:bCs/>
          <w:sz w:val="24"/>
          <w:szCs w:val="24"/>
          <w:lang w:val="en"/>
        </w:rPr>
        <w:t>Gregory</w:t>
      </w:r>
      <w:r w:rsidR="00A93531" w:rsidRPr="00F767DA">
        <w:rPr>
          <w:rFonts w:ascii="Calibri" w:hAnsi="Calibri" w:cs="Calibri"/>
          <w:bCs/>
          <w:sz w:val="24"/>
          <w:szCs w:val="24"/>
          <w:lang w:val="en"/>
        </w:rPr>
        <w:t>,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S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H</w:t>
      </w:r>
      <w:r w:rsidR="00F767DA" w:rsidRPr="00F767DA">
        <w:rPr>
          <w:rFonts w:ascii="Calibri" w:eastAsia="MyriadPro-Regular" w:hAnsi="Calibri" w:cs="Calibri"/>
          <w:sz w:val="24"/>
          <w:szCs w:val="24"/>
        </w:rPr>
        <w:t xml:space="preserve">. et al. </w:t>
      </w:r>
      <w:hyperlink r:id="rId16" w:history="1">
        <w:r w:rsidR="006A1A3D" w:rsidRPr="00F767DA">
          <w:rPr>
            <w:rFonts w:ascii="Calibri" w:hAnsi="Calibri" w:cs="Calibri"/>
            <w:sz w:val="24"/>
            <w:szCs w:val="24"/>
            <w:lang w:val="en"/>
          </w:rPr>
          <w:t>Complementary adhesion molecules promote neutrophil-Kupffer cell interaction and the elimination of bacteria taken up by the liver.</w:t>
        </w:r>
      </w:hyperlink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J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ournal of</w:t>
      </w:r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Immunol</w:t>
      </w:r>
      <w:proofErr w:type="spellStart"/>
      <w:r w:rsidR="006C03A2" w:rsidRPr="00F767DA">
        <w:rPr>
          <w:rStyle w:val="jrnl"/>
          <w:rFonts w:ascii="Calibri" w:hAnsi="Calibri" w:cs="Calibri"/>
          <w:bCs/>
          <w:i/>
        </w:rPr>
        <w:t>ogy</w:t>
      </w:r>
      <w:proofErr w:type="spellEnd"/>
      <w:r w:rsidR="00F767DA">
        <w:rPr>
          <w:rStyle w:val="jrnl"/>
          <w:rFonts w:ascii="Calibri" w:hAnsi="Calibri" w:cs="Calibri"/>
          <w:bCs/>
          <w:i/>
        </w:rPr>
        <w:t>.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A93531" w:rsidRPr="00F767DA">
        <w:rPr>
          <w:rFonts w:ascii="Calibri" w:hAnsi="Calibri" w:cs="Calibri"/>
          <w:b/>
          <w:sz w:val="24"/>
          <w:szCs w:val="24"/>
          <w:lang w:val="en"/>
        </w:rPr>
        <w:t>168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308-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>3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15</w:t>
      </w:r>
      <w:r w:rsidR="00A93531" w:rsidRPr="00F767DA">
        <w:rPr>
          <w:rFonts w:ascii="Calibri" w:hAnsi="Calibri" w:cs="Calibri"/>
          <w:sz w:val="24"/>
          <w:szCs w:val="24"/>
          <w:lang w:val="en"/>
        </w:rPr>
        <w:t xml:space="preserve"> (2002)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1D055697" w14:textId="77777777" w:rsidR="0052012E" w:rsidRPr="00F767DA" w:rsidRDefault="0052012E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03013B8A" w14:textId="22C8DADF" w:rsidR="0052012E" w:rsidRPr="00F767DA" w:rsidRDefault="0052012E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sz w:val="24"/>
          <w:szCs w:val="24"/>
          <w:vertAlign w:val="superscript"/>
          <w:lang w:val="en"/>
        </w:rPr>
        <w:t>6</w:t>
      </w:r>
      <w:r w:rsidRPr="00F767DA">
        <w:rPr>
          <w:rFonts w:ascii="Calibri" w:hAnsi="Calibri" w:cs="Calibri"/>
          <w:sz w:val="24"/>
          <w:szCs w:val="24"/>
          <w:lang w:val="en"/>
        </w:rPr>
        <w:t>Shi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C</w:t>
      </w:r>
      <w:r w:rsidR="00F767DA" w:rsidRPr="00F767DA">
        <w:rPr>
          <w:rFonts w:ascii="Calibri" w:eastAsia="MyriadPro-Regular" w:hAnsi="Calibri" w:cs="Calibri"/>
          <w:sz w:val="24"/>
          <w:szCs w:val="24"/>
        </w:rPr>
        <w:t xml:space="preserve">. et al. </w:t>
      </w:r>
      <w:hyperlink r:id="rId17" w:history="1">
        <w:r w:rsidRPr="00F767DA">
          <w:rPr>
            <w:rFonts w:ascii="Calibri" w:hAnsi="Calibri" w:cs="Calibri"/>
            <w:sz w:val="24"/>
            <w:szCs w:val="24"/>
            <w:lang w:val="en"/>
          </w:rPr>
          <w:t>Monocyte trafficking to hepatic sites of bacterial infection is chemokine independent and directed by focal intercellular adhesion molecule-1 expression.</w:t>
        </w:r>
      </w:hyperlink>
      <w:r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Journal of Immunol</w:t>
      </w:r>
      <w:proofErr w:type="spellStart"/>
      <w:r w:rsidR="006C03A2" w:rsidRPr="00F767DA">
        <w:rPr>
          <w:rStyle w:val="jrnl"/>
          <w:rFonts w:ascii="Calibri" w:hAnsi="Calibri" w:cs="Calibri"/>
          <w:bCs/>
          <w:i/>
        </w:rPr>
        <w:t>ogy</w:t>
      </w:r>
      <w:proofErr w:type="spellEnd"/>
      <w:r w:rsidR="00F767DA">
        <w:rPr>
          <w:rStyle w:val="jrnl"/>
          <w:rFonts w:ascii="Calibri" w:hAnsi="Calibri" w:cs="Calibri"/>
          <w:bCs/>
          <w:i/>
        </w:rPr>
        <w:t>.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302EA7" w:rsidRPr="00F767DA">
        <w:rPr>
          <w:rFonts w:ascii="Calibri" w:hAnsi="Calibri" w:cs="Calibri"/>
          <w:b/>
          <w:sz w:val="24"/>
          <w:szCs w:val="24"/>
          <w:lang w:val="en"/>
        </w:rPr>
        <w:t>184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Pr="00F767DA">
        <w:rPr>
          <w:rFonts w:ascii="Calibri" w:hAnsi="Calibri" w:cs="Calibri"/>
          <w:sz w:val="24"/>
          <w:szCs w:val="24"/>
          <w:lang w:val="en"/>
        </w:rPr>
        <w:t>6266-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62</w:t>
      </w:r>
      <w:r w:rsidRPr="00F767DA">
        <w:rPr>
          <w:rFonts w:ascii="Calibri" w:hAnsi="Calibri" w:cs="Calibri"/>
          <w:sz w:val="24"/>
          <w:szCs w:val="24"/>
          <w:lang w:val="en"/>
        </w:rPr>
        <w:t>74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 xml:space="preserve"> (2010)</w:t>
      </w:r>
      <w:r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6155BC4D" w14:textId="77777777" w:rsidR="0052012E" w:rsidRPr="00F767DA" w:rsidRDefault="0052012E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18BD6DC7" w14:textId="2DEDFB64" w:rsidR="006A1A3D" w:rsidRPr="00F767DA" w:rsidRDefault="0052012E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sz w:val="24"/>
          <w:szCs w:val="24"/>
          <w:vertAlign w:val="superscript"/>
          <w:lang w:val="en"/>
        </w:rPr>
        <w:t>7</w:t>
      </w:r>
      <w:r w:rsidRPr="00F767DA">
        <w:rPr>
          <w:rFonts w:ascii="Calibri" w:hAnsi="Calibri" w:cs="Calibri"/>
          <w:sz w:val="24"/>
          <w:szCs w:val="24"/>
          <w:lang w:val="en"/>
        </w:rPr>
        <w:t>Pitts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M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G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, Combs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T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A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 w:rsidRPr="00F767DA">
        <w:rPr>
          <w:rFonts w:ascii="Calibri" w:hAnsi="Calibri" w:cs="Calibri"/>
          <w:sz w:val="24"/>
          <w:szCs w:val="24"/>
          <w:lang w:val="en"/>
        </w:rPr>
        <w:t>D'Orazio</w:t>
      </w:r>
      <w:proofErr w:type="spellEnd"/>
      <w:r w:rsidR="00302EA7" w:rsidRPr="00F767DA">
        <w:rPr>
          <w:rFonts w:ascii="Calibri" w:hAnsi="Calibri" w:cs="Calibri"/>
          <w:sz w:val="24"/>
          <w:szCs w:val="24"/>
          <w:lang w:val="en"/>
        </w:rPr>
        <w:t>,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 S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>E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sz w:val="24"/>
          <w:szCs w:val="24"/>
          <w:lang w:val="en"/>
        </w:rPr>
        <w:t xml:space="preserve">F. </w:t>
      </w:r>
      <w:hyperlink r:id="rId18" w:history="1">
        <w:r w:rsidRPr="00F767DA">
          <w:rPr>
            <w:rFonts w:ascii="Calibri" w:hAnsi="Calibri" w:cs="Calibri"/>
            <w:bCs/>
            <w:sz w:val="24"/>
            <w:szCs w:val="24"/>
            <w:lang w:val="en"/>
          </w:rPr>
          <w:t>Neutrophils</w:t>
        </w:r>
        <w:r w:rsidRPr="00F767DA">
          <w:rPr>
            <w:rFonts w:ascii="Calibri" w:hAnsi="Calibri" w:cs="Calibri"/>
            <w:sz w:val="24"/>
            <w:szCs w:val="24"/>
            <w:lang w:val="en"/>
          </w:rPr>
          <w:t xml:space="preserve"> from Both Susceptible and Resistant Mice Efficiently Kill Opsonized </w:t>
        </w:r>
        <w:r w:rsidRPr="00F767DA">
          <w:rPr>
            <w:rFonts w:ascii="Calibri" w:hAnsi="Calibri" w:cs="Calibri"/>
            <w:bCs/>
            <w:sz w:val="24"/>
            <w:szCs w:val="24"/>
            <w:lang w:val="en"/>
          </w:rPr>
          <w:t>Listeria</w:t>
        </w:r>
        <w:r w:rsidRPr="00F767DA">
          <w:rPr>
            <w:rFonts w:ascii="Calibri" w:hAnsi="Calibri" w:cs="Calibri"/>
            <w:sz w:val="24"/>
            <w:szCs w:val="24"/>
            <w:lang w:val="en"/>
          </w:rPr>
          <w:t xml:space="preserve"> monocytogenes.</w:t>
        </w:r>
      </w:hyperlink>
      <w:r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Infection and </w:t>
      </w:r>
      <w:proofErr w:type="spellStart"/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Immun</w:t>
      </w:r>
      <w:r w:rsidR="006C03A2" w:rsidRPr="00F767DA">
        <w:rPr>
          <w:rStyle w:val="jrnl"/>
          <w:rFonts w:ascii="Calibri" w:hAnsi="Calibri" w:cs="Calibri"/>
          <w:bCs/>
          <w:i/>
        </w:rPr>
        <w:t>ity</w:t>
      </w:r>
      <w:proofErr w:type="spellEnd"/>
      <w:r w:rsidR="00F767DA">
        <w:rPr>
          <w:rStyle w:val="jrnl"/>
          <w:rFonts w:ascii="Calibri" w:hAnsi="Calibri" w:cs="Calibri"/>
          <w:bCs/>
          <w:i/>
        </w:rPr>
        <w:t>.</w:t>
      </w:r>
      <w:r w:rsidR="006C03A2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302EA7" w:rsidRPr="00F767DA">
        <w:rPr>
          <w:rFonts w:ascii="Calibri" w:hAnsi="Calibri" w:cs="Calibri"/>
          <w:b/>
          <w:sz w:val="24"/>
          <w:szCs w:val="24"/>
          <w:lang w:val="en"/>
        </w:rPr>
        <w:t>86</w:t>
      </w:r>
      <w:r w:rsidR="00302EA7" w:rsidRPr="00F767DA">
        <w:rPr>
          <w:rFonts w:ascii="Calibri" w:hAnsi="Calibri" w:cs="Calibri"/>
          <w:sz w:val="24"/>
          <w:szCs w:val="24"/>
          <w:lang w:val="en"/>
        </w:rPr>
        <w:t>, e00085 (2018)</w:t>
      </w:r>
      <w:r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77E65679" w14:textId="77777777" w:rsidR="0052012E" w:rsidRPr="00F767DA" w:rsidRDefault="0052012E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</w:rPr>
      </w:pPr>
    </w:p>
    <w:p w14:paraId="597B682A" w14:textId="4BB05703" w:rsidR="001D008C" w:rsidRPr="00F767DA" w:rsidRDefault="006C12A4" w:rsidP="00F36A88">
      <w:pPr>
        <w:pStyle w:val="title1"/>
        <w:shd w:val="clear" w:color="auto" w:fill="FFFFFF"/>
        <w:contextualSpacing/>
        <w:rPr>
          <w:rFonts w:ascii="Calibri" w:hAnsi="Calibri" w:cs="Calibri"/>
          <w:color w:val="000000" w:themeColor="text1"/>
          <w:sz w:val="24"/>
          <w:szCs w:val="24"/>
          <w:lang w:val="en"/>
        </w:rPr>
      </w:pPr>
      <w:r w:rsidRPr="00F767DA">
        <w:rPr>
          <w:rFonts w:ascii="Calibri" w:hAnsi="Calibri" w:cs="Calibri"/>
          <w:color w:val="000000" w:themeColor="text1"/>
          <w:sz w:val="24"/>
          <w:szCs w:val="24"/>
          <w:vertAlign w:val="superscript"/>
          <w:lang w:val="en"/>
        </w:rPr>
        <w:t>8</w:t>
      </w:r>
      <w:r w:rsidR="001D008C"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>Carr, K.D</w:t>
      </w:r>
      <w:r w:rsidR="00F767DA" w:rsidRPr="00F767DA">
        <w:rPr>
          <w:rFonts w:ascii="Calibri" w:eastAsia="MyriadPro-Regular" w:hAnsi="Calibri" w:cs="Calibri"/>
          <w:sz w:val="24"/>
          <w:szCs w:val="24"/>
        </w:rPr>
        <w:t xml:space="preserve">. et al. </w:t>
      </w:r>
      <w:hyperlink r:id="rId19" w:history="1">
        <w:r w:rsidR="001D008C" w:rsidRPr="00F767DA">
          <w:rPr>
            <w:rFonts w:ascii="Calibri" w:hAnsi="Calibri" w:cs="Calibri"/>
            <w:color w:val="000000" w:themeColor="text1"/>
            <w:sz w:val="24"/>
            <w:szCs w:val="24"/>
            <w:lang w:val="en"/>
          </w:rPr>
          <w:t xml:space="preserve">Specific depletion reveals a novel role for neutrophil-mediated protection in the liver during </w:t>
        </w:r>
        <w:r w:rsidR="001D008C" w:rsidRPr="00F767DA">
          <w:rPr>
            <w:rFonts w:ascii="Calibri" w:hAnsi="Calibri" w:cs="Calibri"/>
            <w:bCs/>
            <w:color w:val="000000" w:themeColor="text1"/>
            <w:sz w:val="24"/>
            <w:szCs w:val="24"/>
            <w:lang w:val="en"/>
          </w:rPr>
          <w:t>Listeria</w:t>
        </w:r>
        <w:r w:rsidR="001D008C" w:rsidRPr="00F767DA">
          <w:rPr>
            <w:rFonts w:ascii="Calibri" w:hAnsi="Calibri" w:cs="Calibri"/>
            <w:color w:val="000000" w:themeColor="text1"/>
            <w:sz w:val="24"/>
            <w:szCs w:val="24"/>
            <w:lang w:val="en"/>
          </w:rPr>
          <w:t xml:space="preserve"> monocytogenes infection.</w:t>
        </w:r>
      </w:hyperlink>
      <w:r w:rsidR="001D008C"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 </w:t>
      </w:r>
      <w:r w:rsidR="001D008C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Eur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opean</w:t>
      </w:r>
      <w:r w:rsidR="001D008C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J</w:t>
      </w:r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ournal of </w:t>
      </w:r>
      <w:proofErr w:type="spellStart"/>
      <w:r w:rsidR="006C03A2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Immun</w:t>
      </w:r>
      <w:proofErr w:type="spellEnd"/>
      <w:r w:rsidR="006C03A2" w:rsidRPr="00F767DA">
        <w:rPr>
          <w:rStyle w:val="jrnl"/>
          <w:rFonts w:ascii="Calibri" w:hAnsi="Calibri" w:cs="Calibri"/>
          <w:bCs/>
          <w:i/>
        </w:rPr>
        <w:t>ology</w:t>
      </w:r>
      <w:r w:rsidR="00F767DA">
        <w:rPr>
          <w:rStyle w:val="jrnl"/>
          <w:rFonts w:ascii="Calibri" w:hAnsi="Calibri" w:cs="Calibri"/>
          <w:bCs/>
          <w:i/>
        </w:rPr>
        <w:t>.</w:t>
      </w:r>
      <w:r w:rsidR="001D008C"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 </w:t>
      </w:r>
      <w:r w:rsidR="001D008C" w:rsidRPr="00F767DA">
        <w:rPr>
          <w:rFonts w:ascii="Calibri" w:hAnsi="Calibri" w:cs="Calibri"/>
          <w:b/>
          <w:color w:val="000000" w:themeColor="text1"/>
          <w:sz w:val="24"/>
          <w:szCs w:val="24"/>
          <w:lang w:val="en"/>
        </w:rPr>
        <w:t>41</w:t>
      </w:r>
      <w:r w:rsidR="00F767DA" w:rsidRPr="00F767DA">
        <w:rPr>
          <w:rFonts w:ascii="Calibri" w:hAnsi="Calibri" w:cs="Calibri"/>
          <w:b/>
          <w:color w:val="000000" w:themeColor="text1"/>
          <w:sz w:val="24"/>
          <w:szCs w:val="24"/>
          <w:lang w:val="en"/>
        </w:rPr>
        <w:t xml:space="preserve"> </w:t>
      </w:r>
      <w:r w:rsidR="001D008C" w:rsidRPr="00F767DA">
        <w:rPr>
          <w:rFonts w:ascii="Calibri" w:hAnsi="Calibri" w:cs="Calibri"/>
          <w:b/>
          <w:color w:val="000000" w:themeColor="text1"/>
          <w:sz w:val="24"/>
          <w:szCs w:val="24"/>
          <w:lang w:val="en"/>
        </w:rPr>
        <w:t xml:space="preserve">(9), </w:t>
      </w:r>
      <w:r w:rsidR="001D008C" w:rsidRPr="00F767DA">
        <w:rPr>
          <w:rFonts w:ascii="Calibri" w:hAnsi="Calibri" w:cs="Calibri"/>
          <w:b/>
          <w:bCs/>
          <w:color w:val="000000" w:themeColor="text1"/>
          <w:sz w:val="24"/>
          <w:szCs w:val="24"/>
          <w:lang w:val="en"/>
        </w:rPr>
        <w:t>2666</w:t>
      </w:r>
      <w:r w:rsidR="001D008C" w:rsidRPr="00F767DA">
        <w:rPr>
          <w:rFonts w:ascii="Calibri" w:hAnsi="Calibri" w:cs="Calibri"/>
          <w:b/>
          <w:color w:val="000000" w:themeColor="text1"/>
          <w:sz w:val="24"/>
          <w:szCs w:val="24"/>
          <w:lang w:val="en"/>
        </w:rPr>
        <w:t>-2676 (2011).</w:t>
      </w:r>
    </w:p>
    <w:p w14:paraId="63C25FC0" w14:textId="77777777" w:rsidR="001D008C" w:rsidRPr="00F767DA" w:rsidRDefault="001D008C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</w:rPr>
      </w:pPr>
    </w:p>
    <w:p w14:paraId="1B2C44FD" w14:textId="5BD51927" w:rsidR="006C12A4" w:rsidRPr="00F767DA" w:rsidRDefault="006C12A4" w:rsidP="00F36A88">
      <w:pPr>
        <w:pStyle w:val="title1"/>
        <w:shd w:val="clear" w:color="auto" w:fill="FFFFFF"/>
        <w:contextualSpacing/>
        <w:rPr>
          <w:rFonts w:ascii="Calibri" w:hAnsi="Calibri" w:cs="Calibri"/>
          <w:color w:val="000000" w:themeColor="text1"/>
          <w:sz w:val="24"/>
          <w:szCs w:val="24"/>
          <w:highlight w:val="yellow"/>
          <w:lang w:val="en"/>
        </w:rPr>
      </w:pPr>
      <w:r w:rsidRPr="00F767DA">
        <w:rPr>
          <w:rFonts w:ascii="Calibri" w:hAnsi="Calibri" w:cs="Calibri"/>
          <w:color w:val="000000" w:themeColor="text1"/>
          <w:sz w:val="24"/>
          <w:szCs w:val="24"/>
          <w:vertAlign w:val="superscript"/>
          <w:lang w:val="en"/>
        </w:rPr>
        <w:t>9</w:t>
      </w:r>
      <w:r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>Blériot, C</w:t>
      </w:r>
      <w:r w:rsidR="00F767DA" w:rsidRPr="00F767DA">
        <w:rPr>
          <w:rFonts w:ascii="Calibri" w:eastAsia="MyriadPro-Regular" w:hAnsi="Calibri" w:cs="Calibri"/>
          <w:sz w:val="24"/>
          <w:szCs w:val="24"/>
        </w:rPr>
        <w:t xml:space="preserve">. et al. </w:t>
      </w:r>
      <w:hyperlink r:id="rId20" w:history="1">
        <w:r w:rsidRPr="00F767DA">
          <w:rPr>
            <w:rFonts w:ascii="Calibri" w:hAnsi="Calibri" w:cs="Calibri"/>
            <w:color w:val="000000" w:themeColor="text1"/>
            <w:sz w:val="24"/>
            <w:szCs w:val="24"/>
            <w:lang w:val="en"/>
          </w:rPr>
          <w:t>Liver-resident macrophage necroptosis orchestrates type 1 microbicidal inflammation and type-2-mediated tissue repair during bacterial infection.</w:t>
        </w:r>
      </w:hyperlink>
      <w:r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 </w:t>
      </w:r>
      <w:r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Immunity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.</w:t>
      </w:r>
      <w:r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 </w:t>
      </w:r>
      <w:r w:rsidRPr="00F767DA">
        <w:rPr>
          <w:rFonts w:ascii="Calibri" w:hAnsi="Calibri" w:cs="Calibri"/>
          <w:b/>
          <w:color w:val="000000" w:themeColor="text1"/>
          <w:sz w:val="24"/>
          <w:szCs w:val="24"/>
          <w:lang w:val="en"/>
        </w:rPr>
        <w:t>42</w:t>
      </w:r>
      <w:r w:rsid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 xml:space="preserve"> </w:t>
      </w:r>
      <w:r w:rsidRPr="00F767DA">
        <w:rPr>
          <w:rFonts w:ascii="Calibri" w:hAnsi="Calibri" w:cs="Calibri"/>
          <w:color w:val="000000" w:themeColor="text1"/>
          <w:sz w:val="24"/>
          <w:szCs w:val="24"/>
          <w:lang w:val="en"/>
        </w:rPr>
        <w:t>(1), 145-158 (2015).</w:t>
      </w:r>
    </w:p>
    <w:p w14:paraId="3FFA0C85" w14:textId="77777777" w:rsidR="001D008C" w:rsidRPr="00F767DA" w:rsidRDefault="001D008C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</w:rPr>
      </w:pPr>
    </w:p>
    <w:p w14:paraId="137CE247" w14:textId="15F4B9CC" w:rsidR="007E55E3" w:rsidRPr="00F767DA" w:rsidRDefault="006C12A4" w:rsidP="00F36A88">
      <w:pPr>
        <w:widowControl/>
        <w:contextualSpacing/>
        <w:jc w:val="left"/>
        <w:rPr>
          <w:rFonts w:eastAsia="MyriadPro-Regular"/>
          <w:color w:val="auto"/>
        </w:rPr>
      </w:pPr>
      <w:r w:rsidRPr="00F767DA">
        <w:rPr>
          <w:rFonts w:eastAsia="MyriadPro-Regular"/>
          <w:color w:val="auto"/>
          <w:vertAlign w:val="superscript"/>
        </w:rPr>
        <w:t>10</w:t>
      </w:r>
      <w:r w:rsidR="007E55E3" w:rsidRPr="00F767DA">
        <w:rPr>
          <w:rFonts w:eastAsia="MyriadPro-Regular"/>
          <w:color w:val="auto"/>
        </w:rPr>
        <w:t>Jones</w:t>
      </w:r>
      <w:r w:rsidR="00302EA7" w:rsidRPr="00F767DA">
        <w:rPr>
          <w:rFonts w:eastAsia="MyriadPro-Regular"/>
          <w:color w:val="auto"/>
        </w:rPr>
        <w:t>,</w:t>
      </w:r>
      <w:r w:rsidR="007E55E3" w:rsidRPr="00F767DA">
        <w:rPr>
          <w:rFonts w:eastAsia="MyriadPro-Regular"/>
          <w:color w:val="auto"/>
        </w:rPr>
        <w:t xml:space="preserve"> G</w:t>
      </w:r>
      <w:r w:rsidR="00302EA7" w:rsidRPr="00F767DA">
        <w:rPr>
          <w:rFonts w:eastAsia="MyriadPro-Regular"/>
          <w:color w:val="auto"/>
        </w:rPr>
        <w:t>.</w:t>
      </w:r>
      <w:r w:rsidR="007E55E3" w:rsidRPr="00F767DA">
        <w:rPr>
          <w:rFonts w:eastAsia="MyriadPro-Regular"/>
          <w:color w:val="auto"/>
        </w:rPr>
        <w:t>S</w:t>
      </w:r>
      <w:r w:rsidR="00302EA7" w:rsidRPr="00F767DA">
        <w:rPr>
          <w:rFonts w:eastAsia="MyriadPro-Regular"/>
          <w:color w:val="auto"/>
        </w:rPr>
        <w:t>.</w:t>
      </w:r>
      <w:r w:rsidR="007E55E3" w:rsidRPr="00F767DA">
        <w:rPr>
          <w:rFonts w:eastAsia="MyriadPro-Regular"/>
          <w:color w:val="auto"/>
        </w:rPr>
        <w:t xml:space="preserve">, </w:t>
      </w:r>
      <w:proofErr w:type="spellStart"/>
      <w:r w:rsidR="007E55E3" w:rsidRPr="00F767DA">
        <w:rPr>
          <w:rFonts w:eastAsia="MyriadPro-Regular"/>
          <w:color w:val="auto"/>
        </w:rPr>
        <w:t>D’Orazio</w:t>
      </w:r>
      <w:proofErr w:type="spellEnd"/>
      <w:r w:rsidR="00302EA7" w:rsidRPr="00F767DA">
        <w:rPr>
          <w:rFonts w:eastAsia="MyriadPro-Regular"/>
          <w:color w:val="auto"/>
        </w:rPr>
        <w:t>,</w:t>
      </w:r>
      <w:r w:rsidR="007E55E3" w:rsidRPr="00F767DA">
        <w:rPr>
          <w:rFonts w:eastAsia="MyriadPro-Regular"/>
          <w:color w:val="auto"/>
        </w:rPr>
        <w:t xml:space="preserve"> S</w:t>
      </w:r>
      <w:r w:rsidR="00302EA7" w:rsidRPr="00F767DA">
        <w:rPr>
          <w:rFonts w:eastAsia="MyriadPro-Regular"/>
          <w:color w:val="auto"/>
        </w:rPr>
        <w:t>.</w:t>
      </w:r>
      <w:r w:rsidR="007E55E3" w:rsidRPr="00F767DA">
        <w:rPr>
          <w:rFonts w:eastAsia="MyriadPro-Regular"/>
          <w:color w:val="auto"/>
        </w:rPr>
        <w:t>E</w:t>
      </w:r>
      <w:r w:rsidR="00302EA7" w:rsidRPr="00F767DA">
        <w:rPr>
          <w:rFonts w:eastAsia="MyriadPro-Regular"/>
          <w:color w:val="auto"/>
        </w:rPr>
        <w:t>.</w:t>
      </w:r>
      <w:r w:rsidR="007E55E3" w:rsidRPr="00F767DA">
        <w:rPr>
          <w:rFonts w:eastAsia="MyriadPro-Regular"/>
          <w:color w:val="auto"/>
        </w:rPr>
        <w:t xml:space="preserve">F. Monocytes are the predominant cell type associated with Listeria monocytogenes in the gut, but they do not serve as an intracellular growth niche. </w:t>
      </w:r>
      <w:r w:rsidR="007E55E3" w:rsidRPr="00F767DA">
        <w:rPr>
          <w:rStyle w:val="jrnl"/>
          <w:bCs/>
          <w:i/>
          <w:lang w:val="en"/>
        </w:rPr>
        <w:t>J</w:t>
      </w:r>
      <w:r w:rsidR="006C03A2" w:rsidRPr="00F767DA">
        <w:rPr>
          <w:rStyle w:val="jrnl"/>
          <w:bCs/>
          <w:i/>
          <w:lang w:val="en"/>
        </w:rPr>
        <w:t>ournal of</w:t>
      </w:r>
      <w:r w:rsidR="007E55E3" w:rsidRPr="00F767DA">
        <w:rPr>
          <w:rStyle w:val="jrnl"/>
          <w:bCs/>
          <w:i/>
          <w:lang w:val="en"/>
        </w:rPr>
        <w:t xml:space="preserve"> </w:t>
      </w:r>
      <w:r w:rsidR="006C03A2" w:rsidRPr="00F767DA">
        <w:rPr>
          <w:rStyle w:val="jrnl"/>
          <w:bCs/>
          <w:i/>
          <w:lang w:val="en"/>
        </w:rPr>
        <w:t>Immunology</w:t>
      </w:r>
      <w:r w:rsidR="00F767DA">
        <w:rPr>
          <w:rStyle w:val="jrnl"/>
          <w:bCs/>
          <w:i/>
          <w:lang w:val="en"/>
        </w:rPr>
        <w:t>.</w:t>
      </w:r>
      <w:r w:rsidR="00302EA7" w:rsidRPr="00F767DA">
        <w:rPr>
          <w:rStyle w:val="jrnl"/>
          <w:bCs/>
          <w:i/>
          <w:lang w:val="en"/>
        </w:rPr>
        <w:t xml:space="preserve"> </w:t>
      </w:r>
      <w:r w:rsidR="00302EA7" w:rsidRPr="00F767DA">
        <w:rPr>
          <w:rFonts w:eastAsia="MyriadPro-Regular"/>
          <w:b/>
          <w:color w:val="auto"/>
        </w:rPr>
        <w:t>198</w:t>
      </w:r>
      <w:r w:rsidR="00302EA7" w:rsidRPr="00F767DA">
        <w:rPr>
          <w:rFonts w:eastAsia="MyriadPro-Regular"/>
          <w:color w:val="auto"/>
        </w:rPr>
        <w:t xml:space="preserve">, </w:t>
      </w:r>
      <w:r w:rsidR="007E55E3" w:rsidRPr="00F767DA">
        <w:rPr>
          <w:rFonts w:eastAsia="MyriadPro-Regular"/>
          <w:color w:val="auto"/>
        </w:rPr>
        <w:t>2796-2804</w:t>
      </w:r>
      <w:r w:rsidR="00302EA7" w:rsidRPr="00F767DA">
        <w:rPr>
          <w:rFonts w:eastAsia="MyriadPro-Regular"/>
          <w:color w:val="auto"/>
        </w:rPr>
        <w:t xml:space="preserve"> (2017)</w:t>
      </w:r>
      <w:r w:rsidR="0052012E" w:rsidRPr="00F767DA">
        <w:rPr>
          <w:rFonts w:eastAsia="MyriadPro-Regular"/>
          <w:color w:val="auto"/>
        </w:rPr>
        <w:t>.</w:t>
      </w:r>
    </w:p>
    <w:p w14:paraId="530EE1CC" w14:textId="77777777" w:rsidR="006A1A3D" w:rsidRPr="00F767DA" w:rsidRDefault="006A1A3D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64B1081F" w14:textId="0CA97CBC" w:rsidR="0052012E" w:rsidRPr="00F767DA" w:rsidRDefault="006C12A4" w:rsidP="00F36A88">
      <w:pPr>
        <w:widowControl/>
        <w:contextualSpacing/>
        <w:jc w:val="left"/>
        <w:rPr>
          <w:rFonts w:eastAsia="MyriadPro-Regular"/>
          <w:color w:val="auto"/>
        </w:rPr>
      </w:pPr>
      <w:r w:rsidRPr="00F767DA">
        <w:rPr>
          <w:rFonts w:eastAsia="MyriadPro-Regular"/>
          <w:color w:val="auto"/>
          <w:vertAlign w:val="superscript"/>
        </w:rPr>
        <w:t>11</w:t>
      </w:r>
      <w:r w:rsidR="0052012E" w:rsidRPr="00F767DA">
        <w:rPr>
          <w:rFonts w:eastAsia="MyriadPro-Regular"/>
          <w:color w:val="auto"/>
        </w:rPr>
        <w:t>Agaisse</w:t>
      </w:r>
      <w:r w:rsidR="00302EA7" w:rsidRPr="00F767DA">
        <w:rPr>
          <w:rFonts w:eastAsia="MyriadPro-Regular"/>
          <w:color w:val="auto"/>
        </w:rPr>
        <w:t>,</w:t>
      </w:r>
      <w:r w:rsidR="0052012E" w:rsidRPr="00F767DA">
        <w:rPr>
          <w:rFonts w:eastAsia="MyriadPro-Regular"/>
          <w:color w:val="auto"/>
        </w:rPr>
        <w:t xml:space="preserve"> H</w:t>
      </w:r>
      <w:r w:rsidR="00F767DA" w:rsidRPr="00F767DA">
        <w:rPr>
          <w:rFonts w:eastAsia="MyriadPro-Regular"/>
          <w:color w:val="auto"/>
        </w:rPr>
        <w:t xml:space="preserve">. et al. </w:t>
      </w:r>
      <w:r w:rsidR="0052012E" w:rsidRPr="00F767DA">
        <w:rPr>
          <w:rFonts w:eastAsia="MyriadPro-Regular"/>
          <w:color w:val="auto"/>
        </w:rPr>
        <w:t>Genome-wide RNAi screen for host factors required for intracellular b</w:t>
      </w:r>
      <w:r w:rsidR="00302EA7" w:rsidRPr="00F767DA">
        <w:rPr>
          <w:rFonts w:eastAsia="MyriadPro-Regular"/>
          <w:color w:val="auto"/>
        </w:rPr>
        <w:t xml:space="preserve">acterial infection. </w:t>
      </w:r>
      <w:r w:rsidR="00302EA7" w:rsidRPr="00F767DA">
        <w:rPr>
          <w:rStyle w:val="jrnl"/>
          <w:bCs/>
          <w:i/>
          <w:lang w:val="en"/>
        </w:rPr>
        <w:t>Science</w:t>
      </w:r>
      <w:r w:rsidR="00F767DA">
        <w:rPr>
          <w:rStyle w:val="jrnl"/>
          <w:bCs/>
          <w:i/>
          <w:lang w:val="en"/>
        </w:rPr>
        <w:t>.</w:t>
      </w:r>
      <w:r w:rsidR="00302EA7" w:rsidRPr="00F767DA">
        <w:rPr>
          <w:rFonts w:eastAsia="MyriadPro-Regular"/>
          <w:color w:val="auto"/>
        </w:rPr>
        <w:t xml:space="preserve"> </w:t>
      </w:r>
      <w:r w:rsidR="00302EA7" w:rsidRPr="00F767DA">
        <w:rPr>
          <w:rFonts w:eastAsia="MyriadPro-Regular"/>
          <w:b/>
          <w:color w:val="auto"/>
        </w:rPr>
        <w:t>309</w:t>
      </w:r>
      <w:r w:rsidR="00302EA7" w:rsidRPr="00F767DA">
        <w:rPr>
          <w:rFonts w:eastAsia="MyriadPro-Regular"/>
          <w:color w:val="auto"/>
        </w:rPr>
        <w:t xml:space="preserve">, </w:t>
      </w:r>
      <w:r w:rsidR="0052012E" w:rsidRPr="00F767DA">
        <w:rPr>
          <w:rFonts w:eastAsia="MyriadPro-Regular"/>
          <w:color w:val="auto"/>
        </w:rPr>
        <w:t>1248–1251</w:t>
      </w:r>
      <w:r w:rsidR="00302EA7" w:rsidRPr="00F767DA">
        <w:rPr>
          <w:rFonts w:eastAsia="MyriadPro-Regular"/>
          <w:color w:val="auto"/>
        </w:rPr>
        <w:t xml:space="preserve"> (2005)</w:t>
      </w:r>
      <w:r w:rsidR="0052012E" w:rsidRPr="00F767DA">
        <w:rPr>
          <w:rFonts w:eastAsia="MyriadPro-Regular"/>
          <w:color w:val="auto"/>
        </w:rPr>
        <w:t>.</w:t>
      </w:r>
    </w:p>
    <w:p w14:paraId="76917AF4" w14:textId="77777777" w:rsidR="0052012E" w:rsidRPr="00F767DA" w:rsidRDefault="0052012E" w:rsidP="00F36A88">
      <w:pPr>
        <w:widowControl/>
        <w:contextualSpacing/>
        <w:jc w:val="left"/>
        <w:rPr>
          <w:rFonts w:eastAsia="MyriadPro-Regular"/>
          <w:color w:val="auto"/>
        </w:rPr>
      </w:pPr>
    </w:p>
    <w:p w14:paraId="4626DFD9" w14:textId="6D660432" w:rsidR="0052012E" w:rsidRPr="00F767DA" w:rsidRDefault="0052012E" w:rsidP="00F36A88">
      <w:pPr>
        <w:widowControl/>
        <w:contextualSpacing/>
        <w:jc w:val="left"/>
        <w:rPr>
          <w:rFonts w:eastAsia="MyriadPro-Regular"/>
          <w:color w:val="auto"/>
        </w:rPr>
      </w:pPr>
      <w:r w:rsidRPr="00F767DA">
        <w:rPr>
          <w:rFonts w:eastAsia="MyriadPro-Regular"/>
          <w:color w:val="auto"/>
          <w:vertAlign w:val="superscript"/>
        </w:rPr>
        <w:t>1</w:t>
      </w:r>
      <w:r w:rsidR="006C12A4" w:rsidRPr="00F767DA">
        <w:rPr>
          <w:rFonts w:eastAsia="MyriadPro-Regular"/>
          <w:color w:val="auto"/>
          <w:vertAlign w:val="superscript"/>
        </w:rPr>
        <w:t>2</w:t>
      </w:r>
      <w:r w:rsidRPr="00F767DA">
        <w:rPr>
          <w:rFonts w:eastAsia="MyriadPro-Regular"/>
          <w:color w:val="auto"/>
        </w:rPr>
        <w:t>Cheng</w:t>
      </w:r>
      <w:r w:rsidR="00302EA7" w:rsidRPr="00F767DA">
        <w:rPr>
          <w:rFonts w:eastAsia="MyriadPro-Regular"/>
          <w:color w:val="auto"/>
        </w:rPr>
        <w:t>,</w:t>
      </w:r>
      <w:r w:rsidRPr="00F767DA">
        <w:rPr>
          <w:rFonts w:eastAsia="MyriadPro-Regular"/>
          <w:color w:val="auto"/>
        </w:rPr>
        <w:t xml:space="preserve"> L</w:t>
      </w:r>
      <w:r w:rsidR="00302EA7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>W</w:t>
      </w:r>
      <w:r w:rsidR="00F767DA" w:rsidRPr="00F767DA">
        <w:rPr>
          <w:rFonts w:eastAsia="MyriadPro-Regular"/>
          <w:color w:val="auto"/>
        </w:rPr>
        <w:t xml:space="preserve">. et al. </w:t>
      </w:r>
      <w:r w:rsidRPr="00F767DA">
        <w:rPr>
          <w:rFonts w:eastAsia="MyriadPro-Regular"/>
          <w:color w:val="auto"/>
        </w:rPr>
        <w:t xml:space="preserve">Use of RNA interference in Drosophila S2 cells to identify host pathways controlling compartmentalization of an intracellular pathogen. </w:t>
      </w:r>
      <w:r w:rsidR="007D3D9B" w:rsidRPr="00F767DA">
        <w:rPr>
          <w:rStyle w:val="jrnl"/>
          <w:bCs/>
          <w:i/>
          <w:lang w:val="en"/>
        </w:rPr>
        <w:t>Proc</w:t>
      </w:r>
      <w:r w:rsidR="006C03A2" w:rsidRPr="00F767DA">
        <w:rPr>
          <w:rStyle w:val="jrnl"/>
          <w:bCs/>
          <w:i/>
          <w:lang w:val="en"/>
        </w:rPr>
        <w:t>eedings of the National</w:t>
      </w:r>
      <w:r w:rsidR="007D3D9B" w:rsidRPr="00F767DA">
        <w:rPr>
          <w:rStyle w:val="jrnl"/>
          <w:bCs/>
          <w:i/>
          <w:lang w:val="en"/>
        </w:rPr>
        <w:t xml:space="preserve"> Acad</w:t>
      </w:r>
      <w:r w:rsidR="006C03A2" w:rsidRPr="00F767DA">
        <w:rPr>
          <w:rStyle w:val="jrnl"/>
          <w:bCs/>
          <w:i/>
          <w:lang w:val="en"/>
        </w:rPr>
        <w:t>emy of</w:t>
      </w:r>
      <w:r w:rsidR="007D3D9B" w:rsidRPr="00F767DA">
        <w:rPr>
          <w:rStyle w:val="jrnl"/>
          <w:bCs/>
          <w:i/>
          <w:lang w:val="en"/>
        </w:rPr>
        <w:t xml:space="preserve"> Sci</w:t>
      </w:r>
      <w:r w:rsidR="006C03A2" w:rsidRPr="00F767DA">
        <w:rPr>
          <w:rStyle w:val="jrnl"/>
          <w:bCs/>
          <w:i/>
          <w:lang w:val="en"/>
        </w:rPr>
        <w:t>ence</w:t>
      </w:r>
      <w:r w:rsidR="007D3D9B" w:rsidRPr="00F767DA">
        <w:rPr>
          <w:rStyle w:val="jrnl"/>
          <w:bCs/>
          <w:i/>
          <w:lang w:val="en"/>
        </w:rPr>
        <w:t xml:space="preserve"> U S A</w:t>
      </w:r>
      <w:r w:rsidR="00F767DA">
        <w:rPr>
          <w:rStyle w:val="jrnl"/>
          <w:bCs/>
          <w:i/>
          <w:lang w:val="en"/>
        </w:rPr>
        <w:t>.</w:t>
      </w:r>
      <w:r w:rsidR="007D3D9B" w:rsidRPr="00F767DA">
        <w:rPr>
          <w:rFonts w:eastAsia="MyriadPro-Regular"/>
          <w:color w:val="auto"/>
        </w:rPr>
        <w:t xml:space="preserve"> </w:t>
      </w:r>
      <w:r w:rsidR="007D3D9B" w:rsidRPr="00F767DA">
        <w:rPr>
          <w:rFonts w:eastAsia="MyriadPro-Regular"/>
          <w:b/>
          <w:color w:val="auto"/>
        </w:rPr>
        <w:t>102</w:t>
      </w:r>
      <w:r w:rsidR="007D3D9B" w:rsidRPr="00F767DA">
        <w:rPr>
          <w:rFonts w:eastAsia="MyriadPro-Regular"/>
          <w:color w:val="auto"/>
        </w:rPr>
        <w:t xml:space="preserve">, </w:t>
      </w:r>
      <w:r w:rsidRPr="00F767DA">
        <w:rPr>
          <w:rFonts w:eastAsia="MyriadPro-Regular"/>
          <w:color w:val="auto"/>
        </w:rPr>
        <w:t>13646–13651</w:t>
      </w:r>
      <w:r w:rsidR="007D3D9B" w:rsidRPr="00F767DA">
        <w:rPr>
          <w:rFonts w:eastAsia="MyriadPro-Regular"/>
          <w:color w:val="auto"/>
        </w:rPr>
        <w:t xml:space="preserve"> (2005)</w:t>
      </w:r>
      <w:r w:rsidRPr="00F767DA">
        <w:rPr>
          <w:rFonts w:eastAsia="MyriadPro-Regular"/>
          <w:color w:val="auto"/>
        </w:rPr>
        <w:t>.</w:t>
      </w:r>
    </w:p>
    <w:p w14:paraId="432FC116" w14:textId="77777777" w:rsidR="006A1A3D" w:rsidRPr="00F767DA" w:rsidRDefault="006A1A3D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09F8E109" w14:textId="0F78506C" w:rsidR="0052012E" w:rsidRPr="00F767DA" w:rsidRDefault="0052012E" w:rsidP="00F36A88">
      <w:pPr>
        <w:widowControl/>
        <w:contextualSpacing/>
        <w:jc w:val="left"/>
        <w:rPr>
          <w:rFonts w:eastAsia="MyriadPro-Regular"/>
          <w:color w:val="auto"/>
        </w:rPr>
      </w:pPr>
      <w:r w:rsidRPr="00F767DA">
        <w:rPr>
          <w:rFonts w:eastAsia="MyriadPro-Regular"/>
          <w:color w:val="auto"/>
          <w:vertAlign w:val="superscript"/>
        </w:rPr>
        <w:t>1</w:t>
      </w:r>
      <w:r w:rsidR="006C12A4" w:rsidRPr="00F767DA">
        <w:rPr>
          <w:rFonts w:eastAsia="MyriadPro-Regular"/>
          <w:color w:val="auto"/>
          <w:vertAlign w:val="superscript"/>
        </w:rPr>
        <w:t>3</w:t>
      </w:r>
      <w:r w:rsidRPr="00F767DA">
        <w:rPr>
          <w:rFonts w:eastAsia="MyriadPro-Regular"/>
          <w:color w:val="auto"/>
        </w:rPr>
        <w:t>Singh</w:t>
      </w:r>
      <w:r w:rsidR="007D3D9B" w:rsidRPr="00F767DA">
        <w:rPr>
          <w:rFonts w:eastAsia="MyriadPro-Regular"/>
          <w:color w:val="auto"/>
        </w:rPr>
        <w:t>,</w:t>
      </w:r>
      <w:r w:rsidRPr="00F767DA">
        <w:rPr>
          <w:rFonts w:eastAsia="MyriadPro-Regular"/>
          <w:color w:val="auto"/>
        </w:rPr>
        <w:t xml:space="preserve"> R</w:t>
      </w:r>
      <w:r w:rsidR="007D3D9B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>, Jamieson</w:t>
      </w:r>
      <w:r w:rsidR="007D3D9B" w:rsidRPr="00F767DA">
        <w:rPr>
          <w:rFonts w:eastAsia="MyriadPro-Regular"/>
          <w:color w:val="auto"/>
        </w:rPr>
        <w:t>,</w:t>
      </w:r>
      <w:r w:rsidRPr="00F767DA">
        <w:rPr>
          <w:rFonts w:eastAsia="MyriadPro-Regular"/>
          <w:color w:val="auto"/>
        </w:rPr>
        <w:t xml:space="preserve"> A</w:t>
      </w:r>
      <w:r w:rsidR="007D3D9B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 xml:space="preserve">, </w:t>
      </w:r>
      <w:proofErr w:type="spellStart"/>
      <w:r w:rsidRPr="00F767DA">
        <w:rPr>
          <w:rFonts w:eastAsia="MyriadPro-Regular"/>
          <w:color w:val="auto"/>
        </w:rPr>
        <w:t>Cresswell</w:t>
      </w:r>
      <w:proofErr w:type="spellEnd"/>
      <w:r w:rsidR="007D3D9B" w:rsidRPr="00F767DA">
        <w:rPr>
          <w:rFonts w:eastAsia="MyriadPro-Regular"/>
          <w:color w:val="auto"/>
        </w:rPr>
        <w:t xml:space="preserve">, P. </w:t>
      </w:r>
      <w:r w:rsidRPr="00F767DA">
        <w:rPr>
          <w:rFonts w:eastAsia="MyriadPro-Regular"/>
          <w:color w:val="auto"/>
        </w:rPr>
        <w:t>GILT is a critical host factor for Listeria mono</w:t>
      </w:r>
      <w:r w:rsidR="007D3D9B" w:rsidRPr="00F767DA">
        <w:rPr>
          <w:rFonts w:eastAsia="MyriadPro-Regular"/>
          <w:color w:val="auto"/>
        </w:rPr>
        <w:t xml:space="preserve">cytogenes infection. </w:t>
      </w:r>
      <w:r w:rsidR="007D3D9B" w:rsidRPr="00F767DA">
        <w:rPr>
          <w:rStyle w:val="jrnl"/>
          <w:bCs/>
          <w:i/>
          <w:lang w:val="en"/>
        </w:rPr>
        <w:t>Nature</w:t>
      </w:r>
      <w:r w:rsidR="00F767DA">
        <w:rPr>
          <w:rStyle w:val="jrnl"/>
          <w:bCs/>
          <w:i/>
          <w:lang w:val="en"/>
        </w:rPr>
        <w:t>.</w:t>
      </w:r>
      <w:r w:rsidR="007D3D9B" w:rsidRPr="00F767DA">
        <w:rPr>
          <w:rFonts w:eastAsia="MyriadPro-Regular"/>
          <w:color w:val="auto"/>
        </w:rPr>
        <w:t xml:space="preserve"> </w:t>
      </w:r>
      <w:r w:rsidR="007D3D9B" w:rsidRPr="00F767DA">
        <w:rPr>
          <w:rFonts w:eastAsia="MyriadPro-Regular"/>
          <w:b/>
          <w:color w:val="auto"/>
        </w:rPr>
        <w:t>455</w:t>
      </w:r>
      <w:r w:rsidR="007D3D9B" w:rsidRPr="00F767DA">
        <w:rPr>
          <w:rFonts w:eastAsia="MyriadPro-Regular"/>
          <w:color w:val="auto"/>
        </w:rPr>
        <w:t xml:space="preserve">, </w:t>
      </w:r>
      <w:r w:rsidRPr="00F767DA">
        <w:rPr>
          <w:rFonts w:eastAsia="MyriadPro-Regular"/>
          <w:color w:val="auto"/>
        </w:rPr>
        <w:t>1244 –1247</w:t>
      </w:r>
      <w:r w:rsidR="007D3D9B" w:rsidRPr="00F767DA">
        <w:rPr>
          <w:rFonts w:eastAsia="MyriadPro-Regular"/>
          <w:color w:val="auto"/>
        </w:rPr>
        <w:t xml:space="preserve"> (2008)</w:t>
      </w:r>
      <w:r w:rsidRPr="00F767DA">
        <w:rPr>
          <w:rFonts w:eastAsia="MyriadPro-Regular"/>
          <w:color w:val="auto"/>
        </w:rPr>
        <w:t xml:space="preserve">. </w:t>
      </w:r>
    </w:p>
    <w:p w14:paraId="7D6DBF09" w14:textId="620750BF" w:rsidR="00861334" w:rsidRPr="00F767DA" w:rsidRDefault="00861334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66F65CC4" w14:textId="4194DDFC" w:rsidR="00895769" w:rsidRPr="00F767DA" w:rsidRDefault="00895769" w:rsidP="00F36A88">
      <w:pPr>
        <w:widowControl/>
        <w:contextualSpacing/>
        <w:jc w:val="left"/>
        <w:rPr>
          <w:rFonts w:eastAsia="MyriadPro-Regular"/>
          <w:color w:val="auto"/>
        </w:rPr>
      </w:pPr>
      <w:r w:rsidRPr="00F767DA">
        <w:rPr>
          <w:rFonts w:eastAsia="MyriadPro-Regular"/>
          <w:color w:val="auto"/>
          <w:vertAlign w:val="superscript"/>
        </w:rPr>
        <w:t>1</w:t>
      </w:r>
      <w:r w:rsidR="006C12A4" w:rsidRPr="00F767DA">
        <w:rPr>
          <w:rFonts w:eastAsia="MyriadPro-Regular"/>
          <w:color w:val="auto"/>
          <w:vertAlign w:val="superscript"/>
        </w:rPr>
        <w:t>4</w:t>
      </w:r>
      <w:r w:rsidRPr="00F767DA">
        <w:rPr>
          <w:rFonts w:eastAsia="MyriadPro-Regular"/>
          <w:color w:val="auto"/>
        </w:rPr>
        <w:t>Burrack</w:t>
      </w:r>
      <w:r w:rsidR="007D3D9B" w:rsidRPr="00F767DA">
        <w:rPr>
          <w:rFonts w:eastAsia="MyriadPro-Regular"/>
          <w:color w:val="auto"/>
        </w:rPr>
        <w:t>,</w:t>
      </w:r>
      <w:r w:rsidRPr="00F767DA">
        <w:rPr>
          <w:rFonts w:eastAsia="MyriadPro-Regular"/>
          <w:color w:val="auto"/>
        </w:rPr>
        <w:t xml:space="preserve"> L</w:t>
      </w:r>
      <w:r w:rsidR="007D3D9B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>S</w:t>
      </w:r>
      <w:r w:rsidR="007D3D9B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>, Harper</w:t>
      </w:r>
      <w:r w:rsidR="007D3D9B" w:rsidRPr="00F767DA">
        <w:rPr>
          <w:rFonts w:eastAsia="MyriadPro-Regular"/>
          <w:color w:val="auto"/>
        </w:rPr>
        <w:t>,</w:t>
      </w:r>
      <w:r w:rsidRPr="00F767DA">
        <w:rPr>
          <w:rFonts w:eastAsia="MyriadPro-Regular"/>
          <w:color w:val="auto"/>
        </w:rPr>
        <w:t xml:space="preserve"> J</w:t>
      </w:r>
      <w:r w:rsidR="007D3D9B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>W</w:t>
      </w:r>
      <w:r w:rsidR="007D3D9B" w:rsidRPr="00F767DA">
        <w:rPr>
          <w:rFonts w:eastAsia="MyriadPro-Regular"/>
          <w:color w:val="auto"/>
        </w:rPr>
        <w:t>.</w:t>
      </w:r>
      <w:r w:rsidRPr="00F767DA">
        <w:rPr>
          <w:rFonts w:eastAsia="MyriadPro-Regular"/>
          <w:color w:val="auto"/>
        </w:rPr>
        <w:t>, Higgins</w:t>
      </w:r>
      <w:r w:rsidR="007D3D9B" w:rsidRPr="00F767DA">
        <w:rPr>
          <w:rFonts w:eastAsia="MyriadPro-Regular"/>
          <w:color w:val="auto"/>
        </w:rPr>
        <w:t>,</w:t>
      </w:r>
      <w:r w:rsidRPr="00F767DA">
        <w:rPr>
          <w:rFonts w:eastAsia="MyriadPro-Regular"/>
          <w:color w:val="auto"/>
        </w:rPr>
        <w:t xml:space="preserve"> D</w:t>
      </w:r>
      <w:r w:rsidR="007D3D9B" w:rsidRPr="00F767DA">
        <w:rPr>
          <w:rFonts w:eastAsia="MyriadPro-Regular"/>
          <w:color w:val="auto"/>
        </w:rPr>
        <w:t xml:space="preserve">.E. </w:t>
      </w:r>
      <w:r w:rsidRPr="00F767DA">
        <w:rPr>
          <w:rFonts w:eastAsia="MyriadPro-Regular"/>
          <w:color w:val="auto"/>
        </w:rPr>
        <w:t>Perturbation of vacuolar maturation promotes listeriolysin O-independent vacuolar escape during Listeria monocytogenes infection of</w:t>
      </w:r>
      <w:r w:rsidR="007D3D9B" w:rsidRPr="00F767DA">
        <w:rPr>
          <w:rFonts w:eastAsia="MyriadPro-Regular"/>
          <w:color w:val="auto"/>
        </w:rPr>
        <w:t xml:space="preserve"> human cells. </w:t>
      </w:r>
      <w:r w:rsidR="007D3D9B" w:rsidRPr="00F767DA">
        <w:rPr>
          <w:rStyle w:val="jrnl"/>
          <w:bCs/>
          <w:i/>
          <w:lang w:val="en"/>
        </w:rPr>
        <w:t>Cell</w:t>
      </w:r>
      <w:r w:rsidR="000E2BD1" w:rsidRPr="00F767DA">
        <w:rPr>
          <w:rStyle w:val="jrnl"/>
          <w:bCs/>
          <w:i/>
          <w:lang w:val="en"/>
        </w:rPr>
        <w:t>ular</w:t>
      </w:r>
      <w:r w:rsidR="007D3D9B" w:rsidRPr="00F767DA">
        <w:rPr>
          <w:rStyle w:val="jrnl"/>
          <w:bCs/>
          <w:i/>
          <w:lang w:val="en"/>
        </w:rPr>
        <w:t xml:space="preserve"> Microbiol</w:t>
      </w:r>
      <w:r w:rsidR="000E2BD1" w:rsidRPr="00F767DA">
        <w:rPr>
          <w:rStyle w:val="jrnl"/>
          <w:bCs/>
          <w:i/>
          <w:lang w:val="en"/>
        </w:rPr>
        <w:t>ogy</w:t>
      </w:r>
      <w:r w:rsidR="00F767DA">
        <w:rPr>
          <w:rStyle w:val="jrnl"/>
          <w:bCs/>
          <w:i/>
          <w:lang w:val="en"/>
        </w:rPr>
        <w:t>.</w:t>
      </w:r>
      <w:r w:rsidR="007D3D9B" w:rsidRPr="00F767DA">
        <w:rPr>
          <w:rFonts w:eastAsia="MyriadPro-Regular"/>
          <w:color w:val="auto"/>
        </w:rPr>
        <w:t xml:space="preserve"> </w:t>
      </w:r>
      <w:r w:rsidR="007D3D9B" w:rsidRPr="00F767DA">
        <w:rPr>
          <w:rFonts w:eastAsia="MyriadPro-Regular"/>
          <w:b/>
          <w:color w:val="auto"/>
        </w:rPr>
        <w:t>11</w:t>
      </w:r>
      <w:r w:rsidR="007D3D9B" w:rsidRPr="00F767DA">
        <w:rPr>
          <w:rFonts w:eastAsia="MyriadPro-Regular"/>
          <w:color w:val="auto"/>
        </w:rPr>
        <w:t xml:space="preserve">, </w:t>
      </w:r>
      <w:r w:rsidRPr="00F767DA">
        <w:rPr>
          <w:rFonts w:eastAsia="MyriadPro-Regular"/>
          <w:color w:val="auto"/>
        </w:rPr>
        <w:t>1382–1398</w:t>
      </w:r>
      <w:r w:rsidR="007D3D9B" w:rsidRPr="00F767DA">
        <w:rPr>
          <w:rFonts w:eastAsia="MyriadPro-Regular"/>
          <w:color w:val="auto"/>
        </w:rPr>
        <w:t xml:space="preserve"> (2009)</w:t>
      </w:r>
      <w:r w:rsidRPr="00F767DA">
        <w:rPr>
          <w:rFonts w:eastAsia="MyriadPro-Regular"/>
          <w:color w:val="auto"/>
        </w:rPr>
        <w:t xml:space="preserve">. </w:t>
      </w:r>
    </w:p>
    <w:p w14:paraId="55BE6EEC" w14:textId="77777777" w:rsidR="00861334" w:rsidRPr="00F767DA" w:rsidRDefault="00861334" w:rsidP="00F36A88">
      <w:pPr>
        <w:pStyle w:val="title1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73BC8D8D" w14:textId="3A2D117A" w:rsidR="006A1A3D" w:rsidRPr="00F767DA" w:rsidRDefault="00895769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sz w:val="24"/>
          <w:szCs w:val="24"/>
          <w:vertAlign w:val="superscript"/>
          <w:lang w:val="en"/>
        </w:rPr>
        <w:t>1</w:t>
      </w:r>
      <w:r w:rsidR="006C12A4" w:rsidRPr="00F767DA">
        <w:rPr>
          <w:rFonts w:ascii="Calibri" w:hAnsi="Calibri" w:cs="Calibri"/>
          <w:sz w:val="24"/>
          <w:szCs w:val="24"/>
          <w:vertAlign w:val="superscript"/>
          <w:lang w:val="en"/>
        </w:rPr>
        <w:t>5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Shrestha, N. </w:t>
      </w:r>
      <w:r w:rsidR="002D35C6" w:rsidRPr="00F767DA">
        <w:rPr>
          <w:rFonts w:ascii="Calibri" w:hAnsi="Calibri" w:cs="Calibri"/>
          <w:sz w:val="24"/>
          <w:szCs w:val="24"/>
          <w:lang w:val="en"/>
        </w:rPr>
        <w:t>et al.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hyperlink r:id="rId21" w:history="1">
        <w:r w:rsidR="006A1A3D" w:rsidRPr="00F767DA">
          <w:rPr>
            <w:rFonts w:ascii="Calibri" w:hAnsi="Calibri" w:cs="Calibri"/>
            <w:sz w:val="24"/>
            <w:szCs w:val="24"/>
            <w:lang w:val="en"/>
          </w:rPr>
          <w:t>The host-encoded Heme Regulated Inhibitor (HRI) facilitates virulence-associated activities of bacterial pathogens.</w:t>
        </w:r>
      </w:hyperlink>
      <w:r w:rsidR="006A1A3D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PLoS</w:t>
      </w:r>
      <w:proofErr w:type="spellEnd"/>
      <w:r w:rsidR="006A1A3D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One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.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7D3D9B" w:rsidRPr="00F767DA">
        <w:rPr>
          <w:rFonts w:ascii="Calibri" w:hAnsi="Calibri" w:cs="Calibri"/>
          <w:b/>
          <w:sz w:val="24"/>
          <w:szCs w:val="24"/>
          <w:lang w:val="en"/>
        </w:rPr>
        <w:t>8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e68754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 (2013)</w:t>
      </w:r>
      <w:r w:rsidR="006A1A3D" w:rsidRPr="00F767DA">
        <w:rPr>
          <w:rFonts w:ascii="Calibri" w:hAnsi="Calibri" w:cs="Calibri"/>
          <w:sz w:val="24"/>
          <w:szCs w:val="24"/>
          <w:lang w:val="en"/>
        </w:rPr>
        <w:t>.</w:t>
      </w:r>
    </w:p>
    <w:p w14:paraId="1E86CD12" w14:textId="77777777" w:rsidR="0052012E" w:rsidRPr="00F767DA" w:rsidRDefault="0052012E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</w:p>
    <w:p w14:paraId="5BF37E19" w14:textId="1117F121" w:rsidR="0052012E" w:rsidRPr="00F767DA" w:rsidRDefault="0052012E" w:rsidP="00F36A88">
      <w:pPr>
        <w:widowControl/>
        <w:contextualSpacing/>
        <w:jc w:val="left"/>
        <w:rPr>
          <w:rFonts w:eastAsia="MyriadPro-Regular"/>
          <w:color w:val="auto"/>
        </w:rPr>
      </w:pPr>
      <w:r w:rsidRPr="00F767DA">
        <w:rPr>
          <w:rFonts w:eastAsia="MyriadPro-Regular"/>
          <w:vertAlign w:val="superscript"/>
        </w:rPr>
        <w:t>1</w:t>
      </w:r>
      <w:r w:rsidR="006C12A4" w:rsidRPr="00F767DA">
        <w:rPr>
          <w:rFonts w:eastAsia="MyriadPro-Regular"/>
          <w:vertAlign w:val="superscript"/>
        </w:rPr>
        <w:t>6</w:t>
      </w:r>
      <w:r w:rsidR="007D3D9B" w:rsidRPr="00F767DA">
        <w:rPr>
          <w:lang w:val="en"/>
        </w:rPr>
        <w:t>Bahnan, W</w:t>
      </w:r>
      <w:r w:rsidRPr="00F767DA">
        <w:rPr>
          <w:lang w:val="en"/>
        </w:rPr>
        <w:t xml:space="preserve">. </w:t>
      </w:r>
      <w:hyperlink r:id="rId22" w:history="1">
        <w:r w:rsidRPr="00F767DA">
          <w:rPr>
            <w:lang w:val="en"/>
          </w:rPr>
          <w:t>The eIF2α Kinase Heme-Regulated Inhibitor Protects the Host from Infection by Regulating Intracellular Pathogen Trafficking.</w:t>
        </w:r>
      </w:hyperlink>
      <w:r w:rsidRPr="00F767DA">
        <w:rPr>
          <w:lang w:val="en"/>
        </w:rPr>
        <w:t xml:space="preserve"> </w:t>
      </w:r>
      <w:r w:rsidR="000E2BD1" w:rsidRPr="00F767DA">
        <w:rPr>
          <w:rStyle w:val="jrnl"/>
          <w:bCs/>
          <w:i/>
          <w:color w:val="auto"/>
          <w:lang w:val="en"/>
        </w:rPr>
        <w:t xml:space="preserve">Infection and </w:t>
      </w:r>
      <w:proofErr w:type="spellStart"/>
      <w:r w:rsidR="000E2BD1" w:rsidRPr="00F767DA">
        <w:rPr>
          <w:rStyle w:val="jrnl"/>
          <w:bCs/>
          <w:i/>
          <w:color w:val="auto"/>
          <w:lang w:val="en"/>
        </w:rPr>
        <w:t>Immun</w:t>
      </w:r>
      <w:r w:rsidR="000E2BD1" w:rsidRPr="00F767DA">
        <w:rPr>
          <w:rStyle w:val="jrnl"/>
          <w:bCs/>
          <w:i/>
          <w:color w:val="auto"/>
        </w:rPr>
        <w:t>ity</w:t>
      </w:r>
      <w:proofErr w:type="spellEnd"/>
      <w:r w:rsidR="00F767DA">
        <w:rPr>
          <w:rStyle w:val="jrnl"/>
          <w:bCs/>
          <w:i/>
          <w:color w:val="auto"/>
        </w:rPr>
        <w:t>.</w:t>
      </w:r>
      <w:r w:rsidR="000E2BD1" w:rsidRPr="00F767DA">
        <w:rPr>
          <w:lang w:val="en"/>
        </w:rPr>
        <w:t xml:space="preserve"> </w:t>
      </w:r>
      <w:r w:rsidR="007D3D9B" w:rsidRPr="00F767DA">
        <w:rPr>
          <w:b/>
          <w:lang w:val="en"/>
        </w:rPr>
        <w:t>20</w:t>
      </w:r>
      <w:r w:rsidR="007D3D9B" w:rsidRPr="00F767DA">
        <w:rPr>
          <w:lang w:val="en"/>
        </w:rPr>
        <w:t>, e00707 (2018)</w:t>
      </w:r>
      <w:r w:rsidRPr="00F767DA">
        <w:rPr>
          <w:lang w:val="en"/>
        </w:rPr>
        <w:t>.</w:t>
      </w:r>
    </w:p>
    <w:p w14:paraId="27397301" w14:textId="77777777" w:rsidR="0052012E" w:rsidRPr="00F767DA" w:rsidRDefault="0052012E" w:rsidP="00F36A88">
      <w:pPr>
        <w:widowControl/>
        <w:contextualSpacing/>
        <w:jc w:val="left"/>
        <w:rPr>
          <w:rFonts w:eastAsia="MyriadPro-Regular"/>
          <w:color w:val="auto"/>
        </w:rPr>
      </w:pPr>
    </w:p>
    <w:p w14:paraId="732B74D6" w14:textId="6137FD6D" w:rsidR="006A1A3D" w:rsidRPr="00F767DA" w:rsidRDefault="0052012E" w:rsidP="00F36A88">
      <w:pPr>
        <w:widowControl/>
        <w:contextualSpacing/>
        <w:jc w:val="left"/>
        <w:rPr>
          <w:lang w:val="en"/>
        </w:rPr>
      </w:pPr>
      <w:r w:rsidRPr="00F767DA">
        <w:rPr>
          <w:rFonts w:eastAsia="MyriadPro-Regular"/>
          <w:color w:val="auto"/>
          <w:vertAlign w:val="superscript"/>
        </w:rPr>
        <w:t>1</w:t>
      </w:r>
      <w:r w:rsidR="006C12A4" w:rsidRPr="00F767DA">
        <w:rPr>
          <w:rFonts w:eastAsia="MyriadPro-Regular"/>
          <w:color w:val="auto"/>
          <w:vertAlign w:val="superscript"/>
        </w:rPr>
        <w:t>7</w:t>
      </w:r>
      <w:r w:rsidRPr="00F767DA">
        <w:rPr>
          <w:rFonts w:eastAsia="MyriadPro-Regular"/>
          <w:color w:val="auto"/>
        </w:rPr>
        <w:t>Korte</w:t>
      </w:r>
      <w:r w:rsidR="007D3D9B" w:rsidRPr="00F767DA">
        <w:rPr>
          <w:rFonts w:eastAsia="MyriadPro-Regular"/>
          <w:color w:val="auto"/>
        </w:rPr>
        <w:t xml:space="preserve">bi, M. </w:t>
      </w:r>
      <w:r w:rsidR="002D35C6" w:rsidRPr="00F767DA">
        <w:rPr>
          <w:rFonts w:eastAsia="MyriadPro-Regular"/>
          <w:color w:val="auto"/>
        </w:rPr>
        <w:t>et al.</w:t>
      </w:r>
      <w:r w:rsidRPr="00F767DA">
        <w:rPr>
          <w:rFonts w:eastAsia="MyriadPro-Regular"/>
          <w:color w:val="auto"/>
        </w:rPr>
        <w:t xml:space="preserve"> Listeria monocytogenes switches from dissemination to persistence by adopting a vacuolar lifestyle in epithelial cells. </w:t>
      </w:r>
      <w:proofErr w:type="spellStart"/>
      <w:r w:rsidRPr="00F767DA">
        <w:rPr>
          <w:rStyle w:val="jrnl"/>
          <w:bCs/>
          <w:i/>
          <w:lang w:val="en"/>
        </w:rPr>
        <w:t>PLoS</w:t>
      </w:r>
      <w:proofErr w:type="spellEnd"/>
      <w:r w:rsidRPr="00F767DA">
        <w:rPr>
          <w:rStyle w:val="jrnl"/>
          <w:bCs/>
          <w:i/>
          <w:lang w:val="en"/>
        </w:rPr>
        <w:t xml:space="preserve"> </w:t>
      </w:r>
      <w:r w:rsidR="007D3D9B" w:rsidRPr="00F767DA">
        <w:rPr>
          <w:rStyle w:val="jrnl"/>
          <w:bCs/>
          <w:i/>
          <w:lang w:val="en"/>
        </w:rPr>
        <w:t>Pathog</w:t>
      </w:r>
      <w:r w:rsidR="000E2BD1" w:rsidRPr="00F767DA">
        <w:rPr>
          <w:rStyle w:val="jrnl"/>
          <w:bCs/>
          <w:i/>
          <w:lang w:val="en"/>
        </w:rPr>
        <w:t>en</w:t>
      </w:r>
      <w:r w:rsidR="00F767DA">
        <w:rPr>
          <w:rStyle w:val="jrnl"/>
          <w:bCs/>
          <w:i/>
          <w:lang w:val="en"/>
        </w:rPr>
        <w:t>.</w:t>
      </w:r>
      <w:r w:rsidR="007D3D9B" w:rsidRPr="00F767DA">
        <w:rPr>
          <w:rFonts w:eastAsia="MyriadPro-Regular"/>
          <w:color w:val="auto"/>
        </w:rPr>
        <w:t xml:space="preserve"> </w:t>
      </w:r>
      <w:r w:rsidR="007D3D9B" w:rsidRPr="00F767DA">
        <w:rPr>
          <w:rFonts w:eastAsia="MyriadPro-Regular"/>
          <w:b/>
          <w:color w:val="auto"/>
        </w:rPr>
        <w:t>13</w:t>
      </w:r>
      <w:r w:rsidR="007D3D9B" w:rsidRPr="00F767DA">
        <w:rPr>
          <w:rFonts w:eastAsia="MyriadPro-Regular"/>
          <w:color w:val="auto"/>
        </w:rPr>
        <w:t xml:space="preserve">, </w:t>
      </w:r>
      <w:r w:rsidRPr="00F767DA">
        <w:rPr>
          <w:rFonts w:eastAsia="MyriadPro-Regular"/>
          <w:color w:val="auto"/>
        </w:rPr>
        <w:t>e1006734</w:t>
      </w:r>
      <w:r w:rsidR="007D3D9B" w:rsidRPr="00F767DA">
        <w:rPr>
          <w:rFonts w:eastAsia="MyriadPro-Regular"/>
          <w:color w:val="auto"/>
        </w:rPr>
        <w:t xml:space="preserve"> (2017)</w:t>
      </w:r>
      <w:r w:rsidRPr="00F767DA">
        <w:rPr>
          <w:rFonts w:eastAsia="MyriadPro-Regular"/>
          <w:color w:val="auto"/>
        </w:rPr>
        <w:t>.</w:t>
      </w:r>
    </w:p>
    <w:p w14:paraId="31157E03" w14:textId="77777777" w:rsidR="00B162CC" w:rsidRPr="00F767DA" w:rsidRDefault="00B162CC" w:rsidP="00F36A88">
      <w:pPr>
        <w:widowControl/>
        <w:contextualSpacing/>
        <w:jc w:val="left"/>
        <w:rPr>
          <w:color w:val="auto"/>
        </w:rPr>
      </w:pPr>
    </w:p>
    <w:p w14:paraId="2D488279" w14:textId="521650F4" w:rsidR="00F8345C" w:rsidRPr="00F767DA" w:rsidRDefault="00895769" w:rsidP="00F36A88">
      <w:pPr>
        <w:pStyle w:val="desc2"/>
        <w:shd w:val="clear" w:color="auto" w:fill="FFFFFF"/>
        <w:contextualSpacing/>
        <w:rPr>
          <w:rFonts w:ascii="Calibri" w:hAnsi="Calibri" w:cs="Calibri"/>
          <w:sz w:val="24"/>
          <w:szCs w:val="24"/>
          <w:lang w:val="en"/>
        </w:rPr>
      </w:pPr>
      <w:r w:rsidRPr="00F767DA">
        <w:rPr>
          <w:rFonts w:ascii="Calibri" w:hAnsi="Calibri" w:cs="Calibri"/>
          <w:bCs/>
          <w:sz w:val="24"/>
          <w:szCs w:val="24"/>
          <w:vertAlign w:val="superscript"/>
          <w:lang w:val="en"/>
        </w:rPr>
        <w:t>1</w:t>
      </w:r>
      <w:r w:rsidR="006C12A4" w:rsidRPr="00F767DA">
        <w:rPr>
          <w:rFonts w:ascii="Calibri" w:hAnsi="Calibri" w:cs="Calibri"/>
          <w:bCs/>
          <w:sz w:val="24"/>
          <w:szCs w:val="24"/>
          <w:vertAlign w:val="superscript"/>
          <w:lang w:val="en"/>
        </w:rPr>
        <w:t>8</w:t>
      </w:r>
      <w:r w:rsidR="00E216A4" w:rsidRPr="00F767DA">
        <w:rPr>
          <w:rFonts w:ascii="Calibri" w:hAnsi="Calibri" w:cs="Calibri"/>
          <w:bCs/>
          <w:sz w:val="24"/>
          <w:szCs w:val="24"/>
          <w:lang w:val="en"/>
        </w:rPr>
        <w:t>VanCleave</w:t>
      </w:r>
      <w:r w:rsidR="007D3D9B" w:rsidRPr="00F767DA">
        <w:rPr>
          <w:rFonts w:ascii="Calibri" w:hAnsi="Calibri" w:cs="Calibri"/>
          <w:bCs/>
          <w:sz w:val="24"/>
          <w:szCs w:val="24"/>
          <w:lang w:val="en"/>
        </w:rPr>
        <w:t>,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 T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>T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 w:rsidR="00E216A4" w:rsidRPr="00F767DA">
        <w:rPr>
          <w:rFonts w:ascii="Calibri" w:hAnsi="Calibri" w:cs="Calibri"/>
          <w:sz w:val="24"/>
          <w:szCs w:val="24"/>
          <w:lang w:val="en"/>
        </w:rPr>
        <w:t>Pulsifer</w:t>
      </w:r>
      <w:proofErr w:type="spellEnd"/>
      <w:r w:rsidR="007D3D9B" w:rsidRPr="00F767DA">
        <w:rPr>
          <w:rFonts w:ascii="Calibri" w:hAnsi="Calibri" w:cs="Calibri"/>
          <w:sz w:val="24"/>
          <w:szCs w:val="24"/>
          <w:lang w:val="en"/>
        </w:rPr>
        <w:t>,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 A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>R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>, Connor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,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 M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>G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 w:rsidR="00E216A4" w:rsidRPr="00F767DA">
        <w:rPr>
          <w:rFonts w:ascii="Calibri" w:hAnsi="Calibri" w:cs="Calibri"/>
          <w:sz w:val="24"/>
          <w:szCs w:val="24"/>
          <w:lang w:val="en"/>
        </w:rPr>
        <w:t>Warawa</w:t>
      </w:r>
      <w:proofErr w:type="spellEnd"/>
      <w:r w:rsidR="007D3D9B" w:rsidRPr="00F767DA">
        <w:rPr>
          <w:rFonts w:ascii="Calibri" w:hAnsi="Calibri" w:cs="Calibri"/>
          <w:sz w:val="24"/>
          <w:szCs w:val="24"/>
          <w:lang w:val="en"/>
        </w:rPr>
        <w:t>,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 J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>M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proofErr w:type="spellStart"/>
      <w:r w:rsidR="00E216A4" w:rsidRPr="00F767DA">
        <w:rPr>
          <w:rFonts w:ascii="Calibri" w:hAnsi="Calibri" w:cs="Calibri"/>
          <w:sz w:val="24"/>
          <w:szCs w:val="24"/>
          <w:lang w:val="en"/>
        </w:rPr>
        <w:t>Lawrenz</w:t>
      </w:r>
      <w:proofErr w:type="spellEnd"/>
      <w:r w:rsidR="007D3D9B" w:rsidRPr="00F767DA">
        <w:rPr>
          <w:rFonts w:ascii="Calibri" w:hAnsi="Calibri" w:cs="Calibri"/>
          <w:sz w:val="24"/>
          <w:szCs w:val="24"/>
          <w:lang w:val="en"/>
        </w:rPr>
        <w:t>,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 M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>.</w:t>
      </w:r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B. </w:t>
      </w:r>
      <w:hyperlink r:id="rId23" w:history="1">
        <w:r w:rsidR="00F8345C" w:rsidRPr="00F767DA">
          <w:rPr>
            <w:rFonts w:ascii="Calibri" w:hAnsi="Calibri" w:cs="Calibri"/>
            <w:sz w:val="24"/>
            <w:szCs w:val="24"/>
            <w:lang w:val="en"/>
          </w:rPr>
          <w:t xml:space="preserve">Impact of Gentamicin Concentration and Exposure Time on Intracellular </w:t>
        </w:r>
        <w:r w:rsidR="00F8345C" w:rsidRPr="00F767DA">
          <w:rPr>
            <w:rFonts w:ascii="Calibri" w:hAnsi="Calibri" w:cs="Calibri"/>
            <w:i/>
            <w:iCs/>
            <w:sz w:val="24"/>
            <w:szCs w:val="24"/>
            <w:lang w:val="en"/>
          </w:rPr>
          <w:t>Yersinia pestis</w:t>
        </w:r>
        <w:r w:rsidR="00F8345C" w:rsidRPr="00F767DA">
          <w:rPr>
            <w:rFonts w:ascii="Calibri" w:hAnsi="Calibri" w:cs="Calibri"/>
            <w:sz w:val="24"/>
            <w:szCs w:val="24"/>
            <w:lang w:val="en"/>
          </w:rPr>
          <w:t>.</w:t>
        </w:r>
      </w:hyperlink>
      <w:r w:rsidR="00E216A4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F8345C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Front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iers in</w:t>
      </w:r>
      <w:r w:rsidR="00F8345C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Cell</w:t>
      </w:r>
      <w:r w:rsid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ular and</w:t>
      </w:r>
      <w:r w:rsidR="00F8345C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Infect</w:t>
      </w:r>
      <w:r w:rsidR="000E2BD1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>ion</w:t>
      </w:r>
      <w:r w:rsidR="00F8345C" w:rsidRPr="00F767DA">
        <w:rPr>
          <w:rStyle w:val="jrnl"/>
          <w:rFonts w:ascii="Calibri" w:hAnsi="Calibri" w:cs="Calibri"/>
          <w:bCs/>
          <w:i/>
          <w:sz w:val="24"/>
          <w:szCs w:val="24"/>
          <w:lang w:val="en"/>
        </w:rPr>
        <w:t xml:space="preserve"> Microbiol</w:t>
      </w:r>
      <w:proofErr w:type="spellStart"/>
      <w:r w:rsidR="000E2BD1" w:rsidRPr="00F767DA">
        <w:rPr>
          <w:rStyle w:val="jrnl"/>
          <w:rFonts w:ascii="Calibri" w:hAnsi="Calibri" w:cs="Calibri"/>
          <w:bCs/>
          <w:i/>
        </w:rPr>
        <w:t>ogy</w:t>
      </w:r>
      <w:proofErr w:type="spellEnd"/>
      <w:r w:rsidR="00F767DA">
        <w:rPr>
          <w:rStyle w:val="jrnl"/>
          <w:rFonts w:ascii="Calibri" w:hAnsi="Calibri" w:cs="Calibri"/>
          <w:bCs/>
          <w:i/>
        </w:rPr>
        <w:t>.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 </w:t>
      </w:r>
      <w:r w:rsidR="007D3D9B" w:rsidRPr="00F767DA">
        <w:rPr>
          <w:rFonts w:ascii="Calibri" w:hAnsi="Calibri" w:cs="Calibri"/>
          <w:b/>
          <w:sz w:val="24"/>
          <w:szCs w:val="24"/>
          <w:lang w:val="en"/>
        </w:rPr>
        <w:t>7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, </w:t>
      </w:r>
      <w:r w:rsidR="00F8345C" w:rsidRPr="00F767DA">
        <w:rPr>
          <w:rFonts w:ascii="Calibri" w:hAnsi="Calibri" w:cs="Calibri"/>
          <w:sz w:val="24"/>
          <w:szCs w:val="24"/>
          <w:lang w:val="en"/>
        </w:rPr>
        <w:t>505</w:t>
      </w:r>
      <w:r w:rsidR="007D3D9B" w:rsidRPr="00F767DA">
        <w:rPr>
          <w:rFonts w:ascii="Calibri" w:hAnsi="Calibri" w:cs="Calibri"/>
          <w:sz w:val="24"/>
          <w:szCs w:val="24"/>
          <w:lang w:val="en"/>
        </w:rPr>
        <w:t xml:space="preserve"> (2017).</w:t>
      </w:r>
    </w:p>
    <w:sectPr w:rsidR="00F8345C" w:rsidRPr="00F767DA" w:rsidSect="00B81B15">
      <w:headerReference w:type="default" r:id="rId24"/>
      <w:footerReference w:type="first" r:id="rId2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3152" w14:textId="77777777" w:rsidR="00016EC0" w:rsidRDefault="00016EC0" w:rsidP="00621C4E">
      <w:r>
        <w:separator/>
      </w:r>
    </w:p>
  </w:endnote>
  <w:endnote w:type="continuationSeparator" w:id="0">
    <w:p w14:paraId="3FED84AD" w14:textId="77777777" w:rsidR="00016EC0" w:rsidRDefault="00016EC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02EA7" w:rsidRDefault="00302EA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DC6E" w14:textId="77777777" w:rsidR="00016EC0" w:rsidRDefault="00016EC0" w:rsidP="00621C4E">
      <w:r>
        <w:separator/>
      </w:r>
    </w:p>
  </w:footnote>
  <w:footnote w:type="continuationSeparator" w:id="0">
    <w:p w14:paraId="31B075C7" w14:textId="77777777" w:rsidR="00016EC0" w:rsidRDefault="00016EC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02EA7" w:rsidRPr="006F06E4" w:rsidRDefault="00302EA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337"/>
    <w:multiLevelType w:val="multilevel"/>
    <w:tmpl w:val="633A34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135"/>
    <w:multiLevelType w:val="multilevel"/>
    <w:tmpl w:val="EE827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75C9"/>
    <w:multiLevelType w:val="hybridMultilevel"/>
    <w:tmpl w:val="700E5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EAD6A74"/>
    <w:multiLevelType w:val="multilevel"/>
    <w:tmpl w:val="81B47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3D7B64"/>
    <w:multiLevelType w:val="hybridMultilevel"/>
    <w:tmpl w:val="6DE0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172EC"/>
    <w:multiLevelType w:val="hybridMultilevel"/>
    <w:tmpl w:val="C26E9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B6A87"/>
    <w:multiLevelType w:val="multilevel"/>
    <w:tmpl w:val="F69421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BA75A6"/>
    <w:multiLevelType w:val="multilevel"/>
    <w:tmpl w:val="83BC6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B0CEC"/>
    <w:multiLevelType w:val="multilevel"/>
    <w:tmpl w:val="FAE26F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9566D4"/>
    <w:multiLevelType w:val="hybridMultilevel"/>
    <w:tmpl w:val="B9AA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166E8"/>
    <w:multiLevelType w:val="multilevel"/>
    <w:tmpl w:val="579C8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22"/>
  </w:num>
  <w:num w:numId="5">
    <w:abstractNumId w:val="13"/>
  </w:num>
  <w:num w:numId="6">
    <w:abstractNumId w:val="21"/>
  </w:num>
  <w:num w:numId="7">
    <w:abstractNumId w:val="0"/>
  </w:num>
  <w:num w:numId="8">
    <w:abstractNumId w:val="14"/>
  </w:num>
  <w:num w:numId="9">
    <w:abstractNumId w:val="15"/>
  </w:num>
  <w:num w:numId="10">
    <w:abstractNumId w:val="23"/>
  </w:num>
  <w:num w:numId="11">
    <w:abstractNumId w:val="28"/>
  </w:num>
  <w:num w:numId="12">
    <w:abstractNumId w:val="1"/>
  </w:num>
  <w:num w:numId="13">
    <w:abstractNumId w:val="25"/>
  </w:num>
  <w:num w:numId="14">
    <w:abstractNumId w:val="34"/>
  </w:num>
  <w:num w:numId="15">
    <w:abstractNumId w:val="17"/>
  </w:num>
  <w:num w:numId="16">
    <w:abstractNumId w:val="11"/>
  </w:num>
  <w:num w:numId="17">
    <w:abstractNumId w:val="27"/>
  </w:num>
  <w:num w:numId="18">
    <w:abstractNumId w:val="18"/>
  </w:num>
  <w:num w:numId="19">
    <w:abstractNumId w:val="30"/>
  </w:num>
  <w:num w:numId="20">
    <w:abstractNumId w:val="2"/>
  </w:num>
  <w:num w:numId="21">
    <w:abstractNumId w:val="31"/>
  </w:num>
  <w:num w:numId="22">
    <w:abstractNumId w:val="29"/>
  </w:num>
  <w:num w:numId="23">
    <w:abstractNumId w:val="20"/>
  </w:num>
  <w:num w:numId="24">
    <w:abstractNumId w:val="35"/>
  </w:num>
  <w:num w:numId="25">
    <w:abstractNumId w:val="8"/>
  </w:num>
  <w:num w:numId="26">
    <w:abstractNumId w:val="33"/>
  </w:num>
  <w:num w:numId="27">
    <w:abstractNumId w:val="32"/>
  </w:num>
  <w:num w:numId="28">
    <w:abstractNumId w:val="6"/>
  </w:num>
  <w:num w:numId="29">
    <w:abstractNumId w:val="10"/>
  </w:num>
  <w:num w:numId="30">
    <w:abstractNumId w:val="12"/>
  </w:num>
  <w:num w:numId="31">
    <w:abstractNumId w:val="5"/>
  </w:num>
  <w:num w:numId="32">
    <w:abstractNumId w:val="3"/>
  </w:num>
  <w:num w:numId="33">
    <w:abstractNumId w:val="9"/>
  </w:num>
  <w:num w:numId="34">
    <w:abstractNumId w:val="19"/>
  </w:num>
  <w:num w:numId="35">
    <w:abstractNumId w:val="26"/>
  </w:num>
  <w:num w:numId="3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6DB"/>
    <w:rsid w:val="00001806"/>
    <w:rsid w:val="00005815"/>
    <w:rsid w:val="00005AF8"/>
    <w:rsid w:val="0000702C"/>
    <w:rsid w:val="00007DBC"/>
    <w:rsid w:val="00007EA1"/>
    <w:rsid w:val="000100F0"/>
    <w:rsid w:val="000129B2"/>
    <w:rsid w:val="00012FF9"/>
    <w:rsid w:val="0001389C"/>
    <w:rsid w:val="00014314"/>
    <w:rsid w:val="00016EC0"/>
    <w:rsid w:val="00021434"/>
    <w:rsid w:val="00021774"/>
    <w:rsid w:val="00021DF3"/>
    <w:rsid w:val="00023869"/>
    <w:rsid w:val="00023D43"/>
    <w:rsid w:val="00024598"/>
    <w:rsid w:val="00024AC3"/>
    <w:rsid w:val="000279B0"/>
    <w:rsid w:val="00032769"/>
    <w:rsid w:val="0003311E"/>
    <w:rsid w:val="00037B58"/>
    <w:rsid w:val="0004128A"/>
    <w:rsid w:val="000450BB"/>
    <w:rsid w:val="00045C4A"/>
    <w:rsid w:val="00051B73"/>
    <w:rsid w:val="00051F33"/>
    <w:rsid w:val="000575EB"/>
    <w:rsid w:val="00060ABE"/>
    <w:rsid w:val="00061A50"/>
    <w:rsid w:val="0006361B"/>
    <w:rsid w:val="00064104"/>
    <w:rsid w:val="00064B28"/>
    <w:rsid w:val="000652E3"/>
    <w:rsid w:val="00066025"/>
    <w:rsid w:val="00066384"/>
    <w:rsid w:val="00067470"/>
    <w:rsid w:val="00067A8F"/>
    <w:rsid w:val="000701D1"/>
    <w:rsid w:val="00076D6F"/>
    <w:rsid w:val="00080A20"/>
    <w:rsid w:val="00082796"/>
    <w:rsid w:val="00082DF4"/>
    <w:rsid w:val="00086FF5"/>
    <w:rsid w:val="00087C0A"/>
    <w:rsid w:val="00093BC4"/>
    <w:rsid w:val="000943E6"/>
    <w:rsid w:val="00097929"/>
    <w:rsid w:val="00097C75"/>
    <w:rsid w:val="000A16A5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09B7"/>
    <w:rsid w:val="000C1CF8"/>
    <w:rsid w:val="000C4360"/>
    <w:rsid w:val="000C49CF"/>
    <w:rsid w:val="000C52E9"/>
    <w:rsid w:val="000C5CDC"/>
    <w:rsid w:val="000C65DC"/>
    <w:rsid w:val="000C66F3"/>
    <w:rsid w:val="000C6900"/>
    <w:rsid w:val="000D31E8"/>
    <w:rsid w:val="000D5357"/>
    <w:rsid w:val="000D6431"/>
    <w:rsid w:val="000D76E4"/>
    <w:rsid w:val="000E2BD1"/>
    <w:rsid w:val="000E3816"/>
    <w:rsid w:val="000E4F77"/>
    <w:rsid w:val="000F1AF5"/>
    <w:rsid w:val="000F265C"/>
    <w:rsid w:val="000F2C96"/>
    <w:rsid w:val="000F3AFA"/>
    <w:rsid w:val="000F5712"/>
    <w:rsid w:val="000F6611"/>
    <w:rsid w:val="000F7E22"/>
    <w:rsid w:val="00104E32"/>
    <w:rsid w:val="001104F3"/>
    <w:rsid w:val="00110EF8"/>
    <w:rsid w:val="00112EEB"/>
    <w:rsid w:val="0011678D"/>
    <w:rsid w:val="00116933"/>
    <w:rsid w:val="00116B07"/>
    <w:rsid w:val="001173FF"/>
    <w:rsid w:val="001178DB"/>
    <w:rsid w:val="001216E0"/>
    <w:rsid w:val="001218F7"/>
    <w:rsid w:val="00124A4B"/>
    <w:rsid w:val="0012563A"/>
    <w:rsid w:val="001264DE"/>
    <w:rsid w:val="00130DB6"/>
    <w:rsid w:val="001313A7"/>
    <w:rsid w:val="00131949"/>
    <w:rsid w:val="0013276F"/>
    <w:rsid w:val="0013621E"/>
    <w:rsid w:val="0013642E"/>
    <w:rsid w:val="00140C4E"/>
    <w:rsid w:val="00142EFE"/>
    <w:rsid w:val="00143D75"/>
    <w:rsid w:val="001448D1"/>
    <w:rsid w:val="00147178"/>
    <w:rsid w:val="00150C65"/>
    <w:rsid w:val="0015148E"/>
    <w:rsid w:val="0015215C"/>
    <w:rsid w:val="00152A23"/>
    <w:rsid w:val="00155377"/>
    <w:rsid w:val="00162CB7"/>
    <w:rsid w:val="001665C9"/>
    <w:rsid w:val="00166F32"/>
    <w:rsid w:val="00171E5B"/>
    <w:rsid w:val="00171F94"/>
    <w:rsid w:val="00172D0A"/>
    <w:rsid w:val="00175C81"/>
    <w:rsid w:val="00175D4E"/>
    <w:rsid w:val="0017668A"/>
    <w:rsid w:val="001766FE"/>
    <w:rsid w:val="001771E7"/>
    <w:rsid w:val="00184766"/>
    <w:rsid w:val="00186467"/>
    <w:rsid w:val="001911FF"/>
    <w:rsid w:val="00192006"/>
    <w:rsid w:val="00193180"/>
    <w:rsid w:val="00194413"/>
    <w:rsid w:val="00196792"/>
    <w:rsid w:val="001A6121"/>
    <w:rsid w:val="001B1519"/>
    <w:rsid w:val="001B2E2D"/>
    <w:rsid w:val="001B2E94"/>
    <w:rsid w:val="001B38C5"/>
    <w:rsid w:val="001B5CD2"/>
    <w:rsid w:val="001C0BEE"/>
    <w:rsid w:val="001C1E49"/>
    <w:rsid w:val="001C27C1"/>
    <w:rsid w:val="001C2A98"/>
    <w:rsid w:val="001C4D95"/>
    <w:rsid w:val="001C6E00"/>
    <w:rsid w:val="001C7F3A"/>
    <w:rsid w:val="001D008C"/>
    <w:rsid w:val="001D1B15"/>
    <w:rsid w:val="001D1B2B"/>
    <w:rsid w:val="001D3D7D"/>
    <w:rsid w:val="001D3FFF"/>
    <w:rsid w:val="001D625F"/>
    <w:rsid w:val="001D68A4"/>
    <w:rsid w:val="001D7576"/>
    <w:rsid w:val="001E0E3F"/>
    <w:rsid w:val="001E0FEB"/>
    <w:rsid w:val="001E14A0"/>
    <w:rsid w:val="001E17BC"/>
    <w:rsid w:val="001E7376"/>
    <w:rsid w:val="001F225C"/>
    <w:rsid w:val="001F633C"/>
    <w:rsid w:val="00201CFA"/>
    <w:rsid w:val="0020220D"/>
    <w:rsid w:val="0020235C"/>
    <w:rsid w:val="00202448"/>
    <w:rsid w:val="00202D15"/>
    <w:rsid w:val="00205B3F"/>
    <w:rsid w:val="00212529"/>
    <w:rsid w:val="00212667"/>
    <w:rsid w:val="00212EAE"/>
    <w:rsid w:val="00214BEE"/>
    <w:rsid w:val="00217803"/>
    <w:rsid w:val="002205B8"/>
    <w:rsid w:val="00222D4D"/>
    <w:rsid w:val="00225720"/>
    <w:rsid w:val="002259E5"/>
    <w:rsid w:val="00225ECA"/>
    <w:rsid w:val="00226140"/>
    <w:rsid w:val="002274F3"/>
    <w:rsid w:val="0023094C"/>
    <w:rsid w:val="00231F41"/>
    <w:rsid w:val="00234BE3"/>
    <w:rsid w:val="00235A90"/>
    <w:rsid w:val="0024048A"/>
    <w:rsid w:val="00241E48"/>
    <w:rsid w:val="0024214E"/>
    <w:rsid w:val="00242623"/>
    <w:rsid w:val="00247678"/>
    <w:rsid w:val="00250558"/>
    <w:rsid w:val="00251F22"/>
    <w:rsid w:val="00256402"/>
    <w:rsid w:val="00256A28"/>
    <w:rsid w:val="002605D1"/>
    <w:rsid w:val="00260652"/>
    <w:rsid w:val="00261F25"/>
    <w:rsid w:val="002648A9"/>
    <w:rsid w:val="0026536F"/>
    <w:rsid w:val="0026553C"/>
    <w:rsid w:val="00267DD5"/>
    <w:rsid w:val="00267E07"/>
    <w:rsid w:val="00274624"/>
    <w:rsid w:val="00274A0A"/>
    <w:rsid w:val="00277593"/>
    <w:rsid w:val="002802A7"/>
    <w:rsid w:val="00280909"/>
    <w:rsid w:val="00280918"/>
    <w:rsid w:val="00282AF6"/>
    <w:rsid w:val="002839BA"/>
    <w:rsid w:val="0028596A"/>
    <w:rsid w:val="00287085"/>
    <w:rsid w:val="00290AF9"/>
    <w:rsid w:val="002951AF"/>
    <w:rsid w:val="002967CF"/>
    <w:rsid w:val="00297788"/>
    <w:rsid w:val="00297A2D"/>
    <w:rsid w:val="002A3285"/>
    <w:rsid w:val="002A484B"/>
    <w:rsid w:val="002A64A6"/>
    <w:rsid w:val="002B3301"/>
    <w:rsid w:val="002C0F18"/>
    <w:rsid w:val="002C47D4"/>
    <w:rsid w:val="002C4FA7"/>
    <w:rsid w:val="002D0F38"/>
    <w:rsid w:val="002D28C2"/>
    <w:rsid w:val="002D35C6"/>
    <w:rsid w:val="002D77E3"/>
    <w:rsid w:val="002F1170"/>
    <w:rsid w:val="002F2859"/>
    <w:rsid w:val="002F6E3C"/>
    <w:rsid w:val="002F77C3"/>
    <w:rsid w:val="0030117D"/>
    <w:rsid w:val="00301F30"/>
    <w:rsid w:val="00302A35"/>
    <w:rsid w:val="00302EA7"/>
    <w:rsid w:val="003038FD"/>
    <w:rsid w:val="00303C87"/>
    <w:rsid w:val="003108E5"/>
    <w:rsid w:val="003120CB"/>
    <w:rsid w:val="00312FA5"/>
    <w:rsid w:val="00313E39"/>
    <w:rsid w:val="00320153"/>
    <w:rsid w:val="00320367"/>
    <w:rsid w:val="00322871"/>
    <w:rsid w:val="00325F0B"/>
    <w:rsid w:val="00326FB3"/>
    <w:rsid w:val="003316D4"/>
    <w:rsid w:val="00333822"/>
    <w:rsid w:val="00336715"/>
    <w:rsid w:val="003401EC"/>
    <w:rsid w:val="00340875"/>
    <w:rsid w:val="00340DFD"/>
    <w:rsid w:val="00344954"/>
    <w:rsid w:val="00346BC1"/>
    <w:rsid w:val="00350A5B"/>
    <w:rsid w:val="00350CD7"/>
    <w:rsid w:val="00355499"/>
    <w:rsid w:val="00357910"/>
    <w:rsid w:val="0036025D"/>
    <w:rsid w:val="00360C17"/>
    <w:rsid w:val="003621C6"/>
    <w:rsid w:val="003622B8"/>
    <w:rsid w:val="00366B76"/>
    <w:rsid w:val="00373051"/>
    <w:rsid w:val="00373B8F"/>
    <w:rsid w:val="00375D10"/>
    <w:rsid w:val="00376D95"/>
    <w:rsid w:val="00377FBB"/>
    <w:rsid w:val="003804A5"/>
    <w:rsid w:val="00381F17"/>
    <w:rsid w:val="003833F9"/>
    <w:rsid w:val="00385140"/>
    <w:rsid w:val="00385D94"/>
    <w:rsid w:val="00393CC7"/>
    <w:rsid w:val="003971F7"/>
    <w:rsid w:val="003A06ED"/>
    <w:rsid w:val="003A16FC"/>
    <w:rsid w:val="003A3A4F"/>
    <w:rsid w:val="003A4FCD"/>
    <w:rsid w:val="003B0944"/>
    <w:rsid w:val="003B1415"/>
    <w:rsid w:val="003B1593"/>
    <w:rsid w:val="003B4381"/>
    <w:rsid w:val="003B4D7D"/>
    <w:rsid w:val="003B62F5"/>
    <w:rsid w:val="003C0ED5"/>
    <w:rsid w:val="003C1043"/>
    <w:rsid w:val="003C1A30"/>
    <w:rsid w:val="003C1DE2"/>
    <w:rsid w:val="003C6779"/>
    <w:rsid w:val="003D2998"/>
    <w:rsid w:val="003D2F0A"/>
    <w:rsid w:val="003D3891"/>
    <w:rsid w:val="003D5D84"/>
    <w:rsid w:val="003D6092"/>
    <w:rsid w:val="003D648E"/>
    <w:rsid w:val="003E0F4F"/>
    <w:rsid w:val="003E18AC"/>
    <w:rsid w:val="003E210B"/>
    <w:rsid w:val="003E2A12"/>
    <w:rsid w:val="003E3384"/>
    <w:rsid w:val="003E3CA4"/>
    <w:rsid w:val="003E548E"/>
    <w:rsid w:val="003F03C9"/>
    <w:rsid w:val="003F0409"/>
    <w:rsid w:val="003F72B9"/>
    <w:rsid w:val="0040295A"/>
    <w:rsid w:val="00407EC8"/>
    <w:rsid w:val="0041069B"/>
    <w:rsid w:val="0041110A"/>
    <w:rsid w:val="00411624"/>
    <w:rsid w:val="004148E1"/>
    <w:rsid w:val="00414CFA"/>
    <w:rsid w:val="00415EC0"/>
    <w:rsid w:val="004200BF"/>
    <w:rsid w:val="00420BE9"/>
    <w:rsid w:val="00423AD8"/>
    <w:rsid w:val="00423FDD"/>
    <w:rsid w:val="00424C85"/>
    <w:rsid w:val="00425AF5"/>
    <w:rsid w:val="004260BD"/>
    <w:rsid w:val="00426822"/>
    <w:rsid w:val="0043012F"/>
    <w:rsid w:val="004308B4"/>
    <w:rsid w:val="00430E26"/>
    <w:rsid w:val="00430F1F"/>
    <w:rsid w:val="004326EA"/>
    <w:rsid w:val="0044434C"/>
    <w:rsid w:val="0044456B"/>
    <w:rsid w:val="00447BD1"/>
    <w:rsid w:val="004507F3"/>
    <w:rsid w:val="00450A22"/>
    <w:rsid w:val="00450AF4"/>
    <w:rsid w:val="004556A3"/>
    <w:rsid w:val="00456A57"/>
    <w:rsid w:val="004607DE"/>
    <w:rsid w:val="00465173"/>
    <w:rsid w:val="00466249"/>
    <w:rsid w:val="004671C7"/>
    <w:rsid w:val="0047236D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3255"/>
    <w:rsid w:val="00494F77"/>
    <w:rsid w:val="00497721"/>
    <w:rsid w:val="004A0229"/>
    <w:rsid w:val="004A2706"/>
    <w:rsid w:val="004A35D2"/>
    <w:rsid w:val="004A71E4"/>
    <w:rsid w:val="004B2F00"/>
    <w:rsid w:val="004B6E31"/>
    <w:rsid w:val="004C1D66"/>
    <w:rsid w:val="004C31D7"/>
    <w:rsid w:val="004C43E8"/>
    <w:rsid w:val="004C4AD2"/>
    <w:rsid w:val="004C59F9"/>
    <w:rsid w:val="004C675F"/>
    <w:rsid w:val="004C6981"/>
    <w:rsid w:val="004D0C13"/>
    <w:rsid w:val="004D1F21"/>
    <w:rsid w:val="004D268C"/>
    <w:rsid w:val="004D2E90"/>
    <w:rsid w:val="004D4276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501B73"/>
    <w:rsid w:val="00502A0A"/>
    <w:rsid w:val="00507C50"/>
    <w:rsid w:val="005130F6"/>
    <w:rsid w:val="0051423A"/>
    <w:rsid w:val="00514D40"/>
    <w:rsid w:val="00517829"/>
    <w:rsid w:val="00517C3A"/>
    <w:rsid w:val="0052012E"/>
    <w:rsid w:val="00520E16"/>
    <w:rsid w:val="00522309"/>
    <w:rsid w:val="00527999"/>
    <w:rsid w:val="00527BF4"/>
    <w:rsid w:val="005324BE"/>
    <w:rsid w:val="00534F6C"/>
    <w:rsid w:val="00535994"/>
    <w:rsid w:val="0053646D"/>
    <w:rsid w:val="00540AAD"/>
    <w:rsid w:val="00543EC1"/>
    <w:rsid w:val="00546458"/>
    <w:rsid w:val="0054773F"/>
    <w:rsid w:val="0055087C"/>
    <w:rsid w:val="00552A52"/>
    <w:rsid w:val="00553413"/>
    <w:rsid w:val="00555983"/>
    <w:rsid w:val="00557515"/>
    <w:rsid w:val="00557F74"/>
    <w:rsid w:val="00560E31"/>
    <w:rsid w:val="00561BDA"/>
    <w:rsid w:val="00574637"/>
    <w:rsid w:val="00580504"/>
    <w:rsid w:val="00581B23"/>
    <w:rsid w:val="0058219C"/>
    <w:rsid w:val="00586088"/>
    <w:rsid w:val="00586B20"/>
    <w:rsid w:val="0058707F"/>
    <w:rsid w:val="00590A85"/>
    <w:rsid w:val="00591DBD"/>
    <w:rsid w:val="005931FE"/>
    <w:rsid w:val="00594795"/>
    <w:rsid w:val="00597217"/>
    <w:rsid w:val="005A0028"/>
    <w:rsid w:val="005A0752"/>
    <w:rsid w:val="005A0ACC"/>
    <w:rsid w:val="005A6A6B"/>
    <w:rsid w:val="005B0072"/>
    <w:rsid w:val="005B0352"/>
    <w:rsid w:val="005B0732"/>
    <w:rsid w:val="005B38A0"/>
    <w:rsid w:val="005B40C2"/>
    <w:rsid w:val="005B491C"/>
    <w:rsid w:val="005B4DBF"/>
    <w:rsid w:val="005B5DE2"/>
    <w:rsid w:val="005B674C"/>
    <w:rsid w:val="005B7FAC"/>
    <w:rsid w:val="005C24F2"/>
    <w:rsid w:val="005C7561"/>
    <w:rsid w:val="005D1197"/>
    <w:rsid w:val="005D1E57"/>
    <w:rsid w:val="005D2F57"/>
    <w:rsid w:val="005D34F6"/>
    <w:rsid w:val="005D3E94"/>
    <w:rsid w:val="005D4F1A"/>
    <w:rsid w:val="005D5967"/>
    <w:rsid w:val="005D5F54"/>
    <w:rsid w:val="005E1884"/>
    <w:rsid w:val="005E5189"/>
    <w:rsid w:val="005E5EBE"/>
    <w:rsid w:val="005E67AD"/>
    <w:rsid w:val="005F0FA7"/>
    <w:rsid w:val="005F373A"/>
    <w:rsid w:val="005F4F87"/>
    <w:rsid w:val="005F6B0E"/>
    <w:rsid w:val="005F7604"/>
    <w:rsid w:val="005F760E"/>
    <w:rsid w:val="005F7B1D"/>
    <w:rsid w:val="0060222A"/>
    <w:rsid w:val="00604AF3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467F4"/>
    <w:rsid w:val="00646E2D"/>
    <w:rsid w:val="006478AB"/>
    <w:rsid w:val="006619C8"/>
    <w:rsid w:val="00664E53"/>
    <w:rsid w:val="00665F6A"/>
    <w:rsid w:val="006676DB"/>
    <w:rsid w:val="006714A7"/>
    <w:rsid w:val="00671710"/>
    <w:rsid w:val="00673414"/>
    <w:rsid w:val="00676079"/>
    <w:rsid w:val="00676ECD"/>
    <w:rsid w:val="00677D0A"/>
    <w:rsid w:val="0068185F"/>
    <w:rsid w:val="006823A1"/>
    <w:rsid w:val="006862AE"/>
    <w:rsid w:val="00693E1D"/>
    <w:rsid w:val="00694D3D"/>
    <w:rsid w:val="006957DD"/>
    <w:rsid w:val="006A01CF"/>
    <w:rsid w:val="006A1A3D"/>
    <w:rsid w:val="006A22BD"/>
    <w:rsid w:val="006A4778"/>
    <w:rsid w:val="006A60DD"/>
    <w:rsid w:val="006A6B59"/>
    <w:rsid w:val="006B0679"/>
    <w:rsid w:val="006B074C"/>
    <w:rsid w:val="006B3B84"/>
    <w:rsid w:val="006B4E7C"/>
    <w:rsid w:val="006B5D8C"/>
    <w:rsid w:val="006B72D4"/>
    <w:rsid w:val="006C03A2"/>
    <w:rsid w:val="006C11CC"/>
    <w:rsid w:val="006C12A4"/>
    <w:rsid w:val="006C1AEB"/>
    <w:rsid w:val="006C57FE"/>
    <w:rsid w:val="006C668E"/>
    <w:rsid w:val="006D48B5"/>
    <w:rsid w:val="006E4B63"/>
    <w:rsid w:val="006E4FFC"/>
    <w:rsid w:val="006E715D"/>
    <w:rsid w:val="006F06E4"/>
    <w:rsid w:val="006F0A65"/>
    <w:rsid w:val="006F3053"/>
    <w:rsid w:val="006F7B41"/>
    <w:rsid w:val="00702B5D"/>
    <w:rsid w:val="0070362A"/>
    <w:rsid w:val="00703ED2"/>
    <w:rsid w:val="00706928"/>
    <w:rsid w:val="007071BB"/>
    <w:rsid w:val="00707B8D"/>
    <w:rsid w:val="0071104E"/>
    <w:rsid w:val="00713636"/>
    <w:rsid w:val="00714B8C"/>
    <w:rsid w:val="0071675D"/>
    <w:rsid w:val="00717736"/>
    <w:rsid w:val="007323BD"/>
    <w:rsid w:val="00732B47"/>
    <w:rsid w:val="00735CF5"/>
    <w:rsid w:val="0074063A"/>
    <w:rsid w:val="00740A01"/>
    <w:rsid w:val="00742390"/>
    <w:rsid w:val="00742AA4"/>
    <w:rsid w:val="00743800"/>
    <w:rsid w:val="00743BA1"/>
    <w:rsid w:val="00744E2D"/>
    <w:rsid w:val="00745F1E"/>
    <w:rsid w:val="007515FE"/>
    <w:rsid w:val="00760108"/>
    <w:rsid w:val="007601D0"/>
    <w:rsid w:val="007603BB"/>
    <w:rsid w:val="00760B85"/>
    <w:rsid w:val="0076109D"/>
    <w:rsid w:val="00767107"/>
    <w:rsid w:val="00773617"/>
    <w:rsid w:val="00773BFD"/>
    <w:rsid w:val="007743B3"/>
    <w:rsid w:val="00774490"/>
    <w:rsid w:val="00775894"/>
    <w:rsid w:val="007819FF"/>
    <w:rsid w:val="0078360C"/>
    <w:rsid w:val="00784A4C"/>
    <w:rsid w:val="00784BC6"/>
    <w:rsid w:val="0078523D"/>
    <w:rsid w:val="00787CC3"/>
    <w:rsid w:val="00791152"/>
    <w:rsid w:val="00791154"/>
    <w:rsid w:val="007931DF"/>
    <w:rsid w:val="00794397"/>
    <w:rsid w:val="007A0172"/>
    <w:rsid w:val="007A1804"/>
    <w:rsid w:val="007A2511"/>
    <w:rsid w:val="007A260E"/>
    <w:rsid w:val="007A3ACC"/>
    <w:rsid w:val="007A4D4C"/>
    <w:rsid w:val="007A4DD6"/>
    <w:rsid w:val="007A5CB9"/>
    <w:rsid w:val="007A6C3D"/>
    <w:rsid w:val="007A7037"/>
    <w:rsid w:val="007B20AE"/>
    <w:rsid w:val="007B6B07"/>
    <w:rsid w:val="007B6D43"/>
    <w:rsid w:val="007B749A"/>
    <w:rsid w:val="007B7C6E"/>
    <w:rsid w:val="007C136D"/>
    <w:rsid w:val="007D1A7B"/>
    <w:rsid w:val="007D2CFC"/>
    <w:rsid w:val="007D3D9B"/>
    <w:rsid w:val="007D44D7"/>
    <w:rsid w:val="007D59BF"/>
    <w:rsid w:val="007D621A"/>
    <w:rsid w:val="007E058A"/>
    <w:rsid w:val="007E1E2A"/>
    <w:rsid w:val="007E2887"/>
    <w:rsid w:val="007E523D"/>
    <w:rsid w:val="007E5278"/>
    <w:rsid w:val="007E55E3"/>
    <w:rsid w:val="007E749C"/>
    <w:rsid w:val="007F132D"/>
    <w:rsid w:val="007F185B"/>
    <w:rsid w:val="007F1B5C"/>
    <w:rsid w:val="007F7836"/>
    <w:rsid w:val="00801257"/>
    <w:rsid w:val="00803451"/>
    <w:rsid w:val="00803B0A"/>
    <w:rsid w:val="00804DED"/>
    <w:rsid w:val="00805B96"/>
    <w:rsid w:val="008105BE"/>
    <w:rsid w:val="008115A5"/>
    <w:rsid w:val="00811D46"/>
    <w:rsid w:val="0081415D"/>
    <w:rsid w:val="008155A3"/>
    <w:rsid w:val="00820229"/>
    <w:rsid w:val="00821457"/>
    <w:rsid w:val="00822448"/>
    <w:rsid w:val="00822ABE"/>
    <w:rsid w:val="008233B8"/>
    <w:rsid w:val="008244D1"/>
    <w:rsid w:val="00827F51"/>
    <w:rsid w:val="008306C8"/>
    <w:rsid w:val="0083104E"/>
    <w:rsid w:val="008343BE"/>
    <w:rsid w:val="00836535"/>
    <w:rsid w:val="00840ABB"/>
    <w:rsid w:val="00840FB4"/>
    <w:rsid w:val="008410B2"/>
    <w:rsid w:val="00843F63"/>
    <w:rsid w:val="00845965"/>
    <w:rsid w:val="008500A0"/>
    <w:rsid w:val="008524E5"/>
    <w:rsid w:val="0085351C"/>
    <w:rsid w:val="0085435A"/>
    <w:rsid w:val="008549CA"/>
    <w:rsid w:val="008556C3"/>
    <w:rsid w:val="00856242"/>
    <w:rsid w:val="0085687C"/>
    <w:rsid w:val="00861334"/>
    <w:rsid w:val="00865DB6"/>
    <w:rsid w:val="008672EB"/>
    <w:rsid w:val="00867EE1"/>
    <w:rsid w:val="008706C5"/>
    <w:rsid w:val="00870889"/>
    <w:rsid w:val="00873707"/>
    <w:rsid w:val="00874B20"/>
    <w:rsid w:val="008757C6"/>
    <w:rsid w:val="008763E1"/>
    <w:rsid w:val="0087775C"/>
    <w:rsid w:val="00877EC8"/>
    <w:rsid w:val="00880F36"/>
    <w:rsid w:val="00883EE9"/>
    <w:rsid w:val="00884FB7"/>
    <w:rsid w:val="00885530"/>
    <w:rsid w:val="008910D1"/>
    <w:rsid w:val="0089144E"/>
    <w:rsid w:val="0089296C"/>
    <w:rsid w:val="00893374"/>
    <w:rsid w:val="00895769"/>
    <w:rsid w:val="00896ABD"/>
    <w:rsid w:val="00897AB6"/>
    <w:rsid w:val="008A0A86"/>
    <w:rsid w:val="008A3380"/>
    <w:rsid w:val="008A7A9C"/>
    <w:rsid w:val="008A7FF8"/>
    <w:rsid w:val="008B5218"/>
    <w:rsid w:val="008B67E6"/>
    <w:rsid w:val="008B7102"/>
    <w:rsid w:val="008C3B7D"/>
    <w:rsid w:val="008C5BF4"/>
    <w:rsid w:val="008C7F41"/>
    <w:rsid w:val="008D0F90"/>
    <w:rsid w:val="008D3715"/>
    <w:rsid w:val="008D5465"/>
    <w:rsid w:val="008D5E61"/>
    <w:rsid w:val="008D7EB7"/>
    <w:rsid w:val="008D7EC5"/>
    <w:rsid w:val="008E0727"/>
    <w:rsid w:val="008E3684"/>
    <w:rsid w:val="008E57F5"/>
    <w:rsid w:val="008E61A6"/>
    <w:rsid w:val="008E7606"/>
    <w:rsid w:val="008F1DAA"/>
    <w:rsid w:val="008F2DD3"/>
    <w:rsid w:val="008F3EBD"/>
    <w:rsid w:val="008F4869"/>
    <w:rsid w:val="008F60B2"/>
    <w:rsid w:val="008F7C41"/>
    <w:rsid w:val="009027CA"/>
    <w:rsid w:val="00902CCE"/>
    <w:rsid w:val="009031E2"/>
    <w:rsid w:val="0091276C"/>
    <w:rsid w:val="00912904"/>
    <w:rsid w:val="00912B9E"/>
    <w:rsid w:val="00914561"/>
    <w:rsid w:val="009165AC"/>
    <w:rsid w:val="00916FFC"/>
    <w:rsid w:val="009202A2"/>
    <w:rsid w:val="0092053F"/>
    <w:rsid w:val="00922BF9"/>
    <w:rsid w:val="0092340A"/>
    <w:rsid w:val="00927200"/>
    <w:rsid w:val="009313D9"/>
    <w:rsid w:val="00933337"/>
    <w:rsid w:val="00935B7F"/>
    <w:rsid w:val="00941293"/>
    <w:rsid w:val="00946372"/>
    <w:rsid w:val="00946A8A"/>
    <w:rsid w:val="00950C17"/>
    <w:rsid w:val="00951FAF"/>
    <w:rsid w:val="00954740"/>
    <w:rsid w:val="00955AE5"/>
    <w:rsid w:val="009623B6"/>
    <w:rsid w:val="00962E71"/>
    <w:rsid w:val="009631E7"/>
    <w:rsid w:val="00963ABC"/>
    <w:rsid w:val="00965D21"/>
    <w:rsid w:val="00967764"/>
    <w:rsid w:val="00970B0E"/>
    <w:rsid w:val="00970BB9"/>
    <w:rsid w:val="00970E25"/>
    <w:rsid w:val="009726EE"/>
    <w:rsid w:val="00972CDE"/>
    <w:rsid w:val="009733DD"/>
    <w:rsid w:val="00973D49"/>
    <w:rsid w:val="00975573"/>
    <w:rsid w:val="00976D03"/>
    <w:rsid w:val="00977B30"/>
    <w:rsid w:val="0098058E"/>
    <w:rsid w:val="00982F41"/>
    <w:rsid w:val="00985090"/>
    <w:rsid w:val="00987710"/>
    <w:rsid w:val="009901D9"/>
    <w:rsid w:val="009904AB"/>
    <w:rsid w:val="0099248C"/>
    <w:rsid w:val="00992CFF"/>
    <w:rsid w:val="00995688"/>
    <w:rsid w:val="009958A6"/>
    <w:rsid w:val="00996456"/>
    <w:rsid w:val="009A04F5"/>
    <w:rsid w:val="009A1197"/>
    <w:rsid w:val="009A15EF"/>
    <w:rsid w:val="009A38A5"/>
    <w:rsid w:val="009A5B73"/>
    <w:rsid w:val="009B03CC"/>
    <w:rsid w:val="009B0934"/>
    <w:rsid w:val="009B118B"/>
    <w:rsid w:val="009B1737"/>
    <w:rsid w:val="009B229E"/>
    <w:rsid w:val="009B3D4B"/>
    <w:rsid w:val="009B5B99"/>
    <w:rsid w:val="009B6EFC"/>
    <w:rsid w:val="009C1FD0"/>
    <w:rsid w:val="009C2DF8"/>
    <w:rsid w:val="009C31BF"/>
    <w:rsid w:val="009C5402"/>
    <w:rsid w:val="009C68B7"/>
    <w:rsid w:val="009D0834"/>
    <w:rsid w:val="009D0A1E"/>
    <w:rsid w:val="009D2AE3"/>
    <w:rsid w:val="009D52BC"/>
    <w:rsid w:val="009D7D0A"/>
    <w:rsid w:val="009E09D9"/>
    <w:rsid w:val="009E0D16"/>
    <w:rsid w:val="009E62FA"/>
    <w:rsid w:val="009F01B1"/>
    <w:rsid w:val="009F0DBB"/>
    <w:rsid w:val="009F2560"/>
    <w:rsid w:val="009F3887"/>
    <w:rsid w:val="009F4405"/>
    <w:rsid w:val="009F659A"/>
    <w:rsid w:val="009F732B"/>
    <w:rsid w:val="00A01FE0"/>
    <w:rsid w:val="00A041B3"/>
    <w:rsid w:val="00A06945"/>
    <w:rsid w:val="00A10656"/>
    <w:rsid w:val="00A113C0"/>
    <w:rsid w:val="00A12FA6"/>
    <w:rsid w:val="00A1339B"/>
    <w:rsid w:val="00A14ABA"/>
    <w:rsid w:val="00A2066D"/>
    <w:rsid w:val="00A22166"/>
    <w:rsid w:val="00A24CB6"/>
    <w:rsid w:val="00A26CD2"/>
    <w:rsid w:val="00A27667"/>
    <w:rsid w:val="00A31A25"/>
    <w:rsid w:val="00A32979"/>
    <w:rsid w:val="00A34823"/>
    <w:rsid w:val="00A34A67"/>
    <w:rsid w:val="00A3662C"/>
    <w:rsid w:val="00A36FD8"/>
    <w:rsid w:val="00A37462"/>
    <w:rsid w:val="00A436EE"/>
    <w:rsid w:val="00A459E1"/>
    <w:rsid w:val="00A46AC4"/>
    <w:rsid w:val="00A46F4A"/>
    <w:rsid w:val="00A47F43"/>
    <w:rsid w:val="00A5063E"/>
    <w:rsid w:val="00A52296"/>
    <w:rsid w:val="00A550C3"/>
    <w:rsid w:val="00A55661"/>
    <w:rsid w:val="00A61B70"/>
    <w:rsid w:val="00A61FA8"/>
    <w:rsid w:val="00A627B1"/>
    <w:rsid w:val="00A6327C"/>
    <w:rsid w:val="00A637F4"/>
    <w:rsid w:val="00A64DF2"/>
    <w:rsid w:val="00A65485"/>
    <w:rsid w:val="00A66E05"/>
    <w:rsid w:val="00A70753"/>
    <w:rsid w:val="00A712D2"/>
    <w:rsid w:val="00A76876"/>
    <w:rsid w:val="00A76FFE"/>
    <w:rsid w:val="00A82C8A"/>
    <w:rsid w:val="00A8346B"/>
    <w:rsid w:val="00A8392F"/>
    <w:rsid w:val="00A84645"/>
    <w:rsid w:val="00A852FF"/>
    <w:rsid w:val="00A861EA"/>
    <w:rsid w:val="00A87337"/>
    <w:rsid w:val="00A905ED"/>
    <w:rsid w:val="00A90C97"/>
    <w:rsid w:val="00A92DDC"/>
    <w:rsid w:val="00A93531"/>
    <w:rsid w:val="00A94686"/>
    <w:rsid w:val="00A9478F"/>
    <w:rsid w:val="00A960C8"/>
    <w:rsid w:val="00A96604"/>
    <w:rsid w:val="00AA03DF"/>
    <w:rsid w:val="00AA0F2B"/>
    <w:rsid w:val="00AA1B4F"/>
    <w:rsid w:val="00AA21D8"/>
    <w:rsid w:val="00AA271A"/>
    <w:rsid w:val="00AA3270"/>
    <w:rsid w:val="00AA3809"/>
    <w:rsid w:val="00AA54F3"/>
    <w:rsid w:val="00AA6696"/>
    <w:rsid w:val="00AA6B43"/>
    <w:rsid w:val="00AA720D"/>
    <w:rsid w:val="00AB367A"/>
    <w:rsid w:val="00AB6931"/>
    <w:rsid w:val="00AC01D1"/>
    <w:rsid w:val="00AC0AB2"/>
    <w:rsid w:val="00AC0E9F"/>
    <w:rsid w:val="00AC52A5"/>
    <w:rsid w:val="00AC6EFD"/>
    <w:rsid w:val="00AC7151"/>
    <w:rsid w:val="00AC741F"/>
    <w:rsid w:val="00AC79EC"/>
    <w:rsid w:val="00AC7BC9"/>
    <w:rsid w:val="00AD460A"/>
    <w:rsid w:val="00AD6A05"/>
    <w:rsid w:val="00AE118B"/>
    <w:rsid w:val="00AE272B"/>
    <w:rsid w:val="00AE3E3A"/>
    <w:rsid w:val="00AE5D68"/>
    <w:rsid w:val="00AE77B4"/>
    <w:rsid w:val="00AE7C1A"/>
    <w:rsid w:val="00AE7DF8"/>
    <w:rsid w:val="00AF0D9C"/>
    <w:rsid w:val="00AF13AB"/>
    <w:rsid w:val="00AF1D36"/>
    <w:rsid w:val="00AF280B"/>
    <w:rsid w:val="00AF3D39"/>
    <w:rsid w:val="00AF3D9A"/>
    <w:rsid w:val="00AF5F75"/>
    <w:rsid w:val="00AF6001"/>
    <w:rsid w:val="00B01A16"/>
    <w:rsid w:val="00B05F4E"/>
    <w:rsid w:val="00B07F45"/>
    <w:rsid w:val="00B1021A"/>
    <w:rsid w:val="00B11516"/>
    <w:rsid w:val="00B13892"/>
    <w:rsid w:val="00B1481A"/>
    <w:rsid w:val="00B15A1F"/>
    <w:rsid w:val="00B15FE9"/>
    <w:rsid w:val="00B162CC"/>
    <w:rsid w:val="00B2148A"/>
    <w:rsid w:val="00B220C2"/>
    <w:rsid w:val="00B237CB"/>
    <w:rsid w:val="00B25B32"/>
    <w:rsid w:val="00B26CFD"/>
    <w:rsid w:val="00B3251C"/>
    <w:rsid w:val="00B32616"/>
    <w:rsid w:val="00B36C42"/>
    <w:rsid w:val="00B41365"/>
    <w:rsid w:val="00B42EA7"/>
    <w:rsid w:val="00B517D5"/>
    <w:rsid w:val="00B51845"/>
    <w:rsid w:val="00B51923"/>
    <w:rsid w:val="00B5227D"/>
    <w:rsid w:val="00B5337C"/>
    <w:rsid w:val="00B53FDE"/>
    <w:rsid w:val="00B55B7A"/>
    <w:rsid w:val="00B56397"/>
    <w:rsid w:val="00B571DA"/>
    <w:rsid w:val="00B6027B"/>
    <w:rsid w:val="00B61463"/>
    <w:rsid w:val="00B62DBE"/>
    <w:rsid w:val="00B636C8"/>
    <w:rsid w:val="00B65EDB"/>
    <w:rsid w:val="00B65F8B"/>
    <w:rsid w:val="00B67AFF"/>
    <w:rsid w:val="00B70B59"/>
    <w:rsid w:val="00B73657"/>
    <w:rsid w:val="00B739B3"/>
    <w:rsid w:val="00B74E7F"/>
    <w:rsid w:val="00B801AA"/>
    <w:rsid w:val="00B81B15"/>
    <w:rsid w:val="00B90565"/>
    <w:rsid w:val="00B9056B"/>
    <w:rsid w:val="00B915AE"/>
    <w:rsid w:val="00B93E6C"/>
    <w:rsid w:val="00B94B94"/>
    <w:rsid w:val="00B94D45"/>
    <w:rsid w:val="00B97DA6"/>
    <w:rsid w:val="00BA1735"/>
    <w:rsid w:val="00BA19FA"/>
    <w:rsid w:val="00BA4288"/>
    <w:rsid w:val="00BB0902"/>
    <w:rsid w:val="00BB0D75"/>
    <w:rsid w:val="00BB1F9C"/>
    <w:rsid w:val="00BB48E5"/>
    <w:rsid w:val="00BB5607"/>
    <w:rsid w:val="00BB5ACA"/>
    <w:rsid w:val="00BB627F"/>
    <w:rsid w:val="00BB68DB"/>
    <w:rsid w:val="00BC0C17"/>
    <w:rsid w:val="00BC3791"/>
    <w:rsid w:val="00BC3823"/>
    <w:rsid w:val="00BC502B"/>
    <w:rsid w:val="00BC5841"/>
    <w:rsid w:val="00BC7576"/>
    <w:rsid w:val="00BD2EF0"/>
    <w:rsid w:val="00BD60B4"/>
    <w:rsid w:val="00BD796B"/>
    <w:rsid w:val="00BE40C0"/>
    <w:rsid w:val="00BE5DFB"/>
    <w:rsid w:val="00BE5F4A"/>
    <w:rsid w:val="00BE7AEF"/>
    <w:rsid w:val="00BF09B0"/>
    <w:rsid w:val="00BF1544"/>
    <w:rsid w:val="00BF1B53"/>
    <w:rsid w:val="00BF246D"/>
    <w:rsid w:val="00BF2682"/>
    <w:rsid w:val="00C00208"/>
    <w:rsid w:val="00C06F06"/>
    <w:rsid w:val="00C07048"/>
    <w:rsid w:val="00C14D29"/>
    <w:rsid w:val="00C20FAD"/>
    <w:rsid w:val="00C2375F"/>
    <w:rsid w:val="00C247CB"/>
    <w:rsid w:val="00C24C26"/>
    <w:rsid w:val="00C26964"/>
    <w:rsid w:val="00C32E66"/>
    <w:rsid w:val="00C3355F"/>
    <w:rsid w:val="00C33A04"/>
    <w:rsid w:val="00C34402"/>
    <w:rsid w:val="00C3569A"/>
    <w:rsid w:val="00C37BE3"/>
    <w:rsid w:val="00C40B5D"/>
    <w:rsid w:val="00C43F48"/>
    <w:rsid w:val="00C448FF"/>
    <w:rsid w:val="00C44943"/>
    <w:rsid w:val="00C45E57"/>
    <w:rsid w:val="00C52F29"/>
    <w:rsid w:val="00C54EB9"/>
    <w:rsid w:val="00C56CE6"/>
    <w:rsid w:val="00C5745F"/>
    <w:rsid w:val="00C60005"/>
    <w:rsid w:val="00C60ED1"/>
    <w:rsid w:val="00C61A98"/>
    <w:rsid w:val="00C63013"/>
    <w:rsid w:val="00C63201"/>
    <w:rsid w:val="00C63315"/>
    <w:rsid w:val="00C64BB8"/>
    <w:rsid w:val="00C64E62"/>
    <w:rsid w:val="00C651D5"/>
    <w:rsid w:val="00C6537B"/>
    <w:rsid w:val="00C65CCC"/>
    <w:rsid w:val="00C72206"/>
    <w:rsid w:val="00C75779"/>
    <w:rsid w:val="00C7618F"/>
    <w:rsid w:val="00C765A9"/>
    <w:rsid w:val="00C806E8"/>
    <w:rsid w:val="00C81157"/>
    <w:rsid w:val="00C8162D"/>
    <w:rsid w:val="00C830BB"/>
    <w:rsid w:val="00C83A0B"/>
    <w:rsid w:val="00C842D0"/>
    <w:rsid w:val="00C84ED1"/>
    <w:rsid w:val="00C8546C"/>
    <w:rsid w:val="00C863CC"/>
    <w:rsid w:val="00C9038F"/>
    <w:rsid w:val="00C92AAB"/>
    <w:rsid w:val="00C95D4C"/>
    <w:rsid w:val="00C9637F"/>
    <w:rsid w:val="00C9708A"/>
    <w:rsid w:val="00C97AA8"/>
    <w:rsid w:val="00CA2435"/>
    <w:rsid w:val="00CA4068"/>
    <w:rsid w:val="00CA67F4"/>
    <w:rsid w:val="00CA6BA8"/>
    <w:rsid w:val="00CB37F8"/>
    <w:rsid w:val="00CB7DC3"/>
    <w:rsid w:val="00CC5BE1"/>
    <w:rsid w:val="00CC75A2"/>
    <w:rsid w:val="00CC7A18"/>
    <w:rsid w:val="00CD08EB"/>
    <w:rsid w:val="00CD0C73"/>
    <w:rsid w:val="00CD0E2F"/>
    <w:rsid w:val="00CD1D49"/>
    <w:rsid w:val="00CD2F20"/>
    <w:rsid w:val="00CD6588"/>
    <w:rsid w:val="00CD6B20"/>
    <w:rsid w:val="00CE1339"/>
    <w:rsid w:val="00CE20B5"/>
    <w:rsid w:val="00CE61CC"/>
    <w:rsid w:val="00CE6E42"/>
    <w:rsid w:val="00CE72F6"/>
    <w:rsid w:val="00CF17EF"/>
    <w:rsid w:val="00CF1BE4"/>
    <w:rsid w:val="00CF20B7"/>
    <w:rsid w:val="00CF6692"/>
    <w:rsid w:val="00CF7441"/>
    <w:rsid w:val="00D000E4"/>
    <w:rsid w:val="00D00D16"/>
    <w:rsid w:val="00D01644"/>
    <w:rsid w:val="00D03C6C"/>
    <w:rsid w:val="00D04364"/>
    <w:rsid w:val="00D04760"/>
    <w:rsid w:val="00D04A95"/>
    <w:rsid w:val="00D06288"/>
    <w:rsid w:val="00D068C7"/>
    <w:rsid w:val="00D128A4"/>
    <w:rsid w:val="00D1343B"/>
    <w:rsid w:val="00D147C8"/>
    <w:rsid w:val="00D14FAA"/>
    <w:rsid w:val="00D15131"/>
    <w:rsid w:val="00D16FA2"/>
    <w:rsid w:val="00D16FC1"/>
    <w:rsid w:val="00D174D2"/>
    <w:rsid w:val="00D17706"/>
    <w:rsid w:val="00D20562"/>
    <w:rsid w:val="00D20954"/>
    <w:rsid w:val="00D21C39"/>
    <w:rsid w:val="00D21FC6"/>
    <w:rsid w:val="00D2243A"/>
    <w:rsid w:val="00D249DC"/>
    <w:rsid w:val="00D31B6A"/>
    <w:rsid w:val="00D33393"/>
    <w:rsid w:val="00D33D36"/>
    <w:rsid w:val="00D3454D"/>
    <w:rsid w:val="00D34D94"/>
    <w:rsid w:val="00D409E2"/>
    <w:rsid w:val="00D427D7"/>
    <w:rsid w:val="00D44E62"/>
    <w:rsid w:val="00D50F53"/>
    <w:rsid w:val="00D51570"/>
    <w:rsid w:val="00D533B2"/>
    <w:rsid w:val="00D552B4"/>
    <w:rsid w:val="00D556AD"/>
    <w:rsid w:val="00D566BF"/>
    <w:rsid w:val="00D60381"/>
    <w:rsid w:val="00D616DE"/>
    <w:rsid w:val="00D62201"/>
    <w:rsid w:val="00D62E57"/>
    <w:rsid w:val="00D62F5F"/>
    <w:rsid w:val="00D64F98"/>
    <w:rsid w:val="00D651D1"/>
    <w:rsid w:val="00D717BB"/>
    <w:rsid w:val="00D7226B"/>
    <w:rsid w:val="00D72707"/>
    <w:rsid w:val="00D728D9"/>
    <w:rsid w:val="00D75A9C"/>
    <w:rsid w:val="00D829C8"/>
    <w:rsid w:val="00D9009F"/>
    <w:rsid w:val="00D90871"/>
    <w:rsid w:val="00D90875"/>
    <w:rsid w:val="00D9155F"/>
    <w:rsid w:val="00D9403F"/>
    <w:rsid w:val="00D959B4"/>
    <w:rsid w:val="00D968A1"/>
    <w:rsid w:val="00DA27F2"/>
    <w:rsid w:val="00DA44DE"/>
    <w:rsid w:val="00DB620A"/>
    <w:rsid w:val="00DC0C4F"/>
    <w:rsid w:val="00DC3832"/>
    <w:rsid w:val="00DC58C5"/>
    <w:rsid w:val="00DC7A51"/>
    <w:rsid w:val="00DC7BEB"/>
    <w:rsid w:val="00DD1566"/>
    <w:rsid w:val="00DD3B1E"/>
    <w:rsid w:val="00DD4878"/>
    <w:rsid w:val="00DD73AA"/>
    <w:rsid w:val="00DE2169"/>
    <w:rsid w:val="00DE2B39"/>
    <w:rsid w:val="00DE3C10"/>
    <w:rsid w:val="00DE5B5F"/>
    <w:rsid w:val="00DF1DE5"/>
    <w:rsid w:val="00DF3798"/>
    <w:rsid w:val="00DF614E"/>
    <w:rsid w:val="00DF7467"/>
    <w:rsid w:val="00E00696"/>
    <w:rsid w:val="00E03651"/>
    <w:rsid w:val="00E03808"/>
    <w:rsid w:val="00E060C2"/>
    <w:rsid w:val="00E06324"/>
    <w:rsid w:val="00E06501"/>
    <w:rsid w:val="00E07B81"/>
    <w:rsid w:val="00E10AFD"/>
    <w:rsid w:val="00E12B11"/>
    <w:rsid w:val="00E12FB0"/>
    <w:rsid w:val="00E14814"/>
    <w:rsid w:val="00E1591B"/>
    <w:rsid w:val="00E167EB"/>
    <w:rsid w:val="00E16A50"/>
    <w:rsid w:val="00E20E22"/>
    <w:rsid w:val="00E216A4"/>
    <w:rsid w:val="00E21AB3"/>
    <w:rsid w:val="00E249D5"/>
    <w:rsid w:val="00E25017"/>
    <w:rsid w:val="00E26706"/>
    <w:rsid w:val="00E26E24"/>
    <w:rsid w:val="00E26F73"/>
    <w:rsid w:val="00E30A34"/>
    <w:rsid w:val="00E33C68"/>
    <w:rsid w:val="00E34EEB"/>
    <w:rsid w:val="00E35A5E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2F6"/>
    <w:rsid w:val="00E60701"/>
    <w:rsid w:val="00E609E5"/>
    <w:rsid w:val="00E60F27"/>
    <w:rsid w:val="00E61304"/>
    <w:rsid w:val="00E6205C"/>
    <w:rsid w:val="00E64D93"/>
    <w:rsid w:val="00E64EBD"/>
    <w:rsid w:val="00E65044"/>
    <w:rsid w:val="00E65EDB"/>
    <w:rsid w:val="00E66927"/>
    <w:rsid w:val="00E677B8"/>
    <w:rsid w:val="00E67FA1"/>
    <w:rsid w:val="00E7387D"/>
    <w:rsid w:val="00E73D53"/>
    <w:rsid w:val="00E75111"/>
    <w:rsid w:val="00E77296"/>
    <w:rsid w:val="00E83EB1"/>
    <w:rsid w:val="00E8432C"/>
    <w:rsid w:val="00E85D52"/>
    <w:rsid w:val="00E87527"/>
    <w:rsid w:val="00E87EF7"/>
    <w:rsid w:val="00E9020E"/>
    <w:rsid w:val="00E93763"/>
    <w:rsid w:val="00E96C4C"/>
    <w:rsid w:val="00EA2AAE"/>
    <w:rsid w:val="00EA2EC0"/>
    <w:rsid w:val="00EA427A"/>
    <w:rsid w:val="00EA6C34"/>
    <w:rsid w:val="00EA723B"/>
    <w:rsid w:val="00EB153C"/>
    <w:rsid w:val="00EB6350"/>
    <w:rsid w:val="00EB677B"/>
    <w:rsid w:val="00EB687A"/>
    <w:rsid w:val="00EC0DC9"/>
    <w:rsid w:val="00EC2F62"/>
    <w:rsid w:val="00EC461C"/>
    <w:rsid w:val="00EC62EB"/>
    <w:rsid w:val="00EC66A4"/>
    <w:rsid w:val="00EC6E9F"/>
    <w:rsid w:val="00EC7A10"/>
    <w:rsid w:val="00ED0752"/>
    <w:rsid w:val="00ED2B2A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B04"/>
    <w:rsid w:val="00EE5FCE"/>
    <w:rsid w:val="00EE6BBD"/>
    <w:rsid w:val="00EE6E1E"/>
    <w:rsid w:val="00EE705F"/>
    <w:rsid w:val="00EF0EC8"/>
    <w:rsid w:val="00EF1462"/>
    <w:rsid w:val="00EF53B3"/>
    <w:rsid w:val="00EF54FD"/>
    <w:rsid w:val="00EF7503"/>
    <w:rsid w:val="00F00CA3"/>
    <w:rsid w:val="00F00F9D"/>
    <w:rsid w:val="00F018EA"/>
    <w:rsid w:val="00F03F01"/>
    <w:rsid w:val="00F04189"/>
    <w:rsid w:val="00F05649"/>
    <w:rsid w:val="00F069CD"/>
    <w:rsid w:val="00F07F0D"/>
    <w:rsid w:val="00F129FD"/>
    <w:rsid w:val="00F13112"/>
    <w:rsid w:val="00F15BAE"/>
    <w:rsid w:val="00F16FE6"/>
    <w:rsid w:val="00F20EC5"/>
    <w:rsid w:val="00F21ADB"/>
    <w:rsid w:val="00F22369"/>
    <w:rsid w:val="00F238BD"/>
    <w:rsid w:val="00F24992"/>
    <w:rsid w:val="00F312A2"/>
    <w:rsid w:val="00F32F2F"/>
    <w:rsid w:val="00F33F3F"/>
    <w:rsid w:val="00F35BDD"/>
    <w:rsid w:val="00F35EF0"/>
    <w:rsid w:val="00F36A88"/>
    <w:rsid w:val="00F3781F"/>
    <w:rsid w:val="00F403FD"/>
    <w:rsid w:val="00F41E72"/>
    <w:rsid w:val="00F43091"/>
    <w:rsid w:val="00F45BDF"/>
    <w:rsid w:val="00F50300"/>
    <w:rsid w:val="00F5123C"/>
    <w:rsid w:val="00F5414B"/>
    <w:rsid w:val="00F54743"/>
    <w:rsid w:val="00F56E39"/>
    <w:rsid w:val="00F623E9"/>
    <w:rsid w:val="00F63951"/>
    <w:rsid w:val="00F63C86"/>
    <w:rsid w:val="00F65D10"/>
    <w:rsid w:val="00F72512"/>
    <w:rsid w:val="00F766BE"/>
    <w:rsid w:val="00F767DA"/>
    <w:rsid w:val="00F76FBE"/>
    <w:rsid w:val="00F77EB9"/>
    <w:rsid w:val="00F80635"/>
    <w:rsid w:val="00F8115F"/>
    <w:rsid w:val="00F815D1"/>
    <w:rsid w:val="00F81E7E"/>
    <w:rsid w:val="00F81F0F"/>
    <w:rsid w:val="00F825F4"/>
    <w:rsid w:val="00F8345C"/>
    <w:rsid w:val="00F84594"/>
    <w:rsid w:val="00F903F6"/>
    <w:rsid w:val="00F90519"/>
    <w:rsid w:val="00F92AA1"/>
    <w:rsid w:val="00F932DE"/>
    <w:rsid w:val="00F963DD"/>
    <w:rsid w:val="00F9641A"/>
    <w:rsid w:val="00F97004"/>
    <w:rsid w:val="00FA12D3"/>
    <w:rsid w:val="00FA2045"/>
    <w:rsid w:val="00FA6282"/>
    <w:rsid w:val="00FA7A66"/>
    <w:rsid w:val="00FB161A"/>
    <w:rsid w:val="00FB1AA9"/>
    <w:rsid w:val="00FB4B5A"/>
    <w:rsid w:val="00FB5963"/>
    <w:rsid w:val="00FB5DAA"/>
    <w:rsid w:val="00FC04B9"/>
    <w:rsid w:val="00FC161A"/>
    <w:rsid w:val="00FC23D5"/>
    <w:rsid w:val="00FC34E1"/>
    <w:rsid w:val="00FC42D5"/>
    <w:rsid w:val="00FC4337"/>
    <w:rsid w:val="00FC4C1A"/>
    <w:rsid w:val="00FC628F"/>
    <w:rsid w:val="00FC6468"/>
    <w:rsid w:val="00FC6D49"/>
    <w:rsid w:val="00FD4922"/>
    <w:rsid w:val="00FD6461"/>
    <w:rsid w:val="00FE0281"/>
    <w:rsid w:val="00FE214B"/>
    <w:rsid w:val="00FE6F3C"/>
    <w:rsid w:val="00FE7083"/>
    <w:rsid w:val="00FF019F"/>
    <w:rsid w:val="00FF1B2A"/>
    <w:rsid w:val="00FF2160"/>
    <w:rsid w:val="00FF30DE"/>
    <w:rsid w:val="00FF5A9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GridTable1Light">
    <w:name w:val="Grid Table 1 Light"/>
    <w:basedOn w:val="TableNormal"/>
    <w:uiPriority w:val="46"/>
    <w:rsid w:val="00E26E24"/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le1">
    <w:name w:val="title1"/>
    <w:basedOn w:val="Normal"/>
    <w:rsid w:val="00B162CC"/>
    <w:pPr>
      <w:widowControl/>
      <w:autoSpaceDE/>
      <w:autoSpaceDN/>
      <w:adjustRightInd/>
      <w:jc w:val="lef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desc2">
    <w:name w:val="desc2"/>
    <w:basedOn w:val="Normal"/>
    <w:rsid w:val="00B162CC"/>
    <w:pPr>
      <w:widowControl/>
      <w:autoSpaceDE/>
      <w:autoSpaceDN/>
      <w:adjustRightInd/>
      <w:jc w:val="lef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details1">
    <w:name w:val="details1"/>
    <w:basedOn w:val="Normal"/>
    <w:rsid w:val="00B162CC"/>
    <w:pPr>
      <w:widowControl/>
      <w:autoSpaceDE/>
      <w:autoSpaceDN/>
      <w:adjustRightInd/>
      <w:jc w:val="lef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jrnl">
    <w:name w:val="jrnl"/>
    <w:basedOn w:val="DefaultParagraphFont"/>
    <w:rsid w:val="00B162CC"/>
  </w:style>
  <w:style w:type="character" w:customStyle="1" w:styleId="ilfuvd">
    <w:name w:val="ilfuvd"/>
    <w:basedOn w:val="DefaultParagraphFont"/>
    <w:rsid w:val="00F43091"/>
  </w:style>
  <w:style w:type="character" w:styleId="UnresolvedMention">
    <w:name w:val="Unresolved Mention"/>
    <w:basedOn w:val="DefaultParagraphFont"/>
    <w:uiPriority w:val="99"/>
    <w:semiHidden/>
    <w:unhideWhenUsed/>
    <w:rsid w:val="006F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18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3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19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36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31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653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688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52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18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525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992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55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17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70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887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4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63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489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3101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3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1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71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06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53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8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76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33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7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129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7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56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50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57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05670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8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53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902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729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76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0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78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299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1704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06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61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58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8868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50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494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28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8996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1936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317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8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71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00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0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6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7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7253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3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44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15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852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88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577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02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332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4225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576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146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455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5899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77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66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21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3506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548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23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36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103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080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316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519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0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31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13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0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32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86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56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858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3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4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92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095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62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275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323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275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7370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0407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452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251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821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5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69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22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593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873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39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84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6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598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45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036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38@miami.edu" TargetMode="External"/><Relationship Id="rId13" Type="http://schemas.openxmlformats.org/officeDocument/2006/relationships/hyperlink" Target="https://www.ncbi.nlm.nih.gov/pubmed/19369949" TargetMode="External"/><Relationship Id="rId18" Type="http://schemas.openxmlformats.org/officeDocument/2006/relationships/hyperlink" Target="https://www.ncbi.nlm.nih.gov/pubmed/2942604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238747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19648949" TargetMode="External"/><Relationship Id="rId17" Type="http://schemas.openxmlformats.org/officeDocument/2006/relationships/hyperlink" Target="https://www.ncbi.nlm.nih.gov/pubmed/2043592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11751975" TargetMode="External"/><Relationship Id="rId20" Type="http://schemas.openxmlformats.org/officeDocument/2006/relationships/hyperlink" Target="https://www.ncbi.nlm.nih.gov/pubmed/255774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chesser@med.miami.ed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6831467" TargetMode="External"/><Relationship Id="rId23" Type="http://schemas.openxmlformats.org/officeDocument/2006/relationships/hyperlink" Target="https://www.ncbi.nlm.nih.gov/pubmed/29312891" TargetMode="External"/><Relationship Id="rId10" Type="http://schemas.openxmlformats.org/officeDocument/2006/relationships/hyperlink" Target="mailto:nstrbo@med.miami.edu" TargetMode="External"/><Relationship Id="rId19" Type="http://schemas.openxmlformats.org/officeDocument/2006/relationships/hyperlink" Target="https://www.ncbi.nlm.nih.gov/pubmed/216609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freitag@uic.edu" TargetMode="External"/><Relationship Id="rId14" Type="http://schemas.openxmlformats.org/officeDocument/2006/relationships/hyperlink" Target="https://www.ncbi.nlm.nih.gov/pubmed/18957610" TargetMode="External"/><Relationship Id="rId22" Type="http://schemas.openxmlformats.org/officeDocument/2006/relationships/hyperlink" Target="https://www.ncbi.nlm.nih.gov/pubmed/2931124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9836-2F4B-4805-A123-CC4E5F55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13</Pages>
  <Words>5476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36617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47</cp:revision>
  <cp:lastPrinted>2018-06-15T20:02:00Z</cp:lastPrinted>
  <dcterms:created xsi:type="dcterms:W3CDTF">2018-09-10T21:48:00Z</dcterms:created>
  <dcterms:modified xsi:type="dcterms:W3CDTF">2018-12-03T18:43:00Z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