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3C462" w14:textId="0B9F1A7C" w:rsidR="008730F9" w:rsidRPr="00CA6A7C" w:rsidRDefault="00B3686E" w:rsidP="008730F9">
      <w:pPr>
        <w:pStyle w:val="a6"/>
        <w:rPr>
          <w:rFonts w:ascii="Helvetica" w:hAnsi="Helvetica"/>
          <w:sz w:val="27"/>
          <w:szCs w:val="27"/>
        </w:rPr>
      </w:pPr>
      <w:r w:rsidRPr="00B3686E">
        <w:rPr>
          <w:rFonts w:ascii="Helvetica" w:eastAsia="ＭＳ Ｐゴシック" w:hAnsi="Helvetica" w:cs="ＭＳ Ｐゴシック"/>
          <w:b/>
          <w:bCs/>
          <w:color w:val="000000"/>
          <w:kern w:val="0"/>
          <w:sz w:val="27"/>
          <w:szCs w:val="27"/>
        </w:rPr>
        <w:t>Editorial comments: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br/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br/>
        <w:t>1.</w:t>
      </w:r>
      <w:r w:rsidR="006D7A3C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Line 2: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</w:t>
      </w:r>
      <w:r w:rsidR="008730F9" w:rsidRPr="00CA6A7C">
        <w:rPr>
          <w:rFonts w:ascii="Helvetica" w:hAnsi="Helvetica"/>
          <w:sz w:val="27"/>
          <w:szCs w:val="27"/>
        </w:rPr>
        <w:t>Drug delivery has not been shown or demonstrated in this article. Please edit the title to best represent the protocol and results you are showing here.</w:t>
      </w:r>
    </w:p>
    <w:p w14:paraId="3A30C184" w14:textId="634DBA90" w:rsidR="000122A9" w:rsidRPr="00CA6A7C" w:rsidRDefault="00B3686E" w:rsidP="008730F9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8730F9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The title has been changed </w:t>
      </w:r>
      <w:r w:rsidR="00B955AE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from “delivery” to “formulation” </w:t>
      </w:r>
      <w:r w:rsidR="008730F9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to represent our protocol and results.</w:t>
      </w:r>
      <w:r w:rsidR="008730F9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br/>
      </w:r>
    </w:p>
    <w:p w14:paraId="12206623" w14:textId="2081112B" w:rsidR="00B3686E" w:rsidRPr="00CA6A7C" w:rsidRDefault="00B3686E" w:rsidP="008730F9">
      <w:pPr>
        <w:pStyle w:val="a6"/>
        <w:rPr>
          <w:rFonts w:ascii="Helvetica" w:hAnsi="Helvetica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2. </w:t>
      </w:r>
      <w:r w:rsid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Line 79,183,188,190 and 202: </w:t>
      </w:r>
      <w:r w:rsidR="008730F9" w:rsidRPr="00CA6A7C">
        <w:rPr>
          <w:rFonts w:ascii="Helvetica" w:hAnsi="Helvetica"/>
          <w:sz w:val="27"/>
          <w:szCs w:val="27"/>
        </w:rPr>
        <w:t>References?</w:t>
      </w:r>
    </w:p>
    <w:p w14:paraId="68416CAE" w14:textId="4E738BFC" w:rsidR="000122A9" w:rsidRDefault="00B3686E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8730F9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I added references </w:t>
      </w:r>
      <w:r w:rsidR="00202E0E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#14, </w:t>
      </w:r>
      <w:r w:rsidR="006D7A3C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#24, #14 and 15, #14 and #15 </w:t>
      </w:r>
      <w:r w:rsidR="008730F9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on line 79, 183, 188, 190, and </w:t>
      </w:r>
      <w:r w:rsidR="00202E0E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202</w:t>
      </w:r>
      <w:r w:rsidR="006D7A3C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respectively</w:t>
      </w:r>
      <w:r w:rsidR="008730F9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.</w:t>
      </w:r>
    </w:p>
    <w:p w14:paraId="41CE247A" w14:textId="1C5A45AC" w:rsidR="00AB72CF" w:rsidRDefault="00AB72CF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</w:pPr>
    </w:p>
    <w:p w14:paraId="35C015ED" w14:textId="77777777" w:rsidR="00AB72CF" w:rsidRPr="00032ED1" w:rsidRDefault="00AB72CF" w:rsidP="00AB72CF">
      <w:pPr>
        <w:pStyle w:val="EndNoteBibliography"/>
        <w:ind w:left="720" w:hanging="720"/>
        <w:rPr>
          <w:noProof/>
        </w:rPr>
      </w:pPr>
      <w:r w:rsidRPr="00032ED1">
        <w:rPr>
          <w:noProof/>
        </w:rPr>
        <w:t>14</w:t>
      </w:r>
      <w:r w:rsidRPr="00032ED1">
        <w:rPr>
          <w:noProof/>
        </w:rPr>
        <w:tab/>
        <w:t xml:space="preserve">Yang, H., Fung, S. Y. &amp; Liu, M. Programming the cellular uptake of physiologically stable peptide-gold nanoparticle hybrids with single amino acids. </w:t>
      </w:r>
      <w:r w:rsidRPr="00032ED1">
        <w:rPr>
          <w:i/>
          <w:noProof/>
        </w:rPr>
        <w:t>Angewandte Chemie International Edition.</w:t>
      </w:r>
      <w:r w:rsidRPr="00032ED1">
        <w:rPr>
          <w:noProof/>
        </w:rPr>
        <w:t xml:space="preserve"> </w:t>
      </w:r>
      <w:r w:rsidRPr="00032ED1">
        <w:rPr>
          <w:b/>
          <w:noProof/>
        </w:rPr>
        <w:t>50</w:t>
      </w:r>
      <w:r w:rsidRPr="00032ED1">
        <w:rPr>
          <w:noProof/>
        </w:rPr>
        <w:t xml:space="preserve"> (41), 9643-9646, doi:10.1002/anie.201102911, (2011).</w:t>
      </w:r>
    </w:p>
    <w:p w14:paraId="2515E444" w14:textId="77777777" w:rsidR="00AB72CF" w:rsidRPr="00032ED1" w:rsidRDefault="00AB72CF" w:rsidP="00AB72CF">
      <w:pPr>
        <w:pStyle w:val="EndNoteBibliography"/>
        <w:ind w:left="720" w:hanging="720"/>
        <w:rPr>
          <w:noProof/>
        </w:rPr>
      </w:pPr>
      <w:r w:rsidRPr="00032ED1">
        <w:rPr>
          <w:noProof/>
        </w:rPr>
        <w:t>15</w:t>
      </w:r>
      <w:r w:rsidRPr="00032ED1">
        <w:rPr>
          <w:noProof/>
        </w:rPr>
        <w:tab/>
        <w:t>Lee, D.</w:t>
      </w:r>
      <w:r w:rsidRPr="00032ED1">
        <w:rPr>
          <w:i/>
          <w:noProof/>
        </w:rPr>
        <w:t xml:space="preserve"> et al.</w:t>
      </w:r>
      <w:r w:rsidRPr="00032ED1">
        <w:rPr>
          <w:noProof/>
        </w:rPr>
        <w:t xml:space="preserve"> Effective delivery of a rationally designed intracellular peptide drug with gold nanoparticle-peptide hybrids. </w:t>
      </w:r>
      <w:r w:rsidRPr="00032ED1">
        <w:rPr>
          <w:i/>
          <w:noProof/>
        </w:rPr>
        <w:t>Nanoscale.</w:t>
      </w:r>
      <w:r w:rsidRPr="00032ED1">
        <w:rPr>
          <w:noProof/>
        </w:rPr>
        <w:t xml:space="preserve"> </w:t>
      </w:r>
      <w:r w:rsidRPr="00032ED1">
        <w:rPr>
          <w:b/>
          <w:noProof/>
        </w:rPr>
        <w:t>7</w:t>
      </w:r>
      <w:r w:rsidRPr="00032ED1">
        <w:rPr>
          <w:noProof/>
        </w:rPr>
        <w:t xml:space="preserve"> (29), 12356-12360, doi:10.1039/c5nr02377g, (2015).</w:t>
      </w:r>
    </w:p>
    <w:p w14:paraId="62DC2E7F" w14:textId="77777777" w:rsidR="00AB72CF" w:rsidRPr="00032ED1" w:rsidRDefault="00AB72CF" w:rsidP="00AB72CF">
      <w:pPr>
        <w:pStyle w:val="EndNoteBibliography"/>
        <w:ind w:left="720" w:hanging="720"/>
        <w:rPr>
          <w:noProof/>
        </w:rPr>
      </w:pPr>
      <w:r w:rsidRPr="00032ED1">
        <w:rPr>
          <w:noProof/>
        </w:rPr>
        <w:t>24</w:t>
      </w:r>
      <w:r w:rsidRPr="00032ED1">
        <w:rPr>
          <w:noProof/>
        </w:rPr>
        <w:tab/>
        <w:t>Kimling, J.</w:t>
      </w:r>
      <w:r w:rsidRPr="00032ED1">
        <w:rPr>
          <w:i/>
          <w:noProof/>
        </w:rPr>
        <w:t xml:space="preserve"> et al.</w:t>
      </w:r>
      <w:r w:rsidRPr="00032ED1">
        <w:rPr>
          <w:noProof/>
        </w:rPr>
        <w:t xml:space="preserve"> Turkevich method for gold nanoparticle synthesis revisited. </w:t>
      </w:r>
      <w:r w:rsidRPr="00032ED1">
        <w:rPr>
          <w:i/>
          <w:noProof/>
        </w:rPr>
        <w:t>The Journal of Physical Chemistry B.</w:t>
      </w:r>
      <w:r w:rsidRPr="00032ED1">
        <w:rPr>
          <w:noProof/>
        </w:rPr>
        <w:t xml:space="preserve"> </w:t>
      </w:r>
      <w:r w:rsidRPr="00032ED1">
        <w:rPr>
          <w:b/>
          <w:noProof/>
        </w:rPr>
        <w:t>110</w:t>
      </w:r>
      <w:r w:rsidRPr="00032ED1">
        <w:rPr>
          <w:noProof/>
        </w:rPr>
        <w:t xml:space="preserve"> (32), 15700-15707, doi:10.1021/jp061667w, (2006).</w:t>
      </w:r>
    </w:p>
    <w:p w14:paraId="4E2F99CC" w14:textId="77777777" w:rsidR="00AB72CF" w:rsidRPr="00CA6A7C" w:rsidRDefault="00AB72CF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</w:pPr>
    </w:p>
    <w:p w14:paraId="21E66AF4" w14:textId="77777777" w:rsidR="006D7A3C" w:rsidRPr="00CA6A7C" w:rsidRDefault="006D7A3C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</w:p>
    <w:p w14:paraId="540E21E0" w14:textId="127C6C2D" w:rsidR="006D7A3C" w:rsidRPr="00CA6A7C" w:rsidRDefault="00B3686E" w:rsidP="00CA6A7C">
      <w:pPr>
        <w:widowControl/>
        <w:jc w:val="left"/>
        <w:rPr>
          <w:rFonts w:ascii="Helvetica" w:hAnsi="Helvetica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3.</w:t>
      </w:r>
      <w:r w:rsidR="006D7A3C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Line 79:</w:t>
      </w:r>
      <w:r w:rsid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</w:t>
      </w:r>
      <w:r w:rsidR="006D7A3C" w:rsidRPr="00CA6A7C">
        <w:rPr>
          <w:rFonts w:ascii="Helvetica" w:hAnsi="Helvetica"/>
          <w:sz w:val="27"/>
          <w:szCs w:val="27"/>
        </w:rPr>
        <w:t>This was not tested in this article. Please avoid making claims that are unsupported.</w:t>
      </w:r>
    </w:p>
    <w:p w14:paraId="6E22F6CD" w14:textId="75464C12" w:rsidR="006D7A3C" w:rsidRPr="00CA6A7C" w:rsidRDefault="006D7A3C" w:rsidP="006D7A3C">
      <w:pPr>
        <w:pStyle w:val="a6"/>
        <w:rPr>
          <w:rFonts w:ascii="Helvetica" w:hAnsi="Helvetica"/>
          <w:sz w:val="27"/>
          <w:szCs w:val="27"/>
        </w:rPr>
      </w:pPr>
      <w:r w:rsidRPr="00CA6A7C">
        <w:rPr>
          <w:rFonts w:ascii="Helvetica" w:hAnsi="Helvetica"/>
          <w:sz w:val="27"/>
          <w:szCs w:val="27"/>
        </w:rPr>
        <w:t>4.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Line 87:</w:t>
      </w:r>
      <w:r w:rsidRPr="00CA6A7C">
        <w:rPr>
          <w:rFonts w:ascii="Helvetica" w:hAnsi="Helvetica"/>
          <w:sz w:val="27"/>
          <w:szCs w:val="27"/>
        </w:rPr>
        <w:t xml:space="preserve"> I’m not sure why you say this when you did not demonstrate any in vivo applications in here.</w:t>
      </w:r>
    </w:p>
    <w:p w14:paraId="0DDE3BDB" w14:textId="67C8B39C" w:rsidR="006D7A3C" w:rsidRPr="00CA6A7C" w:rsidRDefault="00B3686E" w:rsidP="006D7A3C">
      <w:pPr>
        <w:pStyle w:val="a6"/>
        <w:rPr>
          <w:rFonts w:ascii="Helvetica" w:hAnsi="Helvetica"/>
          <w:color w:val="FF000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6D7A3C" w:rsidRPr="00CA6A7C">
        <w:rPr>
          <w:rFonts w:ascii="Helvetica" w:hAnsi="Helvetica"/>
          <w:color w:val="FF0000"/>
          <w:sz w:val="27"/>
          <w:szCs w:val="27"/>
        </w:rPr>
        <w:t xml:space="preserve">The objective of </w:t>
      </w:r>
      <w:proofErr w:type="spellStart"/>
      <w:r w:rsidR="006D7A3C" w:rsidRPr="00CA6A7C">
        <w:rPr>
          <w:rFonts w:ascii="Helvetica" w:hAnsi="Helvetica"/>
          <w:color w:val="FF0000"/>
          <w:sz w:val="27"/>
          <w:szCs w:val="27"/>
        </w:rPr>
        <w:t>JoVE</w:t>
      </w:r>
      <w:proofErr w:type="spellEnd"/>
      <w:r w:rsidR="006D7A3C" w:rsidRPr="00CA6A7C">
        <w:rPr>
          <w:rFonts w:ascii="Helvetica" w:hAnsi="Helvetica"/>
          <w:color w:val="FF0000"/>
          <w:sz w:val="27"/>
          <w:szCs w:val="27"/>
        </w:rPr>
        <w:t xml:space="preserve"> is to present the protocols. We have now added clear references to declare previous work. We clearly stated that this </w:t>
      </w:r>
      <w:r w:rsidR="006D7A3C" w:rsidRPr="00CA6A7C">
        <w:rPr>
          <w:rFonts w:ascii="Helvetica" w:hAnsi="Helvetica"/>
          <w:color w:val="FF0000"/>
          <w:sz w:val="27"/>
          <w:szCs w:val="27"/>
        </w:rPr>
        <w:lastRenderedPageBreak/>
        <w:t xml:space="preserve">article is for the </w:t>
      </w:r>
      <w:r w:rsidR="00B955AE">
        <w:rPr>
          <w:rFonts w:ascii="Helvetica" w:hAnsi="Helvetica"/>
          <w:color w:val="FF0000"/>
          <w:sz w:val="27"/>
          <w:szCs w:val="27"/>
        </w:rPr>
        <w:t xml:space="preserve">formulation </w:t>
      </w:r>
      <w:r w:rsidR="006D7A3C" w:rsidRPr="00CA6A7C">
        <w:rPr>
          <w:rFonts w:ascii="Helvetica" w:hAnsi="Helvetica"/>
          <w:color w:val="FF0000"/>
          <w:sz w:val="27"/>
          <w:szCs w:val="27"/>
        </w:rPr>
        <w:t>protocol.</w:t>
      </w:r>
      <w:r w:rsidR="00B955AE">
        <w:rPr>
          <w:rFonts w:ascii="Helvetica" w:hAnsi="Helvetica"/>
          <w:color w:val="FF0000"/>
          <w:sz w:val="27"/>
          <w:szCs w:val="27"/>
        </w:rPr>
        <w:t xml:space="preserve"> I hope this will be acceptable by the reviewer.</w:t>
      </w:r>
      <w:r w:rsidR="006D7A3C" w:rsidRPr="00CA6A7C">
        <w:rPr>
          <w:rFonts w:ascii="Helvetica" w:hAnsi="Helvetica"/>
          <w:color w:val="FF0000"/>
          <w:sz w:val="27"/>
          <w:szCs w:val="27"/>
        </w:rPr>
        <w:t xml:space="preserve"> </w:t>
      </w:r>
    </w:p>
    <w:p w14:paraId="7D5D93AA" w14:textId="53FC3731" w:rsidR="000122A9" w:rsidRPr="00CA6A7C" w:rsidRDefault="000122A9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</w:p>
    <w:p w14:paraId="1C447D29" w14:textId="251664A7" w:rsidR="006D7A3C" w:rsidRPr="00CA6A7C" w:rsidRDefault="00CA6A7C" w:rsidP="006D7A3C">
      <w:pPr>
        <w:pStyle w:val="a6"/>
        <w:rPr>
          <w:rFonts w:ascii="Helvetica" w:hAnsi="Helvetica"/>
          <w:sz w:val="27"/>
          <w:szCs w:val="27"/>
        </w:rPr>
      </w:pP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5</w:t>
      </w:r>
      <w:r w:rsidR="00B3686E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. </w:t>
      </w:r>
      <w:r w:rsidR="006D7A3C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Line 97:</w:t>
      </w:r>
      <w:r w:rsidR="006D7A3C" w:rsidRPr="00CA6A7C">
        <w:rPr>
          <w:rFonts w:ascii="Helvetica" w:hAnsi="Helvetica"/>
          <w:sz w:val="27"/>
          <w:szCs w:val="27"/>
        </w:rPr>
        <w:t xml:space="preserve"> I edited for clarity, please verify If this is correct.</w:t>
      </w:r>
    </w:p>
    <w:p w14:paraId="5ECAD2FE" w14:textId="5A797933" w:rsidR="000122A9" w:rsidRPr="00CA6A7C" w:rsidRDefault="00B3686E" w:rsidP="00CA6A7C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6D7A3C" w:rsidRPr="00CA6A7C">
        <w:rPr>
          <w:rFonts w:ascii="Helvetica" w:hAnsi="Helvetica"/>
          <w:color w:val="FF0000"/>
          <w:sz w:val="27"/>
          <w:szCs w:val="27"/>
        </w:rPr>
        <w:t>Thanks. It is correct.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br/>
      </w:r>
    </w:p>
    <w:p w14:paraId="52978730" w14:textId="5FDD9270" w:rsidR="00DD282D" w:rsidRPr="00CA6A7C" w:rsidRDefault="00CA6A7C" w:rsidP="00DD282D">
      <w:pPr>
        <w:pStyle w:val="a6"/>
        <w:rPr>
          <w:rFonts w:ascii="Helvetica" w:hAnsi="Helvetica"/>
          <w:sz w:val="27"/>
          <w:szCs w:val="27"/>
        </w:rPr>
      </w:pP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6</w:t>
      </w:r>
      <w:r w:rsidR="00B3686E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. </w:t>
      </w:r>
      <w:r w:rsidR="00DD282D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Line 108: </w:t>
      </w:r>
      <w:r w:rsidR="00DD282D" w:rsidRPr="00CA6A7C">
        <w:rPr>
          <w:rFonts w:ascii="Helvetica" w:hAnsi="Helvetica"/>
          <w:sz w:val="27"/>
          <w:szCs w:val="27"/>
        </w:rPr>
        <w:t xml:space="preserve">Mention </w:t>
      </w:r>
      <w:proofErr w:type="spellStart"/>
      <w:r w:rsidR="00DD282D" w:rsidRPr="00CA6A7C">
        <w:rPr>
          <w:rFonts w:ascii="Helvetica" w:hAnsi="Helvetica"/>
          <w:sz w:val="27"/>
          <w:szCs w:val="27"/>
        </w:rPr>
        <w:t>sonicator</w:t>
      </w:r>
      <w:proofErr w:type="spellEnd"/>
      <w:r w:rsidR="00DD282D" w:rsidRPr="00CA6A7C">
        <w:rPr>
          <w:rFonts w:ascii="Helvetica" w:hAnsi="Helvetica"/>
          <w:sz w:val="27"/>
          <w:szCs w:val="27"/>
        </w:rPr>
        <w:t xml:space="preserve"> frequency and amplitude (available in the manufacturer datasheet)</w:t>
      </w:r>
    </w:p>
    <w:p w14:paraId="3A2634BE" w14:textId="5979ACC0" w:rsidR="00DD282D" w:rsidRPr="00CA6A7C" w:rsidRDefault="00B3686E" w:rsidP="00DD282D">
      <w:pPr>
        <w:pStyle w:val="a6"/>
        <w:rPr>
          <w:rFonts w:ascii="Helvetica" w:hAnsi="Helvetica"/>
          <w:color w:val="FF000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DD282D" w:rsidRPr="00CA6A7C">
        <w:rPr>
          <w:rFonts w:ascii="Helvetica" w:hAnsi="Helvetica"/>
          <w:color w:val="FF0000"/>
          <w:sz w:val="27"/>
          <w:szCs w:val="27"/>
        </w:rPr>
        <w:t>Its frequency is 40MHz. Our device does not have a parameter to change intensity. Its datasheet does not mention its amplitude.</w:t>
      </w:r>
      <w:r w:rsidR="00B955AE">
        <w:rPr>
          <w:rFonts w:ascii="Helvetica" w:hAnsi="Helvetica"/>
          <w:color w:val="FF0000"/>
          <w:sz w:val="27"/>
          <w:szCs w:val="27"/>
        </w:rPr>
        <w:t xml:space="preserve"> I added this information into the text.</w:t>
      </w:r>
      <w:r w:rsidR="00DD282D" w:rsidRPr="00CA6A7C">
        <w:rPr>
          <w:rFonts w:ascii="Helvetica" w:hAnsi="Helvetica"/>
          <w:color w:val="FF0000"/>
          <w:sz w:val="27"/>
          <w:szCs w:val="27"/>
        </w:rPr>
        <w:t xml:space="preserve"> </w:t>
      </w:r>
    </w:p>
    <w:p w14:paraId="65D6D436" w14:textId="1109A5B1" w:rsidR="000122A9" w:rsidRPr="00CA6A7C" w:rsidRDefault="000122A9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</w:p>
    <w:p w14:paraId="2A089906" w14:textId="6F2E3853" w:rsidR="00DD282D" w:rsidRPr="00CA6A7C" w:rsidRDefault="00CA6A7C" w:rsidP="00DD282D">
      <w:pPr>
        <w:pStyle w:val="a6"/>
        <w:rPr>
          <w:rFonts w:ascii="Helvetica" w:hAnsi="Helvetica"/>
          <w:sz w:val="27"/>
          <w:szCs w:val="27"/>
        </w:rPr>
      </w:pP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7</w:t>
      </w:r>
      <w:r w:rsidR="00B3686E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. </w:t>
      </w:r>
      <w:r w:rsidR="00DD282D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Line 122: </w:t>
      </w:r>
      <w:r w:rsidR="00DD282D" w:rsidRPr="00CA6A7C">
        <w:rPr>
          <w:rFonts w:ascii="Helvetica" w:hAnsi="Helvetica"/>
          <w:sz w:val="27"/>
          <w:szCs w:val="27"/>
        </w:rPr>
        <w:t>In the introduction you call this GNP-</w:t>
      </w:r>
      <w:proofErr w:type="spellStart"/>
      <w:r w:rsidR="00DD282D" w:rsidRPr="00CA6A7C">
        <w:rPr>
          <w:rFonts w:ascii="Helvetica" w:hAnsi="Helvetica"/>
          <w:sz w:val="27"/>
          <w:szCs w:val="27"/>
        </w:rPr>
        <w:t>PKCi</w:t>
      </w:r>
      <w:proofErr w:type="spellEnd"/>
      <w:r w:rsidR="00DD282D" w:rsidRPr="00CA6A7C">
        <w:rPr>
          <w:rFonts w:ascii="Helvetica" w:hAnsi="Helvetica"/>
          <w:sz w:val="27"/>
          <w:szCs w:val="27"/>
        </w:rPr>
        <w:t>, please be consistent in the terminology!</w:t>
      </w:r>
    </w:p>
    <w:p w14:paraId="26E34A75" w14:textId="77777777" w:rsidR="00DD282D" w:rsidRPr="00CA6A7C" w:rsidRDefault="00DD282D" w:rsidP="00DD282D">
      <w:pPr>
        <w:pStyle w:val="a6"/>
        <w:rPr>
          <w:rFonts w:ascii="Helvetica" w:hAnsi="Helvetica"/>
          <w:sz w:val="27"/>
          <w:szCs w:val="27"/>
        </w:rPr>
      </w:pPr>
    </w:p>
    <w:p w14:paraId="6ADDE7EA" w14:textId="0A03879A" w:rsidR="000122A9" w:rsidRPr="00CA6A7C" w:rsidRDefault="00B3686E" w:rsidP="00DD282D">
      <w:pPr>
        <w:pStyle w:val="a6"/>
        <w:rPr>
          <w:rFonts w:ascii="Helvetica" w:hAnsi="Helvetica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DD282D" w:rsidRPr="00CA6A7C">
        <w:rPr>
          <w:rFonts w:ascii="Helvetica" w:hAnsi="Helvetica"/>
          <w:color w:val="FF0000"/>
          <w:sz w:val="27"/>
          <w:szCs w:val="27"/>
        </w:rPr>
        <w:t>I now call our product as GNP/</w:t>
      </w:r>
      <w:proofErr w:type="spellStart"/>
      <w:r w:rsidR="00DD282D" w:rsidRPr="00CA6A7C">
        <w:rPr>
          <w:rFonts w:ascii="Helvetica" w:hAnsi="Helvetica"/>
          <w:color w:val="FF0000"/>
          <w:sz w:val="27"/>
          <w:szCs w:val="27"/>
        </w:rPr>
        <w:t>PKCi</w:t>
      </w:r>
      <w:proofErr w:type="spellEnd"/>
      <w:r w:rsidR="00DD282D" w:rsidRPr="00CA6A7C">
        <w:rPr>
          <w:rFonts w:ascii="Helvetica" w:hAnsi="Helvetica"/>
          <w:color w:val="FF0000"/>
          <w:sz w:val="27"/>
          <w:szCs w:val="27"/>
        </w:rPr>
        <w:t>.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br/>
      </w:r>
    </w:p>
    <w:p w14:paraId="50E82C02" w14:textId="3ABEBA67" w:rsidR="00B3686E" w:rsidRPr="00CA6A7C" w:rsidRDefault="00CA6A7C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8</w:t>
      </w:r>
      <w:r w:rsidR="00B3686E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. Line 1</w:t>
      </w:r>
      <w:r w:rsidR="00DD282D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43</w:t>
      </w:r>
      <w:r w:rsidR="00B3686E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: </w:t>
      </w:r>
      <w:r w:rsidR="009B47A0" w:rsidRPr="00CA6A7C">
        <w:rPr>
          <w:rFonts w:ascii="Helvetica" w:hAnsi="Helvetica"/>
          <w:sz w:val="27"/>
          <w:szCs w:val="27"/>
        </w:rPr>
        <w:t>How do you decide this? Please explain</w:t>
      </w:r>
      <w:r w:rsidR="00B3686E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.</w:t>
      </w:r>
    </w:p>
    <w:p w14:paraId="050C4EE1" w14:textId="0E9F50A7" w:rsidR="009B47A0" w:rsidRPr="00CA6A7C" w:rsidRDefault="00B3686E" w:rsidP="009B47A0">
      <w:pPr>
        <w:pStyle w:val="a6"/>
        <w:rPr>
          <w:rFonts w:ascii="Helvetica" w:hAnsi="Helvetica"/>
          <w:color w:val="FF000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9B47A0" w:rsidRPr="00CA6A7C">
        <w:rPr>
          <w:rFonts w:ascii="Helvetica" w:hAnsi="Helvetica"/>
          <w:color w:val="FF0000"/>
          <w:sz w:val="27"/>
          <w:szCs w:val="27"/>
        </w:rPr>
        <w:t>I explained it on a note below</w:t>
      </w:r>
      <w:r w:rsidR="009B47A0" w:rsidRPr="00CA6A7C">
        <w:rPr>
          <w:rFonts w:ascii="Helvetica" w:hAnsi="Helvetica"/>
          <w:color w:val="FF0000"/>
          <w:sz w:val="27"/>
          <w:szCs w:val="27"/>
        </w:rPr>
        <w:t>。</w:t>
      </w:r>
    </w:p>
    <w:p w14:paraId="58D3D2C5" w14:textId="77777777" w:rsidR="009B47A0" w:rsidRPr="00CA6A7C" w:rsidRDefault="009B47A0" w:rsidP="009B47A0">
      <w:pPr>
        <w:pStyle w:val="Web"/>
        <w:widowControl/>
        <w:spacing w:before="0" w:beforeAutospacing="0" w:after="0" w:afterAutospacing="0"/>
        <w:rPr>
          <w:rFonts w:ascii="Helvetica" w:hAnsi="Helvetica"/>
          <w:color w:val="FF0000"/>
          <w:sz w:val="27"/>
          <w:szCs w:val="27"/>
        </w:rPr>
      </w:pPr>
      <w:r w:rsidRPr="00CA6A7C">
        <w:rPr>
          <w:rFonts w:ascii="Helvetica" w:hAnsi="Helvetica"/>
          <w:color w:val="FF0000"/>
          <w:sz w:val="27"/>
          <w:szCs w:val="27"/>
        </w:rPr>
        <w:t>Note: The GNP pellet contains 6.3x 10</w:t>
      </w:r>
      <w:r w:rsidRPr="00CA6A7C">
        <w:rPr>
          <w:rFonts w:ascii="Helvetica" w:hAnsi="Helvetica"/>
          <w:color w:val="FF0000"/>
          <w:sz w:val="27"/>
          <w:szCs w:val="27"/>
          <w:vertAlign w:val="superscript"/>
        </w:rPr>
        <w:t>11</w:t>
      </w:r>
      <w:r w:rsidRPr="00CA6A7C">
        <w:rPr>
          <w:rFonts w:ascii="Helvetica" w:hAnsi="Helvetica"/>
          <w:color w:val="FF0000"/>
          <w:sz w:val="27"/>
          <w:szCs w:val="27"/>
        </w:rPr>
        <w:t xml:space="preserve"> particles. For example, we administrated 1.3x 10</w:t>
      </w:r>
      <w:r w:rsidRPr="00CA6A7C">
        <w:rPr>
          <w:rFonts w:ascii="Helvetica" w:hAnsi="Helvetica"/>
          <w:color w:val="FF0000"/>
          <w:sz w:val="27"/>
          <w:szCs w:val="27"/>
          <w:vertAlign w:val="superscript"/>
        </w:rPr>
        <w:t>12</w:t>
      </w:r>
      <w:r w:rsidRPr="00CA6A7C">
        <w:rPr>
          <w:rFonts w:ascii="Helvetica" w:hAnsi="Helvetica"/>
          <w:color w:val="FF0000"/>
          <w:sz w:val="27"/>
          <w:szCs w:val="27"/>
        </w:rPr>
        <w:t xml:space="preserve"> particles in 500 </w:t>
      </w:r>
      <w:r w:rsidRPr="00CA6A7C">
        <w:rPr>
          <w:rFonts w:ascii="Helvetica" w:eastAsia="DengXian" w:hAnsi="Helvetica"/>
          <w:i/>
          <w:color w:val="FF0000"/>
          <w:sz w:val="27"/>
          <w:szCs w:val="27"/>
          <w:lang w:eastAsia="zh-CN"/>
        </w:rPr>
        <w:t>µ</w:t>
      </w:r>
      <w:r w:rsidRPr="00CA6A7C">
        <w:rPr>
          <w:rFonts w:ascii="Helvetica" w:eastAsia="DengXian" w:hAnsi="Helvetica"/>
          <w:color w:val="FF0000"/>
          <w:sz w:val="27"/>
          <w:szCs w:val="27"/>
          <w:lang w:eastAsia="zh-CN"/>
        </w:rPr>
        <w:t>L</w:t>
      </w:r>
      <w:r w:rsidRPr="00CA6A7C">
        <w:rPr>
          <w:rFonts w:ascii="Helvetica" w:hAnsi="Helvetica"/>
          <w:color w:val="FF0000"/>
          <w:sz w:val="27"/>
          <w:szCs w:val="27"/>
        </w:rPr>
        <w:t xml:space="preserve"> of 0.9% </w:t>
      </w:r>
      <w:proofErr w:type="spellStart"/>
      <w:r w:rsidRPr="00CA6A7C">
        <w:rPr>
          <w:rFonts w:ascii="Helvetica" w:hAnsi="Helvetica"/>
          <w:color w:val="FF0000"/>
          <w:sz w:val="27"/>
          <w:szCs w:val="27"/>
        </w:rPr>
        <w:t>NaCl</w:t>
      </w:r>
      <w:proofErr w:type="spellEnd"/>
      <w:r w:rsidRPr="00CA6A7C">
        <w:rPr>
          <w:rFonts w:ascii="Helvetica" w:hAnsi="Helvetica"/>
          <w:color w:val="FF0000"/>
          <w:sz w:val="27"/>
          <w:szCs w:val="27"/>
        </w:rPr>
        <w:t xml:space="preserve"> to treat rat IR injury. In that situation, we added 232 </w:t>
      </w:r>
      <w:r w:rsidRPr="00CA6A7C">
        <w:rPr>
          <w:rFonts w:ascii="Helvetica" w:eastAsia="DengXian" w:hAnsi="Helvetica"/>
          <w:i/>
          <w:color w:val="FF0000"/>
          <w:sz w:val="27"/>
          <w:szCs w:val="27"/>
          <w:lang w:eastAsia="zh-CN"/>
        </w:rPr>
        <w:t>µ</w:t>
      </w:r>
      <w:r w:rsidRPr="00CA6A7C">
        <w:rPr>
          <w:rFonts w:ascii="Helvetica" w:hAnsi="Helvetica"/>
          <w:color w:val="FF0000"/>
          <w:sz w:val="27"/>
          <w:szCs w:val="27"/>
          <w:lang w:eastAsia="ja-JP"/>
        </w:rPr>
        <w:t>L</w:t>
      </w:r>
      <w:r w:rsidRPr="00CA6A7C">
        <w:rPr>
          <w:rFonts w:ascii="Helvetica" w:hAnsi="Helvetica"/>
          <w:color w:val="FF0000"/>
          <w:sz w:val="27"/>
          <w:szCs w:val="27"/>
        </w:rPr>
        <w:t xml:space="preserve"> of 0.9% </w:t>
      </w:r>
      <w:proofErr w:type="spellStart"/>
      <w:r w:rsidRPr="00CA6A7C">
        <w:rPr>
          <w:rFonts w:ascii="Helvetica" w:hAnsi="Helvetica"/>
          <w:color w:val="FF0000"/>
          <w:sz w:val="27"/>
          <w:szCs w:val="27"/>
        </w:rPr>
        <w:t>NaCl</w:t>
      </w:r>
      <w:proofErr w:type="spellEnd"/>
      <w:r w:rsidRPr="00CA6A7C">
        <w:rPr>
          <w:rFonts w:ascii="Helvetica" w:hAnsi="Helvetica"/>
          <w:color w:val="FF0000"/>
          <w:sz w:val="27"/>
          <w:szCs w:val="27"/>
        </w:rPr>
        <w:t xml:space="preserve"> to each of three pellets. </w:t>
      </w:r>
      <w:r w:rsidRPr="00CA6A7C">
        <w:rPr>
          <w:rFonts w:ascii="Helvetica" w:hAnsi="Helvetica"/>
          <w:color w:val="FF0000"/>
          <w:sz w:val="27"/>
          <w:szCs w:val="27"/>
          <w:lang w:eastAsia="ja-JP"/>
        </w:rPr>
        <w:t>After pooled them together, we collected 500</w:t>
      </w:r>
      <w:r w:rsidRPr="00CA6A7C">
        <w:rPr>
          <w:rFonts w:ascii="Helvetica" w:hAnsi="Helvetica"/>
          <w:color w:val="FF0000"/>
          <w:sz w:val="27"/>
          <w:szCs w:val="27"/>
        </w:rPr>
        <w:t xml:space="preserve"> </w:t>
      </w:r>
      <w:r w:rsidRPr="00CA6A7C">
        <w:rPr>
          <w:rFonts w:ascii="Helvetica" w:eastAsia="DengXian" w:hAnsi="Helvetica"/>
          <w:i/>
          <w:color w:val="FF0000"/>
          <w:sz w:val="27"/>
          <w:szCs w:val="27"/>
          <w:lang w:eastAsia="zh-CN"/>
        </w:rPr>
        <w:t>µ</w:t>
      </w:r>
      <w:r w:rsidRPr="00CA6A7C">
        <w:rPr>
          <w:rFonts w:ascii="Helvetica" w:eastAsia="DengXian" w:hAnsi="Helvetica"/>
          <w:color w:val="FF0000"/>
          <w:sz w:val="27"/>
          <w:szCs w:val="27"/>
          <w:lang w:eastAsia="zh-CN"/>
        </w:rPr>
        <w:t>L of GNP/</w:t>
      </w:r>
      <w:proofErr w:type="spellStart"/>
      <w:r w:rsidRPr="00CA6A7C">
        <w:rPr>
          <w:rFonts w:ascii="Helvetica" w:eastAsia="DengXian" w:hAnsi="Helvetica"/>
          <w:color w:val="FF0000"/>
          <w:sz w:val="27"/>
          <w:szCs w:val="27"/>
          <w:lang w:eastAsia="zh-CN"/>
        </w:rPr>
        <w:t>PKCi</w:t>
      </w:r>
      <w:proofErr w:type="spellEnd"/>
      <w:r w:rsidRPr="00CA6A7C">
        <w:rPr>
          <w:rFonts w:ascii="Helvetica" w:eastAsia="DengXian" w:hAnsi="Helvetica"/>
          <w:color w:val="FF0000"/>
          <w:sz w:val="27"/>
          <w:szCs w:val="27"/>
          <w:lang w:eastAsia="zh-CN"/>
        </w:rPr>
        <w:t xml:space="preserve"> solution.</w:t>
      </w:r>
    </w:p>
    <w:p w14:paraId="10E5BEC2" w14:textId="77777777" w:rsidR="009B47A0" w:rsidRPr="00CA6A7C" w:rsidRDefault="009B47A0" w:rsidP="009B47A0">
      <w:pPr>
        <w:pStyle w:val="a6"/>
        <w:rPr>
          <w:rFonts w:ascii="Helvetica" w:hAnsi="Helvetica"/>
          <w:sz w:val="27"/>
          <w:szCs w:val="27"/>
        </w:rPr>
      </w:pPr>
    </w:p>
    <w:p w14:paraId="3FC13731" w14:textId="6BA3C6BE" w:rsidR="000122A9" w:rsidRPr="00CA6A7C" w:rsidRDefault="00B3686E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br/>
      </w:r>
    </w:p>
    <w:p w14:paraId="5AD2D3A2" w14:textId="1249F4C0" w:rsidR="009B47A0" w:rsidRPr="00CA6A7C" w:rsidRDefault="00CA6A7C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9</w:t>
      </w:r>
      <w:r w:rsidR="00B3686E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. </w:t>
      </w:r>
      <w:r w:rsidR="009B47A0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Line 154</w:t>
      </w:r>
      <w:r w:rsidR="009B47A0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：</w:t>
      </w:r>
      <w:r w:rsidR="009B47A0" w:rsidRPr="00CA6A7C">
        <w:rPr>
          <w:rFonts w:ascii="Helvetica" w:hAnsi="Helvetica"/>
          <w:sz w:val="27"/>
          <w:szCs w:val="27"/>
        </w:rPr>
        <w:t>This is incorrect, OD measurement does not reveal any about the biophysics of the GNP/</w:t>
      </w:r>
      <w:proofErr w:type="spellStart"/>
      <w:r w:rsidR="009B47A0" w:rsidRPr="00CA6A7C">
        <w:rPr>
          <w:rFonts w:ascii="Helvetica" w:hAnsi="Helvetica"/>
          <w:sz w:val="27"/>
          <w:szCs w:val="27"/>
        </w:rPr>
        <w:t>PKCi</w:t>
      </w:r>
      <w:proofErr w:type="spellEnd"/>
      <w:r w:rsidR="009B47A0" w:rsidRPr="00CA6A7C">
        <w:rPr>
          <w:rFonts w:ascii="Helvetica" w:hAnsi="Helvetica"/>
          <w:sz w:val="27"/>
          <w:szCs w:val="27"/>
        </w:rPr>
        <w:t xml:space="preserve"> hybrid.</w:t>
      </w:r>
    </w:p>
    <w:p w14:paraId="1358DE24" w14:textId="3D70C8F5" w:rsidR="00160D83" w:rsidRPr="00CA6A7C" w:rsidRDefault="00B3686E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lastRenderedPageBreak/>
        <w:t>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="00E55327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9B47A0" w:rsidRPr="00CA6A7C">
        <w:rPr>
          <w:rFonts w:ascii="Helvetica" w:hAnsi="Helvetica"/>
          <w:color w:val="FF0000"/>
          <w:sz w:val="27"/>
          <w:szCs w:val="27"/>
        </w:rPr>
        <w:t>I have changed it to “solubility of”</w:t>
      </w:r>
      <w:r w:rsidR="00E55327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br/>
      </w:r>
    </w:p>
    <w:p w14:paraId="1DCBF89F" w14:textId="652A5F4E" w:rsidR="009B47A0" w:rsidRPr="00CA6A7C" w:rsidRDefault="00CA6A7C" w:rsidP="00CA6A7C">
      <w:pPr>
        <w:pStyle w:val="a6"/>
        <w:ind w:firstLineChars="50" w:firstLine="135"/>
        <w:rPr>
          <w:rFonts w:ascii="Helvetica" w:hAnsi="Helvetica"/>
          <w:sz w:val="27"/>
          <w:szCs w:val="27"/>
        </w:rPr>
      </w:pP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10</w:t>
      </w:r>
      <w:r w:rsidR="00B3686E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. </w:t>
      </w:r>
      <w:r w:rsidR="009B47A0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Line157</w:t>
      </w: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:</w:t>
      </w:r>
      <w:r w:rsidR="009B47A0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</w:t>
      </w:r>
      <w:r w:rsidR="009B47A0" w:rsidRPr="00CA6A7C">
        <w:rPr>
          <w:rFonts w:ascii="Helvetica" w:hAnsi="Helvetica"/>
          <w:sz w:val="27"/>
          <w:szCs w:val="27"/>
        </w:rPr>
        <w:t xml:space="preserve">Can you add additional assessment steps? </w:t>
      </w:r>
      <w:proofErr w:type="spellStart"/>
      <w:r w:rsidR="009B47A0" w:rsidRPr="00CA6A7C">
        <w:rPr>
          <w:rFonts w:ascii="Helvetica" w:hAnsi="Helvetica"/>
          <w:sz w:val="27"/>
          <w:szCs w:val="27"/>
        </w:rPr>
        <w:t>Eg.</w:t>
      </w:r>
      <w:proofErr w:type="spellEnd"/>
      <w:r w:rsidR="009B47A0" w:rsidRPr="00CA6A7C">
        <w:rPr>
          <w:rFonts w:ascii="Helvetica" w:hAnsi="Helvetica"/>
          <w:sz w:val="27"/>
          <w:szCs w:val="27"/>
        </w:rPr>
        <w:t xml:space="preserve">  Those you have mentioned here: </w:t>
      </w:r>
      <w:hyperlink r:id="rId5" w:history="1">
        <w:r w:rsidR="009B47A0" w:rsidRPr="00CA6A7C">
          <w:rPr>
            <w:rStyle w:val="a4"/>
            <w:rFonts w:ascii="Helvetica" w:hAnsi="Helvetica"/>
            <w:sz w:val="27"/>
            <w:szCs w:val="27"/>
          </w:rPr>
          <w:t>http://www.rsc.org/suppdata/c5/nr/c5nr02377g/c5nr02377g1.pdf</w:t>
        </w:r>
      </w:hyperlink>
      <w:r w:rsidR="009B47A0" w:rsidRPr="00CA6A7C">
        <w:rPr>
          <w:rFonts w:ascii="Helvetica" w:hAnsi="Helvetica"/>
          <w:sz w:val="27"/>
          <w:szCs w:val="27"/>
        </w:rPr>
        <w:t xml:space="preserve">. They don’t need to be detailed, you can mention them and cite references. </w:t>
      </w:r>
    </w:p>
    <w:p w14:paraId="0B3AA50B" w14:textId="4120EF0B" w:rsidR="009B47A0" w:rsidRPr="00CA6A7C" w:rsidRDefault="00CA6A7C" w:rsidP="009B47A0">
      <w:pPr>
        <w:pStyle w:val="a6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11. Line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159</w:t>
      </w: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: </w:t>
      </w:r>
      <w:r w:rsidR="009B47A0" w:rsidRPr="00CA6A7C">
        <w:rPr>
          <w:rFonts w:ascii="Helvetica" w:hAnsi="Helvetica"/>
          <w:sz w:val="27"/>
          <w:szCs w:val="27"/>
        </w:rPr>
        <w:t>1 test on 3 samples is really insufficient for the results section of a scientific publication. Please add additional figures and results discussion to discuss the assessments, in vivo tests, drug delivery, cellular uptake, microscopy you performed etc.</w:t>
      </w:r>
    </w:p>
    <w:p w14:paraId="0AE579A9" w14:textId="199F60C2" w:rsidR="009B47A0" w:rsidRPr="00CA6A7C" w:rsidRDefault="00B3686E" w:rsidP="009B47A0">
      <w:pPr>
        <w:pStyle w:val="a6"/>
        <w:rPr>
          <w:rFonts w:ascii="Helvetica" w:hAnsi="Helvetica"/>
          <w:color w:val="FF0000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br/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Response</w:t>
      </w:r>
      <w:r w:rsidR="002B2718"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:</w:t>
      </w:r>
      <w:r w:rsid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 </w:t>
      </w:r>
      <w:r w:rsidR="009B47A0" w:rsidRPr="00CA6A7C">
        <w:rPr>
          <w:rFonts w:ascii="Helvetica" w:hAnsi="Helvetica"/>
          <w:color w:val="FF0000"/>
          <w:sz w:val="27"/>
          <w:szCs w:val="27"/>
        </w:rPr>
        <w:t xml:space="preserve">We </w:t>
      </w:r>
      <w:r w:rsidR="00B955AE">
        <w:rPr>
          <w:rFonts w:ascii="Helvetica" w:hAnsi="Helvetica"/>
          <w:color w:val="FF0000"/>
          <w:sz w:val="27"/>
          <w:szCs w:val="27"/>
        </w:rPr>
        <w:t xml:space="preserve">have </w:t>
      </w:r>
      <w:r w:rsidR="009B47A0" w:rsidRPr="00CA6A7C">
        <w:rPr>
          <w:rFonts w:ascii="Helvetica" w:hAnsi="Helvetica"/>
          <w:color w:val="FF0000"/>
          <w:sz w:val="27"/>
          <w:szCs w:val="27"/>
        </w:rPr>
        <w:t>changed the title of the paper as “formulation” only. Therefore, we do not need to refer too much on the previous publication.</w:t>
      </w:r>
    </w:p>
    <w:p w14:paraId="5201DCF9" w14:textId="77777777" w:rsidR="009B47A0" w:rsidRPr="00CA6A7C" w:rsidRDefault="009B47A0" w:rsidP="00B3686E">
      <w:pPr>
        <w:widowControl/>
        <w:ind w:firstLineChars="50" w:firstLine="135"/>
        <w:jc w:val="left"/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</w:pPr>
    </w:p>
    <w:p w14:paraId="3C4B1C28" w14:textId="4B2B918A" w:rsidR="00CA6A7C" w:rsidRPr="00CA6A7C" w:rsidRDefault="009B47A0" w:rsidP="00B3686E">
      <w:pPr>
        <w:widowControl/>
        <w:ind w:firstLineChars="50" w:firstLine="135"/>
        <w:jc w:val="left"/>
        <w:rPr>
          <w:rFonts w:ascii="Helvetica" w:hAnsi="Helvetica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1</w:t>
      </w:r>
      <w:r w:rsid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2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.Line</w:t>
      </w:r>
      <w:r w:rsidR="00CA6A7C"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>164:</w:t>
      </w:r>
      <w:r w:rsidR="00CA6A7C" w:rsidRPr="00CA6A7C">
        <w:rPr>
          <w:rFonts w:ascii="Helvetica" w:hAnsi="Helvetica"/>
          <w:sz w:val="27"/>
          <w:szCs w:val="27"/>
        </w:rPr>
        <w:t xml:space="preserve"> Can you show a curve?</w:t>
      </w:r>
    </w:p>
    <w:p w14:paraId="2883F7EF" w14:textId="7568ED8E" w:rsidR="00CA6A7C" w:rsidRPr="00CA6A7C" w:rsidRDefault="00CA6A7C" w:rsidP="00CA6A7C">
      <w:pPr>
        <w:pStyle w:val="a6"/>
        <w:ind w:firstLineChars="50" w:firstLine="135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13.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Line170</w:t>
      </w: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: </w:t>
      </w:r>
      <w:r w:rsidRPr="00CA6A7C">
        <w:rPr>
          <w:rFonts w:ascii="Helvetica" w:hAnsi="Helvetica"/>
          <w:sz w:val="27"/>
          <w:szCs w:val="27"/>
        </w:rPr>
        <w:t>What is the reference that you are comparing these curves against, i.e. how do you know this is good quality?</w:t>
      </w:r>
    </w:p>
    <w:p w14:paraId="6E051E1B" w14:textId="617B2D1A" w:rsidR="00CA6A7C" w:rsidRPr="00CA6A7C" w:rsidRDefault="00CA6A7C" w:rsidP="00CA6A7C">
      <w:pPr>
        <w:pStyle w:val="a6"/>
        <w:ind w:firstLineChars="50" w:firstLine="135"/>
        <w:rPr>
          <w:rFonts w:ascii="Helvetica" w:hAnsi="Helvetica"/>
          <w:sz w:val="27"/>
          <w:szCs w:val="27"/>
        </w:rPr>
      </w:pPr>
      <w:r>
        <w:rPr>
          <w:rFonts w:ascii="Helvetica" w:hAnsi="Helvetica"/>
          <w:sz w:val="27"/>
          <w:szCs w:val="27"/>
        </w:rPr>
        <w:t>14.</w:t>
      </w:r>
      <w:r w:rsidRPr="00CA6A7C"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 Line</w:t>
      </w:r>
      <w:r>
        <w:rPr>
          <w:rFonts w:ascii="Helvetica" w:eastAsia="ＭＳ Ｐゴシック" w:hAnsi="Helvetica" w:cs="ＭＳ Ｐゴシック"/>
          <w:color w:val="000000"/>
          <w:kern w:val="0"/>
          <w:sz w:val="27"/>
          <w:szCs w:val="27"/>
        </w:rPr>
        <w:t xml:space="preserve">171: </w:t>
      </w:r>
      <w:r w:rsidRPr="00CA6A7C">
        <w:rPr>
          <w:rFonts w:ascii="Helvetica" w:hAnsi="Helvetica"/>
          <w:sz w:val="27"/>
          <w:szCs w:val="27"/>
        </w:rPr>
        <w:t xml:space="preserve">What is an example of bad preparation? </w:t>
      </w:r>
    </w:p>
    <w:p w14:paraId="4D3DBA1B" w14:textId="124FBA56" w:rsidR="00CA6A7C" w:rsidRPr="00CA6A7C" w:rsidRDefault="00CA6A7C" w:rsidP="00CA6A7C">
      <w:pPr>
        <w:pStyle w:val="a6"/>
        <w:ind w:firstLineChars="50" w:firstLine="135"/>
        <w:rPr>
          <w:rFonts w:ascii="Helvetica" w:hAnsi="Helvetica"/>
          <w:sz w:val="27"/>
          <w:szCs w:val="27"/>
        </w:rPr>
      </w:pP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Response: </w:t>
      </w:r>
      <w:r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I </w:t>
      </w:r>
      <w:r w:rsidR="00B955AE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now </w:t>
      </w:r>
      <w:r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answer to all these questions</w:t>
      </w:r>
      <w:bookmarkStart w:id="0" w:name="_GoBack"/>
      <w:bookmarkEnd w:id="0"/>
      <w:r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 xml:space="preserve">. </w:t>
      </w:r>
      <w:r w:rsidRPr="00CA6A7C"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  <w:t>I added new figures to show how we know good or bad quality.</w:t>
      </w:r>
    </w:p>
    <w:p w14:paraId="69CB57A6" w14:textId="77777777" w:rsidR="00CA6A7C" w:rsidRDefault="00CA6A7C" w:rsidP="00CA6A7C">
      <w:pPr>
        <w:pStyle w:val="a6"/>
      </w:pPr>
    </w:p>
    <w:p w14:paraId="38EE749D" w14:textId="77777777" w:rsidR="00CA6A7C" w:rsidRDefault="00CA6A7C" w:rsidP="00CA6A7C">
      <w:pPr>
        <w:pStyle w:val="a6"/>
      </w:pPr>
    </w:p>
    <w:p w14:paraId="2F268106" w14:textId="2EFC87CC" w:rsidR="004A3D33" w:rsidRPr="00623353" w:rsidRDefault="004A3D33">
      <w:pPr>
        <w:rPr>
          <w:rFonts w:ascii="Helvetica" w:eastAsia="ＭＳ Ｐゴシック" w:hAnsi="Helvetica" w:cs="ＭＳ Ｐゴシック"/>
          <w:color w:val="FF0000"/>
          <w:kern w:val="0"/>
          <w:sz w:val="27"/>
          <w:szCs w:val="27"/>
        </w:rPr>
      </w:pPr>
    </w:p>
    <w:sectPr w:rsidR="004A3D33" w:rsidRPr="00623353" w:rsidSect="009C43AC">
      <w:pgSz w:w="12240" w:h="15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6E"/>
    <w:rsid w:val="0000263D"/>
    <w:rsid w:val="00012123"/>
    <w:rsid w:val="000122A9"/>
    <w:rsid w:val="00094572"/>
    <w:rsid w:val="000966A5"/>
    <w:rsid w:val="000B215C"/>
    <w:rsid w:val="000C7B8F"/>
    <w:rsid w:val="001177A5"/>
    <w:rsid w:val="00125B03"/>
    <w:rsid w:val="00160D83"/>
    <w:rsid w:val="001763BF"/>
    <w:rsid w:val="00177942"/>
    <w:rsid w:val="001B224C"/>
    <w:rsid w:val="001B5EB8"/>
    <w:rsid w:val="00202E0E"/>
    <w:rsid w:val="00215F9C"/>
    <w:rsid w:val="002339ED"/>
    <w:rsid w:val="00237AC5"/>
    <w:rsid w:val="002B03D0"/>
    <w:rsid w:val="002B05CB"/>
    <w:rsid w:val="002B2718"/>
    <w:rsid w:val="002B4FB6"/>
    <w:rsid w:val="002C2F96"/>
    <w:rsid w:val="002E4FA6"/>
    <w:rsid w:val="00322952"/>
    <w:rsid w:val="003539FD"/>
    <w:rsid w:val="003612D7"/>
    <w:rsid w:val="00363252"/>
    <w:rsid w:val="003777B9"/>
    <w:rsid w:val="00382077"/>
    <w:rsid w:val="00384CA6"/>
    <w:rsid w:val="003873E1"/>
    <w:rsid w:val="003D19D8"/>
    <w:rsid w:val="003E0F8D"/>
    <w:rsid w:val="00432F58"/>
    <w:rsid w:val="004412EE"/>
    <w:rsid w:val="004A3D33"/>
    <w:rsid w:val="004C49A1"/>
    <w:rsid w:val="005A274E"/>
    <w:rsid w:val="005B59E4"/>
    <w:rsid w:val="005D1463"/>
    <w:rsid w:val="005D6838"/>
    <w:rsid w:val="0060160A"/>
    <w:rsid w:val="00623353"/>
    <w:rsid w:val="0064058D"/>
    <w:rsid w:val="0069506F"/>
    <w:rsid w:val="006A6170"/>
    <w:rsid w:val="006D7A3C"/>
    <w:rsid w:val="007A6BC5"/>
    <w:rsid w:val="007C3099"/>
    <w:rsid w:val="008645CA"/>
    <w:rsid w:val="008730F9"/>
    <w:rsid w:val="008C630E"/>
    <w:rsid w:val="00900897"/>
    <w:rsid w:val="00935428"/>
    <w:rsid w:val="00955B10"/>
    <w:rsid w:val="009B09AA"/>
    <w:rsid w:val="009B47A0"/>
    <w:rsid w:val="009C43AC"/>
    <w:rsid w:val="009F0B12"/>
    <w:rsid w:val="00A317BE"/>
    <w:rsid w:val="00AB3603"/>
    <w:rsid w:val="00AB72CF"/>
    <w:rsid w:val="00AC421F"/>
    <w:rsid w:val="00AC5D9B"/>
    <w:rsid w:val="00AD26E3"/>
    <w:rsid w:val="00AF214E"/>
    <w:rsid w:val="00B047E8"/>
    <w:rsid w:val="00B130E8"/>
    <w:rsid w:val="00B3686E"/>
    <w:rsid w:val="00B719BC"/>
    <w:rsid w:val="00B955AE"/>
    <w:rsid w:val="00B9697A"/>
    <w:rsid w:val="00BA1B3E"/>
    <w:rsid w:val="00BD1805"/>
    <w:rsid w:val="00C12D69"/>
    <w:rsid w:val="00CA6A7C"/>
    <w:rsid w:val="00CB63B6"/>
    <w:rsid w:val="00CE053D"/>
    <w:rsid w:val="00D61BE1"/>
    <w:rsid w:val="00D65814"/>
    <w:rsid w:val="00D83400"/>
    <w:rsid w:val="00DC12EA"/>
    <w:rsid w:val="00DD282D"/>
    <w:rsid w:val="00DF1E74"/>
    <w:rsid w:val="00E4123D"/>
    <w:rsid w:val="00E536EC"/>
    <w:rsid w:val="00E55327"/>
    <w:rsid w:val="00EC2299"/>
    <w:rsid w:val="00F12424"/>
    <w:rsid w:val="00FB6529"/>
    <w:rsid w:val="00FC3BA3"/>
    <w:rsid w:val="00F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2CBD9"/>
  <w14:defaultImageDpi w14:val="32767"/>
  <w15:docId w15:val="{59CA8BB3-BAA4-194B-A77B-FBBFC79D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86E"/>
    <w:rPr>
      <w:b/>
      <w:bCs/>
    </w:rPr>
  </w:style>
  <w:style w:type="character" w:customStyle="1" w:styleId="apple-converted-space">
    <w:name w:val="apple-converted-space"/>
    <w:basedOn w:val="a0"/>
    <w:rsid w:val="00B3686E"/>
  </w:style>
  <w:style w:type="character" w:styleId="a4">
    <w:name w:val="Hyperlink"/>
    <w:basedOn w:val="a0"/>
    <w:uiPriority w:val="99"/>
    <w:unhideWhenUsed/>
    <w:rsid w:val="00B3686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AF214E"/>
    <w:rPr>
      <w:sz w:val="16"/>
      <w:szCs w:val="16"/>
    </w:rPr>
  </w:style>
  <w:style w:type="paragraph" w:styleId="a6">
    <w:name w:val="annotation text"/>
    <w:basedOn w:val="a"/>
    <w:link w:val="a7"/>
    <w:unhideWhenUsed/>
    <w:rsid w:val="00AF214E"/>
    <w:rPr>
      <w:sz w:val="20"/>
      <w:szCs w:val="20"/>
    </w:rPr>
  </w:style>
  <w:style w:type="character" w:customStyle="1" w:styleId="a7">
    <w:name w:val="コメント文字列 (文字)"/>
    <w:basedOn w:val="a0"/>
    <w:link w:val="a6"/>
    <w:rsid w:val="00AF214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F214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F214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F214E"/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214E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rsid w:val="009B47A0"/>
    <w:pPr>
      <w:autoSpaceDE w:val="0"/>
      <w:autoSpaceDN w:val="0"/>
      <w:adjustRightInd w:val="0"/>
      <w:spacing w:before="100" w:beforeAutospacing="1" w:after="100" w:afterAutospacing="1"/>
    </w:pPr>
    <w:rPr>
      <w:rFonts w:ascii="Calibri" w:eastAsia="游明朝" w:hAnsi="Calibri" w:cs="Calibri"/>
      <w:color w:val="000000"/>
      <w:kern w:val="0"/>
      <w:lang w:eastAsia="en-US"/>
    </w:rPr>
  </w:style>
  <w:style w:type="paragraph" w:customStyle="1" w:styleId="EndNoteBibliography">
    <w:name w:val="EndNote Bibliography"/>
    <w:basedOn w:val="a"/>
    <w:rsid w:val="00AB72CF"/>
    <w:pPr>
      <w:autoSpaceDE w:val="0"/>
      <w:autoSpaceDN w:val="0"/>
      <w:adjustRightInd w:val="0"/>
    </w:pPr>
    <w:rPr>
      <w:rFonts w:ascii="Calibri" w:eastAsia="游明朝" w:hAnsi="Calibri" w:cs="Calibri"/>
      <w:color w:val="000000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sc.org/suppdata/c5/nr/c5nr02377g/c5nr02377g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F889-A53B-4144-AE55-D51D9DF1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Konoeda, Hisato</dc:creator>
  <cp:keywords/>
  <dc:description/>
  <cp:lastModifiedBy>Konoeda, Hisato</cp:lastModifiedBy>
  <cp:revision>4</cp:revision>
  <dcterms:created xsi:type="dcterms:W3CDTF">2018-09-07T20:28:00Z</dcterms:created>
  <dcterms:modified xsi:type="dcterms:W3CDTF">2018-09-07T20:39:00Z</dcterms:modified>
</cp:coreProperties>
</file>