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988FD" w14:textId="77777777" w:rsidR="00D412EE" w:rsidRPr="00D412EE" w:rsidRDefault="00615EAD" w:rsidP="00D412EE">
      <w:pPr>
        <w:spacing w:after="0" w:line="240" w:lineRule="auto"/>
        <w:jc w:val="both"/>
        <w:rPr>
          <w:rFonts w:eastAsia="Times New Roman" w:cs="Calibri"/>
          <w:b/>
          <w:bCs/>
          <w:color w:val="000000"/>
          <w:sz w:val="24"/>
          <w:szCs w:val="24"/>
        </w:rPr>
      </w:pPr>
      <w:r w:rsidRPr="00D412EE">
        <w:rPr>
          <w:rFonts w:eastAsia="Times New Roman" w:cs="Calibri"/>
          <w:b/>
          <w:bCs/>
          <w:color w:val="000000"/>
          <w:sz w:val="24"/>
          <w:szCs w:val="24"/>
        </w:rPr>
        <w:t xml:space="preserve">TITLE: </w:t>
      </w:r>
    </w:p>
    <w:p w14:paraId="027906D0"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Novel Process for 3D Printing Decellularized Matrices</w:t>
      </w:r>
    </w:p>
    <w:p w14:paraId="7807162D"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 </w:t>
      </w:r>
    </w:p>
    <w:p w14:paraId="42EABA88"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AUTHORS: </w:t>
      </w:r>
    </w:p>
    <w:p w14:paraId="4202B977" w14:textId="77777777" w:rsidR="00BF375F" w:rsidRPr="00D412EE" w:rsidRDefault="00BF375F" w:rsidP="00D412EE">
      <w:pPr>
        <w:spacing w:after="0" w:line="240" w:lineRule="auto"/>
        <w:jc w:val="both"/>
        <w:rPr>
          <w:rFonts w:eastAsia="Times New Roman" w:cs="Calibri"/>
          <w:color w:val="000000"/>
          <w:sz w:val="24"/>
          <w:szCs w:val="24"/>
          <w:lang w:eastAsia="en-IN"/>
        </w:rPr>
      </w:pPr>
      <w:r w:rsidRPr="00D412EE">
        <w:rPr>
          <w:rFonts w:eastAsia="Times New Roman" w:cs="Calibri"/>
          <w:color w:val="000000"/>
          <w:sz w:val="24"/>
          <w:szCs w:val="24"/>
          <w:lang w:eastAsia="en-IN"/>
        </w:rPr>
        <w:t>Stacey M.S. Gruber</w:t>
      </w:r>
      <w:r w:rsidRPr="00D412EE">
        <w:rPr>
          <w:rFonts w:eastAsia="Times New Roman" w:cs="Calibri"/>
          <w:color w:val="000000"/>
          <w:sz w:val="24"/>
          <w:szCs w:val="24"/>
          <w:vertAlign w:val="superscript"/>
          <w:lang w:eastAsia="en-IN"/>
        </w:rPr>
        <w:t>1</w:t>
      </w:r>
      <w:r w:rsidRPr="00D412EE">
        <w:rPr>
          <w:rFonts w:eastAsia="Times New Roman" w:cs="Calibri"/>
          <w:color w:val="000000"/>
          <w:sz w:val="24"/>
          <w:szCs w:val="24"/>
          <w:lang w:eastAsia="en-IN"/>
        </w:rPr>
        <w:t xml:space="preserve">, </w:t>
      </w:r>
      <w:proofErr w:type="spellStart"/>
      <w:r w:rsidRPr="00D412EE">
        <w:rPr>
          <w:rFonts w:eastAsia="Times New Roman" w:cs="Calibri"/>
          <w:color w:val="000000"/>
          <w:sz w:val="24"/>
          <w:szCs w:val="24"/>
          <w:lang w:eastAsia="en-IN"/>
        </w:rPr>
        <w:t>Paulomi</w:t>
      </w:r>
      <w:proofErr w:type="spellEnd"/>
      <w:r w:rsidRPr="00D412EE">
        <w:rPr>
          <w:rFonts w:eastAsia="Times New Roman" w:cs="Calibri"/>
          <w:color w:val="000000"/>
          <w:sz w:val="24"/>
          <w:szCs w:val="24"/>
          <w:lang w:eastAsia="en-IN"/>
        </w:rPr>
        <w:t xml:space="preserve"> Ghosh</w:t>
      </w:r>
      <w:r w:rsidRPr="00D412EE">
        <w:rPr>
          <w:rFonts w:eastAsia="Times New Roman" w:cs="Calibri"/>
          <w:color w:val="000000"/>
          <w:sz w:val="24"/>
          <w:szCs w:val="24"/>
          <w:vertAlign w:val="superscript"/>
          <w:lang w:eastAsia="en-IN"/>
        </w:rPr>
        <w:t>2</w:t>
      </w:r>
      <w:r w:rsidRPr="00D412EE">
        <w:rPr>
          <w:rFonts w:eastAsia="Times New Roman" w:cs="Calibri"/>
          <w:color w:val="000000"/>
          <w:sz w:val="24"/>
          <w:szCs w:val="24"/>
          <w:lang w:eastAsia="en-IN"/>
        </w:rPr>
        <w:t>, Karl Wilhelm Mueller</w:t>
      </w:r>
      <w:r w:rsidRPr="00D412EE">
        <w:rPr>
          <w:rFonts w:eastAsia="Times New Roman" w:cs="Calibri"/>
          <w:color w:val="000000"/>
          <w:sz w:val="24"/>
          <w:szCs w:val="24"/>
          <w:vertAlign w:val="superscript"/>
          <w:lang w:eastAsia="en-IN"/>
        </w:rPr>
        <w:t>2</w:t>
      </w:r>
      <w:r w:rsidRPr="00D412EE">
        <w:rPr>
          <w:rFonts w:eastAsia="Times New Roman" w:cs="Calibri"/>
          <w:color w:val="000000"/>
          <w:sz w:val="24"/>
          <w:szCs w:val="24"/>
          <w:lang w:eastAsia="en-IN"/>
        </w:rPr>
        <w:t>, Patrick W. Whitlock</w:t>
      </w:r>
      <w:r w:rsidRPr="00D412EE">
        <w:rPr>
          <w:rFonts w:eastAsia="Times New Roman" w:cs="Calibri"/>
          <w:color w:val="000000"/>
          <w:sz w:val="24"/>
          <w:szCs w:val="24"/>
          <w:vertAlign w:val="superscript"/>
          <w:lang w:eastAsia="en-IN"/>
        </w:rPr>
        <w:t>1,2,3</w:t>
      </w:r>
      <w:r w:rsidRPr="00D412EE">
        <w:rPr>
          <w:rFonts w:eastAsia="Times New Roman" w:cs="Calibri"/>
          <w:color w:val="000000"/>
          <w:sz w:val="24"/>
          <w:szCs w:val="24"/>
          <w:lang w:eastAsia="en-IN"/>
        </w:rPr>
        <w:t>, Chia-Ying Lin</w:t>
      </w:r>
      <w:r w:rsidRPr="00D412EE">
        <w:rPr>
          <w:rFonts w:eastAsia="Times New Roman" w:cs="Calibri"/>
          <w:color w:val="000000"/>
          <w:sz w:val="24"/>
          <w:szCs w:val="24"/>
          <w:vertAlign w:val="superscript"/>
          <w:lang w:eastAsia="en-IN"/>
        </w:rPr>
        <w:t>1,3</w:t>
      </w:r>
    </w:p>
    <w:p w14:paraId="7D91DDB2" w14:textId="77777777" w:rsidR="00BF375F" w:rsidRPr="00D412EE" w:rsidRDefault="00BF375F" w:rsidP="00D412EE">
      <w:pPr>
        <w:spacing w:after="0" w:line="240" w:lineRule="auto"/>
        <w:jc w:val="both"/>
        <w:rPr>
          <w:rFonts w:eastAsia="Times New Roman" w:cs="Calibri"/>
          <w:color w:val="000000"/>
          <w:sz w:val="24"/>
          <w:szCs w:val="24"/>
          <w:lang w:eastAsia="en-IN"/>
        </w:rPr>
      </w:pPr>
    </w:p>
    <w:p w14:paraId="5FF30334" w14:textId="77777777" w:rsidR="00BF375F" w:rsidRPr="00D412EE" w:rsidRDefault="00BF375F" w:rsidP="00D412EE">
      <w:pPr>
        <w:spacing w:after="0" w:line="240" w:lineRule="auto"/>
        <w:jc w:val="both"/>
        <w:rPr>
          <w:rFonts w:eastAsia="Times New Roman" w:cs="Calibri"/>
          <w:sz w:val="24"/>
          <w:szCs w:val="24"/>
          <w:lang w:eastAsia="en-IN"/>
        </w:rPr>
      </w:pPr>
      <w:r w:rsidRPr="00D412EE">
        <w:rPr>
          <w:rFonts w:eastAsia="Times New Roman" w:cs="Calibri"/>
          <w:color w:val="000000"/>
          <w:sz w:val="24"/>
          <w:szCs w:val="24"/>
          <w:vertAlign w:val="superscript"/>
          <w:lang w:eastAsia="en-IN"/>
        </w:rPr>
        <w:t>1</w:t>
      </w:r>
      <w:r w:rsidRPr="00D412EE">
        <w:rPr>
          <w:rFonts w:eastAsia="Times New Roman" w:cs="Calibri"/>
          <w:color w:val="000000"/>
          <w:sz w:val="24"/>
          <w:szCs w:val="24"/>
          <w:lang w:eastAsia="en-IN"/>
        </w:rPr>
        <w:t>Department of Biomedical Engineering</w:t>
      </w:r>
      <w:r w:rsidR="0058078F">
        <w:rPr>
          <w:rFonts w:eastAsia="Times New Roman" w:cs="Calibri"/>
          <w:sz w:val="24"/>
          <w:szCs w:val="24"/>
          <w:lang w:eastAsia="en-IN"/>
        </w:rPr>
        <w:t xml:space="preserve">, </w:t>
      </w:r>
      <w:r w:rsidRPr="00D412EE">
        <w:rPr>
          <w:rFonts w:eastAsia="Times New Roman" w:cs="Calibri"/>
          <w:color w:val="000000"/>
          <w:sz w:val="24"/>
          <w:szCs w:val="24"/>
          <w:lang w:eastAsia="en-IN"/>
        </w:rPr>
        <w:t>University of Cincinnati, Cincinnati, Ohio, United States</w:t>
      </w:r>
    </w:p>
    <w:p w14:paraId="08CEC061" w14:textId="77777777" w:rsidR="00BF375F" w:rsidRPr="00D412EE" w:rsidRDefault="00BF375F" w:rsidP="00D412EE">
      <w:pPr>
        <w:spacing w:after="0" w:line="240" w:lineRule="auto"/>
        <w:jc w:val="both"/>
        <w:rPr>
          <w:rFonts w:eastAsia="Times New Roman" w:cs="Calibri"/>
          <w:color w:val="000000"/>
          <w:sz w:val="24"/>
          <w:szCs w:val="24"/>
          <w:vertAlign w:val="superscript"/>
          <w:lang w:eastAsia="en-IN"/>
        </w:rPr>
      </w:pPr>
    </w:p>
    <w:p w14:paraId="7EB6FE95" w14:textId="77777777" w:rsidR="00BF375F" w:rsidRPr="00D412EE" w:rsidRDefault="00BF375F" w:rsidP="00D412EE">
      <w:pPr>
        <w:spacing w:after="0" w:line="240" w:lineRule="auto"/>
        <w:jc w:val="both"/>
        <w:rPr>
          <w:rFonts w:eastAsia="Times New Roman" w:cs="Calibri"/>
          <w:sz w:val="24"/>
          <w:szCs w:val="24"/>
          <w:lang w:eastAsia="en-IN"/>
        </w:rPr>
      </w:pPr>
      <w:r w:rsidRPr="00D412EE">
        <w:rPr>
          <w:rFonts w:eastAsia="Times New Roman" w:cs="Calibri"/>
          <w:color w:val="000000"/>
          <w:sz w:val="24"/>
          <w:szCs w:val="24"/>
          <w:vertAlign w:val="superscript"/>
          <w:lang w:eastAsia="en-IN"/>
        </w:rPr>
        <w:t>2</w:t>
      </w:r>
      <w:r w:rsidR="00002E08" w:rsidRPr="00D412EE">
        <w:rPr>
          <w:rFonts w:eastAsia="Times New Roman" w:cs="Calibri"/>
          <w:color w:val="000000"/>
          <w:sz w:val="24"/>
          <w:szCs w:val="24"/>
          <w:lang w:eastAsia="en-IN"/>
        </w:rPr>
        <w:t>Division</w:t>
      </w:r>
      <w:r w:rsidRPr="00D412EE">
        <w:rPr>
          <w:rFonts w:eastAsia="Times New Roman" w:cs="Calibri"/>
          <w:color w:val="000000"/>
          <w:sz w:val="24"/>
          <w:szCs w:val="24"/>
          <w:lang w:eastAsia="en-IN"/>
        </w:rPr>
        <w:t xml:space="preserve"> of </w:t>
      </w:r>
      <w:proofErr w:type="spellStart"/>
      <w:r w:rsidRPr="00D412EE">
        <w:rPr>
          <w:rFonts w:eastAsia="Times New Roman" w:cs="Calibri"/>
          <w:color w:val="000000"/>
          <w:sz w:val="24"/>
          <w:szCs w:val="24"/>
          <w:lang w:eastAsia="en-IN"/>
        </w:rPr>
        <w:t>Orthopaedic</w:t>
      </w:r>
      <w:proofErr w:type="spellEnd"/>
      <w:r w:rsidRPr="00D412EE">
        <w:rPr>
          <w:rFonts w:eastAsia="Times New Roman" w:cs="Calibri"/>
          <w:color w:val="000000"/>
          <w:sz w:val="24"/>
          <w:szCs w:val="24"/>
          <w:lang w:eastAsia="en-IN"/>
        </w:rPr>
        <w:t xml:space="preserve"> Surgery</w:t>
      </w:r>
      <w:r w:rsidR="0058078F">
        <w:rPr>
          <w:rFonts w:eastAsia="Times New Roman" w:cs="Calibri"/>
          <w:sz w:val="24"/>
          <w:szCs w:val="24"/>
          <w:lang w:eastAsia="en-IN"/>
        </w:rPr>
        <w:t xml:space="preserve">, </w:t>
      </w:r>
      <w:r w:rsidRPr="00D412EE">
        <w:rPr>
          <w:rFonts w:eastAsia="Times New Roman" w:cs="Calibri"/>
          <w:color w:val="000000"/>
          <w:sz w:val="24"/>
          <w:szCs w:val="24"/>
          <w:lang w:eastAsia="en-IN"/>
        </w:rPr>
        <w:t>Cincinnati Children’s Hospital Medical Center, Cincinnati, Ohio, United States</w:t>
      </w:r>
    </w:p>
    <w:p w14:paraId="4D51A6EB" w14:textId="77777777" w:rsidR="00BF375F" w:rsidRPr="00D412EE" w:rsidRDefault="00BF375F" w:rsidP="00D412EE">
      <w:pPr>
        <w:spacing w:after="0" w:line="240" w:lineRule="auto"/>
        <w:jc w:val="both"/>
        <w:rPr>
          <w:rFonts w:eastAsia="Times New Roman" w:cs="Calibri"/>
          <w:sz w:val="24"/>
          <w:szCs w:val="24"/>
          <w:lang w:eastAsia="en-IN"/>
        </w:rPr>
      </w:pPr>
    </w:p>
    <w:p w14:paraId="507D6AE6" w14:textId="77777777" w:rsidR="00BF375F" w:rsidRPr="00D412EE" w:rsidRDefault="00BF375F" w:rsidP="00D412EE">
      <w:pPr>
        <w:spacing w:after="0" w:line="240" w:lineRule="auto"/>
        <w:jc w:val="both"/>
        <w:rPr>
          <w:rFonts w:eastAsia="Times New Roman" w:cs="Calibri"/>
          <w:color w:val="000000"/>
          <w:sz w:val="24"/>
          <w:szCs w:val="24"/>
          <w:lang w:eastAsia="en-IN"/>
        </w:rPr>
      </w:pPr>
      <w:r w:rsidRPr="00D412EE">
        <w:rPr>
          <w:rFonts w:eastAsia="Times New Roman" w:cs="Calibri"/>
          <w:color w:val="000000"/>
          <w:sz w:val="24"/>
          <w:szCs w:val="24"/>
          <w:vertAlign w:val="superscript"/>
          <w:lang w:eastAsia="en-IN"/>
        </w:rPr>
        <w:t>3</w:t>
      </w:r>
      <w:r w:rsidRPr="00D412EE">
        <w:rPr>
          <w:rFonts w:eastAsia="Times New Roman" w:cs="Calibri"/>
          <w:color w:val="000000"/>
          <w:sz w:val="24"/>
          <w:szCs w:val="24"/>
          <w:lang w:eastAsia="en-IN"/>
        </w:rPr>
        <w:t xml:space="preserve">Department of </w:t>
      </w:r>
      <w:proofErr w:type="spellStart"/>
      <w:r w:rsidRPr="00D412EE">
        <w:rPr>
          <w:rFonts w:eastAsia="Times New Roman" w:cs="Calibri"/>
          <w:color w:val="000000"/>
          <w:sz w:val="24"/>
          <w:szCs w:val="24"/>
          <w:lang w:eastAsia="en-IN"/>
        </w:rPr>
        <w:t>Orthopaedic</w:t>
      </w:r>
      <w:proofErr w:type="spellEnd"/>
      <w:r w:rsidRPr="00D412EE">
        <w:rPr>
          <w:rFonts w:eastAsia="Times New Roman" w:cs="Calibri"/>
          <w:color w:val="000000"/>
          <w:sz w:val="24"/>
          <w:szCs w:val="24"/>
          <w:lang w:eastAsia="en-IN"/>
        </w:rPr>
        <w:t xml:space="preserve"> Surgery, University of Cincinnati, Cincinnati, Ohio, USA</w:t>
      </w:r>
    </w:p>
    <w:p w14:paraId="767AD81C"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 </w:t>
      </w:r>
    </w:p>
    <w:p w14:paraId="61C1B337" w14:textId="77777777" w:rsidR="00D46344" w:rsidRPr="00D412EE" w:rsidRDefault="00615EAD" w:rsidP="00D412EE">
      <w:pPr>
        <w:spacing w:after="0" w:line="240" w:lineRule="auto"/>
        <w:jc w:val="both"/>
        <w:rPr>
          <w:rFonts w:eastAsia="Times New Roman" w:cs="Calibri"/>
          <w:i/>
          <w:iCs/>
          <w:color w:val="808080"/>
          <w:sz w:val="24"/>
          <w:szCs w:val="24"/>
        </w:rPr>
      </w:pPr>
      <w:r w:rsidRPr="00D412EE">
        <w:rPr>
          <w:rFonts w:eastAsia="Times New Roman" w:cs="Calibri"/>
          <w:b/>
          <w:bCs/>
          <w:color w:val="000000"/>
          <w:sz w:val="24"/>
          <w:szCs w:val="24"/>
        </w:rPr>
        <w:t>CORRESPONDING AUTHOR:</w:t>
      </w:r>
    </w:p>
    <w:p w14:paraId="5F05275C" w14:textId="77777777" w:rsidR="00D46344" w:rsidRPr="00D412EE" w:rsidRDefault="00D46344" w:rsidP="00D412EE">
      <w:pPr>
        <w:spacing w:after="0" w:line="240" w:lineRule="auto"/>
        <w:jc w:val="both"/>
        <w:rPr>
          <w:rFonts w:eastAsia="Times New Roman" w:cs="Calibri"/>
          <w:bCs/>
          <w:color w:val="000000"/>
          <w:sz w:val="24"/>
          <w:szCs w:val="24"/>
        </w:rPr>
      </w:pPr>
      <w:r w:rsidRPr="00D412EE">
        <w:rPr>
          <w:rFonts w:eastAsia="Times New Roman" w:cs="Calibri"/>
          <w:bCs/>
          <w:color w:val="000000"/>
          <w:sz w:val="24"/>
          <w:szCs w:val="24"/>
        </w:rPr>
        <w:t xml:space="preserve">Chia-Ying (James) Lin </w:t>
      </w:r>
      <w:r w:rsidR="0058078F">
        <w:rPr>
          <w:rFonts w:eastAsia="Times New Roman" w:cs="Calibri"/>
          <w:bCs/>
          <w:color w:val="000000"/>
          <w:sz w:val="24"/>
          <w:szCs w:val="24"/>
        </w:rPr>
        <w:t>(</w:t>
      </w:r>
      <w:r w:rsidRPr="00D412EE">
        <w:rPr>
          <w:rFonts w:eastAsia="Times New Roman" w:cs="Calibri"/>
          <w:bCs/>
          <w:color w:val="000000"/>
          <w:sz w:val="24"/>
          <w:szCs w:val="24"/>
        </w:rPr>
        <w:t>linc9@ucmail.uc.edu</w:t>
      </w:r>
      <w:r w:rsidR="0058078F">
        <w:rPr>
          <w:rFonts w:eastAsia="Times New Roman" w:cs="Calibri"/>
          <w:bCs/>
          <w:color w:val="000000"/>
          <w:sz w:val="24"/>
          <w:szCs w:val="24"/>
        </w:rPr>
        <w:t>)</w:t>
      </w:r>
    </w:p>
    <w:p w14:paraId="63C3E137"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 </w:t>
      </w:r>
    </w:p>
    <w:p w14:paraId="6CA3F14A"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KEYWORDS:</w:t>
      </w:r>
      <w:r w:rsidRPr="00D412EE">
        <w:rPr>
          <w:rFonts w:eastAsia="Times New Roman" w:cs="Calibri"/>
          <w:color w:val="000000"/>
          <w:sz w:val="24"/>
          <w:szCs w:val="24"/>
        </w:rPr>
        <w:t xml:space="preserve"> </w:t>
      </w:r>
    </w:p>
    <w:p w14:paraId="686C9CD1" w14:textId="77777777" w:rsidR="00615EAD" w:rsidRPr="00D412EE" w:rsidRDefault="00615EAD" w:rsidP="00D412EE">
      <w:pPr>
        <w:spacing w:after="0" w:line="240" w:lineRule="auto"/>
        <w:jc w:val="both"/>
        <w:rPr>
          <w:rFonts w:eastAsia="Times New Roman" w:cs="Calibri"/>
          <w:sz w:val="24"/>
          <w:szCs w:val="24"/>
        </w:rPr>
      </w:pPr>
      <w:proofErr w:type="spellStart"/>
      <w:r w:rsidRPr="00D412EE">
        <w:rPr>
          <w:rFonts w:eastAsia="Times New Roman" w:cs="Calibri"/>
          <w:sz w:val="24"/>
          <w:szCs w:val="24"/>
        </w:rPr>
        <w:t>Biofabrication</w:t>
      </w:r>
      <w:proofErr w:type="spellEnd"/>
      <w:r w:rsidRPr="00D412EE">
        <w:rPr>
          <w:rFonts w:eastAsia="Times New Roman" w:cs="Calibri"/>
          <w:sz w:val="24"/>
          <w:szCs w:val="24"/>
        </w:rPr>
        <w:t>, 3D Printing, Decellularized Matrices</w:t>
      </w:r>
      <w:r w:rsidR="004C3227" w:rsidRPr="00D412EE">
        <w:rPr>
          <w:rFonts w:eastAsia="Times New Roman" w:cs="Calibri"/>
          <w:sz w:val="24"/>
          <w:szCs w:val="24"/>
        </w:rPr>
        <w:t>, Fused Deposition Modeling, Osteochondral Repair, Filament Production</w:t>
      </w:r>
    </w:p>
    <w:p w14:paraId="29C8DE5C"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color w:val="000000"/>
          <w:sz w:val="24"/>
          <w:szCs w:val="24"/>
        </w:rPr>
        <w:t xml:space="preserve"> </w:t>
      </w:r>
    </w:p>
    <w:p w14:paraId="1A07407F" w14:textId="77777777" w:rsidR="00D3275C"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SHORT ABSTRACT:</w:t>
      </w:r>
      <w:r w:rsidRPr="00D412EE">
        <w:rPr>
          <w:rFonts w:eastAsia="Times New Roman" w:cs="Calibri"/>
          <w:color w:val="000000"/>
          <w:sz w:val="24"/>
          <w:szCs w:val="24"/>
        </w:rPr>
        <w:t xml:space="preserve"> </w:t>
      </w:r>
    </w:p>
    <w:p w14:paraId="23421025"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This protocol describes </w:t>
      </w:r>
      <w:r w:rsidR="0058078F">
        <w:rPr>
          <w:rFonts w:eastAsia="Times New Roman" w:cs="Calibri"/>
          <w:sz w:val="24"/>
          <w:szCs w:val="24"/>
        </w:rPr>
        <w:t xml:space="preserve">the </w:t>
      </w:r>
      <w:r w:rsidRPr="00D412EE">
        <w:rPr>
          <w:rFonts w:eastAsia="Times New Roman" w:cs="Calibri"/>
          <w:sz w:val="24"/>
          <w:szCs w:val="24"/>
        </w:rPr>
        <w:t xml:space="preserve">production of polycaprolactone (PCL) filament with embedded polylactic acid (PLA) microspheres which contain decellularized matrices </w:t>
      </w:r>
      <w:r w:rsidR="00864CBE" w:rsidRPr="00D412EE">
        <w:rPr>
          <w:rFonts w:eastAsia="Times New Roman" w:cs="Calibri"/>
          <w:sz w:val="24"/>
          <w:szCs w:val="24"/>
        </w:rPr>
        <w:t xml:space="preserve">(DM) </w:t>
      </w:r>
      <w:r w:rsidRPr="00D412EE">
        <w:rPr>
          <w:rFonts w:eastAsia="Times New Roman" w:cs="Calibri"/>
          <w:sz w:val="24"/>
          <w:szCs w:val="24"/>
        </w:rPr>
        <w:t xml:space="preserve">for 3D printing of structural tissue engineering constructs. </w:t>
      </w:r>
    </w:p>
    <w:p w14:paraId="38722446"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color w:val="000000"/>
          <w:sz w:val="24"/>
          <w:szCs w:val="24"/>
        </w:rPr>
        <w:t xml:space="preserve"> </w:t>
      </w:r>
    </w:p>
    <w:p w14:paraId="0DE65A30"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LONG ABSTRACT:</w:t>
      </w:r>
      <w:r w:rsidRPr="00D412EE">
        <w:rPr>
          <w:rFonts w:eastAsia="Times New Roman" w:cs="Calibri"/>
          <w:color w:val="000000"/>
          <w:sz w:val="24"/>
          <w:szCs w:val="24"/>
        </w:rPr>
        <w:t xml:space="preserve"> </w:t>
      </w:r>
    </w:p>
    <w:p w14:paraId="591EA539"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3D bioprinting </w:t>
      </w:r>
      <w:r w:rsidR="00075028" w:rsidRPr="00D412EE">
        <w:rPr>
          <w:rFonts w:eastAsia="Times New Roman" w:cs="Calibri"/>
          <w:sz w:val="24"/>
          <w:szCs w:val="24"/>
        </w:rPr>
        <w:t xml:space="preserve">aims to create </w:t>
      </w:r>
      <w:r w:rsidRPr="00D412EE">
        <w:rPr>
          <w:rFonts w:eastAsia="Times New Roman" w:cs="Calibri"/>
          <w:sz w:val="24"/>
          <w:szCs w:val="24"/>
        </w:rPr>
        <w:t xml:space="preserve">custom </w:t>
      </w:r>
      <w:r w:rsidR="00CE08CD" w:rsidRPr="00D412EE">
        <w:rPr>
          <w:rFonts w:eastAsia="Times New Roman" w:cs="Calibri"/>
          <w:sz w:val="24"/>
          <w:szCs w:val="24"/>
        </w:rPr>
        <w:t>scaffolds</w:t>
      </w:r>
      <w:r w:rsidRPr="00D412EE">
        <w:rPr>
          <w:rFonts w:eastAsia="Times New Roman" w:cs="Calibri"/>
          <w:sz w:val="24"/>
          <w:szCs w:val="24"/>
        </w:rPr>
        <w:t xml:space="preserve"> that are biologically active and accommodate the </w:t>
      </w:r>
      <w:r w:rsidR="00075028" w:rsidRPr="00D412EE">
        <w:rPr>
          <w:rFonts w:eastAsia="Times New Roman" w:cs="Calibri"/>
          <w:sz w:val="24"/>
          <w:szCs w:val="24"/>
        </w:rPr>
        <w:t>desired</w:t>
      </w:r>
      <w:r w:rsidR="00A4007F" w:rsidRPr="00D412EE">
        <w:rPr>
          <w:rFonts w:eastAsia="Times New Roman" w:cs="Calibri"/>
          <w:sz w:val="24"/>
          <w:szCs w:val="24"/>
        </w:rPr>
        <w:t xml:space="preserve"> </w:t>
      </w:r>
      <w:r w:rsidRPr="00D412EE">
        <w:rPr>
          <w:rFonts w:eastAsia="Times New Roman" w:cs="Calibri"/>
          <w:sz w:val="24"/>
          <w:szCs w:val="24"/>
        </w:rPr>
        <w:t xml:space="preserve">size and </w:t>
      </w:r>
      <w:r w:rsidR="00CE08CD" w:rsidRPr="00D412EE">
        <w:rPr>
          <w:rFonts w:eastAsia="Times New Roman" w:cs="Calibri"/>
          <w:sz w:val="24"/>
          <w:szCs w:val="24"/>
        </w:rPr>
        <w:t>geometry</w:t>
      </w:r>
      <w:r w:rsidRPr="00D412EE">
        <w:rPr>
          <w:rFonts w:eastAsia="Times New Roman" w:cs="Calibri"/>
          <w:sz w:val="24"/>
          <w:szCs w:val="24"/>
        </w:rPr>
        <w:t xml:space="preserve">. A </w:t>
      </w:r>
      <w:r w:rsidR="00075028" w:rsidRPr="00D412EE">
        <w:rPr>
          <w:rFonts w:eastAsia="Times New Roman" w:cs="Calibri"/>
          <w:sz w:val="24"/>
          <w:szCs w:val="24"/>
        </w:rPr>
        <w:t>thermoplastic backbone</w:t>
      </w:r>
      <w:r w:rsidRPr="00D412EE">
        <w:rPr>
          <w:rFonts w:eastAsia="Times New Roman" w:cs="Calibri"/>
          <w:sz w:val="24"/>
          <w:szCs w:val="24"/>
        </w:rPr>
        <w:t xml:space="preserve"> can provide mechanical stability similar to native tissue while </w:t>
      </w:r>
      <w:r w:rsidR="00075028" w:rsidRPr="00D412EE">
        <w:rPr>
          <w:rFonts w:eastAsia="Times New Roman" w:cs="Calibri"/>
          <w:sz w:val="24"/>
          <w:szCs w:val="24"/>
        </w:rPr>
        <w:t>biologic agents</w:t>
      </w:r>
      <w:r w:rsidRPr="00D412EE">
        <w:rPr>
          <w:rFonts w:eastAsia="Times New Roman" w:cs="Calibri"/>
          <w:sz w:val="24"/>
          <w:szCs w:val="24"/>
        </w:rPr>
        <w:t xml:space="preserve"> offer compositional cues to </w:t>
      </w:r>
      <w:r w:rsidR="00251931" w:rsidRPr="00D412EE">
        <w:rPr>
          <w:rFonts w:eastAsia="Times New Roman" w:cs="Calibri"/>
          <w:sz w:val="24"/>
          <w:szCs w:val="24"/>
        </w:rPr>
        <w:t>progenitor cells,</w:t>
      </w:r>
      <w:r w:rsidRPr="00D412EE">
        <w:rPr>
          <w:rFonts w:eastAsia="Times New Roman" w:cs="Calibri"/>
          <w:sz w:val="24"/>
          <w:szCs w:val="24"/>
        </w:rPr>
        <w:t xml:space="preserve"> leading to their migration, proliferation, and differentiation </w:t>
      </w:r>
      <w:r w:rsidR="00251931" w:rsidRPr="00D412EE">
        <w:rPr>
          <w:rFonts w:eastAsia="Times New Roman" w:cs="Calibri"/>
          <w:sz w:val="24"/>
          <w:szCs w:val="24"/>
        </w:rPr>
        <w:t>to reconstitute the original tissues/organs</w:t>
      </w:r>
      <w:r w:rsidR="00755280" w:rsidRPr="00D412EE">
        <w:rPr>
          <w:rFonts w:eastAsia="Times New Roman" w:cs="Calibri"/>
          <w:sz w:val="24"/>
          <w:szCs w:val="24"/>
        </w:rPr>
        <w:fldChar w:fldCharType="begin" w:fldLock="1"/>
      </w:r>
      <w:r w:rsidR="00D52B77" w:rsidRPr="00D412EE">
        <w:rPr>
          <w:rFonts w:eastAsia="Times New Roman" w:cs="Calibri"/>
          <w:sz w:val="24"/>
          <w:szCs w:val="24"/>
        </w:rPr>
        <w:instrText>ADDIN CSL_CITATION {"citationItems":[{"id":"ITEM-1","itemData":{"author":[{"dropping-particle":"","family":"Hutchmaker","given":"Dietmar","non-dropping-particle":"","parse-names":false,"suffix":""},{"dropping-particle":"","family":"Teoh","given":"Swee","non-dropping-particle":"","parse-names":false,"suffix":""},{"dropping-particle":"","family":"Zein","given":"Iwan","non-dropping-particle":"","parse-names":false,"suffix":""},{"dropping-particle":"","family":"Ng","given":"Kee Woei","non-dropping-particle":"","parse-names":false,"suffix":""},{"dropping-particle":"","family":"Schantz","given":"Jan-Thorsten","non-dropping-particle":"","parse-names":false,"suffix":""},{"dropping-particle":"","family":"Leahy","given":"","non-dropping-particle":"","parse-names":false,"suffix":""}],"id":"ITEM-1","issue":"2","issued":{"date-parts":[["1988"]]},"page":"845-847","title":"Design and Fabrication of a 3D Scaffold for Tissue Engineering Bone","type":"article-journal","volume":"15"},"uris":["http://www.mendeley.com/documents/?uuid=b683d214-95c6-435e-87f7-2bfbada39174"]},{"id":"ITEM-2","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-2","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scaffold","type":"article-journal"},"uris":["http://www.mendeley.com/documents/?uuid=640aa9cc-b8c1-34f9-be62-f6909dbdb03c"]}],"mendeley":{"formattedCitation":"&lt;sup&gt;1, 2&lt;/sup&gt;","manualFormatting":"1,2","plainTextFormattedCitation":"1, 2","previouslyFormattedCitation":"&lt;sup&gt;1, 2&lt;/sup&gt;"},"properties":{"noteIndex":0},"schema":"https://github.com/citation-style-language/schema/raw/master/csl-citation.json"}</w:instrText>
      </w:r>
      <w:r w:rsidR="00755280" w:rsidRPr="00D412EE">
        <w:rPr>
          <w:rFonts w:eastAsia="Times New Roman" w:cs="Calibri"/>
          <w:sz w:val="24"/>
          <w:szCs w:val="24"/>
        </w:rPr>
        <w:fldChar w:fldCharType="separate"/>
      </w:r>
      <w:r w:rsidR="00755280" w:rsidRPr="00D412EE">
        <w:rPr>
          <w:rFonts w:eastAsia="Times New Roman" w:cs="Calibri"/>
          <w:sz w:val="24"/>
          <w:szCs w:val="24"/>
          <w:vertAlign w:val="superscript"/>
        </w:rPr>
        <w:t>1,2</w:t>
      </w:r>
      <w:r w:rsidR="00755280" w:rsidRPr="00D412EE">
        <w:rPr>
          <w:rFonts w:eastAsia="Times New Roman" w:cs="Calibri"/>
          <w:sz w:val="24"/>
          <w:szCs w:val="24"/>
        </w:rPr>
        <w:fldChar w:fldCharType="end"/>
      </w:r>
      <w:r w:rsidRPr="00D412EE">
        <w:rPr>
          <w:rFonts w:eastAsia="Times New Roman" w:cs="Calibri"/>
          <w:sz w:val="24"/>
          <w:szCs w:val="24"/>
        </w:rPr>
        <w:t xml:space="preserve">. Unfortunately, many 3D printing compatible, bioresorbable polymers (such as polylactic acid, PLA) are printed at temperatures of 210 </w:t>
      </w:r>
      <w:r w:rsidR="0058078F" w:rsidRPr="0058078F">
        <w:rPr>
          <w:rFonts w:eastAsia="Times New Roman" w:cs="Calibri"/>
          <w:sz w:val="24"/>
          <w:szCs w:val="24"/>
        </w:rPr>
        <w:t>°</w:t>
      </w:r>
      <w:r w:rsidRPr="00D412EE">
        <w:rPr>
          <w:rFonts w:eastAsia="Times New Roman" w:cs="Calibri"/>
          <w:sz w:val="24"/>
          <w:szCs w:val="24"/>
        </w:rPr>
        <w:t xml:space="preserve">C or higher </w:t>
      </w:r>
      <w:r w:rsidR="0058078F">
        <w:rPr>
          <w:rFonts w:eastAsia="Times New Roman" w:cs="Calibri"/>
          <w:sz w:val="24"/>
          <w:szCs w:val="24"/>
        </w:rPr>
        <w:t>—</w:t>
      </w:r>
      <w:r w:rsidRPr="00D412EE">
        <w:rPr>
          <w:rFonts w:eastAsia="Times New Roman" w:cs="Calibri"/>
          <w:sz w:val="24"/>
          <w:szCs w:val="24"/>
        </w:rPr>
        <w:t xml:space="preserve"> temperatures </w:t>
      </w:r>
      <w:r w:rsidR="00251931" w:rsidRPr="00D412EE">
        <w:rPr>
          <w:rFonts w:eastAsia="Times New Roman" w:cs="Calibri"/>
          <w:sz w:val="24"/>
          <w:szCs w:val="24"/>
        </w:rPr>
        <w:t>that are detrimental to biologics</w:t>
      </w:r>
      <w:r w:rsidRPr="00D412EE">
        <w:rPr>
          <w:rFonts w:eastAsia="Times New Roman" w:cs="Calibri"/>
          <w:sz w:val="24"/>
          <w:szCs w:val="24"/>
        </w:rPr>
        <w:t xml:space="preserve">. </w:t>
      </w:r>
      <w:r w:rsidR="00251931" w:rsidRPr="00D412EE">
        <w:rPr>
          <w:rFonts w:eastAsia="Times New Roman" w:cs="Calibri"/>
          <w:sz w:val="24"/>
          <w:szCs w:val="24"/>
        </w:rPr>
        <w:t>On the other hand, p</w:t>
      </w:r>
      <w:r w:rsidRPr="00D412EE">
        <w:rPr>
          <w:rFonts w:eastAsia="Times New Roman" w:cs="Calibri"/>
          <w:sz w:val="24"/>
          <w:szCs w:val="24"/>
        </w:rPr>
        <w:t>olycaprolactone (PCL)</w:t>
      </w:r>
      <w:r w:rsidR="00251931" w:rsidRPr="00D412EE">
        <w:rPr>
          <w:rFonts w:eastAsia="Times New Roman" w:cs="Calibri"/>
          <w:sz w:val="24"/>
          <w:szCs w:val="24"/>
        </w:rPr>
        <w:t>, a different type of polyester,</w:t>
      </w:r>
      <w:r w:rsidRPr="00D412EE">
        <w:rPr>
          <w:rFonts w:eastAsia="Times New Roman" w:cs="Calibri"/>
          <w:sz w:val="24"/>
          <w:szCs w:val="24"/>
        </w:rPr>
        <w:t xml:space="preserve"> is a bioresorbable, 3D printable material</w:t>
      </w:r>
      <w:r w:rsidR="00251931" w:rsidRPr="00D412EE">
        <w:rPr>
          <w:rFonts w:eastAsia="Times New Roman" w:cs="Calibri"/>
          <w:sz w:val="24"/>
          <w:szCs w:val="24"/>
        </w:rPr>
        <w:t xml:space="preserve"> that</w:t>
      </w:r>
      <w:r w:rsidRPr="00D412EE">
        <w:rPr>
          <w:rFonts w:eastAsia="Times New Roman" w:cs="Calibri"/>
          <w:sz w:val="24"/>
          <w:szCs w:val="24"/>
        </w:rPr>
        <w:t xml:space="preserve"> has a </w:t>
      </w:r>
      <w:r w:rsidR="0058078F" w:rsidRPr="00D412EE">
        <w:rPr>
          <w:rFonts w:eastAsia="Times New Roman" w:cs="Calibri"/>
          <w:sz w:val="24"/>
          <w:szCs w:val="24"/>
        </w:rPr>
        <w:t>gentler</w:t>
      </w:r>
      <w:r w:rsidR="00251931" w:rsidRPr="00D412EE">
        <w:rPr>
          <w:rFonts w:eastAsia="Times New Roman" w:cs="Calibri"/>
          <w:sz w:val="24"/>
          <w:szCs w:val="24"/>
        </w:rPr>
        <w:t xml:space="preserve"> </w:t>
      </w:r>
      <w:r w:rsidR="00805F5D" w:rsidRPr="00D412EE">
        <w:rPr>
          <w:rFonts w:eastAsia="Times New Roman" w:cs="Calibri"/>
          <w:sz w:val="24"/>
          <w:szCs w:val="24"/>
        </w:rPr>
        <w:t>printing temperature of 65</w:t>
      </w:r>
      <w:r w:rsidRPr="00D412EE">
        <w:rPr>
          <w:rFonts w:eastAsia="Times New Roman" w:cs="Calibri"/>
          <w:sz w:val="24"/>
          <w:szCs w:val="24"/>
        </w:rPr>
        <w:t xml:space="preserve"> </w:t>
      </w:r>
      <w:r w:rsidR="0058078F" w:rsidRPr="0058078F">
        <w:rPr>
          <w:rFonts w:eastAsia="Times New Roman" w:cs="Calibri"/>
          <w:sz w:val="24"/>
          <w:szCs w:val="24"/>
        </w:rPr>
        <w:t>°</w:t>
      </w:r>
      <w:r w:rsidRPr="00D412EE">
        <w:rPr>
          <w:rFonts w:eastAsia="Times New Roman" w:cs="Calibri"/>
          <w:sz w:val="24"/>
          <w:szCs w:val="24"/>
        </w:rPr>
        <w:t>C</w:t>
      </w:r>
      <w:r w:rsidR="00251931" w:rsidRPr="00D412EE">
        <w:rPr>
          <w:rFonts w:eastAsia="Times New Roman" w:cs="Calibri"/>
          <w:sz w:val="24"/>
          <w:szCs w:val="24"/>
        </w:rPr>
        <w:t xml:space="preserve">. </w:t>
      </w:r>
      <w:r w:rsidRPr="00D412EE">
        <w:rPr>
          <w:rFonts w:eastAsia="Times New Roman" w:cs="Calibri"/>
          <w:sz w:val="24"/>
          <w:szCs w:val="24"/>
        </w:rPr>
        <w:t>Therefore, it was hypothesized that decellulari</w:t>
      </w:r>
      <w:r w:rsidR="00864CBE" w:rsidRPr="00D412EE">
        <w:rPr>
          <w:rFonts w:eastAsia="Times New Roman" w:cs="Calibri"/>
          <w:sz w:val="24"/>
          <w:szCs w:val="24"/>
        </w:rPr>
        <w:t>zed extracellular matrix (D</w:t>
      </w:r>
      <w:r w:rsidRPr="00D412EE">
        <w:rPr>
          <w:rFonts w:eastAsia="Times New Roman" w:cs="Calibri"/>
          <w:sz w:val="24"/>
          <w:szCs w:val="24"/>
        </w:rPr>
        <w:t xml:space="preserve">M) contained within a thermally protective PLA barrier could be printed within PCL filament and remain in its functional conformation. In this work, osteochondral repair was the application for which the hypothesis was tested. As such, porcine cartilage was decellularized and encapsulated in polylactic acid (PLA) microspheres which were then extruded with polycaprolactone (PCL) into filament to produce 3D constructs </w:t>
      </w:r>
      <w:r w:rsidR="00D412EE" w:rsidRPr="00D412EE">
        <w:rPr>
          <w:rFonts w:eastAsia="Times New Roman" w:cs="Calibri"/>
          <w:i/>
          <w:sz w:val="24"/>
          <w:szCs w:val="24"/>
        </w:rPr>
        <w:t>via</w:t>
      </w:r>
      <w:r w:rsidRPr="00D412EE">
        <w:rPr>
          <w:rFonts w:eastAsia="Times New Roman" w:cs="Calibri"/>
          <w:sz w:val="24"/>
          <w:szCs w:val="24"/>
        </w:rPr>
        <w:t xml:space="preserve"> fused </w:t>
      </w:r>
      <w:r w:rsidRPr="00494F6C">
        <w:rPr>
          <w:rFonts w:eastAsia="Times New Roman" w:cs="Calibri"/>
          <w:sz w:val="24"/>
          <w:szCs w:val="24"/>
        </w:rPr>
        <w:t>depositi</w:t>
      </w:r>
      <w:r w:rsidR="00864CBE" w:rsidRPr="00494F6C">
        <w:rPr>
          <w:rFonts w:eastAsia="Times New Roman" w:cs="Calibri"/>
          <w:sz w:val="24"/>
          <w:szCs w:val="24"/>
        </w:rPr>
        <w:t>on modeling. The constructs</w:t>
      </w:r>
      <w:r w:rsidRPr="00494F6C">
        <w:rPr>
          <w:rFonts w:eastAsia="Times New Roman" w:cs="Calibri"/>
          <w:sz w:val="24"/>
          <w:szCs w:val="24"/>
        </w:rPr>
        <w:t xml:space="preserve"> </w:t>
      </w:r>
      <w:r w:rsidR="004C3227" w:rsidRPr="00494F6C">
        <w:rPr>
          <w:rFonts w:eastAsia="Times New Roman" w:cs="Calibri"/>
          <w:sz w:val="24"/>
          <w:szCs w:val="24"/>
        </w:rPr>
        <w:t xml:space="preserve">with or without the microspheres </w:t>
      </w:r>
      <w:r w:rsidR="00755280" w:rsidRPr="00494F6C">
        <w:rPr>
          <w:rFonts w:eastAsia="Times New Roman" w:cs="Calibri"/>
          <w:sz w:val="24"/>
          <w:szCs w:val="24"/>
        </w:rPr>
        <w:t xml:space="preserve">(PLA-DM/PCL and </w:t>
      </w:r>
      <w:proofErr w:type="gramStart"/>
      <w:r w:rsidR="00755280" w:rsidRPr="00494F6C">
        <w:rPr>
          <w:rFonts w:eastAsia="Times New Roman" w:cs="Calibri"/>
          <w:sz w:val="24"/>
          <w:szCs w:val="24"/>
        </w:rPr>
        <w:t>PCL(</w:t>
      </w:r>
      <w:proofErr w:type="gramEnd"/>
      <w:r w:rsidR="00755280" w:rsidRPr="00494F6C">
        <w:rPr>
          <w:rFonts w:eastAsia="Times New Roman" w:cs="Calibri"/>
          <w:sz w:val="24"/>
          <w:szCs w:val="24"/>
        </w:rPr>
        <w:t xml:space="preserve">-), respectively) </w:t>
      </w:r>
      <w:r w:rsidRPr="00494F6C">
        <w:rPr>
          <w:rFonts w:eastAsia="Times New Roman" w:cs="Calibri"/>
          <w:sz w:val="24"/>
          <w:szCs w:val="24"/>
        </w:rPr>
        <w:t xml:space="preserve">were evaluated for </w:t>
      </w:r>
      <w:r w:rsidR="004C3227" w:rsidRPr="00494F6C">
        <w:rPr>
          <w:rFonts w:eastAsia="Times New Roman" w:cs="Calibri"/>
          <w:sz w:val="24"/>
          <w:szCs w:val="24"/>
        </w:rPr>
        <w:t xml:space="preserve">differences in </w:t>
      </w:r>
      <w:r w:rsidRPr="00494F6C">
        <w:rPr>
          <w:rFonts w:eastAsia="Times New Roman" w:cs="Calibri"/>
          <w:sz w:val="24"/>
          <w:szCs w:val="24"/>
        </w:rPr>
        <w:t>surface features</w:t>
      </w:r>
      <w:r w:rsidR="00CE08CD" w:rsidRPr="00494F6C">
        <w:rPr>
          <w:rFonts w:eastAsia="Times New Roman" w:cs="Calibri"/>
          <w:sz w:val="24"/>
          <w:szCs w:val="24"/>
        </w:rPr>
        <w:t>.</w:t>
      </w:r>
    </w:p>
    <w:p w14:paraId="07B567FB"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 </w:t>
      </w:r>
    </w:p>
    <w:p w14:paraId="5562CDB7"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sz w:val="24"/>
          <w:szCs w:val="24"/>
        </w:rPr>
        <w:t>INTRODUCTION:</w:t>
      </w:r>
      <w:r w:rsidRPr="00D412EE">
        <w:rPr>
          <w:rFonts w:eastAsia="Times New Roman" w:cs="Calibri"/>
          <w:sz w:val="24"/>
          <w:szCs w:val="24"/>
        </w:rPr>
        <w:t xml:space="preserve"> </w:t>
      </w:r>
    </w:p>
    <w:p w14:paraId="4A7AD4E6" w14:textId="5D0C67C0"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lastRenderedPageBreak/>
        <w:t>Current tissue engineering techniques for clinical applications such as bone, cartilage,</w:t>
      </w:r>
      <w:r w:rsidR="004C3227" w:rsidRPr="00D412EE">
        <w:rPr>
          <w:rFonts w:eastAsia="Times New Roman" w:cs="Calibri"/>
          <w:sz w:val="24"/>
          <w:szCs w:val="24"/>
        </w:rPr>
        <w:t xml:space="preserve"> </w:t>
      </w:r>
      <w:r w:rsidRPr="00D412EE">
        <w:rPr>
          <w:rFonts w:eastAsia="Times New Roman" w:cs="Calibri"/>
          <w:sz w:val="24"/>
          <w:szCs w:val="24"/>
        </w:rPr>
        <w:t>tendon, and ligament reconstruction use auto- and allografts to repair damaged tissue. Each of these techniques is performed routinely as a “gold standard” in clinical practice by first harvesting the donor tissue either from the patient or a cadaveric match, and then placing the donor tissue into the defect site</w:t>
      </w:r>
      <w:r w:rsidR="0097254C" w:rsidRPr="00D412EE">
        <w:rPr>
          <w:rFonts w:eastAsia="Times New Roman" w:cs="Calibri"/>
          <w:sz w:val="24"/>
          <w:szCs w:val="24"/>
          <w:vertAlign w:val="superscript"/>
        </w:rPr>
        <w:t>2</w:t>
      </w:r>
      <w:r w:rsidRPr="00D412EE">
        <w:rPr>
          <w:rFonts w:eastAsia="Times New Roman" w:cs="Calibri"/>
          <w:sz w:val="24"/>
          <w:szCs w:val="24"/>
        </w:rPr>
        <w:t xml:space="preserve">. However, these strategies are limited by donor site morbidity, donor site scarcity for large defects, risk of </w:t>
      </w:r>
      <w:r w:rsidR="00C437E4">
        <w:rPr>
          <w:rFonts w:eastAsia="Times New Roman" w:cs="Calibri"/>
          <w:sz w:val="24"/>
          <w:szCs w:val="24"/>
        </w:rPr>
        <w:t>in</w:t>
      </w:r>
      <w:r w:rsidRPr="00D412EE">
        <w:rPr>
          <w:rFonts w:eastAsia="Times New Roman" w:cs="Calibri"/>
          <w:sz w:val="24"/>
          <w:szCs w:val="24"/>
        </w:rPr>
        <w:t>fection, and difficulty finding grafts that match the desired geometry. In addition, studies have shown that allografts used for reconstruction have reduced mechanical and biologic properties when</w:t>
      </w:r>
      <w:r w:rsidR="000F3882" w:rsidRPr="00D412EE">
        <w:rPr>
          <w:rFonts w:eastAsia="Times New Roman" w:cs="Calibri"/>
          <w:sz w:val="24"/>
          <w:szCs w:val="24"/>
        </w:rPr>
        <w:t xml:space="preserve"> compared with native tissue</w:t>
      </w:r>
      <w:r w:rsidR="000F3882"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{"citationItems":[{"id":"ITEM-1","itemData":{"DOI":"10.1016/j.actbio.2012.10.004","ISBN":"1742-7061","ISSN":"17427061","PMID":"23059415","abstract":"Tissue-engineered airways have achieved clinical success, but concerns remain about short-term loss of biomechanical properties, necessitating a stent. This study investigated the effect of chemical-enzymatic decellularization on biochemical properties of trachea important for cell attachment and vascularization (fibronectin and laminin) and cartilage matrix homeostasis (type II collagen and glycosaminoglycans (GAG)), as well as biomechanical status. Native trachea was used as a control, and NDC trachea stored in phosphate buffered saline (PBS) in parallel to decellularization was used as a time-matched control. Decellularization removed most cells, but chondrocytes and DNA remained after 25 cycles. Fibronectin was retained throughout the lamina propria and laminin at basement membranes. DNA accumulation along ECM fibres was seen. A decline in soluble collagen was observed in decellularized tissue. GAG content of cartilage rings was reduced, even in PBS control tissue from 20 cycles onwards (p &lt; 0.05), but decellularization caused the greatest loss (p &lt; 0.01). Tensile strength declined throughout the process, but was significant only at later time points. The data demonstrate that the substantial reduction in GAG might contribute to loss of mechanical integrity of biotracheas. Overcoming structural changes that cause an imbalance in cartilage matrix equilibrium will be necessary to optimize clinical benefit, enabling widespread use of biotracheas. ?? 2012 Acta Materialia Inc. Published by Elsevier Ltd. All rights reserved.","author":[{"dropping-particle":"","family":"Partington","given":"L.","non-dropping-particle":"","parse-names":false,"suffix":""},{"dropping-particle":"","family":"Mordan","given":"N. J.","non-dropping-particle":"","parse-names":false,"suffix":""},{"dropping-particle":"","family":"Mason","given":"C.","non-dropping-particle":"","parse-names":false,"suffix":""},{"dropping-particle":"","family":"Knowles","given":"J. C.","non-dropping-particle":"","parse-names":false,"suffix":""},{"dropping-particle":"","family":"Kim","given":"H. W.","non-dropping-particle":"","parse-names":false,"suffix":""},{"dropping-particle":"","family":"Lowdell","given":"M. W.","non-dropping-particle":"","parse-names":false,"suffix":""},{"dropping-particle":"","family":"Birchall","given":"M. A.","non-dropping-particle":"","parse-names":false,"suffix":""},{"dropping-particle":"","family":"Wall","given":"I. B.","non-dropping-particle":"","parse-names":false,"suffix":""}],"container-title":"Acta Biomaterialia","id":"ITEM-1","issue":"2","issued":{"date-parts":[["2013"]]},"page":"5251-5261","publisher":"Acta Materialia Inc.","title":"Biochemical changes caused by decellularization may compromise mechanical integrity of tracheal scaffolds","type":"article-journal","volume":"9"},"uris":["http://www.mendeley.com/documents/?uuid=8710ec6f-03e5-4dcd-88a5-405440128269"]}],"mendeley":{"formattedCitation":"&lt;sup&gt;3&lt;/sup&gt;","plainTextFormattedCitation":"3","previouslyFormattedCitation":"&lt;sup&gt;4&lt;/sup&gt;"},"properties":{"noteIndex":0},"schema":"https://github.com/citation-style-language/schema/raw/master/csl-citation.json"}</w:instrText>
      </w:r>
      <w:r w:rsidR="000F3882" w:rsidRPr="00D412EE">
        <w:rPr>
          <w:rFonts w:eastAsia="Times New Roman" w:cs="Calibri"/>
          <w:sz w:val="24"/>
          <w:szCs w:val="24"/>
        </w:rPr>
        <w:fldChar w:fldCharType="separate"/>
      </w:r>
      <w:r w:rsidR="0097254C" w:rsidRPr="00D412EE">
        <w:rPr>
          <w:rFonts w:eastAsia="Times New Roman" w:cs="Calibri"/>
          <w:sz w:val="24"/>
          <w:szCs w:val="24"/>
          <w:vertAlign w:val="superscript"/>
        </w:rPr>
        <w:t>3</w:t>
      </w:r>
      <w:r w:rsidR="000F3882" w:rsidRPr="00D412EE">
        <w:rPr>
          <w:rFonts w:eastAsia="Times New Roman" w:cs="Calibri"/>
          <w:sz w:val="24"/>
          <w:szCs w:val="24"/>
        </w:rPr>
        <w:fldChar w:fldCharType="end"/>
      </w:r>
      <w:r w:rsidRPr="00D412EE">
        <w:rPr>
          <w:rFonts w:eastAsia="Times New Roman" w:cs="Calibri"/>
          <w:sz w:val="24"/>
          <w:szCs w:val="24"/>
        </w:rPr>
        <w:t xml:space="preserve">. With these considerations in mind, tissue engineers have recently turned to </w:t>
      </w:r>
      <w:r w:rsidR="00085B70">
        <w:rPr>
          <w:rFonts w:eastAsia="Times New Roman" w:cs="Calibri"/>
          <w:sz w:val="24"/>
          <w:szCs w:val="24"/>
        </w:rPr>
        <w:t>three dimensional (</w:t>
      </w:r>
      <w:r w:rsidRPr="00D412EE">
        <w:rPr>
          <w:rFonts w:eastAsia="Times New Roman" w:cs="Calibri"/>
          <w:sz w:val="24"/>
          <w:szCs w:val="24"/>
        </w:rPr>
        <w:t>3D</w:t>
      </w:r>
      <w:r w:rsidR="00085B70">
        <w:rPr>
          <w:rFonts w:eastAsia="Times New Roman" w:cs="Calibri"/>
          <w:sz w:val="24"/>
          <w:szCs w:val="24"/>
        </w:rPr>
        <w:t>)</w:t>
      </w:r>
      <w:r w:rsidRPr="00D412EE">
        <w:rPr>
          <w:rFonts w:eastAsia="Times New Roman" w:cs="Calibri"/>
          <w:sz w:val="24"/>
          <w:szCs w:val="24"/>
        </w:rPr>
        <w:t xml:space="preserve"> bioprinting to produce custom, complex geometries that are biologically active and designed to accommodate defect size and shape while providing </w:t>
      </w:r>
      <w:proofErr w:type="gramStart"/>
      <w:r w:rsidRPr="00D412EE">
        <w:rPr>
          <w:rFonts w:eastAsia="Times New Roman" w:cs="Calibri"/>
          <w:sz w:val="24"/>
          <w:szCs w:val="24"/>
        </w:rPr>
        <w:t>sufficient</w:t>
      </w:r>
      <w:proofErr w:type="gramEnd"/>
      <w:r w:rsidRPr="00D412EE">
        <w:rPr>
          <w:rFonts w:eastAsia="Times New Roman" w:cs="Calibri"/>
          <w:sz w:val="24"/>
          <w:szCs w:val="24"/>
        </w:rPr>
        <w:t xml:space="preserve"> mechanical properties until biologic remodeling is complete.</w:t>
      </w:r>
    </w:p>
    <w:p w14:paraId="65465937" w14:textId="77777777" w:rsidR="00615EAD" w:rsidRPr="00D412EE" w:rsidRDefault="00864CBE" w:rsidP="00D412EE">
      <w:pPr>
        <w:spacing w:after="0" w:line="240" w:lineRule="auto"/>
        <w:jc w:val="both"/>
        <w:rPr>
          <w:rFonts w:eastAsia="Times New Roman" w:cs="Calibri"/>
          <w:sz w:val="24"/>
          <w:szCs w:val="24"/>
        </w:rPr>
      </w:pPr>
      <w:r w:rsidRPr="00D412EE">
        <w:rPr>
          <w:rFonts w:eastAsia="Times New Roman" w:cs="Calibri"/>
          <w:sz w:val="24"/>
          <w:szCs w:val="24"/>
        </w:rPr>
        <w:br/>
        <w:t xml:space="preserve">Ideally, </w:t>
      </w:r>
      <w:r w:rsidR="00615EAD" w:rsidRPr="00D412EE">
        <w:rPr>
          <w:rFonts w:eastAsia="Times New Roman" w:cs="Calibri"/>
          <w:sz w:val="24"/>
          <w:szCs w:val="24"/>
        </w:rPr>
        <w:t xml:space="preserve">a 3D-printed scaffold </w:t>
      </w:r>
      <w:r w:rsidRPr="00D412EE">
        <w:rPr>
          <w:rFonts w:eastAsia="Times New Roman" w:cs="Calibri"/>
          <w:sz w:val="24"/>
          <w:szCs w:val="24"/>
        </w:rPr>
        <w:t>would consist of</w:t>
      </w:r>
      <w:r w:rsidR="00615EAD" w:rsidRPr="00D412EE">
        <w:rPr>
          <w:rFonts w:eastAsia="Times New Roman" w:cs="Calibri"/>
          <w:sz w:val="24"/>
          <w:szCs w:val="24"/>
        </w:rPr>
        <w:t xml:space="preserve"> a polymeric backbone that can retain the required mechanical stability </w:t>
      </w:r>
      <w:r w:rsidR="00A4007F" w:rsidRPr="00D412EE">
        <w:rPr>
          <w:rFonts w:eastAsia="Times New Roman" w:cs="Calibri"/>
          <w:sz w:val="24"/>
          <w:szCs w:val="24"/>
        </w:rPr>
        <w:t>of</w:t>
      </w:r>
      <w:r w:rsidR="00615EAD" w:rsidRPr="00D412EE">
        <w:rPr>
          <w:rFonts w:eastAsia="Times New Roman" w:cs="Calibri"/>
          <w:sz w:val="24"/>
          <w:szCs w:val="24"/>
        </w:rPr>
        <w:t xml:space="preserve"> native tissue while the incorporated biologics offer biochemical cues to surrounding cells, leading to their migration, proliferation, differentiatio</w:t>
      </w:r>
      <w:r w:rsidR="000F3882" w:rsidRPr="00D412EE">
        <w:rPr>
          <w:rFonts w:eastAsia="Times New Roman" w:cs="Calibri"/>
          <w:sz w:val="24"/>
          <w:szCs w:val="24"/>
        </w:rPr>
        <w:t>n, and tissue production</w:t>
      </w:r>
      <w:r w:rsidR="000F3882"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{"citationItems":[{"id":"ITEM-1","itemData":{"DOI":"10.1016/S0142-9612(00)00121-6","ISBN":"0142-9612 (Print)","ISSN":"0142-9612","PMID":"11071603","abstract":"Musculoskeletal tissue, bone and cartilage are under extensive investigation in tissue engineering research. A number of biodegradable and bioresorbable materials, as well as scaffold designs, have been experimentally and/or clinically studied. Ideally, a scaffold should have the following characteristics: (i) three-dimensional and highly porous with an interconnected pore network for cell growth and flow transport of nutrients and metabolic waste; (ii) biocompatible and bioresorbable with a controllable degradation and resorption rate to match cell/tissue growth in vitro and/or in vivo; (iii) suitable surface chemistry for cell attachment, proliferation, and differentiation and (iv) mechanical properties to match those of the tissues at the site of implantation. This paper reviews research on the tissue engineering of bone and cartilage from the polymeric scaffold point of view.","author":[{"dropping-particle":"","family":"Hutmacher","given":"D W","non-dropping-particle":"","parse-names":false,"suffix":""}],"container-title":"Biomaterials","id":"ITEM-1","issue":"24","issued":{"date-parts":[["2000"]]},"page":"2529-2543","title":"Scaffolds in tissue engineering bone and cartilage.","type":"article-journal","volume":"21"},"uris":["http://www.mendeley.com/documents/?uuid=a9c5e00c-4043-4ab9-8a00-dc637a1c4a56"]},{"id":"ITEM-2","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-2","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scaffold","type":"article-journal"},"uris":["http://www.mendeley.com/documents/?uuid=a5155d05-6337-3e80-99d2-7eadeb41147e"]}],"mendeley":{"formattedCitation":"&lt;sup&gt;2, 4&lt;/sup&gt;","manualFormatting":"2,5","plainTextFormattedCitation":"2, 4","previouslyFormattedCitation":"&lt;sup&gt;2, 5&lt;/sup&gt;"},"properties":{"noteIndex":0},"schema":"https://github.com/citation-style-language/schema/raw/master/csl-citation.json"}</w:instrText>
      </w:r>
      <w:r w:rsidR="000F3882" w:rsidRPr="00D412EE">
        <w:rPr>
          <w:rFonts w:eastAsia="Times New Roman" w:cs="Calibri"/>
          <w:sz w:val="24"/>
          <w:szCs w:val="24"/>
        </w:rPr>
        <w:fldChar w:fldCharType="separate"/>
      </w:r>
      <w:r w:rsidR="00CE08CD" w:rsidRPr="00D412EE">
        <w:rPr>
          <w:rFonts w:eastAsia="Times New Roman" w:cs="Calibri"/>
          <w:sz w:val="24"/>
          <w:szCs w:val="24"/>
          <w:vertAlign w:val="superscript"/>
        </w:rPr>
        <w:t>2,5</w:t>
      </w:r>
      <w:r w:rsidR="000F3882" w:rsidRPr="00D412EE">
        <w:rPr>
          <w:rFonts w:eastAsia="Times New Roman" w:cs="Calibri"/>
          <w:sz w:val="24"/>
          <w:szCs w:val="24"/>
        </w:rPr>
        <w:fldChar w:fldCharType="end"/>
      </w:r>
      <w:r w:rsidR="00615EAD" w:rsidRPr="00D412EE">
        <w:rPr>
          <w:rFonts w:eastAsia="Times New Roman" w:cs="Calibri"/>
          <w:sz w:val="24"/>
          <w:szCs w:val="24"/>
        </w:rPr>
        <w:t xml:space="preserve">. Unfortunately, most constructs that contain biologic components are made with gels or polymers that are too weak to withstand </w:t>
      </w:r>
      <w:r w:rsidR="00D412EE" w:rsidRPr="00D412EE">
        <w:rPr>
          <w:rFonts w:eastAsia="Times New Roman" w:cs="Calibri"/>
          <w:i/>
          <w:sz w:val="24"/>
          <w:szCs w:val="24"/>
        </w:rPr>
        <w:t>in vivo</w:t>
      </w:r>
      <w:r w:rsidR="00615EAD" w:rsidRPr="00D412EE">
        <w:rPr>
          <w:rFonts w:eastAsia="Times New Roman" w:cs="Calibri"/>
          <w:sz w:val="24"/>
          <w:szCs w:val="24"/>
        </w:rPr>
        <w:t xml:space="preserve"> forces experienced by the targeted tissues for auto/allograft reconstruction. Other polymers such as polylactic acid (PLA) are bioresorbable, 3D printable and structurally sound, but are printed at temperatures at or above 210 </w:t>
      </w:r>
      <w:r w:rsidR="0058078F" w:rsidRPr="0058078F">
        <w:rPr>
          <w:rFonts w:eastAsia="Times New Roman" w:cs="Calibri"/>
          <w:sz w:val="24"/>
          <w:szCs w:val="24"/>
        </w:rPr>
        <w:t>°</w:t>
      </w:r>
      <w:r w:rsidR="00615EAD" w:rsidRPr="00D412EE">
        <w:rPr>
          <w:rFonts w:eastAsia="Times New Roman" w:cs="Calibri"/>
          <w:sz w:val="24"/>
          <w:szCs w:val="24"/>
        </w:rPr>
        <w:t>C – making it impossible for biologics to be co-printed during fabrication. Polycaprolactone (PCL) is another FDA-cleared, bioresorbable polymer that can be 3D pr</w:t>
      </w:r>
      <w:r w:rsidRPr="00D412EE">
        <w:rPr>
          <w:rFonts w:eastAsia="Times New Roman" w:cs="Calibri"/>
          <w:sz w:val="24"/>
          <w:szCs w:val="24"/>
        </w:rPr>
        <w:t>inted at a lower temperature (65</w:t>
      </w:r>
      <w:r w:rsidR="00615EAD" w:rsidRPr="00D412EE">
        <w:rPr>
          <w:rFonts w:eastAsia="Times New Roman" w:cs="Calibri"/>
          <w:sz w:val="24"/>
          <w:szCs w:val="24"/>
        </w:rPr>
        <w:t xml:space="preserve"> </w:t>
      </w:r>
      <w:r w:rsidR="0058078F" w:rsidRPr="0058078F">
        <w:rPr>
          <w:rFonts w:eastAsia="Times New Roman" w:cs="Calibri"/>
          <w:sz w:val="24"/>
          <w:szCs w:val="24"/>
        </w:rPr>
        <w:t>°</w:t>
      </w:r>
      <w:r w:rsidR="00615EAD" w:rsidRPr="00D412EE">
        <w:rPr>
          <w:rFonts w:eastAsia="Times New Roman" w:cs="Calibri"/>
          <w:sz w:val="24"/>
          <w:szCs w:val="24"/>
        </w:rPr>
        <w:t>C), which has become increasingly popular in fabricating patient-specific implants with complex morphologies</w:t>
      </w:r>
      <w:r w:rsidR="000F3882"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{"citationItems":[{"id":"ITEM-1","itemData":{"DOI":"10.1115/1.4025102","ISBN":"1528-8951 (Electronic) 0148-0731 (Linking)","ISSN":"1528-8951","PMID":"23897113","abstract":"Biodegradable cages have received increasing attention for their use in spinal procedures involving interbody fusion to resolve complications associated with the use of nondegradable cages, such as stress shielding and long-term foreign body reaction. However, the relatively weak initial material strength compared to permanent materials and subsequent reduction due to degradation may be problematic. To design a porous biodegradable interbody fusion cage for a preclinical large animal study that can withstand physiological loads while possessing sufficient interconnected porosity for bony bridging and fusion, we developed a multiscale topology optimization technique. Topology optimization at the macroscopic scale provides optimal structural layout that ensures mechanical strength, while optimally designed microstructures, which replace the macroscopic material layout, ensure maximum permeability. Optimally designed cages were fabricated using solid, freeform fabrication of poly(ε-caprolactone) mixed with hydroxyapatite. Compression tests revealed that the yield strength of optimized fusion cages was two times that of typical human lumbar spine loads. Computational analysis further confirmed the mechanical integrity within the human lumbar spine, although the pore structure locally underwent higher stress than yield stress. This optimization technique may be utilized to balance the complex requirements of load-bearing, stress shielding, and interconnected porosity when using biodegradable materials for fusion cages.","author":[{"dropping-particle":"","family":"Kang","given":"Heesuk","non-dropping-particle":"","parse-names":false,"suffix":""},{"dropping-particle":"","family":"Hollister","given":"Scott J","non-dropping-particle":"","parse-names":false,"suffix":""},{"dropping-particle":"","family":"Marca","given":"Frank","non-dropping-particle":"La","parse-names":false,"suffix":""},{"dropping-particle":"","family":"Park","given":"Paul","non-dropping-particle":"","parse-names":false,"suffix":""},{"dropping-particle":"","family":"Lin","given":"Chia-Ying","non-dropping-particle":"","parse-names":false,"suffix":""}],"container-title":"Journal of biomechanical engineering","id":"ITEM-1","issue":"10","issued":{"date-parts":[["2013"]]},"page":"101013-8","title":"Porous biodegradable lumbar interbody fusion cage design and fabrication using integrated global-local topology optimization with laser sintering.","type":"article-journal","volume":"135"},"uris":["http://www.mendeley.com/documents/?uuid=defbff6f-948d-44dc-a5a3-985386adb8eb"]},{"id":"ITEM-2","itemData":{"DOI":"10.1007/s00158-010-0508-8","ISBN":"1615-147X","ISSN":"1615147X","abstract":"Tissue engineering scaffolds play critical roles in skeletal tissue regeneration by supporting physiological loads as well as enhancing cell/tissue migration and formation. These roles can be fulfilled by the functional design of scaffold pore architectures such that the scaffold provides proper mechanical and mass transport environments for new tissue formation. These roles require simultaneous design of mechanical and mass transport properties. In this paper, a numerical homogenization based topology optimization scheme was applied to the design of three dimensional unit microstructures for tissue engineering scaffolds. As measures of mechanical and mass transport environments, target effective bulk modulus and isotropic diffusivity were achieved by optimal design of porous microstructure. Cross property bounds between bulk modulus and diffusivity were adapted to determine feasible design targets for a given porosity. Results demonstrate that designed microstructures could reach cross property bounds for porosity ranging from 30% to 60%.","author":[{"dropping-particle":"","family":"Kang","given":"Heesuk","non-dropping-particle":"","parse-names":false,"suffix":""},{"dropping-particle":"","family":"Lin","given":"Chia Ying","non-dropping-particle":"","parse-names":false,"suffix":""},{"dropping-particle":"","family":"Hollister","given":"Scott J.","non-dropping-particle":"","parse-names":false,"suffix":""}],"container-title":"Structural and Multidisciplinary Optimization","id":"ITEM-2","issue":"4","issued":{"date-parts":[["2010"]]},"page":"633-644","title":"Topology optimization of three dimensional tissue engineering scaffold architectures for prescribed bulk modulus and diffusivity","type":"article-journal","volume":"42"},"uris":["http://www.mendeley.com/documents/?uuid=e1719601-18cc-4862-97c3-2dc2d9cfc5c4"]},{"id":"ITEM-3","itemData":{"DOI":"10.1089/ten.2005.11.1589","ISBN":"1076-3279","abstract":"Bone tissue engineering could provide an alternative to conventional treatments for fracture nonunion, spinal fusion, joint replacement, and pathological loss of bone. However, this approach will require a biocompatible matrix to allow progenitor cell delivery and support tissue invasion. The construct must also support physiological loads as it degrades to allow the regenerated tissue to bear an increasing load. To meet these complex requirements, we have employed topology-optimized design and solid free-form fabrication to manufacture biodegradable poly(propylene fumarate)/beta-tricalcium phosphate composites. These scaffolds were seeded with primary human fibroblasts transduced with an adenovirus expressing bone morphogenetic protein-7 and implanted subcutaneously in mice. Specimens were evaluated by microcomputed tomography, compressive testing, and histological staining. New bone was localized on the scaffold surface and closely followed its designed contours. Furthermore, the total stiffness of the constructs was retained for up to 12 weeks after implantation, as scaffold degradation and tissue invasion took place.;Bone tissue engineering could provide an alternative to conventional treatments for fracture nonunion, spinal fusion, joint replacement, and pathological loss of bone. However, this approach will require a biocompatible matrix to allow progenitor cell delivery and support tissue invasion. The construct must also support physiological loads as it degrades to allow the regenerated tissue to bear an increasing load. To meet these complex requirements, we have employed topology-optimized design and solid free-form fabrication to manufacture biodegradable poly(propylene fumarate)/ beta -tricalcium phosphate composites. These scaffolds were seeded with primary human fibroblasts transduced with an adenovirus expressing bone morphogenetic protein-7 and implanted subcutaneously in mice. Specimens were evaluated by microcomputed tomography, compressive testing, and histological staining. New bone was localized on the scaffold surface and closely followed its designed contours. Furthermore, the total stiffness of the constructs was retained for up to 12 weeks after implantation, as scaffold degradation and tissue invasion took place.;Bone tissue engineering could provide an alternative to conventional treatments for fracture nonunion, spinal fusion, joint replacement, and pathological loss of bone. However, this approach will require a biocompatib…","author":[{"dropping-particle":"","family":"Lin","given":"Chia-Ying","non-dropping-particle":"","parse-names":false,"suffix":""},{"dropping-particle":"","family":"Schek","given":"Rachel M","non-dropping-particle":"","parse-names":false,"suffix":""},{"dropping-particle":"","family":"Mistry","given":"Amit S","non-dropping-particle":"","parse-names":false,"suffix":""},{"dropping-particle":"","family":"Shi","given":"Xinfeng","non-dropping-particle":"","parse-names":false,"suffix":""},{"dropping-particle":"","family":"Mikos","given":"Antonios G","non-dropping-particle":"","parse-names":false,"suffix":""},{"dropping-particle":"","family":"Krebsbach","given":"Paul H","non-dropping-particle":"","parse-names":false,"suffix":""},{"dropping-particle":"","family":"Hollister","given":"Scott J","non-dropping-particle":"","parse-names":false,"suffix":""}],"container-title":"Tissue Engineering ","id":"ITEM-3","issue":"9-10 ","issued":{"date-parts":[["2005"]]},"page":"1589-1598","publisher":"MARY ANN LIEBERT INC ","publisher-place":"NEW ROCHELLE ","title":"Functional bone engineering using ex vivo gene therapy and topology-optimized, biodegradable polymer composite scaffolds ","type":"article","volume":"11 "},"uris":["http://www.mendeley.com/documents/?uuid=2a34331d-4af6-4058-b08b-05a1b6fcf351"]},{"id":"ITEM-4","itemData":{"DOI":"10.1097/01.BRS.0000134573.14150.1A","ISBN":"0362-2436","ISSN":"0362-2436","PMID":"15303018","abstract":"STUDY DESIGN: An approach combining global layout and local microstructure topology optimization was used to create a new interbody fusion cage design that concurrently enhanced stability, biofactor delivery, and mechanical tissue stimulation for improved arthrodesis. OBJECTIVE: To develop a new interbody fusion cage design by topology optimization with porous internal architecture. To compare the performance of this new design to conventional threaded cage designs regarding early stability and long-term stress shielding effects on ingrown bone. SUMMARY OF BACKGROUND DATA: Conventional interbody cage designs mainly fall into categories of cylindrical or rectangular shell shapes. The designs contribute to rigid stability and maintain disc height for successful arthrodesis but may also suffer mechanically mediated failures of dislocation or subsidence, as well as the possibility of bone resorption. The new optimization approach created a cage having designed microstructure that achieved desired mechanical performance while providing interconnected channels for biofactor delivery. METHODS: The topology optimization algorithm determines the material layout under desirable volume fraction (50%) and displacement constraints favorable to bone formation. A local microstructural topology optimization method was used to generate periodic microstructures for porous isotropic materials. Final topology was generated by the integration of the two-scaled structures according to segmented regions and the corresponding material density. Image-base finite element analysis was used to compare the mechanical performance of the topology-optimized cage and conventional threaded cage. RESULTS: The final design can be fabricated by a variety of Solid Free-Form systems directly from the image output. The new design exhibited a narrower, more uniform displacement range than the threaded cage design and lower stress at the cage-vertebra interface, suggesting a reduced risk of subsidence. Strain energy density analysis also indicated that a higher portion of total strain energy density was transferred into the new bone region inside the new designed cage, indicating a reduced risk of stress shielding. CONCLUSION: The new design approach using integrated topology optimization demonstrated comparable or better stability by limited displacement and reduced localized deformation related to the risk of subsidence. Less shielding of newly formed bone was predicted inside the new designe…","author":[{"dropping-particle":"","family":"Lin","given":"Chia-Ying","non-dropping-particle":"","parse-names":false,"suffix":""},{"dropping-particle":"","family":"Hsiao","given":"Chun-Ching","non-dropping-particle":"","parse-names":false,"suffix":""},{"dropping-particle":"","family":"Chen","given":"Po-Quan","non-dropping-particle":"","parse-names":false,"suffix":""},{"dropping-particle":"","family":"Hollister","given":"Scott J.","non-dropping-particle":"","parse-names":false,"suffix":""}],"container-title":"Spine","id":"ITEM-4","issue":"16","issued":{"date-parts":[["2004"]]},"page":"1747-1754","title":"Interbody Fusion Cage Design Using Integrated Global Layout and Local Microstructure Topology Optimization","type":"article-journal","volume":"29"},"uris":["http://www.mendeley.com/documents/?uuid=fea0cb96-5070-4b72-83b0-dc09b6fb66ca"]},{"id":"ITEM-5","itemData":{"DOI":"10.1056/NEJMc1301237","author":[{"dropping-particle":"","family":"Zopf","given":"David","non-dropping-particle":"","parse-names":false,"suffix":""},{"dropping-particle":"","family":"Hollister","given":"Scott","non-dropping-particle":"","parse-names":false,"suffix":""},{"dropping-particle":"","family":"Nelson","given":"Marc","non-dropping-particle":"","parse-names":false,"suffix":""},{"dropping-particle":"","family":"Ohye","given":"Richard","non-dropping-particle":"","parse-names":false,"suffix":""},{"dropping-particle":"","family":"Green","given":"Glenn","non-dropping-particle":"","parse-names":false,"suffix":""}],"container-title":"New England Journal of Medicine","id":"ITEM-5","issue":"21","issued":{"date-parts":[["2013"]]},"page":"2043-2045","title":"Bioresorbable Airway Splint Created with a Three-Dimensional Printer","type":"article-journal","volume":"368"},"uris":["http://www.mendeley.com/documents/?uuid=534a05a1-6880-4ad3-9783-179bcae33365"]}],"mendeley":{"formattedCitation":"&lt;sup&gt;5–9&lt;/sup&gt;","plainTextFormattedCitation":"5–9","previouslyFormattedCitation":"&lt;sup&gt;6–10&lt;/sup&gt;"},"properties":{"noteIndex":0},"schema":"https://github.com/citation-style-language/schema/raw/master/csl-citation.json"}</w:instrText>
      </w:r>
      <w:r w:rsidR="000F3882" w:rsidRPr="00D412EE">
        <w:rPr>
          <w:rFonts w:eastAsia="Times New Roman" w:cs="Calibri"/>
          <w:sz w:val="24"/>
          <w:szCs w:val="24"/>
        </w:rPr>
        <w:fldChar w:fldCharType="separate"/>
      </w:r>
      <w:r w:rsidR="0097254C" w:rsidRPr="00D412EE">
        <w:rPr>
          <w:rFonts w:eastAsia="Times New Roman" w:cs="Calibri"/>
          <w:sz w:val="24"/>
          <w:szCs w:val="24"/>
          <w:vertAlign w:val="superscript"/>
        </w:rPr>
        <w:t>5–9</w:t>
      </w:r>
      <w:r w:rsidR="000F3882" w:rsidRPr="00D412EE">
        <w:rPr>
          <w:rFonts w:eastAsia="Times New Roman" w:cs="Calibri"/>
          <w:sz w:val="24"/>
          <w:szCs w:val="24"/>
        </w:rPr>
        <w:fldChar w:fldCharType="end"/>
      </w:r>
      <w:r w:rsidR="00615EAD" w:rsidRPr="00D412EE">
        <w:rPr>
          <w:rFonts w:eastAsia="Times New Roman" w:cs="Calibri"/>
          <w:sz w:val="24"/>
          <w:szCs w:val="24"/>
        </w:rPr>
        <w:t>. However, most bioprinters us</w:t>
      </w:r>
      <w:r w:rsidR="009405DF" w:rsidRPr="00D412EE">
        <w:rPr>
          <w:rFonts w:eastAsia="Times New Roman" w:cs="Calibri"/>
          <w:sz w:val="24"/>
          <w:szCs w:val="24"/>
        </w:rPr>
        <w:t>ing</w:t>
      </w:r>
      <w:r w:rsidR="00615EAD" w:rsidRPr="00D412EE">
        <w:rPr>
          <w:rFonts w:eastAsia="Times New Roman" w:cs="Calibri"/>
          <w:sz w:val="24"/>
          <w:szCs w:val="24"/>
        </w:rPr>
        <w:t xml:space="preserve"> pneumatic technology make it impossible to print PCL at lower temperatures</w:t>
      </w:r>
      <w:r w:rsidR="009405DF" w:rsidRPr="00D412EE">
        <w:rPr>
          <w:rFonts w:eastAsia="Times New Roman" w:cs="Calibri"/>
          <w:sz w:val="24"/>
          <w:szCs w:val="24"/>
        </w:rPr>
        <w:t xml:space="preserve"> where biological activities can remain unharmed</w:t>
      </w:r>
      <w:r w:rsidR="00615EAD" w:rsidRPr="00D412EE">
        <w:rPr>
          <w:rFonts w:eastAsia="Times New Roman" w:cs="Calibri"/>
          <w:sz w:val="24"/>
          <w:szCs w:val="24"/>
        </w:rPr>
        <w:t xml:space="preserve">. To date, the integration of these polymers with auto/allografts into a novel printable biomaterial has yet to be accomplished. In the absence of such a material, a true tissue engineered approach to tissue reconstruction is unlikely. Therefore, we have sought to combine PLA, PCL, and decellularized allograft matrices (DM) to utilize the advantages of each material </w:t>
      </w:r>
      <w:proofErr w:type="gramStart"/>
      <w:r w:rsidR="00615EAD" w:rsidRPr="00D412EE">
        <w:rPr>
          <w:rFonts w:eastAsia="Times New Roman" w:cs="Calibri"/>
          <w:sz w:val="24"/>
          <w:szCs w:val="24"/>
        </w:rPr>
        <w:t>in order to</w:t>
      </w:r>
      <w:proofErr w:type="gramEnd"/>
      <w:r w:rsidR="00615EAD" w:rsidRPr="00D412EE">
        <w:rPr>
          <w:rFonts w:eastAsia="Times New Roman" w:cs="Calibri"/>
          <w:sz w:val="24"/>
          <w:szCs w:val="24"/>
        </w:rPr>
        <w:t xml:space="preserve"> manufacture a viable construct capable of reconstructing complex tissues.</w:t>
      </w:r>
      <w:r w:rsidR="00D412EE">
        <w:rPr>
          <w:rFonts w:eastAsia="Times New Roman" w:cs="Calibri"/>
          <w:sz w:val="24"/>
          <w:szCs w:val="24"/>
        </w:rPr>
        <w:t xml:space="preserve"> </w:t>
      </w:r>
      <w:r w:rsidR="00615EAD" w:rsidRPr="00D412EE">
        <w:rPr>
          <w:rFonts w:eastAsia="Times New Roman" w:cs="Calibri"/>
          <w:sz w:val="24"/>
          <w:szCs w:val="24"/>
        </w:rPr>
        <w:t xml:space="preserve">This process would provide the initial mechanical strength necessary to resist </w:t>
      </w:r>
      <w:r w:rsidR="00D412EE" w:rsidRPr="00D412EE">
        <w:rPr>
          <w:rFonts w:eastAsia="Times New Roman" w:cs="Calibri"/>
          <w:i/>
          <w:sz w:val="24"/>
          <w:szCs w:val="24"/>
        </w:rPr>
        <w:t>in vivo</w:t>
      </w:r>
      <w:r w:rsidR="00615EAD" w:rsidRPr="00D412EE">
        <w:rPr>
          <w:rFonts w:eastAsia="Times New Roman" w:cs="Calibri"/>
          <w:sz w:val="24"/>
          <w:szCs w:val="24"/>
        </w:rPr>
        <w:t xml:space="preserve"> forces and the thermal stability to accommodate additive manufacturing in a construct that induces f</w:t>
      </w:r>
      <w:r w:rsidR="00C143A5" w:rsidRPr="00D412EE">
        <w:rPr>
          <w:rFonts w:eastAsia="Times New Roman" w:cs="Calibri"/>
          <w:sz w:val="24"/>
          <w:szCs w:val="24"/>
        </w:rPr>
        <w:t>ormation of the desired tissue.</w:t>
      </w:r>
      <w:r w:rsidR="00615EAD" w:rsidRPr="00D412EE">
        <w:rPr>
          <w:rFonts w:eastAsia="Times New Roman" w:cs="Calibri"/>
          <w:sz w:val="24"/>
          <w:szCs w:val="24"/>
        </w:rPr>
        <w:br/>
      </w:r>
    </w:p>
    <w:p w14:paraId="56D96EC4" w14:textId="77777777" w:rsidR="00C33CF8"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In a recent attempt to address the aforementioned hurdles, we showed that it is feasible to encapsulate decellularized cartilage extracellular matrix within a thermally protective PLA barrier that can be </w:t>
      </w:r>
      <w:r w:rsidR="00864CBE" w:rsidRPr="00D412EE">
        <w:rPr>
          <w:rFonts w:eastAsia="Times New Roman" w:cs="Calibri"/>
          <w:sz w:val="24"/>
          <w:szCs w:val="24"/>
        </w:rPr>
        <w:t xml:space="preserve">extruded </w:t>
      </w:r>
      <w:r w:rsidRPr="00D412EE">
        <w:rPr>
          <w:rFonts w:eastAsia="Times New Roman" w:cs="Calibri"/>
          <w:sz w:val="24"/>
          <w:szCs w:val="24"/>
        </w:rPr>
        <w:t>within PCL filamen</w:t>
      </w:r>
      <w:r w:rsidR="00864CBE" w:rsidRPr="00D412EE">
        <w:rPr>
          <w:rFonts w:eastAsia="Times New Roman" w:cs="Calibri"/>
          <w:sz w:val="24"/>
          <w:szCs w:val="24"/>
        </w:rPr>
        <w:t>t</w:t>
      </w:r>
      <w:r w:rsidR="00C437E4">
        <w:rPr>
          <w:rFonts w:eastAsia="Times New Roman" w:cs="Calibri"/>
          <w:sz w:val="24"/>
          <w:szCs w:val="24"/>
        </w:rPr>
        <w:t>s</w:t>
      </w:r>
      <w:r w:rsidR="00864CBE" w:rsidRPr="00D412EE">
        <w:rPr>
          <w:rFonts w:eastAsia="Times New Roman" w:cs="Calibri"/>
          <w:sz w:val="24"/>
          <w:szCs w:val="24"/>
        </w:rPr>
        <w:t>, maintaining the ability of D</w:t>
      </w:r>
      <w:r w:rsidRPr="00D412EE">
        <w:rPr>
          <w:rFonts w:eastAsia="Times New Roman" w:cs="Calibri"/>
          <w:sz w:val="24"/>
          <w:szCs w:val="24"/>
        </w:rPr>
        <w:t>M to influence surrounding host cells</w:t>
      </w:r>
      <w:r w:rsidR="0048463E" w:rsidRPr="00D412EE">
        <w:rPr>
          <w:rFonts w:eastAsia="Times New Roman" w:cs="Calibri"/>
          <w:sz w:val="24"/>
          <w:szCs w:val="24"/>
        </w:rPr>
        <w:fldChar w:fldCharType="begin" w:fldLock="1"/>
      </w:r>
      <w:r w:rsidR="00D52B77" w:rsidRPr="00D412EE">
        <w:rPr>
          <w:rFonts w:eastAsia="Times New Roman" w:cs="Calibri"/>
          <w:sz w:val="24"/>
          <w:szCs w:val="24"/>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2&lt;/sup&gt;","plainTextFormattedCitation":"2","previouslyFormattedCitation":"&lt;sup&gt;2&lt;/sup&gt;"},"properties":{"noteIndex":0},"schema":"https://github.com/citation-style-language/schema/raw/master/csl-citation.json"}</w:instrText>
      </w:r>
      <w:r w:rsidR="0048463E" w:rsidRPr="00D412EE">
        <w:rPr>
          <w:rFonts w:eastAsia="Times New Roman" w:cs="Calibri"/>
          <w:sz w:val="24"/>
          <w:szCs w:val="24"/>
        </w:rPr>
        <w:fldChar w:fldCharType="separate"/>
      </w:r>
      <w:r w:rsidR="0048463E" w:rsidRPr="00D412EE">
        <w:rPr>
          <w:rFonts w:eastAsia="Times New Roman" w:cs="Calibri"/>
          <w:sz w:val="24"/>
          <w:szCs w:val="24"/>
          <w:vertAlign w:val="superscript"/>
        </w:rPr>
        <w:t>2</w:t>
      </w:r>
      <w:r w:rsidR="0048463E" w:rsidRPr="00D412EE">
        <w:rPr>
          <w:rFonts w:eastAsia="Times New Roman" w:cs="Calibri"/>
          <w:sz w:val="24"/>
          <w:szCs w:val="24"/>
        </w:rPr>
        <w:fldChar w:fldCharType="end"/>
      </w:r>
      <w:r w:rsidRPr="00D412EE">
        <w:rPr>
          <w:rFonts w:eastAsia="Times New Roman" w:cs="Calibri"/>
          <w:sz w:val="24"/>
          <w:szCs w:val="24"/>
        </w:rPr>
        <w:t>. This has inspired us to seek clinically effective approaches for tissue reconstructio</w:t>
      </w:r>
      <w:r w:rsidR="00864CBE" w:rsidRPr="00D412EE">
        <w:rPr>
          <w:rFonts w:eastAsia="Times New Roman" w:cs="Calibri"/>
          <w:sz w:val="24"/>
          <w:szCs w:val="24"/>
        </w:rPr>
        <w:t>n. In the current study, we</w:t>
      </w:r>
      <w:r w:rsidRPr="00D412EE">
        <w:rPr>
          <w:rFonts w:eastAsia="Times New Roman" w:cs="Calibri"/>
          <w:sz w:val="24"/>
          <w:szCs w:val="24"/>
        </w:rPr>
        <w:t xml:space="preserve"> utilize the platform technology to build all-in-one scaffolds that include PLA, DM, and PCL (PLA-DM/PCL)</w:t>
      </w:r>
      <w:r w:rsidR="00FE0C70" w:rsidRPr="00D412EE">
        <w:rPr>
          <w:rFonts w:eastAsia="Times New Roman" w:cs="Calibri"/>
          <w:sz w:val="24"/>
          <w:szCs w:val="24"/>
        </w:rPr>
        <w:t>.</w:t>
      </w:r>
    </w:p>
    <w:p w14:paraId="6E7B4299"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br/>
        <w:t xml:space="preserve">Our goal is to improve the efficacy and utility of allografts using the proposed novel </w:t>
      </w:r>
      <w:proofErr w:type="spellStart"/>
      <w:r w:rsidR="009405DF" w:rsidRPr="00D412EE">
        <w:rPr>
          <w:rFonts w:eastAsia="Times New Roman" w:cs="Calibri"/>
          <w:sz w:val="24"/>
          <w:szCs w:val="24"/>
        </w:rPr>
        <w:t>biofabrication</w:t>
      </w:r>
      <w:proofErr w:type="spellEnd"/>
      <w:r w:rsidRPr="00D412EE">
        <w:rPr>
          <w:rFonts w:eastAsia="Times New Roman" w:cs="Calibri"/>
          <w:sz w:val="24"/>
          <w:szCs w:val="24"/>
        </w:rPr>
        <w:t xml:space="preserve"> </w:t>
      </w:r>
      <w:r w:rsidR="00C437E4">
        <w:rPr>
          <w:rFonts w:eastAsia="Times New Roman" w:cs="Calibri"/>
          <w:sz w:val="24"/>
          <w:szCs w:val="24"/>
        </w:rPr>
        <w:t xml:space="preserve">technique </w:t>
      </w:r>
      <w:r w:rsidRPr="00D412EE">
        <w:rPr>
          <w:rFonts w:eastAsia="Times New Roman" w:cs="Calibri"/>
          <w:sz w:val="24"/>
          <w:szCs w:val="24"/>
        </w:rPr>
        <w:t xml:space="preserve">to more accurately recapitulate native tissue, </w:t>
      </w:r>
      <w:r w:rsidR="00C437E4">
        <w:rPr>
          <w:rFonts w:eastAsia="Times New Roman" w:cs="Calibri"/>
          <w:sz w:val="24"/>
          <w:szCs w:val="24"/>
        </w:rPr>
        <w:t xml:space="preserve">to </w:t>
      </w:r>
      <w:r w:rsidRPr="00D412EE">
        <w:rPr>
          <w:rFonts w:eastAsia="Times New Roman" w:cs="Calibri"/>
          <w:sz w:val="24"/>
          <w:szCs w:val="24"/>
        </w:rPr>
        <w:t xml:space="preserve">ultimately </w:t>
      </w:r>
      <w:r w:rsidR="00C437E4">
        <w:rPr>
          <w:rFonts w:eastAsia="Times New Roman" w:cs="Calibri"/>
          <w:sz w:val="24"/>
          <w:szCs w:val="24"/>
        </w:rPr>
        <w:t>use them in</w:t>
      </w:r>
      <w:r w:rsidRPr="00D412EE">
        <w:rPr>
          <w:rFonts w:eastAsia="Times New Roman" w:cs="Calibri"/>
          <w:sz w:val="24"/>
          <w:szCs w:val="24"/>
        </w:rPr>
        <w:t xml:space="preserve"> </w:t>
      </w:r>
      <w:r w:rsidR="00C437E4">
        <w:rPr>
          <w:rFonts w:eastAsia="Times New Roman" w:cs="Calibri"/>
          <w:sz w:val="24"/>
          <w:szCs w:val="24"/>
        </w:rPr>
        <w:t xml:space="preserve">various </w:t>
      </w:r>
      <w:r w:rsidRPr="00D412EE">
        <w:rPr>
          <w:rFonts w:eastAsia="Times New Roman" w:cs="Calibri"/>
          <w:sz w:val="24"/>
          <w:szCs w:val="24"/>
        </w:rPr>
        <w:t xml:space="preserve">applications. </w:t>
      </w:r>
    </w:p>
    <w:p w14:paraId="09B6C8EB" w14:textId="77777777" w:rsidR="00615EAD" w:rsidRPr="00D412EE" w:rsidRDefault="00615EAD" w:rsidP="00D412EE">
      <w:pPr>
        <w:spacing w:after="0" w:line="240" w:lineRule="auto"/>
        <w:jc w:val="both"/>
        <w:rPr>
          <w:rFonts w:eastAsia="Times New Roman" w:cs="Calibri"/>
          <w:sz w:val="24"/>
          <w:szCs w:val="24"/>
        </w:rPr>
      </w:pPr>
    </w:p>
    <w:p w14:paraId="4446910C"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PROTOCOL:</w:t>
      </w:r>
      <w:r w:rsidRPr="00D412EE">
        <w:rPr>
          <w:rFonts w:eastAsia="Times New Roman" w:cs="Calibri"/>
          <w:color w:val="000000"/>
          <w:sz w:val="24"/>
          <w:szCs w:val="24"/>
        </w:rPr>
        <w:t xml:space="preserve"> </w:t>
      </w:r>
    </w:p>
    <w:p w14:paraId="6237639B" w14:textId="188968A3" w:rsidR="00C33CF8" w:rsidRDefault="00615EAD" w:rsidP="00D412EE">
      <w:pPr>
        <w:numPr>
          <w:ilvl w:val="0"/>
          <w:numId w:val="8"/>
        </w:numPr>
        <w:spacing w:after="0" w:line="240" w:lineRule="auto"/>
        <w:contextualSpacing/>
        <w:jc w:val="both"/>
        <w:textAlignment w:val="baseline"/>
        <w:rPr>
          <w:rFonts w:eastAsia="Times New Roman" w:cs="Calibri"/>
          <w:b/>
          <w:bCs/>
          <w:color w:val="000000"/>
          <w:sz w:val="24"/>
          <w:szCs w:val="24"/>
          <w:highlight w:val="yellow"/>
        </w:rPr>
      </w:pPr>
      <w:r w:rsidRPr="00D412EE">
        <w:rPr>
          <w:rFonts w:eastAsia="Times New Roman" w:cs="Calibri"/>
          <w:b/>
          <w:bCs/>
          <w:color w:val="000000"/>
          <w:sz w:val="24"/>
          <w:szCs w:val="24"/>
          <w:highlight w:val="yellow"/>
        </w:rPr>
        <w:lastRenderedPageBreak/>
        <w:t>Obtaining</w:t>
      </w:r>
      <w:r w:rsidR="007F5EF1">
        <w:rPr>
          <w:rFonts w:eastAsia="Times New Roman" w:cs="Calibri"/>
          <w:b/>
          <w:bCs/>
          <w:color w:val="000000"/>
          <w:sz w:val="24"/>
          <w:szCs w:val="24"/>
          <w:highlight w:val="yellow"/>
        </w:rPr>
        <w:t xml:space="preserve"> and Preprocessing</w:t>
      </w:r>
      <w:r w:rsidRPr="00D412EE">
        <w:rPr>
          <w:rFonts w:eastAsia="Times New Roman" w:cs="Calibri"/>
          <w:b/>
          <w:bCs/>
          <w:color w:val="000000"/>
          <w:sz w:val="24"/>
          <w:szCs w:val="24"/>
          <w:highlight w:val="yellow"/>
        </w:rPr>
        <w:t xml:space="preserve"> </w:t>
      </w:r>
      <w:r w:rsidR="007F5EF1">
        <w:rPr>
          <w:rFonts w:eastAsia="Times New Roman" w:cs="Calibri"/>
          <w:b/>
          <w:bCs/>
          <w:color w:val="000000"/>
          <w:sz w:val="24"/>
          <w:szCs w:val="24"/>
          <w:highlight w:val="yellow"/>
        </w:rPr>
        <w:t>M</w:t>
      </w:r>
      <w:r w:rsidRPr="00D412EE">
        <w:rPr>
          <w:rFonts w:eastAsia="Times New Roman" w:cs="Calibri"/>
          <w:b/>
          <w:bCs/>
          <w:color w:val="000000"/>
          <w:sz w:val="24"/>
          <w:szCs w:val="24"/>
          <w:highlight w:val="yellow"/>
        </w:rPr>
        <w:t>icrospheres</w:t>
      </w:r>
    </w:p>
    <w:p w14:paraId="01F520E2" w14:textId="77777777" w:rsidR="00C437E4" w:rsidRPr="00D412EE" w:rsidRDefault="00C437E4" w:rsidP="00C437E4">
      <w:pPr>
        <w:spacing w:after="0" w:line="240" w:lineRule="auto"/>
        <w:contextualSpacing/>
        <w:jc w:val="both"/>
        <w:textAlignment w:val="baseline"/>
        <w:rPr>
          <w:rFonts w:eastAsia="Times New Roman" w:cs="Calibri"/>
          <w:b/>
          <w:bCs/>
          <w:color w:val="000000"/>
          <w:sz w:val="24"/>
          <w:szCs w:val="24"/>
          <w:highlight w:val="yellow"/>
        </w:rPr>
      </w:pPr>
    </w:p>
    <w:p w14:paraId="3F486663" w14:textId="6F09601C" w:rsidR="00CB2B57" w:rsidRPr="00CB2B57" w:rsidRDefault="00CB2B57" w:rsidP="00D412EE">
      <w:pPr>
        <w:pStyle w:val="ListParagraph"/>
        <w:numPr>
          <w:ilvl w:val="1"/>
          <w:numId w:val="8"/>
        </w:numPr>
        <w:spacing w:after="0" w:line="240" w:lineRule="auto"/>
        <w:jc w:val="both"/>
        <w:rPr>
          <w:rFonts w:eastAsia="Times New Roman" w:cs="Calibri"/>
          <w:sz w:val="24"/>
          <w:szCs w:val="24"/>
        </w:rPr>
      </w:pPr>
      <w:r>
        <w:rPr>
          <w:rFonts w:eastAsia="Times New Roman" w:cs="Calibri"/>
          <w:color w:val="000000"/>
          <w:sz w:val="24"/>
          <w:szCs w:val="24"/>
          <w:highlight w:val="yellow"/>
        </w:rPr>
        <w:t>Produce</w:t>
      </w:r>
      <w:r w:rsidR="00FD5956" w:rsidRPr="00D412EE">
        <w:rPr>
          <w:rFonts w:eastAsia="Times New Roman" w:cs="Calibri"/>
          <w:color w:val="000000"/>
          <w:sz w:val="24"/>
          <w:szCs w:val="24"/>
          <w:highlight w:val="yellow"/>
        </w:rPr>
        <w:t xml:space="preserve"> microspheres with the</w:t>
      </w:r>
      <w:r w:rsidR="00615EAD" w:rsidRPr="00D412EE">
        <w:rPr>
          <w:rFonts w:eastAsia="Times New Roman" w:cs="Calibri"/>
          <w:color w:val="000000"/>
          <w:sz w:val="24"/>
          <w:szCs w:val="24"/>
          <w:highlight w:val="yellow"/>
        </w:rPr>
        <w:t xml:space="preserve"> desired ma</w:t>
      </w:r>
      <w:r w:rsidR="00C265B8" w:rsidRPr="00D412EE">
        <w:rPr>
          <w:rFonts w:eastAsia="Times New Roman" w:cs="Calibri"/>
          <w:color w:val="000000"/>
          <w:sz w:val="24"/>
          <w:szCs w:val="24"/>
          <w:highlight w:val="yellow"/>
        </w:rPr>
        <w:t>trix encapsulated</w:t>
      </w:r>
      <w:r>
        <w:rPr>
          <w:rFonts w:eastAsia="Times New Roman" w:cs="Calibri"/>
          <w:color w:val="000000"/>
          <w:sz w:val="24"/>
          <w:szCs w:val="24"/>
          <w:highlight w:val="yellow"/>
        </w:rPr>
        <w:t xml:space="preserve"> (</w:t>
      </w:r>
      <w:r w:rsidR="00C265B8" w:rsidRPr="00D412EE">
        <w:rPr>
          <w:rFonts w:eastAsia="Times New Roman" w:cs="Calibri"/>
          <w:color w:val="000000"/>
          <w:sz w:val="24"/>
          <w:szCs w:val="24"/>
          <w:highlight w:val="yellow"/>
        </w:rPr>
        <w:t>PLA-DM</w:t>
      </w:r>
      <w:r>
        <w:rPr>
          <w:rFonts w:eastAsia="Times New Roman" w:cs="Calibri"/>
          <w:color w:val="000000"/>
          <w:sz w:val="24"/>
          <w:szCs w:val="24"/>
          <w:highlight w:val="yellow"/>
        </w:rPr>
        <w:t>)</w:t>
      </w:r>
      <w:r w:rsidR="0027084B" w:rsidRPr="00D412EE">
        <w:rPr>
          <w:rFonts w:eastAsia="Times New Roman" w:cs="Calibri"/>
          <w:color w:val="000000"/>
          <w:sz w:val="24"/>
          <w:szCs w:val="24"/>
          <w:highlight w:val="yellow"/>
        </w:rPr>
        <w:fldChar w:fldCharType="begin" w:fldLock="1"/>
      </w:r>
      <w:r w:rsidR="00D52B77" w:rsidRPr="00D412EE">
        <w:rPr>
          <w:rFonts w:eastAsia="Times New Roman" w:cs="Calibri"/>
          <w:color w:val="000000"/>
          <w:sz w:val="24"/>
          <w:szCs w:val="24"/>
          <w:highlight w:val="yellow"/>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a5155d05-6337-3e80-99d2-7eadeb41147e"]}],"mendeley":{"formattedCitation":"&lt;sup&gt;2&lt;/sup&gt;","plainTextFormattedCitation":"2","previouslyFormattedCitation":"&lt;sup&gt;2&lt;/sup&gt;"},"properties":{"noteIndex":0},"schema":"https://github.com/citation-style-language/schema/raw/master/csl-citation.json"}</w:instrText>
      </w:r>
      <w:r w:rsidR="0027084B" w:rsidRPr="00D412EE">
        <w:rPr>
          <w:rFonts w:eastAsia="Times New Roman" w:cs="Calibri"/>
          <w:color w:val="000000"/>
          <w:sz w:val="24"/>
          <w:szCs w:val="24"/>
          <w:highlight w:val="yellow"/>
        </w:rPr>
        <w:fldChar w:fldCharType="separate"/>
      </w:r>
      <w:r w:rsidR="00755280" w:rsidRPr="00D412EE">
        <w:rPr>
          <w:rFonts w:eastAsia="Times New Roman" w:cs="Calibri"/>
          <w:color w:val="000000"/>
          <w:sz w:val="24"/>
          <w:szCs w:val="24"/>
          <w:highlight w:val="yellow"/>
          <w:vertAlign w:val="superscript"/>
        </w:rPr>
        <w:t>2</w:t>
      </w:r>
      <w:r w:rsidR="0027084B" w:rsidRPr="00D412EE">
        <w:rPr>
          <w:rFonts w:eastAsia="Times New Roman" w:cs="Calibri"/>
          <w:color w:val="000000"/>
          <w:sz w:val="24"/>
          <w:szCs w:val="24"/>
          <w:highlight w:val="yellow"/>
        </w:rPr>
        <w:fldChar w:fldCharType="end"/>
      </w:r>
      <w:r w:rsidR="00615EAD" w:rsidRPr="00D412EE">
        <w:rPr>
          <w:rFonts w:eastAsia="Times New Roman" w:cs="Calibri"/>
          <w:color w:val="000000"/>
          <w:sz w:val="24"/>
          <w:szCs w:val="24"/>
          <w:highlight w:val="yellow"/>
        </w:rPr>
        <w:t xml:space="preserve">. </w:t>
      </w:r>
    </w:p>
    <w:p w14:paraId="557BFC3B" w14:textId="77777777" w:rsidR="00CB2B57" w:rsidRDefault="00CB2B57" w:rsidP="00CB2B57">
      <w:pPr>
        <w:pStyle w:val="ListParagraph"/>
        <w:spacing w:after="0" w:line="240" w:lineRule="auto"/>
        <w:ind w:left="0"/>
        <w:jc w:val="both"/>
        <w:rPr>
          <w:rFonts w:eastAsia="Times New Roman" w:cs="Calibri"/>
          <w:color w:val="000000"/>
          <w:sz w:val="24"/>
          <w:szCs w:val="24"/>
        </w:rPr>
      </w:pPr>
    </w:p>
    <w:p w14:paraId="33FB1CF9" w14:textId="1B8D919D" w:rsidR="00615EAD" w:rsidRPr="00C437E4" w:rsidRDefault="00CB2B57" w:rsidP="00CB2B57">
      <w:pPr>
        <w:pStyle w:val="ListParagraph"/>
        <w:spacing w:after="0" w:line="240" w:lineRule="auto"/>
        <w:ind w:left="0"/>
        <w:jc w:val="both"/>
        <w:rPr>
          <w:rFonts w:eastAsia="Times New Roman" w:cs="Calibri"/>
          <w:sz w:val="24"/>
          <w:szCs w:val="24"/>
        </w:rPr>
      </w:pPr>
      <w:r>
        <w:rPr>
          <w:rFonts w:eastAsia="Times New Roman" w:cs="Calibri"/>
          <w:color w:val="000000"/>
          <w:sz w:val="24"/>
          <w:szCs w:val="24"/>
        </w:rPr>
        <w:t xml:space="preserve">Note: </w:t>
      </w:r>
      <w:r w:rsidR="00615EAD" w:rsidRPr="00D412EE">
        <w:rPr>
          <w:rFonts w:eastAsia="Times New Roman" w:cs="Calibri"/>
          <w:color w:val="000000"/>
          <w:sz w:val="24"/>
          <w:szCs w:val="24"/>
        </w:rPr>
        <w:t>It is imperative that the microspheres are of uniform size. For this reason, sieving the micros</w:t>
      </w:r>
      <w:r w:rsidR="00973FAE" w:rsidRPr="00D412EE">
        <w:rPr>
          <w:rFonts w:eastAsia="Times New Roman" w:cs="Calibri"/>
          <w:color w:val="000000"/>
          <w:sz w:val="24"/>
          <w:szCs w:val="24"/>
        </w:rPr>
        <w:t>pheres prior to use is essential</w:t>
      </w:r>
      <w:r w:rsidR="00615EAD" w:rsidRPr="00D412EE">
        <w:rPr>
          <w:rFonts w:eastAsia="Times New Roman" w:cs="Calibri"/>
          <w:color w:val="000000"/>
          <w:sz w:val="24"/>
          <w:szCs w:val="24"/>
        </w:rPr>
        <w:t>.</w:t>
      </w:r>
      <w:r w:rsidR="00B241B9" w:rsidRPr="00D412EE">
        <w:rPr>
          <w:rFonts w:eastAsia="Times New Roman" w:cs="Calibri"/>
          <w:color w:val="000000"/>
          <w:sz w:val="24"/>
          <w:szCs w:val="24"/>
        </w:rPr>
        <w:t xml:space="preserve"> Although matrix decellularization and encapsulation have been detailed in previous publications</w:t>
      </w:r>
      <w:r w:rsidR="004F759A" w:rsidRPr="004F759A">
        <w:rPr>
          <w:rFonts w:eastAsia="Times New Roman" w:cs="Calibri"/>
          <w:color w:val="000000"/>
          <w:sz w:val="24"/>
          <w:szCs w:val="24"/>
          <w:vertAlign w:val="superscript"/>
        </w:rPr>
        <w:t>2</w:t>
      </w:r>
      <w:r w:rsidR="00B241B9" w:rsidRPr="00D412EE">
        <w:rPr>
          <w:rFonts w:eastAsia="Times New Roman" w:cs="Calibri"/>
          <w:color w:val="000000"/>
          <w:sz w:val="24"/>
          <w:szCs w:val="24"/>
        </w:rPr>
        <w:t xml:space="preserve">, </w:t>
      </w:r>
      <w:proofErr w:type="gramStart"/>
      <w:r w:rsidR="00B241B9" w:rsidRPr="00D412EE">
        <w:rPr>
          <w:rFonts w:eastAsia="Times New Roman" w:cs="Calibri"/>
          <w:color w:val="000000"/>
          <w:sz w:val="24"/>
          <w:szCs w:val="24"/>
        </w:rPr>
        <w:t>a brief summary</w:t>
      </w:r>
      <w:proofErr w:type="gramEnd"/>
      <w:r w:rsidR="00B241B9" w:rsidRPr="00D412EE">
        <w:rPr>
          <w:rFonts w:eastAsia="Times New Roman" w:cs="Calibri"/>
          <w:color w:val="000000"/>
          <w:sz w:val="24"/>
          <w:szCs w:val="24"/>
        </w:rPr>
        <w:t xml:space="preserve"> of the process follows.</w:t>
      </w:r>
    </w:p>
    <w:p w14:paraId="43935001"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05711527" w14:textId="005EDFA4" w:rsidR="00FE48EA" w:rsidRPr="00C437E4" w:rsidRDefault="00FE48EA" w:rsidP="00CB2B57">
      <w:pPr>
        <w:pStyle w:val="ListParagraph"/>
        <w:numPr>
          <w:ilvl w:val="2"/>
          <w:numId w:val="8"/>
        </w:numPr>
        <w:spacing w:after="0" w:line="240" w:lineRule="auto"/>
        <w:jc w:val="both"/>
        <w:rPr>
          <w:rFonts w:eastAsia="Times New Roman" w:cs="Calibri"/>
          <w:sz w:val="24"/>
          <w:szCs w:val="24"/>
        </w:rPr>
      </w:pPr>
      <w:r w:rsidRPr="00D412EE">
        <w:rPr>
          <w:rFonts w:eastAsia="Times New Roman" w:cs="Calibri"/>
          <w:color w:val="000000"/>
          <w:sz w:val="24"/>
          <w:szCs w:val="24"/>
        </w:rPr>
        <w:t xml:space="preserve">First, </w:t>
      </w:r>
      <w:r w:rsidR="00CB2B57">
        <w:rPr>
          <w:rFonts w:eastAsia="Times New Roman" w:cs="Calibri"/>
          <w:color w:val="000000"/>
          <w:sz w:val="24"/>
          <w:szCs w:val="24"/>
        </w:rPr>
        <w:t xml:space="preserve">harvest </w:t>
      </w:r>
      <w:r w:rsidRPr="00D412EE">
        <w:rPr>
          <w:rFonts w:eastAsia="Times New Roman" w:cs="Calibri"/>
          <w:color w:val="000000"/>
          <w:sz w:val="24"/>
          <w:szCs w:val="24"/>
        </w:rPr>
        <w:t xml:space="preserve">cartilage plugs from porcine hind limbs. </w:t>
      </w:r>
      <w:r w:rsidR="00CB2B57">
        <w:rPr>
          <w:rFonts w:eastAsia="Times New Roman" w:cs="Calibri"/>
          <w:color w:val="000000"/>
          <w:sz w:val="24"/>
          <w:szCs w:val="24"/>
        </w:rPr>
        <w:t>Decellularize t</w:t>
      </w:r>
      <w:r w:rsidRPr="00D412EE">
        <w:rPr>
          <w:rFonts w:eastAsia="Times New Roman" w:cs="Calibri"/>
          <w:color w:val="000000"/>
          <w:sz w:val="24"/>
          <w:szCs w:val="24"/>
        </w:rPr>
        <w:t>he cartilage i</w:t>
      </w:r>
      <w:r w:rsidR="00B241B9" w:rsidRPr="00D412EE">
        <w:rPr>
          <w:rFonts w:eastAsia="Times New Roman" w:cs="Calibri"/>
          <w:color w:val="000000"/>
          <w:sz w:val="24"/>
          <w:szCs w:val="24"/>
        </w:rPr>
        <w:t>n a series of washes with 0.05% trypsin/0.5</w:t>
      </w:r>
      <w:r w:rsidR="00CB2B57">
        <w:rPr>
          <w:rFonts w:eastAsia="Times New Roman" w:cs="Calibri"/>
          <w:color w:val="000000"/>
          <w:sz w:val="24"/>
          <w:szCs w:val="24"/>
        </w:rPr>
        <w:t xml:space="preserve"> </w:t>
      </w:r>
      <w:r w:rsidR="00B241B9" w:rsidRPr="00D412EE">
        <w:rPr>
          <w:rFonts w:eastAsia="Times New Roman" w:cs="Calibri"/>
          <w:color w:val="000000"/>
          <w:sz w:val="24"/>
          <w:szCs w:val="24"/>
        </w:rPr>
        <w:t xml:space="preserve">mm </w:t>
      </w:r>
      <w:proofErr w:type="spellStart"/>
      <w:r w:rsidR="00B241B9" w:rsidRPr="00D412EE">
        <w:rPr>
          <w:rFonts w:eastAsia="Times New Roman" w:cs="Calibri"/>
          <w:color w:val="000000"/>
          <w:sz w:val="24"/>
          <w:szCs w:val="24"/>
        </w:rPr>
        <w:t>tetrasodium</w:t>
      </w:r>
      <w:proofErr w:type="spellEnd"/>
      <w:r w:rsidR="00CB2B57">
        <w:rPr>
          <w:rFonts w:eastAsia="Times New Roman" w:cs="Calibri"/>
          <w:color w:val="000000"/>
          <w:sz w:val="24"/>
          <w:szCs w:val="24"/>
        </w:rPr>
        <w:t xml:space="preserve"> e</w:t>
      </w:r>
      <w:r w:rsidR="00CB2B57" w:rsidRPr="00CB2B57">
        <w:rPr>
          <w:rFonts w:eastAsia="Times New Roman" w:cs="Calibri"/>
          <w:color w:val="000000"/>
          <w:sz w:val="24"/>
          <w:szCs w:val="24"/>
        </w:rPr>
        <w:t xml:space="preserve">thylenediaminetetraacetic acid </w:t>
      </w:r>
      <w:r w:rsidR="00CB2B57">
        <w:rPr>
          <w:rFonts w:eastAsia="Times New Roman" w:cs="Calibri"/>
          <w:color w:val="000000"/>
          <w:sz w:val="24"/>
          <w:szCs w:val="24"/>
        </w:rPr>
        <w:t>(</w:t>
      </w:r>
      <w:r w:rsidR="00B241B9" w:rsidRPr="00D412EE">
        <w:rPr>
          <w:rFonts w:eastAsia="Times New Roman" w:cs="Calibri"/>
          <w:color w:val="000000"/>
          <w:sz w:val="24"/>
          <w:szCs w:val="24"/>
        </w:rPr>
        <w:t>EDTA</w:t>
      </w:r>
      <w:r w:rsidR="00CB2B57">
        <w:rPr>
          <w:rFonts w:eastAsia="Times New Roman" w:cs="Calibri"/>
          <w:color w:val="000000"/>
          <w:sz w:val="24"/>
          <w:szCs w:val="24"/>
        </w:rPr>
        <w:t>)</w:t>
      </w:r>
      <w:r w:rsidR="00B241B9" w:rsidRPr="00D412EE">
        <w:rPr>
          <w:rFonts w:eastAsia="Times New Roman" w:cs="Calibri"/>
          <w:color w:val="000000"/>
          <w:sz w:val="24"/>
          <w:szCs w:val="24"/>
        </w:rPr>
        <w:t xml:space="preserve">, Dulbecco’s modified Eagle’s medium (DMEM), </w:t>
      </w:r>
      <w:r w:rsidR="00CB2B57">
        <w:rPr>
          <w:rFonts w:eastAsia="Times New Roman" w:cs="Calibri"/>
          <w:color w:val="000000"/>
          <w:sz w:val="24"/>
          <w:szCs w:val="24"/>
        </w:rPr>
        <w:t xml:space="preserve">and 1.5% </w:t>
      </w:r>
      <w:r w:rsidR="00B241B9" w:rsidRPr="00D412EE">
        <w:rPr>
          <w:rFonts w:eastAsia="Times New Roman" w:cs="Calibri"/>
          <w:color w:val="000000"/>
          <w:sz w:val="24"/>
          <w:szCs w:val="24"/>
        </w:rPr>
        <w:t>peracetic acid and 2.0% Triton X-100 for 4 h</w:t>
      </w:r>
      <w:r w:rsidR="00CB2B57">
        <w:rPr>
          <w:rFonts w:eastAsia="Times New Roman" w:cs="Calibri"/>
          <w:color w:val="000000"/>
          <w:sz w:val="24"/>
          <w:szCs w:val="24"/>
        </w:rPr>
        <w:t xml:space="preserve"> </w:t>
      </w:r>
      <w:r w:rsidR="00B241B9" w:rsidRPr="00D412EE">
        <w:rPr>
          <w:rFonts w:eastAsia="Times New Roman" w:cs="Calibri"/>
          <w:color w:val="000000"/>
          <w:sz w:val="24"/>
          <w:szCs w:val="24"/>
        </w:rPr>
        <w:t>each with distilled water washes before and after each step</w:t>
      </w:r>
      <w:r w:rsidR="00EB0CCD" w:rsidRPr="00D412EE">
        <w:rPr>
          <w:rFonts w:eastAsia="Times New Roman" w:cs="Calibri"/>
          <w:color w:val="000000"/>
          <w:sz w:val="24"/>
          <w:szCs w:val="24"/>
        </w:rPr>
        <w:fldChar w:fldCharType="begin" w:fldLock="1"/>
      </w:r>
      <w:r w:rsidR="00D52B77" w:rsidRPr="00D412EE">
        <w:rPr>
          <w:rFonts w:eastAsia="Times New Roman" w:cs="Calibri"/>
          <w:color w:val="000000"/>
          <w:sz w:val="24"/>
          <w:szCs w:val="24"/>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a5155d05-6337-3e80-99d2-7eadeb41147e"]}],"mendeley":{"formattedCitation":"&lt;sup&gt;2&lt;/sup&gt;","plainTextFormattedCitation":"2","previouslyFormattedCitation":"&lt;sup&gt;2&lt;/sup&gt;"},"properties":{"noteIndex":0},"schema":"https://github.com/citation-style-language/schema/raw/master/csl-citation.json"}</w:instrText>
      </w:r>
      <w:r w:rsidR="00EB0CCD" w:rsidRPr="00D412EE">
        <w:rPr>
          <w:rFonts w:eastAsia="Times New Roman" w:cs="Calibri"/>
          <w:color w:val="000000"/>
          <w:sz w:val="24"/>
          <w:szCs w:val="24"/>
        </w:rPr>
        <w:fldChar w:fldCharType="separate"/>
      </w:r>
      <w:r w:rsidR="00EB0CCD" w:rsidRPr="00D412EE">
        <w:rPr>
          <w:rFonts w:eastAsia="Times New Roman" w:cs="Calibri"/>
          <w:color w:val="000000"/>
          <w:sz w:val="24"/>
          <w:szCs w:val="24"/>
          <w:vertAlign w:val="superscript"/>
        </w:rPr>
        <w:t>2</w:t>
      </w:r>
      <w:r w:rsidR="00EB0CCD" w:rsidRPr="00D412EE">
        <w:rPr>
          <w:rFonts w:eastAsia="Times New Roman" w:cs="Calibri"/>
          <w:color w:val="000000"/>
          <w:sz w:val="24"/>
          <w:szCs w:val="24"/>
        </w:rPr>
        <w:fldChar w:fldCharType="end"/>
      </w:r>
      <w:r w:rsidR="00B241B9" w:rsidRPr="00D412EE">
        <w:rPr>
          <w:rFonts w:eastAsia="Times New Roman" w:cs="Calibri"/>
          <w:color w:val="000000"/>
          <w:sz w:val="24"/>
          <w:szCs w:val="24"/>
        </w:rPr>
        <w:t xml:space="preserve">. </w:t>
      </w:r>
    </w:p>
    <w:p w14:paraId="5E452407"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0B34B48C" w14:textId="02DDB357" w:rsidR="00CB2B57" w:rsidRPr="00CB2B57" w:rsidRDefault="00CB2B57" w:rsidP="00D412EE">
      <w:pPr>
        <w:pStyle w:val="ListParagraph"/>
        <w:numPr>
          <w:ilvl w:val="2"/>
          <w:numId w:val="8"/>
        </w:numPr>
        <w:spacing w:after="0" w:line="240" w:lineRule="auto"/>
        <w:jc w:val="both"/>
        <w:rPr>
          <w:rFonts w:eastAsia="Times New Roman" w:cs="Calibri"/>
          <w:sz w:val="24"/>
          <w:szCs w:val="24"/>
        </w:rPr>
      </w:pPr>
      <w:r>
        <w:rPr>
          <w:rFonts w:eastAsia="Times New Roman" w:cs="Calibri"/>
          <w:color w:val="000000"/>
          <w:sz w:val="24"/>
          <w:szCs w:val="24"/>
        </w:rPr>
        <w:t>Drain th</w:t>
      </w:r>
      <w:r w:rsidR="00B241B9" w:rsidRPr="00D412EE">
        <w:rPr>
          <w:rFonts w:eastAsia="Times New Roman" w:cs="Calibri"/>
          <w:color w:val="000000"/>
          <w:sz w:val="24"/>
          <w:szCs w:val="24"/>
        </w:rPr>
        <w:t>e decellularized matrix</w:t>
      </w:r>
      <w:r>
        <w:rPr>
          <w:rFonts w:eastAsia="Times New Roman" w:cs="Calibri"/>
          <w:color w:val="000000"/>
          <w:sz w:val="24"/>
          <w:szCs w:val="24"/>
        </w:rPr>
        <w:t xml:space="preserve">, </w:t>
      </w:r>
      <w:r w:rsidR="00B241B9" w:rsidRPr="00D412EE">
        <w:rPr>
          <w:rFonts w:eastAsia="Times New Roman" w:cs="Calibri"/>
          <w:color w:val="000000"/>
          <w:sz w:val="24"/>
          <w:szCs w:val="24"/>
        </w:rPr>
        <w:t>fr</w:t>
      </w:r>
      <w:r>
        <w:rPr>
          <w:rFonts w:eastAsia="Times New Roman" w:cs="Calibri"/>
          <w:color w:val="000000"/>
          <w:sz w:val="24"/>
          <w:szCs w:val="24"/>
        </w:rPr>
        <w:t>ee</w:t>
      </w:r>
      <w:r w:rsidR="00B241B9" w:rsidRPr="00D412EE">
        <w:rPr>
          <w:rFonts w:eastAsia="Times New Roman" w:cs="Calibri"/>
          <w:color w:val="000000"/>
          <w:sz w:val="24"/>
          <w:szCs w:val="24"/>
        </w:rPr>
        <w:t>ze</w:t>
      </w:r>
      <w:r>
        <w:rPr>
          <w:rFonts w:eastAsia="Times New Roman" w:cs="Calibri"/>
          <w:color w:val="000000"/>
          <w:sz w:val="24"/>
          <w:szCs w:val="24"/>
        </w:rPr>
        <w:t xml:space="preserve"> it</w:t>
      </w:r>
      <w:r w:rsidR="00B241B9" w:rsidRPr="00D412EE">
        <w:rPr>
          <w:rFonts w:eastAsia="Times New Roman" w:cs="Calibri"/>
          <w:color w:val="000000"/>
          <w:sz w:val="24"/>
          <w:szCs w:val="24"/>
        </w:rPr>
        <w:t>, lyophilize</w:t>
      </w:r>
      <w:r>
        <w:rPr>
          <w:rFonts w:eastAsia="Times New Roman" w:cs="Calibri"/>
          <w:color w:val="000000"/>
          <w:sz w:val="24"/>
          <w:szCs w:val="24"/>
        </w:rPr>
        <w:t>, grind</w:t>
      </w:r>
      <w:r w:rsidR="00B241B9" w:rsidRPr="00D412EE">
        <w:rPr>
          <w:rFonts w:eastAsia="Times New Roman" w:cs="Calibri"/>
          <w:color w:val="000000"/>
          <w:sz w:val="24"/>
          <w:szCs w:val="24"/>
        </w:rPr>
        <w:t xml:space="preserve">, and dissolve into pepsin solution. Following dissolution, </w:t>
      </w:r>
      <w:r>
        <w:rPr>
          <w:rFonts w:eastAsia="Times New Roman" w:cs="Calibri"/>
          <w:color w:val="000000"/>
          <w:sz w:val="24"/>
          <w:szCs w:val="24"/>
        </w:rPr>
        <w:t xml:space="preserve">mix </w:t>
      </w:r>
      <w:r w:rsidR="00B241B9" w:rsidRPr="00D412EE">
        <w:rPr>
          <w:rFonts w:eastAsia="Times New Roman" w:cs="Calibri"/>
          <w:color w:val="000000"/>
          <w:sz w:val="24"/>
          <w:szCs w:val="24"/>
        </w:rPr>
        <w:t xml:space="preserve">the pepsin solution with PLA which has been dissolved in dichloromethane. </w:t>
      </w:r>
    </w:p>
    <w:p w14:paraId="0E35C43C" w14:textId="77777777" w:rsidR="00CB2B57" w:rsidRPr="00CB2B57" w:rsidRDefault="00CB2B57" w:rsidP="00CB2B57">
      <w:pPr>
        <w:pStyle w:val="ListParagraph"/>
        <w:spacing w:after="0" w:line="240" w:lineRule="auto"/>
        <w:ind w:left="0"/>
        <w:jc w:val="both"/>
        <w:rPr>
          <w:rFonts w:eastAsia="Times New Roman" w:cs="Calibri"/>
          <w:sz w:val="24"/>
          <w:szCs w:val="24"/>
        </w:rPr>
      </w:pPr>
    </w:p>
    <w:p w14:paraId="3E7C85B2" w14:textId="77777777" w:rsidR="00CB2B57" w:rsidRPr="00CB2B57" w:rsidRDefault="00CB2B57" w:rsidP="00D412EE">
      <w:pPr>
        <w:pStyle w:val="ListParagraph"/>
        <w:numPr>
          <w:ilvl w:val="2"/>
          <w:numId w:val="8"/>
        </w:numPr>
        <w:spacing w:after="0" w:line="240" w:lineRule="auto"/>
        <w:jc w:val="both"/>
        <w:rPr>
          <w:rFonts w:eastAsia="Times New Roman" w:cs="Calibri"/>
          <w:sz w:val="24"/>
          <w:szCs w:val="24"/>
        </w:rPr>
      </w:pPr>
      <w:r>
        <w:rPr>
          <w:rFonts w:eastAsia="Times New Roman" w:cs="Calibri"/>
          <w:color w:val="000000"/>
          <w:sz w:val="24"/>
          <w:szCs w:val="24"/>
        </w:rPr>
        <w:t>Add t</w:t>
      </w:r>
      <w:r w:rsidR="00B241B9" w:rsidRPr="00D412EE">
        <w:rPr>
          <w:rFonts w:eastAsia="Times New Roman" w:cs="Calibri"/>
          <w:color w:val="000000"/>
          <w:sz w:val="24"/>
          <w:szCs w:val="24"/>
        </w:rPr>
        <w:t xml:space="preserve">he mixture dropwise into a 3% polyvinyl alcohol in water solution. </w:t>
      </w:r>
      <w:r>
        <w:rPr>
          <w:rFonts w:eastAsia="Times New Roman" w:cs="Calibri"/>
          <w:color w:val="000000"/>
          <w:sz w:val="24"/>
          <w:szCs w:val="24"/>
        </w:rPr>
        <w:t>Centrifuge t</w:t>
      </w:r>
      <w:r w:rsidR="00EB0CCD" w:rsidRPr="00D412EE">
        <w:rPr>
          <w:rFonts w:eastAsia="Times New Roman" w:cs="Calibri"/>
          <w:color w:val="000000"/>
          <w:sz w:val="24"/>
          <w:szCs w:val="24"/>
        </w:rPr>
        <w:t xml:space="preserve">he resulting microspheres, rinse, drain, and lyophilize again. </w:t>
      </w:r>
    </w:p>
    <w:p w14:paraId="1B737812" w14:textId="77777777" w:rsidR="00CB2B57" w:rsidRDefault="00CB2B57" w:rsidP="00CB2B57">
      <w:pPr>
        <w:pStyle w:val="ListParagraph"/>
        <w:spacing w:after="0" w:line="240" w:lineRule="auto"/>
        <w:ind w:left="0"/>
        <w:jc w:val="both"/>
        <w:rPr>
          <w:rFonts w:eastAsia="Times New Roman" w:cs="Calibri"/>
          <w:color w:val="000000"/>
          <w:sz w:val="24"/>
          <w:szCs w:val="24"/>
        </w:rPr>
      </w:pPr>
    </w:p>
    <w:p w14:paraId="1D83F67D" w14:textId="650EBFD6" w:rsidR="00EB0CCD" w:rsidRPr="00C437E4" w:rsidRDefault="00CB2B57" w:rsidP="00CB2B57">
      <w:pPr>
        <w:pStyle w:val="ListParagraph"/>
        <w:spacing w:after="0" w:line="240" w:lineRule="auto"/>
        <w:ind w:left="0"/>
        <w:jc w:val="both"/>
        <w:rPr>
          <w:rFonts w:eastAsia="Times New Roman" w:cs="Calibri"/>
          <w:sz w:val="24"/>
          <w:szCs w:val="24"/>
        </w:rPr>
      </w:pPr>
      <w:r>
        <w:rPr>
          <w:rFonts w:eastAsia="Times New Roman" w:cs="Calibri"/>
          <w:color w:val="000000"/>
          <w:sz w:val="24"/>
          <w:szCs w:val="24"/>
        </w:rPr>
        <w:t xml:space="preserve">Note: </w:t>
      </w:r>
      <w:r w:rsidR="00EB0CCD" w:rsidRPr="00D412EE">
        <w:rPr>
          <w:rFonts w:eastAsia="Times New Roman" w:cs="Calibri"/>
          <w:color w:val="000000"/>
          <w:sz w:val="24"/>
          <w:szCs w:val="24"/>
        </w:rPr>
        <w:t>For full details on the process see the previously published protocol</w:t>
      </w:r>
      <w:r w:rsidR="00EB0CCD" w:rsidRPr="00D412EE">
        <w:rPr>
          <w:rFonts w:eastAsia="Times New Roman" w:cs="Calibri"/>
          <w:color w:val="000000"/>
          <w:sz w:val="24"/>
          <w:szCs w:val="24"/>
        </w:rPr>
        <w:fldChar w:fldCharType="begin" w:fldLock="1"/>
      </w:r>
      <w:r w:rsidR="00D52B77" w:rsidRPr="00D412EE">
        <w:rPr>
          <w:rFonts w:eastAsia="Times New Roman" w:cs="Calibri"/>
          <w:color w:val="000000"/>
          <w:sz w:val="24"/>
          <w:szCs w:val="24"/>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a5155d05-6337-3e80-99d2-7eadeb41147e"]}],"mendeley":{"formattedCitation":"&lt;sup&gt;2&lt;/sup&gt;","plainTextFormattedCitation":"2","previouslyFormattedCitation":"&lt;sup&gt;2&lt;/sup&gt;"},"properties":{"noteIndex":0},"schema":"https://github.com/citation-style-language/schema/raw/master/csl-citation.json"}</w:instrText>
      </w:r>
      <w:r w:rsidR="00EB0CCD" w:rsidRPr="00D412EE">
        <w:rPr>
          <w:rFonts w:eastAsia="Times New Roman" w:cs="Calibri"/>
          <w:color w:val="000000"/>
          <w:sz w:val="24"/>
          <w:szCs w:val="24"/>
        </w:rPr>
        <w:fldChar w:fldCharType="separate"/>
      </w:r>
      <w:r w:rsidR="00EB0CCD" w:rsidRPr="00D412EE">
        <w:rPr>
          <w:rFonts w:eastAsia="Times New Roman" w:cs="Calibri"/>
          <w:color w:val="000000"/>
          <w:sz w:val="24"/>
          <w:szCs w:val="24"/>
          <w:vertAlign w:val="superscript"/>
        </w:rPr>
        <w:t>2</w:t>
      </w:r>
      <w:r w:rsidR="00EB0CCD" w:rsidRPr="00D412EE">
        <w:rPr>
          <w:rFonts w:eastAsia="Times New Roman" w:cs="Calibri"/>
          <w:color w:val="000000"/>
          <w:sz w:val="24"/>
          <w:szCs w:val="24"/>
        </w:rPr>
        <w:fldChar w:fldCharType="end"/>
      </w:r>
      <w:r w:rsidR="00EB0CCD" w:rsidRPr="00D412EE">
        <w:rPr>
          <w:rFonts w:eastAsia="Times New Roman" w:cs="Calibri"/>
          <w:color w:val="000000"/>
          <w:sz w:val="24"/>
          <w:szCs w:val="24"/>
        </w:rPr>
        <w:t xml:space="preserve">. </w:t>
      </w:r>
    </w:p>
    <w:p w14:paraId="6A93D9FF"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451EFB81" w14:textId="2EDAC857"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957CB6">
        <w:rPr>
          <w:rFonts w:eastAsia="Times New Roman" w:cs="Calibri"/>
          <w:color w:val="000000"/>
          <w:sz w:val="24"/>
          <w:szCs w:val="24"/>
          <w:highlight w:val="yellow"/>
        </w:rPr>
        <w:t xml:space="preserve">Sieve </w:t>
      </w:r>
      <w:r w:rsidR="00957CB6" w:rsidRPr="00957CB6">
        <w:rPr>
          <w:rFonts w:eastAsia="Times New Roman" w:cs="Calibri"/>
          <w:color w:val="000000"/>
          <w:sz w:val="24"/>
          <w:szCs w:val="24"/>
          <w:highlight w:val="yellow"/>
        </w:rPr>
        <w:t xml:space="preserve">the </w:t>
      </w:r>
      <w:r w:rsidRPr="00957CB6">
        <w:rPr>
          <w:rFonts w:eastAsia="Times New Roman" w:cs="Calibri"/>
          <w:color w:val="000000"/>
          <w:sz w:val="24"/>
          <w:szCs w:val="24"/>
          <w:highlight w:val="yellow"/>
        </w:rPr>
        <w:t>microspheres</w:t>
      </w:r>
      <w:r w:rsidR="00957CB6" w:rsidRPr="00957CB6">
        <w:rPr>
          <w:rFonts w:eastAsia="Times New Roman" w:cs="Calibri"/>
          <w:color w:val="000000"/>
          <w:sz w:val="24"/>
          <w:szCs w:val="24"/>
          <w:highlight w:val="yellow"/>
        </w:rPr>
        <w:t>.</w:t>
      </w:r>
    </w:p>
    <w:p w14:paraId="50A364F8"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75D913C8" w14:textId="35A45A92" w:rsidR="00615EAD" w:rsidRPr="009751DF" w:rsidRDefault="00615EAD" w:rsidP="009751DF">
      <w:pPr>
        <w:numPr>
          <w:ilvl w:val="2"/>
          <w:numId w:val="8"/>
        </w:numPr>
        <w:spacing w:after="0" w:line="240" w:lineRule="auto"/>
        <w:contextualSpacing/>
        <w:jc w:val="both"/>
        <w:textAlignment w:val="baseline"/>
        <w:rPr>
          <w:rFonts w:eastAsia="Times New Roman" w:cs="Calibri"/>
          <w:color w:val="000000"/>
          <w:sz w:val="24"/>
          <w:szCs w:val="24"/>
          <w:highlight w:val="yellow"/>
        </w:rPr>
      </w:pPr>
      <w:r w:rsidRPr="00D412EE">
        <w:rPr>
          <w:rFonts w:eastAsia="Times New Roman" w:cs="Calibri"/>
          <w:color w:val="000000"/>
          <w:sz w:val="24"/>
          <w:szCs w:val="24"/>
          <w:highlight w:val="yellow"/>
        </w:rPr>
        <w:t>Ensure that all sieve plates have been thoroughly cleaned and are dry prior to use.</w:t>
      </w:r>
      <w:r w:rsidR="009751DF">
        <w:rPr>
          <w:rFonts w:eastAsia="Times New Roman" w:cs="Calibri"/>
          <w:color w:val="000000"/>
          <w:sz w:val="24"/>
          <w:szCs w:val="24"/>
          <w:highlight w:val="yellow"/>
        </w:rPr>
        <w:t xml:space="preserve"> </w:t>
      </w:r>
      <w:r w:rsidRPr="009751DF">
        <w:rPr>
          <w:rFonts w:eastAsia="Times New Roman" w:cs="Calibri"/>
          <w:color w:val="000000"/>
          <w:sz w:val="24"/>
          <w:szCs w:val="24"/>
          <w:highlight w:val="yellow"/>
        </w:rPr>
        <w:t>If necessary, clean sieves using ultrasonic cleaner</w:t>
      </w:r>
      <w:r w:rsidR="00C265B8" w:rsidRPr="009751DF">
        <w:rPr>
          <w:rFonts w:eastAsia="Times New Roman" w:cs="Calibri"/>
          <w:color w:val="000000"/>
          <w:sz w:val="24"/>
          <w:szCs w:val="24"/>
          <w:highlight w:val="yellow"/>
        </w:rPr>
        <w:t xml:space="preserve"> </w:t>
      </w:r>
      <w:r w:rsidRPr="009751DF">
        <w:rPr>
          <w:rFonts w:eastAsia="Times New Roman" w:cs="Calibri"/>
          <w:color w:val="000000"/>
          <w:sz w:val="24"/>
          <w:szCs w:val="24"/>
          <w:highlight w:val="yellow"/>
        </w:rPr>
        <w:t>to ensure that all spheres are removed from the sieve.</w:t>
      </w:r>
    </w:p>
    <w:p w14:paraId="23D8D585" w14:textId="77777777" w:rsidR="00C437E4" w:rsidRPr="00D412EE" w:rsidRDefault="00C437E4" w:rsidP="00C437E4">
      <w:pPr>
        <w:tabs>
          <w:tab w:val="left" w:pos="2160"/>
        </w:tabs>
        <w:spacing w:after="0" w:line="240" w:lineRule="auto"/>
        <w:contextualSpacing/>
        <w:jc w:val="both"/>
        <w:textAlignment w:val="baseline"/>
        <w:rPr>
          <w:rFonts w:eastAsia="Times New Roman" w:cs="Calibri"/>
          <w:color w:val="000000"/>
          <w:sz w:val="24"/>
          <w:szCs w:val="24"/>
          <w:highlight w:val="yellow"/>
        </w:rPr>
      </w:pPr>
    </w:p>
    <w:p w14:paraId="50841E84" w14:textId="2A3F81AB" w:rsidR="00615EAD" w:rsidRDefault="00615EAD" w:rsidP="00D412EE">
      <w:pPr>
        <w:numPr>
          <w:ilvl w:val="2"/>
          <w:numId w:val="8"/>
        </w:numPr>
        <w:spacing w:after="0" w:line="240" w:lineRule="auto"/>
        <w:contextualSpacing/>
        <w:jc w:val="both"/>
        <w:textAlignment w:val="baseline"/>
        <w:rPr>
          <w:rFonts w:eastAsia="Times New Roman" w:cs="Calibri"/>
          <w:color w:val="000000"/>
          <w:sz w:val="24"/>
          <w:szCs w:val="24"/>
          <w:highlight w:val="yellow"/>
        </w:rPr>
      </w:pPr>
      <w:r w:rsidRPr="00D412EE">
        <w:rPr>
          <w:rFonts w:eastAsia="Times New Roman" w:cs="Calibri"/>
          <w:color w:val="000000"/>
          <w:sz w:val="24"/>
          <w:szCs w:val="24"/>
          <w:highlight w:val="yellow"/>
        </w:rPr>
        <w:t>Assemble the sieve shaker with the 10</w:t>
      </w:r>
      <w:r w:rsidR="00BA4343" w:rsidRPr="00D412EE">
        <w:rPr>
          <w:rFonts w:eastAsia="Times New Roman" w:cs="Calibri"/>
          <w:color w:val="000000"/>
          <w:sz w:val="24"/>
          <w:szCs w:val="24"/>
          <w:highlight w:val="yellow"/>
        </w:rPr>
        <w:t>6</w:t>
      </w:r>
      <w:r w:rsidR="0033607A" w:rsidRPr="00D412EE">
        <w:rPr>
          <w:rFonts w:eastAsia="Times New Roman" w:cs="Calibri"/>
          <w:color w:val="000000"/>
          <w:sz w:val="24"/>
          <w:szCs w:val="24"/>
          <w:highlight w:val="yellow"/>
        </w:rPr>
        <w:t xml:space="preserve"> µm</w:t>
      </w:r>
      <w:r w:rsidR="00BA4343" w:rsidRPr="00D412EE">
        <w:rPr>
          <w:rFonts w:eastAsia="Times New Roman" w:cs="Calibri"/>
          <w:color w:val="000000"/>
          <w:sz w:val="24"/>
          <w:szCs w:val="24"/>
          <w:highlight w:val="yellow"/>
        </w:rPr>
        <w:t xml:space="preserve"> sieve tray at the top,</w:t>
      </w:r>
      <w:r w:rsidR="009751DF">
        <w:rPr>
          <w:rFonts w:eastAsia="Times New Roman" w:cs="Calibri"/>
          <w:color w:val="000000"/>
          <w:sz w:val="24"/>
          <w:szCs w:val="24"/>
          <w:highlight w:val="yellow"/>
        </w:rPr>
        <w:t xml:space="preserve"> the </w:t>
      </w:r>
      <w:r w:rsidRPr="00D412EE">
        <w:rPr>
          <w:rFonts w:eastAsia="Times New Roman" w:cs="Calibri"/>
          <w:color w:val="000000"/>
          <w:sz w:val="24"/>
          <w:szCs w:val="24"/>
          <w:highlight w:val="yellow"/>
        </w:rPr>
        <w:t xml:space="preserve">53 </w:t>
      </w:r>
      <w:r w:rsidR="0033607A" w:rsidRPr="00D412EE">
        <w:rPr>
          <w:rFonts w:eastAsia="Times New Roman" w:cs="Calibri"/>
          <w:color w:val="000000"/>
          <w:sz w:val="24"/>
          <w:szCs w:val="24"/>
          <w:highlight w:val="yellow"/>
        </w:rPr>
        <w:t>µm</w:t>
      </w:r>
      <w:r w:rsidRPr="00D412EE">
        <w:rPr>
          <w:rFonts w:eastAsia="Times New Roman" w:cs="Calibri"/>
          <w:color w:val="000000"/>
          <w:sz w:val="24"/>
          <w:szCs w:val="24"/>
          <w:highlight w:val="yellow"/>
        </w:rPr>
        <w:t xml:space="preserve"> tray after that, and the sieve pan at the bottom. </w:t>
      </w:r>
    </w:p>
    <w:p w14:paraId="77938790" w14:textId="77777777" w:rsidR="00C437E4" w:rsidRPr="00D412EE" w:rsidRDefault="00C437E4" w:rsidP="00C437E4">
      <w:pPr>
        <w:spacing w:after="0" w:line="240" w:lineRule="auto"/>
        <w:contextualSpacing/>
        <w:jc w:val="both"/>
        <w:textAlignment w:val="baseline"/>
        <w:rPr>
          <w:rFonts w:eastAsia="Times New Roman" w:cs="Calibri"/>
          <w:color w:val="000000"/>
          <w:sz w:val="24"/>
          <w:szCs w:val="24"/>
          <w:highlight w:val="yellow"/>
        </w:rPr>
      </w:pPr>
    </w:p>
    <w:p w14:paraId="7F4952BF" w14:textId="77777777" w:rsidR="009751DF" w:rsidRDefault="00615EAD" w:rsidP="009751DF">
      <w:pPr>
        <w:numPr>
          <w:ilvl w:val="2"/>
          <w:numId w:val="8"/>
        </w:numPr>
        <w:spacing w:after="0" w:line="240" w:lineRule="auto"/>
        <w:contextualSpacing/>
        <w:jc w:val="both"/>
        <w:textAlignment w:val="baseline"/>
        <w:rPr>
          <w:rFonts w:eastAsia="Times New Roman" w:cs="Calibri"/>
          <w:color w:val="000000"/>
          <w:sz w:val="24"/>
          <w:szCs w:val="24"/>
          <w:highlight w:val="yellow"/>
        </w:rPr>
      </w:pPr>
      <w:r w:rsidRPr="00D412EE">
        <w:rPr>
          <w:rFonts w:eastAsia="Times New Roman" w:cs="Calibri"/>
          <w:color w:val="000000"/>
          <w:sz w:val="24"/>
          <w:szCs w:val="24"/>
          <w:highlight w:val="yellow"/>
        </w:rPr>
        <w:t>Place dry microspheres in the topmost sieve tray and place the lid on the top tray.</w:t>
      </w:r>
      <w:r w:rsidR="00D412EE">
        <w:rPr>
          <w:rFonts w:eastAsia="Times New Roman" w:cs="Calibri"/>
          <w:color w:val="000000"/>
          <w:sz w:val="24"/>
          <w:szCs w:val="24"/>
          <w:highlight w:val="yellow"/>
        </w:rPr>
        <w:t xml:space="preserve"> </w:t>
      </w:r>
      <w:r w:rsidRPr="009751DF">
        <w:rPr>
          <w:rFonts w:eastAsia="Times New Roman" w:cs="Calibri"/>
          <w:color w:val="000000"/>
          <w:sz w:val="24"/>
          <w:szCs w:val="24"/>
          <w:highlight w:val="yellow"/>
        </w:rPr>
        <w:t>Turn on coarse sieving for 8 to 10 min. Repeat o</w:t>
      </w:r>
      <w:r w:rsidR="00FD5956" w:rsidRPr="009751DF">
        <w:rPr>
          <w:rFonts w:eastAsia="Times New Roman" w:cs="Calibri"/>
          <w:color w:val="000000"/>
          <w:sz w:val="24"/>
          <w:szCs w:val="24"/>
          <w:highlight w:val="yellow"/>
        </w:rPr>
        <w:t xml:space="preserve">n fine for 8 to 10 min. </w:t>
      </w:r>
    </w:p>
    <w:p w14:paraId="611FBACF" w14:textId="77777777" w:rsidR="009751DF" w:rsidRPr="009751DF" w:rsidRDefault="009751DF" w:rsidP="009751DF">
      <w:pPr>
        <w:spacing w:after="0" w:line="240" w:lineRule="auto"/>
        <w:contextualSpacing/>
        <w:jc w:val="both"/>
        <w:textAlignment w:val="baseline"/>
        <w:rPr>
          <w:rFonts w:eastAsia="Times New Roman" w:cs="Calibri"/>
          <w:color w:val="000000"/>
          <w:sz w:val="24"/>
          <w:szCs w:val="24"/>
        </w:rPr>
      </w:pPr>
    </w:p>
    <w:p w14:paraId="549469E7" w14:textId="2A7CFFD2" w:rsidR="00615EAD" w:rsidRPr="009751DF" w:rsidRDefault="009751DF" w:rsidP="009751DF">
      <w:pPr>
        <w:spacing w:after="0" w:line="240" w:lineRule="auto"/>
        <w:contextualSpacing/>
        <w:jc w:val="both"/>
        <w:textAlignment w:val="baseline"/>
        <w:rPr>
          <w:rFonts w:eastAsia="Times New Roman" w:cs="Calibri"/>
          <w:color w:val="000000"/>
          <w:sz w:val="24"/>
          <w:szCs w:val="24"/>
          <w:highlight w:val="yellow"/>
        </w:rPr>
      </w:pPr>
      <w:r w:rsidRPr="009751DF">
        <w:rPr>
          <w:rFonts w:eastAsia="Times New Roman" w:cs="Calibri"/>
          <w:color w:val="000000"/>
          <w:sz w:val="24"/>
          <w:szCs w:val="24"/>
        </w:rPr>
        <w:t xml:space="preserve">Note: </w:t>
      </w:r>
      <w:r w:rsidR="00FD5956" w:rsidRPr="009751DF">
        <w:rPr>
          <w:rFonts w:eastAsia="Times New Roman" w:cs="Calibri"/>
          <w:color w:val="000000"/>
          <w:sz w:val="24"/>
          <w:szCs w:val="24"/>
        </w:rPr>
        <w:t>The</w:t>
      </w:r>
      <w:r w:rsidR="00615EAD" w:rsidRPr="009751DF">
        <w:rPr>
          <w:rFonts w:eastAsia="Times New Roman" w:cs="Calibri"/>
          <w:color w:val="000000"/>
          <w:sz w:val="24"/>
          <w:szCs w:val="24"/>
        </w:rPr>
        <w:t xml:space="preserve"> sieve times </w:t>
      </w:r>
      <w:r w:rsidR="00FD5956" w:rsidRPr="009751DF">
        <w:rPr>
          <w:rFonts w:eastAsia="Times New Roman" w:cs="Calibri"/>
          <w:color w:val="000000"/>
          <w:sz w:val="24"/>
          <w:szCs w:val="24"/>
        </w:rPr>
        <w:t xml:space="preserve">may need to </w:t>
      </w:r>
      <w:r w:rsidRPr="009751DF">
        <w:rPr>
          <w:rFonts w:eastAsia="Times New Roman" w:cs="Calibri"/>
          <w:color w:val="000000"/>
          <w:sz w:val="24"/>
          <w:szCs w:val="24"/>
        </w:rPr>
        <w:t xml:space="preserve">be </w:t>
      </w:r>
      <w:r w:rsidR="00FD5956" w:rsidRPr="009751DF">
        <w:rPr>
          <w:rFonts w:eastAsia="Times New Roman" w:cs="Calibri"/>
          <w:color w:val="000000"/>
          <w:sz w:val="24"/>
          <w:szCs w:val="24"/>
        </w:rPr>
        <w:t>increase</w:t>
      </w:r>
      <w:r w:rsidRPr="009751DF">
        <w:rPr>
          <w:rFonts w:eastAsia="Times New Roman" w:cs="Calibri"/>
          <w:color w:val="000000"/>
          <w:sz w:val="24"/>
          <w:szCs w:val="24"/>
        </w:rPr>
        <w:t>d</w:t>
      </w:r>
      <w:r w:rsidR="00FD5956" w:rsidRPr="009751DF">
        <w:rPr>
          <w:rFonts w:eastAsia="Times New Roman" w:cs="Calibri"/>
          <w:color w:val="000000"/>
          <w:sz w:val="24"/>
          <w:szCs w:val="24"/>
        </w:rPr>
        <w:t xml:space="preserve"> or decrease</w:t>
      </w:r>
      <w:r w:rsidRPr="009751DF">
        <w:rPr>
          <w:rFonts w:eastAsia="Times New Roman" w:cs="Calibri"/>
          <w:color w:val="000000"/>
          <w:sz w:val="24"/>
          <w:szCs w:val="24"/>
        </w:rPr>
        <w:t>d</w:t>
      </w:r>
      <w:r w:rsidR="00FD5956" w:rsidRPr="009751DF">
        <w:rPr>
          <w:rFonts w:eastAsia="Times New Roman" w:cs="Calibri"/>
          <w:color w:val="000000"/>
          <w:sz w:val="24"/>
          <w:szCs w:val="24"/>
        </w:rPr>
        <w:t xml:space="preserve"> depending on the</w:t>
      </w:r>
      <w:r w:rsidR="00615EAD" w:rsidRPr="009751DF">
        <w:rPr>
          <w:rFonts w:eastAsia="Times New Roman" w:cs="Calibri"/>
          <w:color w:val="000000"/>
          <w:sz w:val="24"/>
          <w:szCs w:val="24"/>
        </w:rPr>
        <w:t xml:space="preserve"> batch.</w:t>
      </w:r>
    </w:p>
    <w:p w14:paraId="5CAF9C15" w14:textId="77777777" w:rsidR="00C437E4" w:rsidRPr="00D412EE" w:rsidRDefault="00C437E4" w:rsidP="00C437E4">
      <w:pPr>
        <w:spacing w:after="0" w:line="240" w:lineRule="auto"/>
        <w:contextualSpacing/>
        <w:jc w:val="both"/>
        <w:textAlignment w:val="baseline"/>
        <w:rPr>
          <w:rFonts w:eastAsia="Times New Roman" w:cs="Calibri"/>
          <w:color w:val="000000"/>
          <w:sz w:val="24"/>
          <w:szCs w:val="24"/>
          <w:highlight w:val="yellow"/>
        </w:rPr>
      </w:pPr>
    </w:p>
    <w:p w14:paraId="20B6222E" w14:textId="26D3DBC5" w:rsidR="00C437E4" w:rsidRPr="009751DF" w:rsidRDefault="00615EAD" w:rsidP="00C437E4">
      <w:pPr>
        <w:numPr>
          <w:ilvl w:val="2"/>
          <w:numId w:val="8"/>
        </w:numPr>
        <w:spacing w:after="0" w:line="240" w:lineRule="auto"/>
        <w:contextualSpacing/>
        <w:jc w:val="both"/>
        <w:textAlignment w:val="baseline"/>
        <w:rPr>
          <w:rFonts w:eastAsia="Times New Roman" w:cs="Calibri"/>
          <w:color w:val="000000"/>
          <w:sz w:val="24"/>
          <w:szCs w:val="24"/>
          <w:highlight w:val="yellow"/>
        </w:rPr>
      </w:pPr>
      <w:r w:rsidRPr="00D412EE">
        <w:rPr>
          <w:rFonts w:eastAsia="Times New Roman" w:cs="Calibri"/>
          <w:color w:val="000000"/>
          <w:sz w:val="24"/>
          <w:szCs w:val="24"/>
          <w:highlight w:val="yellow"/>
        </w:rPr>
        <w:t xml:space="preserve">Carefully remove </w:t>
      </w:r>
      <w:r w:rsidR="009751DF">
        <w:rPr>
          <w:rFonts w:eastAsia="Times New Roman" w:cs="Calibri"/>
          <w:color w:val="000000"/>
          <w:sz w:val="24"/>
          <w:szCs w:val="24"/>
          <w:highlight w:val="yellow"/>
        </w:rPr>
        <w:t xml:space="preserve">the </w:t>
      </w:r>
      <w:r w:rsidRPr="00D412EE">
        <w:rPr>
          <w:rFonts w:eastAsia="Times New Roman" w:cs="Calibri"/>
          <w:color w:val="000000"/>
          <w:sz w:val="24"/>
          <w:szCs w:val="24"/>
          <w:highlight w:val="yellow"/>
        </w:rPr>
        <w:t xml:space="preserve">sieve plates one by one and place </w:t>
      </w:r>
      <w:r w:rsidR="009751DF">
        <w:rPr>
          <w:rFonts w:eastAsia="Times New Roman" w:cs="Calibri"/>
          <w:color w:val="000000"/>
          <w:sz w:val="24"/>
          <w:szCs w:val="24"/>
          <w:highlight w:val="yellow"/>
        </w:rPr>
        <w:t xml:space="preserve">them </w:t>
      </w:r>
      <w:r w:rsidRPr="00D412EE">
        <w:rPr>
          <w:rFonts w:eastAsia="Times New Roman" w:cs="Calibri"/>
          <w:color w:val="000000"/>
          <w:sz w:val="24"/>
          <w:szCs w:val="24"/>
          <w:highlight w:val="yellow"/>
        </w:rPr>
        <w:t>upside</w:t>
      </w:r>
      <w:r w:rsidR="00881D08" w:rsidRPr="00D412EE">
        <w:rPr>
          <w:rFonts w:eastAsia="Times New Roman" w:cs="Calibri"/>
          <w:color w:val="000000"/>
          <w:sz w:val="24"/>
          <w:szCs w:val="24"/>
          <w:highlight w:val="yellow"/>
        </w:rPr>
        <w:t xml:space="preserve"> down</w:t>
      </w:r>
      <w:r w:rsidRPr="00D412EE">
        <w:rPr>
          <w:rFonts w:eastAsia="Times New Roman" w:cs="Calibri"/>
          <w:color w:val="000000"/>
          <w:sz w:val="24"/>
          <w:szCs w:val="24"/>
          <w:highlight w:val="yellow"/>
        </w:rPr>
        <w:t xml:space="preserve"> on</w:t>
      </w:r>
      <w:r w:rsidR="009751DF">
        <w:rPr>
          <w:rFonts w:eastAsia="Times New Roman" w:cs="Calibri"/>
          <w:color w:val="000000"/>
          <w:sz w:val="24"/>
          <w:szCs w:val="24"/>
          <w:highlight w:val="yellow"/>
        </w:rPr>
        <w:t xml:space="preserve"> a</w:t>
      </w:r>
      <w:r w:rsidRPr="00D412EE">
        <w:rPr>
          <w:rFonts w:eastAsia="Times New Roman" w:cs="Calibri"/>
          <w:color w:val="000000"/>
          <w:sz w:val="24"/>
          <w:szCs w:val="24"/>
          <w:highlight w:val="yellow"/>
        </w:rPr>
        <w:t xml:space="preserve"> large weigh paper. Tap </w:t>
      </w:r>
      <w:r w:rsidR="009751DF">
        <w:rPr>
          <w:rFonts w:eastAsia="Times New Roman" w:cs="Calibri"/>
          <w:color w:val="000000"/>
          <w:sz w:val="24"/>
          <w:szCs w:val="24"/>
          <w:highlight w:val="yellow"/>
        </w:rPr>
        <w:t xml:space="preserve">the </w:t>
      </w:r>
      <w:r w:rsidRPr="00D412EE">
        <w:rPr>
          <w:rFonts w:eastAsia="Times New Roman" w:cs="Calibri"/>
          <w:color w:val="000000"/>
          <w:sz w:val="24"/>
          <w:szCs w:val="24"/>
          <w:highlight w:val="yellow"/>
        </w:rPr>
        <w:t>sides gently to ensure that most of the spheres have fallen out of</w:t>
      </w:r>
      <w:r w:rsidR="009751DF">
        <w:rPr>
          <w:rFonts w:eastAsia="Times New Roman" w:cs="Calibri"/>
          <w:color w:val="000000"/>
          <w:sz w:val="24"/>
          <w:szCs w:val="24"/>
          <w:highlight w:val="yellow"/>
        </w:rPr>
        <w:t xml:space="preserve"> the</w:t>
      </w:r>
      <w:r w:rsidRPr="00D412EE">
        <w:rPr>
          <w:rFonts w:eastAsia="Times New Roman" w:cs="Calibri"/>
          <w:color w:val="000000"/>
          <w:sz w:val="24"/>
          <w:szCs w:val="24"/>
          <w:highlight w:val="yellow"/>
        </w:rPr>
        <w:t xml:space="preserve"> sieve and onto the paper.</w:t>
      </w:r>
    </w:p>
    <w:p w14:paraId="064A0991" w14:textId="77777777" w:rsidR="00C437E4" w:rsidRPr="00D412EE" w:rsidRDefault="00C437E4" w:rsidP="00C437E4">
      <w:pPr>
        <w:spacing w:after="0" w:line="240" w:lineRule="auto"/>
        <w:contextualSpacing/>
        <w:jc w:val="both"/>
        <w:textAlignment w:val="baseline"/>
        <w:rPr>
          <w:rFonts w:eastAsia="Times New Roman" w:cs="Calibri"/>
          <w:color w:val="000000"/>
          <w:sz w:val="24"/>
          <w:szCs w:val="24"/>
          <w:highlight w:val="yellow"/>
        </w:rPr>
      </w:pPr>
    </w:p>
    <w:p w14:paraId="615DC4C2" w14:textId="741F7C90" w:rsidR="00D3275C" w:rsidRPr="00D412EE" w:rsidRDefault="00BA4343" w:rsidP="00D412EE">
      <w:pPr>
        <w:numPr>
          <w:ilvl w:val="2"/>
          <w:numId w:val="8"/>
        </w:numPr>
        <w:spacing w:after="0" w:line="240" w:lineRule="auto"/>
        <w:contextualSpacing/>
        <w:jc w:val="both"/>
        <w:textAlignment w:val="baseline"/>
        <w:rPr>
          <w:rFonts w:eastAsia="Times New Roman" w:cs="Calibri"/>
          <w:color w:val="000000"/>
          <w:sz w:val="24"/>
          <w:szCs w:val="24"/>
          <w:highlight w:val="yellow"/>
        </w:rPr>
      </w:pPr>
      <w:r w:rsidRPr="00D412EE">
        <w:rPr>
          <w:rFonts w:eastAsia="Times New Roman" w:cs="Calibri"/>
          <w:color w:val="000000"/>
          <w:sz w:val="24"/>
          <w:szCs w:val="24"/>
          <w:highlight w:val="yellow"/>
        </w:rPr>
        <w:t xml:space="preserve">Discard the </w:t>
      </w:r>
      <w:r w:rsidR="0033607A" w:rsidRPr="00D412EE">
        <w:rPr>
          <w:rFonts w:eastAsia="Times New Roman" w:cs="Calibri"/>
          <w:color w:val="000000"/>
          <w:sz w:val="24"/>
          <w:szCs w:val="24"/>
          <w:highlight w:val="yellow"/>
        </w:rPr>
        <w:t>oversized spheres (&gt;106 µm</w:t>
      </w:r>
      <w:r w:rsidRPr="00D412EE">
        <w:rPr>
          <w:rFonts w:eastAsia="Times New Roman" w:cs="Calibri"/>
          <w:color w:val="000000"/>
          <w:sz w:val="24"/>
          <w:szCs w:val="24"/>
          <w:highlight w:val="yellow"/>
        </w:rPr>
        <w:t xml:space="preserve">) and undersized spheres (&lt;53 </w:t>
      </w:r>
      <w:r w:rsidR="0033607A" w:rsidRPr="00D412EE">
        <w:rPr>
          <w:rFonts w:eastAsia="Times New Roman" w:cs="Calibri"/>
          <w:color w:val="000000"/>
          <w:sz w:val="24"/>
          <w:szCs w:val="24"/>
          <w:highlight w:val="yellow"/>
        </w:rPr>
        <w:t>µm</w:t>
      </w:r>
      <w:r w:rsidRPr="00D412EE">
        <w:rPr>
          <w:rFonts w:eastAsia="Times New Roman" w:cs="Calibri"/>
          <w:color w:val="000000"/>
          <w:sz w:val="24"/>
          <w:szCs w:val="24"/>
          <w:highlight w:val="yellow"/>
        </w:rPr>
        <w:t xml:space="preserve">). </w:t>
      </w:r>
      <w:r w:rsidR="00615EAD" w:rsidRPr="00D412EE">
        <w:rPr>
          <w:rFonts w:eastAsia="Times New Roman" w:cs="Calibri"/>
          <w:color w:val="000000"/>
          <w:sz w:val="24"/>
          <w:szCs w:val="24"/>
          <w:highlight w:val="yellow"/>
        </w:rPr>
        <w:t>Add spheres</w:t>
      </w:r>
      <w:r w:rsidRPr="00D412EE">
        <w:rPr>
          <w:rFonts w:eastAsia="Times New Roman" w:cs="Calibri"/>
          <w:color w:val="000000"/>
          <w:sz w:val="24"/>
          <w:szCs w:val="24"/>
          <w:highlight w:val="yellow"/>
        </w:rPr>
        <w:t xml:space="preserve"> that are in the 53 </w:t>
      </w:r>
      <w:r w:rsidR="009751DF">
        <w:rPr>
          <w:rFonts w:eastAsia="Times New Roman" w:cs="Calibri"/>
          <w:color w:val="000000"/>
          <w:sz w:val="24"/>
          <w:szCs w:val="24"/>
          <w:highlight w:val="yellow"/>
        </w:rPr>
        <w:t>to</w:t>
      </w:r>
      <w:r w:rsidRPr="00D412EE">
        <w:rPr>
          <w:rFonts w:eastAsia="Times New Roman" w:cs="Calibri"/>
          <w:color w:val="000000"/>
          <w:sz w:val="24"/>
          <w:szCs w:val="24"/>
          <w:highlight w:val="yellow"/>
        </w:rPr>
        <w:t xml:space="preserve"> 106 </w:t>
      </w:r>
      <w:r w:rsidR="0033607A" w:rsidRPr="00D412EE">
        <w:rPr>
          <w:rFonts w:eastAsia="Times New Roman" w:cs="Calibri"/>
          <w:color w:val="000000"/>
          <w:sz w:val="24"/>
          <w:szCs w:val="24"/>
          <w:highlight w:val="yellow"/>
        </w:rPr>
        <w:t xml:space="preserve">µm </w:t>
      </w:r>
      <w:r w:rsidRPr="00D412EE">
        <w:rPr>
          <w:rFonts w:eastAsia="Times New Roman" w:cs="Calibri"/>
          <w:color w:val="000000"/>
          <w:sz w:val="24"/>
          <w:szCs w:val="24"/>
          <w:highlight w:val="yellow"/>
        </w:rPr>
        <w:t>size range</w:t>
      </w:r>
      <w:r w:rsidR="00615EAD" w:rsidRPr="00D412EE">
        <w:rPr>
          <w:rFonts w:eastAsia="Times New Roman" w:cs="Calibri"/>
          <w:color w:val="000000"/>
          <w:sz w:val="24"/>
          <w:szCs w:val="24"/>
          <w:highlight w:val="yellow"/>
        </w:rPr>
        <w:t xml:space="preserve"> to a la</w:t>
      </w:r>
      <w:r w:rsidRPr="00D412EE">
        <w:rPr>
          <w:rFonts w:eastAsia="Times New Roman" w:cs="Calibri"/>
          <w:color w:val="000000"/>
          <w:sz w:val="24"/>
          <w:szCs w:val="24"/>
          <w:highlight w:val="yellow"/>
        </w:rPr>
        <w:t xml:space="preserve">beled centrifuge tube with </w:t>
      </w:r>
      <w:r w:rsidR="009751DF">
        <w:rPr>
          <w:rFonts w:eastAsia="Times New Roman" w:cs="Calibri"/>
          <w:color w:val="000000"/>
          <w:sz w:val="24"/>
          <w:szCs w:val="24"/>
          <w:highlight w:val="yellow"/>
        </w:rPr>
        <w:t>the t</w:t>
      </w:r>
      <w:r w:rsidRPr="00D412EE">
        <w:rPr>
          <w:rFonts w:eastAsia="Times New Roman" w:cs="Calibri"/>
          <w:color w:val="000000"/>
          <w:sz w:val="24"/>
          <w:szCs w:val="24"/>
          <w:highlight w:val="yellow"/>
        </w:rPr>
        <w:t>ype and</w:t>
      </w:r>
      <w:r w:rsidR="00615EAD" w:rsidRPr="00D412EE">
        <w:rPr>
          <w:rFonts w:eastAsia="Times New Roman" w:cs="Calibri"/>
          <w:color w:val="000000"/>
          <w:sz w:val="24"/>
          <w:szCs w:val="24"/>
          <w:highlight w:val="yellow"/>
        </w:rPr>
        <w:t xml:space="preserve"> batch</w:t>
      </w:r>
      <w:r w:rsidRPr="00D412EE">
        <w:rPr>
          <w:rFonts w:eastAsia="Times New Roman" w:cs="Calibri"/>
          <w:color w:val="000000"/>
          <w:sz w:val="24"/>
          <w:szCs w:val="24"/>
          <w:highlight w:val="yellow"/>
        </w:rPr>
        <w:t xml:space="preserve"> number</w:t>
      </w:r>
      <w:r w:rsidR="00615EAD" w:rsidRPr="00D412EE">
        <w:rPr>
          <w:rFonts w:eastAsia="Times New Roman" w:cs="Calibri"/>
          <w:color w:val="000000"/>
          <w:sz w:val="24"/>
          <w:szCs w:val="24"/>
          <w:highlight w:val="yellow"/>
        </w:rPr>
        <w:t xml:space="preserve"> then place in </w:t>
      </w:r>
      <w:r w:rsidR="009751DF">
        <w:rPr>
          <w:rFonts w:eastAsia="Times New Roman" w:cs="Calibri"/>
          <w:color w:val="000000"/>
          <w:sz w:val="24"/>
          <w:szCs w:val="24"/>
          <w:highlight w:val="yellow"/>
        </w:rPr>
        <w:t xml:space="preserve">a </w:t>
      </w:r>
      <w:r w:rsidR="00615EAD" w:rsidRPr="00D412EE">
        <w:rPr>
          <w:rFonts w:eastAsia="Times New Roman" w:cs="Calibri"/>
          <w:color w:val="000000"/>
          <w:sz w:val="24"/>
          <w:szCs w:val="24"/>
          <w:highlight w:val="yellow"/>
        </w:rPr>
        <w:t xml:space="preserve">-20 </w:t>
      </w:r>
      <w:r w:rsidR="0058078F" w:rsidRPr="0058078F">
        <w:rPr>
          <w:rFonts w:eastAsia="Times New Roman" w:cs="Calibri"/>
          <w:color w:val="000000"/>
          <w:sz w:val="24"/>
          <w:szCs w:val="24"/>
          <w:highlight w:val="yellow"/>
        </w:rPr>
        <w:t>°</w:t>
      </w:r>
      <w:r w:rsidR="00615EAD" w:rsidRPr="00D412EE">
        <w:rPr>
          <w:rFonts w:eastAsia="Times New Roman" w:cs="Calibri"/>
          <w:color w:val="000000"/>
          <w:sz w:val="24"/>
          <w:szCs w:val="24"/>
          <w:highlight w:val="yellow"/>
        </w:rPr>
        <w:t>C freezer</w:t>
      </w:r>
      <w:r w:rsidR="0048463E" w:rsidRPr="00D412EE">
        <w:rPr>
          <w:rFonts w:eastAsia="Times New Roman" w:cs="Calibri"/>
          <w:color w:val="000000"/>
          <w:sz w:val="24"/>
          <w:szCs w:val="24"/>
          <w:highlight w:val="yellow"/>
        </w:rPr>
        <w:t xml:space="preserve"> until further use</w:t>
      </w:r>
      <w:r w:rsidR="00615EAD" w:rsidRPr="00D412EE">
        <w:rPr>
          <w:rFonts w:eastAsia="Times New Roman" w:cs="Calibri"/>
          <w:color w:val="000000"/>
          <w:sz w:val="24"/>
          <w:szCs w:val="24"/>
          <w:highlight w:val="yellow"/>
        </w:rPr>
        <w:t>.</w:t>
      </w:r>
    </w:p>
    <w:p w14:paraId="65523272" w14:textId="77777777" w:rsidR="00A27C2B" w:rsidRPr="00D412EE" w:rsidRDefault="00A27C2B" w:rsidP="00D412EE">
      <w:pPr>
        <w:spacing w:after="0" w:line="240" w:lineRule="auto"/>
        <w:contextualSpacing/>
        <w:jc w:val="both"/>
        <w:textAlignment w:val="baseline"/>
        <w:rPr>
          <w:rFonts w:eastAsia="Times New Roman" w:cs="Calibri"/>
          <w:color w:val="000000"/>
          <w:sz w:val="24"/>
          <w:szCs w:val="24"/>
          <w:highlight w:val="yellow"/>
        </w:rPr>
      </w:pPr>
    </w:p>
    <w:p w14:paraId="1D6635CE" w14:textId="77777777" w:rsidR="00615EAD" w:rsidRDefault="00615EAD" w:rsidP="00D412EE">
      <w:pPr>
        <w:numPr>
          <w:ilvl w:val="0"/>
          <w:numId w:val="8"/>
        </w:numPr>
        <w:spacing w:after="0" w:line="240" w:lineRule="auto"/>
        <w:contextualSpacing/>
        <w:jc w:val="both"/>
        <w:textAlignment w:val="baseline"/>
        <w:rPr>
          <w:rFonts w:eastAsia="Times New Roman" w:cs="Calibri"/>
          <w:b/>
          <w:bCs/>
          <w:color w:val="000000"/>
          <w:sz w:val="24"/>
          <w:szCs w:val="24"/>
        </w:rPr>
      </w:pPr>
      <w:r w:rsidRPr="00D412EE">
        <w:rPr>
          <w:rFonts w:eastAsia="Times New Roman" w:cs="Calibri"/>
          <w:b/>
          <w:bCs/>
          <w:color w:val="000000"/>
          <w:sz w:val="24"/>
          <w:szCs w:val="24"/>
        </w:rPr>
        <w:lastRenderedPageBreak/>
        <w:t>Microsphere Quality Control Assessments</w:t>
      </w:r>
    </w:p>
    <w:p w14:paraId="752AD302" w14:textId="1EFA55BF" w:rsidR="00C437E4" w:rsidRDefault="00C437E4" w:rsidP="00C437E4">
      <w:pPr>
        <w:spacing w:after="0" w:line="240" w:lineRule="auto"/>
        <w:contextualSpacing/>
        <w:jc w:val="both"/>
        <w:textAlignment w:val="baseline"/>
        <w:rPr>
          <w:rFonts w:eastAsia="Times New Roman" w:cs="Calibri"/>
          <w:b/>
          <w:bCs/>
          <w:color w:val="000000"/>
          <w:sz w:val="24"/>
          <w:szCs w:val="24"/>
        </w:rPr>
      </w:pPr>
    </w:p>
    <w:p w14:paraId="04B835E4" w14:textId="0284D555" w:rsidR="000C32A9" w:rsidRPr="000C32A9" w:rsidRDefault="000C32A9" w:rsidP="00C437E4">
      <w:pPr>
        <w:spacing w:after="0" w:line="240" w:lineRule="auto"/>
        <w:contextualSpacing/>
        <w:jc w:val="both"/>
        <w:textAlignment w:val="baseline"/>
        <w:rPr>
          <w:rFonts w:eastAsia="Times New Roman" w:cs="Calibri"/>
          <w:bCs/>
          <w:color w:val="000000"/>
          <w:sz w:val="24"/>
          <w:szCs w:val="24"/>
        </w:rPr>
      </w:pPr>
      <w:r w:rsidRPr="000C32A9">
        <w:rPr>
          <w:rFonts w:eastAsia="Times New Roman" w:cs="Calibri"/>
          <w:bCs/>
          <w:color w:val="000000"/>
          <w:sz w:val="24"/>
          <w:szCs w:val="24"/>
        </w:rPr>
        <w:t xml:space="preserve">Note: See </w:t>
      </w:r>
      <w:r w:rsidRPr="000C32A9">
        <w:rPr>
          <w:rFonts w:eastAsia="Times New Roman" w:cs="Calibri"/>
          <w:b/>
          <w:bCs/>
          <w:color w:val="000000"/>
          <w:sz w:val="24"/>
          <w:szCs w:val="24"/>
        </w:rPr>
        <w:t>Figure 1</w:t>
      </w:r>
      <w:r w:rsidRPr="000C32A9">
        <w:rPr>
          <w:rFonts w:eastAsia="Times New Roman" w:cs="Calibri"/>
          <w:bCs/>
          <w:color w:val="000000"/>
          <w:sz w:val="24"/>
          <w:szCs w:val="24"/>
        </w:rPr>
        <w:t>.</w:t>
      </w:r>
    </w:p>
    <w:p w14:paraId="3CF8CC7C" w14:textId="77777777" w:rsidR="000C32A9" w:rsidRPr="00D412EE" w:rsidRDefault="000C32A9" w:rsidP="00C437E4">
      <w:pPr>
        <w:spacing w:after="0" w:line="240" w:lineRule="auto"/>
        <w:contextualSpacing/>
        <w:jc w:val="both"/>
        <w:textAlignment w:val="baseline"/>
        <w:rPr>
          <w:rFonts w:eastAsia="Times New Roman" w:cs="Calibri"/>
          <w:b/>
          <w:bCs/>
          <w:color w:val="000000"/>
          <w:sz w:val="24"/>
          <w:szCs w:val="24"/>
        </w:rPr>
      </w:pPr>
    </w:p>
    <w:p w14:paraId="72DE5B17" w14:textId="31FDA862" w:rsidR="00D3275C" w:rsidRPr="009751DF" w:rsidRDefault="009751DF" w:rsidP="009751DF">
      <w:pPr>
        <w:pStyle w:val="ListParagraph"/>
        <w:numPr>
          <w:ilvl w:val="1"/>
          <w:numId w:val="8"/>
        </w:numPr>
        <w:spacing w:after="0" w:line="240" w:lineRule="auto"/>
        <w:jc w:val="both"/>
        <w:rPr>
          <w:rFonts w:eastAsia="Times New Roman" w:cs="Calibri"/>
          <w:sz w:val="24"/>
          <w:szCs w:val="24"/>
        </w:rPr>
      </w:pPr>
      <w:r>
        <w:rPr>
          <w:rFonts w:eastAsia="Times New Roman" w:cs="Calibri"/>
          <w:color w:val="000000"/>
          <w:sz w:val="24"/>
          <w:szCs w:val="24"/>
        </w:rPr>
        <w:t>Perform m</w:t>
      </w:r>
      <w:r w:rsidR="00615EAD" w:rsidRPr="00D412EE">
        <w:rPr>
          <w:rFonts w:eastAsia="Times New Roman" w:cs="Calibri"/>
          <w:color w:val="000000"/>
          <w:sz w:val="24"/>
          <w:szCs w:val="24"/>
        </w:rPr>
        <w:t>acroscopic/visual assessment</w:t>
      </w:r>
      <w:r>
        <w:rPr>
          <w:rFonts w:eastAsia="Times New Roman" w:cs="Calibri"/>
          <w:sz w:val="24"/>
          <w:szCs w:val="24"/>
        </w:rPr>
        <w:t xml:space="preserve"> to check that the microspheres are </w:t>
      </w:r>
      <w:r w:rsidR="00D3275C" w:rsidRPr="009751DF">
        <w:rPr>
          <w:rFonts w:eastAsia="Times New Roman" w:cs="Calibri"/>
          <w:sz w:val="24"/>
          <w:szCs w:val="24"/>
        </w:rPr>
        <w:t>uniform and spherical, with no aggregates present.</w:t>
      </w:r>
    </w:p>
    <w:p w14:paraId="57597977"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5980B811" w14:textId="43FB4EFE" w:rsidR="009751DF" w:rsidRDefault="009751DF" w:rsidP="009751DF">
      <w:pPr>
        <w:pStyle w:val="ListParagraph"/>
        <w:numPr>
          <w:ilvl w:val="1"/>
          <w:numId w:val="8"/>
        </w:numPr>
        <w:spacing w:after="0" w:line="240" w:lineRule="auto"/>
        <w:jc w:val="both"/>
        <w:rPr>
          <w:rFonts w:eastAsia="Times New Roman" w:cs="Calibri"/>
          <w:sz w:val="24"/>
          <w:szCs w:val="24"/>
        </w:rPr>
      </w:pPr>
      <w:r>
        <w:rPr>
          <w:rFonts w:eastAsia="Times New Roman" w:cs="Calibri"/>
          <w:color w:val="000000"/>
          <w:sz w:val="24"/>
          <w:szCs w:val="24"/>
        </w:rPr>
        <w:t>Assess the microspheres using a s</w:t>
      </w:r>
      <w:r w:rsidR="00615EAD" w:rsidRPr="00D412EE">
        <w:rPr>
          <w:rFonts w:eastAsia="Times New Roman" w:cs="Calibri"/>
          <w:color w:val="000000"/>
          <w:sz w:val="24"/>
          <w:szCs w:val="24"/>
        </w:rPr>
        <w:t>canning electron micrograph</w:t>
      </w:r>
      <w:r w:rsidR="00C265B8" w:rsidRPr="00D412EE">
        <w:rPr>
          <w:rFonts w:eastAsia="Times New Roman" w:cs="Calibri"/>
          <w:color w:val="000000"/>
          <w:sz w:val="24"/>
          <w:szCs w:val="24"/>
        </w:rPr>
        <w:t xml:space="preserve"> (SEM)</w:t>
      </w:r>
      <w:r>
        <w:rPr>
          <w:rFonts w:eastAsia="Times New Roman" w:cs="Calibri"/>
          <w:color w:val="000000"/>
          <w:sz w:val="24"/>
          <w:szCs w:val="24"/>
        </w:rPr>
        <w:t>.</w:t>
      </w:r>
      <w:r>
        <w:rPr>
          <w:rFonts w:eastAsia="Times New Roman" w:cs="Calibri"/>
          <w:sz w:val="24"/>
          <w:szCs w:val="24"/>
        </w:rPr>
        <w:t xml:space="preserve"> </w:t>
      </w:r>
    </w:p>
    <w:p w14:paraId="1B122D15" w14:textId="77777777" w:rsidR="009751DF" w:rsidRDefault="009751DF" w:rsidP="009751DF">
      <w:pPr>
        <w:pStyle w:val="ListParagraph"/>
        <w:spacing w:after="0" w:line="240" w:lineRule="auto"/>
        <w:ind w:left="0"/>
        <w:jc w:val="both"/>
        <w:rPr>
          <w:rFonts w:eastAsia="Times New Roman" w:cs="Calibri"/>
          <w:sz w:val="24"/>
          <w:szCs w:val="24"/>
        </w:rPr>
      </w:pPr>
    </w:p>
    <w:p w14:paraId="7D460724" w14:textId="43436E0F" w:rsidR="009751DF" w:rsidRPr="009751DF" w:rsidRDefault="009751DF" w:rsidP="009751DF">
      <w:pPr>
        <w:pStyle w:val="ListParagraph"/>
        <w:numPr>
          <w:ilvl w:val="2"/>
          <w:numId w:val="8"/>
        </w:numPr>
        <w:spacing w:after="0" w:line="240" w:lineRule="auto"/>
        <w:jc w:val="both"/>
        <w:rPr>
          <w:rFonts w:eastAsia="Times New Roman" w:cs="Calibri"/>
          <w:sz w:val="24"/>
          <w:szCs w:val="24"/>
        </w:rPr>
      </w:pPr>
      <w:r>
        <w:rPr>
          <w:rFonts w:eastAsia="Times New Roman" w:cs="Calibri"/>
          <w:sz w:val="24"/>
          <w:szCs w:val="24"/>
        </w:rPr>
        <w:t xml:space="preserve">For this, </w:t>
      </w:r>
      <w:r>
        <w:rPr>
          <w:rFonts w:eastAsia="Times New Roman" w:cs="Calibri"/>
          <w:color w:val="000000"/>
          <w:sz w:val="24"/>
          <w:szCs w:val="24"/>
        </w:rPr>
        <w:t>p</w:t>
      </w:r>
      <w:r w:rsidR="00D3275C" w:rsidRPr="009751DF">
        <w:rPr>
          <w:rFonts w:eastAsia="Times New Roman" w:cs="Calibri"/>
          <w:color w:val="000000"/>
          <w:sz w:val="24"/>
          <w:szCs w:val="24"/>
        </w:rPr>
        <w:t>lace microspheres onto an SEM chuck and sputter coat</w:t>
      </w:r>
      <w:r w:rsidR="004C3227" w:rsidRPr="009751DF">
        <w:rPr>
          <w:rFonts w:eastAsia="Times New Roman" w:cs="Calibri"/>
          <w:color w:val="000000"/>
          <w:sz w:val="24"/>
          <w:szCs w:val="24"/>
        </w:rPr>
        <w:t xml:space="preserve"> with gold</w:t>
      </w:r>
      <w:r w:rsidR="00BA4343" w:rsidRPr="009751DF">
        <w:rPr>
          <w:rFonts w:eastAsia="Times New Roman" w:cs="Calibri"/>
          <w:color w:val="000000"/>
          <w:sz w:val="24"/>
          <w:szCs w:val="24"/>
        </w:rPr>
        <w:t>-palladium in argon atmosphere using a sputter coater to a thickness of 4 nm.</w:t>
      </w:r>
      <w:r w:rsidR="00D3275C" w:rsidRPr="009751DF">
        <w:rPr>
          <w:rFonts w:eastAsia="Times New Roman" w:cs="Calibri"/>
          <w:color w:val="000000"/>
          <w:sz w:val="24"/>
          <w:szCs w:val="24"/>
        </w:rPr>
        <w:t xml:space="preserve"> </w:t>
      </w:r>
    </w:p>
    <w:p w14:paraId="0CE2137D" w14:textId="77777777" w:rsidR="009751DF" w:rsidRPr="009751DF" w:rsidRDefault="009751DF" w:rsidP="009751DF">
      <w:pPr>
        <w:pStyle w:val="ListParagraph"/>
        <w:spacing w:after="0" w:line="240" w:lineRule="auto"/>
        <w:ind w:left="0"/>
        <w:jc w:val="both"/>
        <w:rPr>
          <w:rFonts w:eastAsia="Times New Roman" w:cs="Calibri"/>
          <w:sz w:val="24"/>
          <w:szCs w:val="24"/>
        </w:rPr>
      </w:pPr>
    </w:p>
    <w:p w14:paraId="7F160F62" w14:textId="54DDE87B" w:rsidR="00D3275C" w:rsidRPr="009751DF" w:rsidRDefault="00D3275C" w:rsidP="009751DF">
      <w:pPr>
        <w:pStyle w:val="ListParagraph"/>
        <w:numPr>
          <w:ilvl w:val="2"/>
          <w:numId w:val="8"/>
        </w:numPr>
        <w:spacing w:after="0" w:line="240" w:lineRule="auto"/>
        <w:jc w:val="both"/>
        <w:rPr>
          <w:rFonts w:eastAsia="Times New Roman" w:cs="Calibri"/>
          <w:sz w:val="24"/>
          <w:szCs w:val="24"/>
        </w:rPr>
      </w:pPr>
      <w:r w:rsidRPr="009751DF">
        <w:rPr>
          <w:rFonts w:eastAsia="Times New Roman" w:cs="Calibri"/>
          <w:color w:val="000000"/>
          <w:sz w:val="24"/>
          <w:szCs w:val="24"/>
        </w:rPr>
        <w:t>Observe</w:t>
      </w:r>
      <w:r w:rsidR="00BA4343" w:rsidRPr="009751DF">
        <w:rPr>
          <w:rFonts w:eastAsia="Times New Roman" w:cs="Calibri"/>
          <w:color w:val="000000"/>
          <w:sz w:val="24"/>
          <w:szCs w:val="24"/>
        </w:rPr>
        <w:t xml:space="preserve"> surface features, morphology, and diameter</w:t>
      </w:r>
      <w:r w:rsidR="009751DF">
        <w:rPr>
          <w:rFonts w:eastAsia="Times New Roman" w:cs="Calibri"/>
          <w:color w:val="000000"/>
          <w:sz w:val="24"/>
          <w:szCs w:val="24"/>
        </w:rPr>
        <w:t>s</w:t>
      </w:r>
      <w:r w:rsidR="00BA4343" w:rsidRPr="009751DF">
        <w:rPr>
          <w:rFonts w:eastAsia="Times New Roman" w:cs="Calibri"/>
          <w:color w:val="000000"/>
          <w:sz w:val="24"/>
          <w:szCs w:val="24"/>
        </w:rPr>
        <w:t xml:space="preserve"> of the microspheres using a </w:t>
      </w:r>
      <w:proofErr w:type="gramStart"/>
      <w:r w:rsidR="00BA4343" w:rsidRPr="009751DF">
        <w:rPr>
          <w:rFonts w:eastAsia="Times New Roman" w:cs="Calibri"/>
          <w:color w:val="000000"/>
          <w:sz w:val="24"/>
          <w:szCs w:val="24"/>
        </w:rPr>
        <w:t>10 kV</w:t>
      </w:r>
      <w:proofErr w:type="gramEnd"/>
      <w:r w:rsidR="00BA4343" w:rsidRPr="009751DF">
        <w:rPr>
          <w:rFonts w:eastAsia="Times New Roman" w:cs="Calibri"/>
          <w:color w:val="000000"/>
          <w:sz w:val="24"/>
          <w:szCs w:val="24"/>
        </w:rPr>
        <w:t xml:space="preserve"> accelerating voltage and a 10 mm working distance </w:t>
      </w:r>
      <w:r w:rsidRPr="009751DF">
        <w:rPr>
          <w:rFonts w:eastAsia="Times New Roman" w:cs="Calibri"/>
          <w:color w:val="000000"/>
          <w:sz w:val="24"/>
          <w:szCs w:val="24"/>
        </w:rPr>
        <w:t>to ensure</w:t>
      </w:r>
      <w:r w:rsidR="009751DF">
        <w:rPr>
          <w:rFonts w:eastAsia="Times New Roman" w:cs="Calibri"/>
          <w:color w:val="000000"/>
          <w:sz w:val="24"/>
          <w:szCs w:val="24"/>
        </w:rPr>
        <w:t xml:space="preserve"> that</w:t>
      </w:r>
      <w:r w:rsidRPr="009751DF">
        <w:rPr>
          <w:rFonts w:eastAsia="Times New Roman" w:cs="Calibri"/>
          <w:color w:val="000000"/>
          <w:sz w:val="24"/>
          <w:szCs w:val="24"/>
        </w:rPr>
        <w:t xml:space="preserve"> production and sieving of the microspheres was successful. </w:t>
      </w:r>
    </w:p>
    <w:p w14:paraId="0C5911E0" w14:textId="77777777" w:rsidR="007C5F07" w:rsidRPr="00D412EE" w:rsidRDefault="007C5F07" w:rsidP="00D412EE">
      <w:pPr>
        <w:pStyle w:val="ListParagraph"/>
        <w:spacing w:after="0" w:line="240" w:lineRule="auto"/>
        <w:ind w:left="0"/>
        <w:jc w:val="both"/>
        <w:rPr>
          <w:rFonts w:eastAsia="Times New Roman" w:cs="Calibri"/>
          <w:sz w:val="24"/>
          <w:szCs w:val="24"/>
          <w:highlight w:val="yellow"/>
        </w:rPr>
      </w:pPr>
    </w:p>
    <w:p w14:paraId="500F67CF" w14:textId="7E1FE7BB" w:rsidR="00615EAD" w:rsidRDefault="009751DF" w:rsidP="00D412EE">
      <w:pPr>
        <w:numPr>
          <w:ilvl w:val="0"/>
          <w:numId w:val="8"/>
        </w:numPr>
        <w:spacing w:after="0" w:line="240" w:lineRule="auto"/>
        <w:contextualSpacing/>
        <w:jc w:val="both"/>
        <w:textAlignment w:val="baseline"/>
        <w:rPr>
          <w:rFonts w:eastAsia="Times New Roman" w:cs="Calibri"/>
          <w:b/>
          <w:bCs/>
          <w:color w:val="000000"/>
          <w:sz w:val="24"/>
          <w:szCs w:val="24"/>
          <w:highlight w:val="yellow"/>
        </w:rPr>
      </w:pPr>
      <w:r>
        <w:rPr>
          <w:rFonts w:eastAsia="Times New Roman" w:cs="Calibri"/>
          <w:b/>
          <w:bCs/>
          <w:color w:val="000000"/>
          <w:sz w:val="24"/>
          <w:szCs w:val="24"/>
          <w:highlight w:val="yellow"/>
        </w:rPr>
        <w:t>F</w:t>
      </w:r>
      <w:r w:rsidR="00615EAD" w:rsidRPr="00D412EE">
        <w:rPr>
          <w:rFonts w:eastAsia="Times New Roman" w:cs="Calibri"/>
          <w:b/>
          <w:bCs/>
          <w:color w:val="000000"/>
          <w:sz w:val="24"/>
          <w:szCs w:val="24"/>
          <w:highlight w:val="yellow"/>
        </w:rPr>
        <w:t xml:space="preserve">ilament </w:t>
      </w:r>
      <w:r>
        <w:rPr>
          <w:rFonts w:eastAsia="Times New Roman" w:cs="Calibri"/>
          <w:b/>
          <w:bCs/>
          <w:color w:val="000000"/>
          <w:sz w:val="24"/>
          <w:szCs w:val="24"/>
          <w:highlight w:val="yellow"/>
        </w:rPr>
        <w:t xml:space="preserve">Creation </w:t>
      </w:r>
      <w:r w:rsidR="00615EAD" w:rsidRPr="00D412EE">
        <w:rPr>
          <w:rFonts w:eastAsia="Times New Roman" w:cs="Calibri"/>
          <w:b/>
          <w:bCs/>
          <w:color w:val="000000"/>
          <w:sz w:val="24"/>
          <w:szCs w:val="24"/>
          <w:highlight w:val="yellow"/>
        </w:rPr>
        <w:t xml:space="preserve">for 3D </w:t>
      </w:r>
      <w:r>
        <w:rPr>
          <w:rFonts w:eastAsia="Times New Roman" w:cs="Calibri"/>
          <w:b/>
          <w:bCs/>
          <w:color w:val="000000"/>
          <w:sz w:val="24"/>
          <w:szCs w:val="24"/>
          <w:highlight w:val="yellow"/>
        </w:rPr>
        <w:t>P</w:t>
      </w:r>
      <w:r w:rsidR="00615EAD" w:rsidRPr="00D412EE">
        <w:rPr>
          <w:rFonts w:eastAsia="Times New Roman" w:cs="Calibri"/>
          <w:b/>
          <w:bCs/>
          <w:color w:val="000000"/>
          <w:sz w:val="24"/>
          <w:szCs w:val="24"/>
          <w:highlight w:val="yellow"/>
        </w:rPr>
        <w:t>rinting</w:t>
      </w:r>
    </w:p>
    <w:p w14:paraId="7A0E5B32" w14:textId="77777777" w:rsidR="00C437E4" w:rsidRPr="00D412EE" w:rsidRDefault="00C437E4" w:rsidP="00C437E4">
      <w:pPr>
        <w:spacing w:after="0" w:line="240" w:lineRule="auto"/>
        <w:contextualSpacing/>
        <w:jc w:val="both"/>
        <w:textAlignment w:val="baseline"/>
        <w:rPr>
          <w:rFonts w:eastAsia="Times New Roman" w:cs="Calibri"/>
          <w:b/>
          <w:bCs/>
          <w:color w:val="000000"/>
          <w:sz w:val="24"/>
          <w:szCs w:val="24"/>
          <w:highlight w:val="yellow"/>
        </w:rPr>
      </w:pPr>
    </w:p>
    <w:p w14:paraId="13CD75B1" w14:textId="666BA865"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Measure and record</w:t>
      </w:r>
      <w:r w:rsidR="009751DF">
        <w:rPr>
          <w:rFonts w:eastAsia="Times New Roman" w:cs="Calibri"/>
          <w:color w:val="000000"/>
          <w:sz w:val="24"/>
          <w:szCs w:val="24"/>
          <w:highlight w:val="yellow"/>
        </w:rPr>
        <w:t xml:space="preserve"> the</w:t>
      </w:r>
      <w:r w:rsidRPr="00D412EE">
        <w:rPr>
          <w:rFonts w:eastAsia="Times New Roman" w:cs="Calibri"/>
          <w:color w:val="000000"/>
          <w:sz w:val="24"/>
          <w:szCs w:val="24"/>
          <w:highlight w:val="yellow"/>
        </w:rPr>
        <w:t xml:space="preserve"> mass of </w:t>
      </w:r>
      <w:r w:rsidR="009751DF">
        <w:rPr>
          <w:rFonts w:eastAsia="Times New Roman" w:cs="Calibri"/>
          <w:color w:val="000000"/>
          <w:sz w:val="24"/>
          <w:szCs w:val="24"/>
          <w:highlight w:val="yellow"/>
        </w:rPr>
        <w:t xml:space="preserve">the </w:t>
      </w:r>
      <w:r w:rsidRPr="00D412EE">
        <w:rPr>
          <w:rFonts w:eastAsia="Times New Roman" w:cs="Calibri"/>
          <w:color w:val="000000"/>
          <w:sz w:val="24"/>
          <w:szCs w:val="24"/>
          <w:highlight w:val="yellow"/>
        </w:rPr>
        <w:t>microspheres obta</w:t>
      </w:r>
      <w:r w:rsidR="0006286A" w:rsidRPr="00D412EE">
        <w:rPr>
          <w:rFonts w:eastAsia="Times New Roman" w:cs="Calibri"/>
          <w:color w:val="000000"/>
          <w:sz w:val="24"/>
          <w:szCs w:val="24"/>
          <w:highlight w:val="yellow"/>
        </w:rPr>
        <w:t>ined from steps 2 and 3</w:t>
      </w:r>
      <w:r w:rsidR="009751DF">
        <w:rPr>
          <w:rFonts w:eastAsia="Times New Roman" w:cs="Calibri"/>
          <w:color w:val="000000"/>
          <w:sz w:val="24"/>
          <w:szCs w:val="24"/>
          <w:highlight w:val="yellow"/>
        </w:rPr>
        <w:t>;</w:t>
      </w:r>
      <w:r w:rsidR="00FD5956" w:rsidRPr="00D412EE">
        <w:rPr>
          <w:rFonts w:eastAsia="Times New Roman" w:cs="Calibri"/>
          <w:color w:val="000000"/>
          <w:sz w:val="24"/>
          <w:szCs w:val="24"/>
          <w:highlight w:val="yellow"/>
        </w:rPr>
        <w:t xml:space="preserve"> </w:t>
      </w:r>
      <w:r w:rsidR="009751DF">
        <w:rPr>
          <w:rFonts w:eastAsia="Times New Roman" w:cs="Calibri"/>
          <w:color w:val="000000"/>
          <w:sz w:val="24"/>
          <w:szCs w:val="24"/>
          <w:highlight w:val="yellow"/>
        </w:rPr>
        <w:t>a</w:t>
      </w:r>
      <w:r w:rsidR="00FD5956" w:rsidRPr="00D412EE">
        <w:rPr>
          <w:rFonts w:eastAsia="Times New Roman" w:cs="Calibri"/>
          <w:color w:val="000000"/>
          <w:sz w:val="24"/>
          <w:szCs w:val="24"/>
          <w:highlight w:val="yellow"/>
        </w:rPr>
        <w:t>t least 25 g is needed.</w:t>
      </w:r>
      <w:r w:rsidR="00BA4343" w:rsidRPr="00D412EE">
        <w:rPr>
          <w:rFonts w:eastAsia="Times New Roman" w:cs="Calibri"/>
          <w:color w:val="000000"/>
          <w:sz w:val="24"/>
          <w:szCs w:val="24"/>
          <w:highlight w:val="yellow"/>
        </w:rPr>
        <w:t xml:space="preserve"> </w:t>
      </w:r>
    </w:p>
    <w:p w14:paraId="4C28C9C3"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53D11C19" w14:textId="77777777"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Ad</w:t>
      </w:r>
      <w:r w:rsidR="00C265B8" w:rsidRPr="00D412EE">
        <w:rPr>
          <w:rFonts w:eastAsia="Times New Roman" w:cs="Calibri"/>
          <w:color w:val="000000"/>
          <w:sz w:val="24"/>
          <w:szCs w:val="24"/>
          <w:highlight w:val="yellow"/>
        </w:rPr>
        <w:t>d polycaprolactone (PCL) powder</w:t>
      </w:r>
      <w:r w:rsidRPr="00D412EE">
        <w:rPr>
          <w:rFonts w:eastAsia="Times New Roman" w:cs="Calibri"/>
          <w:color w:val="000000"/>
          <w:sz w:val="24"/>
          <w:szCs w:val="24"/>
          <w:highlight w:val="yellow"/>
        </w:rPr>
        <w:t xml:space="preserve"> to the microspheres for a 1:4 weight ratio of microspheres to PCL.</w:t>
      </w:r>
    </w:p>
    <w:p w14:paraId="182FD841"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7E880209" w14:textId="7685893D"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Mix t</w:t>
      </w:r>
      <w:r w:rsidR="00C143A5" w:rsidRPr="00D412EE">
        <w:rPr>
          <w:rFonts w:eastAsia="Times New Roman" w:cs="Calibri"/>
          <w:color w:val="000000"/>
          <w:sz w:val="24"/>
          <w:szCs w:val="24"/>
          <w:highlight w:val="yellow"/>
        </w:rPr>
        <w:t xml:space="preserve">he powder mixture on a </w:t>
      </w:r>
      <w:r w:rsidR="00C43E1B" w:rsidRPr="00D412EE">
        <w:rPr>
          <w:rFonts w:eastAsia="Times New Roman" w:cs="Calibri"/>
          <w:color w:val="000000"/>
          <w:sz w:val="24"/>
          <w:szCs w:val="24"/>
          <w:highlight w:val="yellow"/>
        </w:rPr>
        <w:t>miniature rolling</w:t>
      </w:r>
      <w:r w:rsidRPr="00D412EE">
        <w:rPr>
          <w:rFonts w:eastAsia="Times New Roman" w:cs="Calibri"/>
          <w:color w:val="000000"/>
          <w:sz w:val="24"/>
          <w:szCs w:val="24"/>
          <w:highlight w:val="yellow"/>
        </w:rPr>
        <w:t xml:space="preserve"> mixer at 20 </w:t>
      </w:r>
      <w:r w:rsidR="009751DF">
        <w:rPr>
          <w:rFonts w:eastAsia="Times New Roman" w:cs="Calibri"/>
          <w:color w:val="000000"/>
          <w:sz w:val="24"/>
          <w:szCs w:val="24"/>
          <w:highlight w:val="yellow"/>
        </w:rPr>
        <w:t xml:space="preserve">rpm </w:t>
      </w:r>
      <w:r w:rsidRPr="00D412EE">
        <w:rPr>
          <w:rFonts w:eastAsia="Times New Roman" w:cs="Calibri"/>
          <w:color w:val="000000"/>
          <w:sz w:val="24"/>
          <w:szCs w:val="24"/>
          <w:highlight w:val="yellow"/>
        </w:rPr>
        <w:t>f</w:t>
      </w:r>
      <w:r w:rsidR="00C43E1B" w:rsidRPr="00D412EE">
        <w:rPr>
          <w:rFonts w:eastAsia="Times New Roman" w:cs="Calibri"/>
          <w:color w:val="000000"/>
          <w:sz w:val="24"/>
          <w:szCs w:val="24"/>
          <w:highlight w:val="yellow"/>
        </w:rPr>
        <w:t xml:space="preserve">or 5 min then flip the container </w:t>
      </w:r>
      <w:r w:rsidRPr="00D412EE">
        <w:rPr>
          <w:rFonts w:eastAsia="Times New Roman" w:cs="Calibri"/>
          <w:color w:val="000000"/>
          <w:sz w:val="24"/>
          <w:szCs w:val="24"/>
          <w:highlight w:val="yellow"/>
        </w:rPr>
        <w:t xml:space="preserve">and mix at 20 </w:t>
      </w:r>
      <w:r w:rsidR="009751DF">
        <w:rPr>
          <w:rFonts w:eastAsia="Times New Roman" w:cs="Calibri"/>
          <w:color w:val="000000"/>
          <w:sz w:val="24"/>
          <w:szCs w:val="24"/>
          <w:highlight w:val="yellow"/>
        </w:rPr>
        <w:t>rpm</w:t>
      </w:r>
      <w:r w:rsidR="00A76B2F" w:rsidRPr="00D412EE">
        <w:rPr>
          <w:rFonts w:eastAsia="Times New Roman" w:cs="Calibri"/>
          <w:color w:val="000000"/>
          <w:sz w:val="24"/>
          <w:szCs w:val="24"/>
          <w:highlight w:val="yellow"/>
        </w:rPr>
        <w:t xml:space="preserve"> for an additional 5 mi</w:t>
      </w:r>
      <w:r w:rsidR="009751DF">
        <w:rPr>
          <w:rFonts w:eastAsia="Times New Roman" w:cs="Calibri"/>
          <w:color w:val="000000"/>
          <w:sz w:val="24"/>
          <w:szCs w:val="24"/>
          <w:highlight w:val="yellow"/>
        </w:rPr>
        <w:t>n</w:t>
      </w:r>
      <w:r w:rsidR="00A76B2F" w:rsidRPr="00D412EE">
        <w:rPr>
          <w:rFonts w:eastAsia="Times New Roman" w:cs="Calibri"/>
          <w:color w:val="000000"/>
          <w:sz w:val="24"/>
          <w:szCs w:val="24"/>
          <w:highlight w:val="yellow"/>
        </w:rPr>
        <w:t xml:space="preserve"> (see </w:t>
      </w:r>
      <w:r w:rsidR="009751DF">
        <w:rPr>
          <w:rFonts w:eastAsia="Times New Roman" w:cs="Calibri"/>
          <w:b/>
          <w:color w:val="000000"/>
          <w:sz w:val="24"/>
          <w:szCs w:val="24"/>
          <w:highlight w:val="yellow"/>
        </w:rPr>
        <w:t>F</w:t>
      </w:r>
      <w:r w:rsidR="00A76B2F" w:rsidRPr="009751DF">
        <w:rPr>
          <w:rFonts w:eastAsia="Times New Roman" w:cs="Calibri"/>
          <w:b/>
          <w:color w:val="000000"/>
          <w:sz w:val="24"/>
          <w:szCs w:val="24"/>
          <w:highlight w:val="yellow"/>
        </w:rPr>
        <w:t>igure 2</w:t>
      </w:r>
      <w:r w:rsidR="00A76B2F" w:rsidRPr="00D412EE">
        <w:rPr>
          <w:rFonts w:eastAsia="Times New Roman" w:cs="Calibri"/>
          <w:color w:val="000000"/>
          <w:sz w:val="24"/>
          <w:szCs w:val="24"/>
          <w:highlight w:val="yellow"/>
        </w:rPr>
        <w:t>).</w:t>
      </w:r>
    </w:p>
    <w:p w14:paraId="42C31DF6"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7FF06B3D" w14:textId="18F93888" w:rsidR="0006286A" w:rsidRDefault="00D5396E" w:rsidP="00D5396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sz w:val="24"/>
          <w:szCs w:val="24"/>
          <w:highlight w:val="yellow"/>
        </w:rPr>
        <w:t>Many commer</w:t>
      </w:r>
      <w:r w:rsidRPr="00D5396E">
        <w:rPr>
          <w:rFonts w:eastAsia="Times New Roman" w:cs="Calibri"/>
          <w:sz w:val="24"/>
          <w:szCs w:val="24"/>
          <w:highlight w:val="yellow"/>
        </w:rPr>
        <w:t>cially available extruders (</w:t>
      </w:r>
      <w:r w:rsidRPr="00D5396E">
        <w:rPr>
          <w:rFonts w:eastAsia="Times New Roman" w:cs="Calibri"/>
          <w:sz w:val="24"/>
          <w:szCs w:val="24"/>
          <w:highlight w:val="yellow"/>
        </w:rPr>
        <w:t xml:space="preserve">see </w:t>
      </w:r>
      <w:r w:rsidRPr="00D5396E">
        <w:rPr>
          <w:rFonts w:eastAsia="Times New Roman" w:cs="Calibri"/>
          <w:sz w:val="24"/>
          <w:szCs w:val="24"/>
          <w:highlight w:val="yellow"/>
        </w:rPr>
        <w:t xml:space="preserve">the </w:t>
      </w:r>
      <w:r w:rsidRPr="00D5396E">
        <w:rPr>
          <w:rFonts w:eastAsia="Times New Roman" w:cs="Calibri"/>
          <w:b/>
          <w:sz w:val="24"/>
          <w:szCs w:val="24"/>
          <w:highlight w:val="yellow"/>
        </w:rPr>
        <w:t>Table of Materials</w:t>
      </w:r>
      <w:r w:rsidRPr="00D5396E">
        <w:rPr>
          <w:rFonts w:eastAsia="Times New Roman" w:cs="Calibri"/>
          <w:sz w:val="24"/>
          <w:szCs w:val="24"/>
          <w:highlight w:val="yellow"/>
        </w:rPr>
        <w:t xml:space="preserve">) have insulating jackets because their intended working temperatures are for traditional </w:t>
      </w:r>
      <w:r w:rsidRPr="00D5396E">
        <w:rPr>
          <w:rFonts w:eastAsia="Times New Roman" w:cs="Calibri"/>
          <w:sz w:val="24"/>
          <w:szCs w:val="24"/>
          <w:highlight w:val="yellow"/>
        </w:rPr>
        <w:t>fused deposition modeling (</w:t>
      </w:r>
      <w:r w:rsidRPr="00D5396E">
        <w:rPr>
          <w:rFonts w:eastAsia="Times New Roman" w:cs="Calibri"/>
          <w:sz w:val="24"/>
          <w:szCs w:val="24"/>
          <w:highlight w:val="yellow"/>
        </w:rPr>
        <w:t>FDM</w:t>
      </w:r>
      <w:r w:rsidRPr="00D5396E">
        <w:rPr>
          <w:rFonts w:eastAsia="Times New Roman" w:cs="Calibri"/>
          <w:sz w:val="24"/>
          <w:szCs w:val="24"/>
          <w:highlight w:val="yellow"/>
        </w:rPr>
        <w:t>)</w:t>
      </w:r>
      <w:r w:rsidRPr="00D5396E">
        <w:rPr>
          <w:rFonts w:eastAsia="Times New Roman" w:cs="Calibri"/>
          <w:sz w:val="24"/>
          <w:szCs w:val="24"/>
          <w:highlight w:val="yellow"/>
        </w:rPr>
        <w:t xml:space="preserve"> filaments. </w:t>
      </w:r>
      <w:r w:rsidR="0006286A" w:rsidRPr="00D5396E">
        <w:rPr>
          <w:rFonts w:eastAsia="Times New Roman" w:cs="Calibri"/>
          <w:sz w:val="24"/>
          <w:szCs w:val="24"/>
          <w:highlight w:val="yellow"/>
        </w:rPr>
        <w:t xml:space="preserve">Modify </w:t>
      </w:r>
      <w:r w:rsidRPr="00D5396E">
        <w:rPr>
          <w:rFonts w:eastAsia="Times New Roman" w:cs="Calibri"/>
          <w:sz w:val="24"/>
          <w:szCs w:val="24"/>
          <w:highlight w:val="yellow"/>
        </w:rPr>
        <w:t xml:space="preserve">the </w:t>
      </w:r>
      <w:r w:rsidR="0006286A" w:rsidRPr="00D5396E">
        <w:rPr>
          <w:rFonts w:eastAsia="Times New Roman" w:cs="Calibri"/>
          <w:sz w:val="24"/>
          <w:szCs w:val="24"/>
          <w:highlight w:val="yellow"/>
        </w:rPr>
        <w:t>extruder (if necessary)</w:t>
      </w:r>
      <w:r w:rsidRPr="00D5396E">
        <w:rPr>
          <w:rFonts w:eastAsia="Times New Roman" w:cs="Calibri"/>
          <w:sz w:val="24"/>
          <w:szCs w:val="24"/>
          <w:highlight w:val="yellow"/>
        </w:rPr>
        <w:t xml:space="preserve"> by r</w:t>
      </w:r>
      <w:r w:rsidR="0006286A" w:rsidRPr="00D5396E">
        <w:rPr>
          <w:rFonts w:eastAsia="Times New Roman" w:cs="Calibri"/>
          <w:sz w:val="24"/>
          <w:szCs w:val="24"/>
          <w:highlight w:val="yellow"/>
        </w:rPr>
        <w:t>emo</w:t>
      </w:r>
      <w:r w:rsidRPr="00D5396E">
        <w:rPr>
          <w:rFonts w:eastAsia="Times New Roman" w:cs="Calibri"/>
          <w:sz w:val="24"/>
          <w:szCs w:val="24"/>
          <w:highlight w:val="yellow"/>
        </w:rPr>
        <w:t>ving</w:t>
      </w:r>
      <w:r w:rsidR="0006286A" w:rsidRPr="00D5396E">
        <w:rPr>
          <w:rFonts w:eastAsia="Times New Roman" w:cs="Calibri"/>
          <w:sz w:val="24"/>
          <w:szCs w:val="24"/>
          <w:highlight w:val="yellow"/>
        </w:rPr>
        <w:t xml:space="preserve"> the insulating material </w:t>
      </w:r>
      <w:r w:rsidRPr="00D5396E">
        <w:rPr>
          <w:rFonts w:eastAsia="Times New Roman" w:cs="Calibri"/>
          <w:sz w:val="24"/>
          <w:szCs w:val="24"/>
          <w:highlight w:val="yellow"/>
        </w:rPr>
        <w:t xml:space="preserve">and use it </w:t>
      </w:r>
      <w:r w:rsidR="0006286A" w:rsidRPr="00D5396E">
        <w:rPr>
          <w:rFonts w:eastAsia="Times New Roman" w:cs="Calibri"/>
          <w:sz w:val="24"/>
          <w:szCs w:val="24"/>
          <w:highlight w:val="yellow"/>
        </w:rPr>
        <w:t xml:space="preserve">in combination with desktop fans </w:t>
      </w:r>
      <w:r w:rsidRPr="00D5396E">
        <w:rPr>
          <w:rFonts w:eastAsia="Times New Roman" w:cs="Calibri"/>
          <w:sz w:val="24"/>
          <w:szCs w:val="24"/>
          <w:highlight w:val="yellow"/>
        </w:rPr>
        <w:t>(</w:t>
      </w:r>
      <w:r w:rsidR="0006286A" w:rsidRPr="00D5396E">
        <w:rPr>
          <w:rFonts w:eastAsia="Times New Roman" w:cs="Calibri"/>
          <w:sz w:val="24"/>
          <w:szCs w:val="24"/>
          <w:highlight w:val="yellow"/>
        </w:rPr>
        <w:t>which blow ambient air onto the extruder and extruded filament</w:t>
      </w:r>
      <w:r w:rsidRPr="00D5396E">
        <w:rPr>
          <w:rFonts w:eastAsia="Times New Roman" w:cs="Calibri"/>
          <w:sz w:val="24"/>
          <w:szCs w:val="24"/>
          <w:highlight w:val="yellow"/>
        </w:rPr>
        <w:t>)</w:t>
      </w:r>
      <w:r w:rsidR="0006286A" w:rsidRPr="00D5396E">
        <w:rPr>
          <w:rFonts w:eastAsia="Times New Roman" w:cs="Calibri"/>
          <w:sz w:val="24"/>
          <w:szCs w:val="24"/>
          <w:highlight w:val="yellow"/>
        </w:rPr>
        <w:t xml:space="preserve"> </w:t>
      </w:r>
      <w:r w:rsidRPr="00D5396E">
        <w:rPr>
          <w:rFonts w:eastAsia="Times New Roman" w:cs="Calibri"/>
          <w:sz w:val="24"/>
          <w:szCs w:val="24"/>
          <w:highlight w:val="yellow"/>
        </w:rPr>
        <w:t xml:space="preserve">to </w:t>
      </w:r>
      <w:r w:rsidR="0006286A" w:rsidRPr="00D5396E">
        <w:rPr>
          <w:rFonts w:eastAsia="Times New Roman" w:cs="Calibri"/>
          <w:sz w:val="24"/>
          <w:szCs w:val="24"/>
          <w:highlight w:val="yellow"/>
        </w:rPr>
        <w:t xml:space="preserve">use of the extruder at lower temperatures. </w:t>
      </w:r>
    </w:p>
    <w:p w14:paraId="2BFA8828" w14:textId="77777777" w:rsidR="006A15FE" w:rsidRPr="00D5396E" w:rsidRDefault="006A15FE" w:rsidP="006A15FE">
      <w:pPr>
        <w:pStyle w:val="ListParagraph"/>
        <w:spacing w:after="0" w:line="240" w:lineRule="auto"/>
        <w:ind w:left="0"/>
        <w:jc w:val="both"/>
        <w:rPr>
          <w:rFonts w:eastAsia="Times New Roman" w:cs="Calibri"/>
          <w:sz w:val="24"/>
          <w:szCs w:val="24"/>
          <w:highlight w:val="yellow"/>
        </w:rPr>
      </w:pPr>
    </w:p>
    <w:p w14:paraId="454EFB6C" w14:textId="4F0E6DE4" w:rsidR="00C437E4" w:rsidRPr="00D412EE" w:rsidRDefault="006A15FE" w:rsidP="00C437E4">
      <w:pPr>
        <w:pStyle w:val="ListParagraph"/>
        <w:spacing w:after="0" w:line="240" w:lineRule="auto"/>
        <w:ind w:left="0"/>
        <w:jc w:val="both"/>
        <w:rPr>
          <w:rFonts w:eastAsia="Times New Roman" w:cs="Calibri"/>
          <w:sz w:val="24"/>
          <w:szCs w:val="24"/>
          <w:highlight w:val="yellow"/>
        </w:rPr>
      </w:pPr>
      <w:r w:rsidRPr="006A15FE">
        <w:rPr>
          <w:rFonts w:eastAsia="Times New Roman" w:cs="Calibri"/>
          <w:sz w:val="24"/>
          <w:szCs w:val="24"/>
        </w:rPr>
        <w:t xml:space="preserve">Note: </w:t>
      </w:r>
      <w:r w:rsidRPr="006A15FE">
        <w:rPr>
          <w:rFonts w:eastAsia="Times New Roman" w:cs="Calibri"/>
          <w:sz w:val="24"/>
          <w:szCs w:val="24"/>
        </w:rPr>
        <w:t>Desktop fans which blow ambient air to cool the extruder and filament are useful for this procedure.</w:t>
      </w:r>
      <w:r>
        <w:rPr>
          <w:rFonts w:eastAsia="Times New Roman" w:cs="Calibri"/>
          <w:sz w:val="24"/>
          <w:szCs w:val="24"/>
          <w:highlight w:val="yellow"/>
        </w:rPr>
        <w:br/>
      </w:r>
    </w:p>
    <w:p w14:paraId="0210263F" w14:textId="19035984" w:rsidR="0006286A" w:rsidRDefault="00D5396E" w:rsidP="00D412EE">
      <w:pPr>
        <w:pStyle w:val="ListParagraph"/>
        <w:numPr>
          <w:ilvl w:val="1"/>
          <w:numId w:val="8"/>
        </w:numPr>
        <w:spacing w:after="0" w:line="240" w:lineRule="auto"/>
        <w:jc w:val="both"/>
        <w:rPr>
          <w:rFonts w:eastAsia="Times New Roman" w:cs="Calibri"/>
          <w:sz w:val="24"/>
          <w:szCs w:val="24"/>
          <w:highlight w:val="yellow"/>
        </w:rPr>
      </w:pPr>
      <w:r>
        <w:rPr>
          <w:rFonts w:eastAsia="Times New Roman" w:cs="Calibri"/>
          <w:sz w:val="24"/>
          <w:szCs w:val="24"/>
          <w:highlight w:val="yellow"/>
        </w:rPr>
        <w:t>Setup the e</w:t>
      </w:r>
      <w:r w:rsidR="0006286A" w:rsidRPr="00D412EE">
        <w:rPr>
          <w:rFonts w:eastAsia="Times New Roman" w:cs="Calibri"/>
          <w:sz w:val="24"/>
          <w:szCs w:val="24"/>
          <w:highlight w:val="yellow"/>
        </w:rPr>
        <w:t>quipment setup for extrusion</w:t>
      </w:r>
      <w:r>
        <w:rPr>
          <w:rFonts w:eastAsia="Times New Roman" w:cs="Calibri"/>
          <w:sz w:val="24"/>
          <w:szCs w:val="24"/>
          <w:highlight w:val="yellow"/>
        </w:rPr>
        <w:t>.</w:t>
      </w:r>
      <w:r w:rsidRPr="00D5396E">
        <w:rPr>
          <w:rFonts w:eastAsia="Times New Roman" w:cs="Calibri"/>
          <w:sz w:val="24"/>
          <w:szCs w:val="24"/>
          <w:highlight w:val="yellow"/>
        </w:rPr>
        <w:t xml:space="preserve"> </w:t>
      </w:r>
      <w:r w:rsidRPr="00D5396E">
        <w:rPr>
          <w:rFonts w:eastAsia="Times New Roman" w:cs="Calibri"/>
          <w:sz w:val="24"/>
          <w:szCs w:val="24"/>
          <w:highlight w:val="yellow"/>
        </w:rPr>
        <w:t xml:space="preserve">See </w:t>
      </w:r>
      <w:r w:rsidRPr="00D5396E">
        <w:rPr>
          <w:rFonts w:eastAsia="Times New Roman" w:cs="Calibri"/>
          <w:b/>
          <w:sz w:val="24"/>
          <w:szCs w:val="24"/>
          <w:highlight w:val="yellow"/>
        </w:rPr>
        <w:t>Figure 3</w:t>
      </w:r>
      <w:r w:rsidRPr="00D5396E">
        <w:rPr>
          <w:rFonts w:eastAsia="Times New Roman" w:cs="Calibri"/>
          <w:sz w:val="24"/>
          <w:szCs w:val="24"/>
          <w:highlight w:val="yellow"/>
        </w:rPr>
        <w:t>.</w:t>
      </w:r>
    </w:p>
    <w:p w14:paraId="4097E15B"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67FEA286" w14:textId="77777777" w:rsidR="006A15FE" w:rsidRDefault="00D5396E" w:rsidP="00D412EE">
      <w:pPr>
        <w:pStyle w:val="ListParagraph"/>
        <w:numPr>
          <w:ilvl w:val="2"/>
          <w:numId w:val="8"/>
        </w:numPr>
        <w:spacing w:after="0" w:line="240" w:lineRule="auto"/>
        <w:jc w:val="both"/>
        <w:rPr>
          <w:rFonts w:eastAsia="Times New Roman" w:cs="Calibri"/>
          <w:sz w:val="24"/>
          <w:szCs w:val="24"/>
          <w:highlight w:val="yellow"/>
        </w:rPr>
      </w:pPr>
      <w:r>
        <w:rPr>
          <w:rFonts w:eastAsia="Times New Roman" w:cs="Calibri"/>
          <w:sz w:val="24"/>
          <w:szCs w:val="24"/>
          <w:highlight w:val="yellow"/>
        </w:rPr>
        <w:t>Setup t</w:t>
      </w:r>
      <w:r w:rsidR="0006286A" w:rsidRPr="00D412EE">
        <w:rPr>
          <w:rFonts w:eastAsia="Times New Roman" w:cs="Calibri"/>
          <w:sz w:val="24"/>
          <w:szCs w:val="24"/>
          <w:highlight w:val="yellow"/>
        </w:rPr>
        <w:t xml:space="preserve">he </w:t>
      </w:r>
      <w:r>
        <w:rPr>
          <w:rFonts w:eastAsia="Times New Roman" w:cs="Calibri"/>
          <w:sz w:val="24"/>
          <w:szCs w:val="24"/>
          <w:highlight w:val="yellow"/>
        </w:rPr>
        <w:t xml:space="preserve">extruder so that its </w:t>
      </w:r>
      <w:r w:rsidR="0006286A" w:rsidRPr="00D412EE">
        <w:rPr>
          <w:rFonts w:eastAsia="Times New Roman" w:cs="Calibri"/>
          <w:sz w:val="24"/>
          <w:szCs w:val="24"/>
          <w:highlight w:val="yellow"/>
        </w:rPr>
        <w:t xml:space="preserve">outlet </w:t>
      </w:r>
      <w:r>
        <w:rPr>
          <w:rFonts w:eastAsia="Times New Roman" w:cs="Calibri"/>
          <w:sz w:val="24"/>
          <w:szCs w:val="24"/>
          <w:highlight w:val="yellow"/>
        </w:rPr>
        <w:t>is</w:t>
      </w:r>
      <w:r w:rsidR="0006286A" w:rsidRPr="00D412EE">
        <w:rPr>
          <w:rFonts w:eastAsia="Times New Roman" w:cs="Calibri"/>
          <w:sz w:val="24"/>
          <w:szCs w:val="24"/>
          <w:highlight w:val="yellow"/>
        </w:rPr>
        <w:t xml:space="preserve"> </w:t>
      </w:r>
      <w:r>
        <w:rPr>
          <w:rFonts w:eastAsia="Times New Roman" w:cs="Calibri"/>
          <w:sz w:val="24"/>
          <w:szCs w:val="24"/>
          <w:highlight w:val="yellow"/>
        </w:rPr>
        <w:t>~</w:t>
      </w:r>
      <w:r w:rsidR="0006286A" w:rsidRPr="00D412EE">
        <w:rPr>
          <w:rFonts w:eastAsia="Times New Roman" w:cs="Calibri"/>
          <w:sz w:val="24"/>
          <w:szCs w:val="24"/>
          <w:highlight w:val="yellow"/>
        </w:rPr>
        <w:t>60 cm from the inlet to the spooler</w:t>
      </w:r>
      <w:r w:rsidR="004C355A" w:rsidRPr="00D412EE">
        <w:rPr>
          <w:rFonts w:eastAsia="Times New Roman" w:cs="Calibri"/>
          <w:sz w:val="24"/>
          <w:szCs w:val="24"/>
          <w:highlight w:val="yellow"/>
        </w:rPr>
        <w:t>, with a direct path from the extrusion outlet to the spooler inlet</w:t>
      </w:r>
      <w:r w:rsidR="0006286A" w:rsidRPr="00D412EE">
        <w:rPr>
          <w:rFonts w:eastAsia="Times New Roman" w:cs="Calibri"/>
          <w:sz w:val="24"/>
          <w:szCs w:val="24"/>
          <w:highlight w:val="yellow"/>
        </w:rPr>
        <w:t>.</w:t>
      </w:r>
      <w:r w:rsidR="004C355A" w:rsidRPr="00D412EE">
        <w:rPr>
          <w:rFonts w:eastAsia="Times New Roman" w:cs="Calibri"/>
          <w:sz w:val="24"/>
          <w:szCs w:val="24"/>
          <w:highlight w:val="yellow"/>
        </w:rPr>
        <w:t xml:space="preserve"> </w:t>
      </w:r>
    </w:p>
    <w:p w14:paraId="623D2965" w14:textId="77777777" w:rsidR="006A15FE" w:rsidRDefault="006A15FE" w:rsidP="006A15FE">
      <w:pPr>
        <w:pStyle w:val="ListParagraph"/>
        <w:spacing w:after="0" w:line="240" w:lineRule="auto"/>
        <w:ind w:left="0"/>
        <w:jc w:val="both"/>
        <w:rPr>
          <w:rFonts w:eastAsia="Times New Roman" w:cs="Calibri"/>
          <w:sz w:val="24"/>
          <w:szCs w:val="24"/>
          <w:highlight w:val="yellow"/>
        </w:rPr>
      </w:pPr>
    </w:p>
    <w:p w14:paraId="1DAD28D2" w14:textId="635556ED" w:rsidR="004C355A" w:rsidRDefault="006A15FE" w:rsidP="006A15FE">
      <w:pPr>
        <w:pStyle w:val="ListParagraph"/>
        <w:spacing w:after="0" w:line="240" w:lineRule="auto"/>
        <w:ind w:left="0"/>
        <w:jc w:val="both"/>
        <w:rPr>
          <w:rFonts w:eastAsia="Times New Roman" w:cs="Calibri"/>
          <w:sz w:val="24"/>
          <w:szCs w:val="24"/>
          <w:highlight w:val="yellow"/>
        </w:rPr>
      </w:pPr>
      <w:r w:rsidRPr="006A15FE">
        <w:rPr>
          <w:rFonts w:eastAsia="Times New Roman" w:cs="Calibri"/>
          <w:sz w:val="24"/>
          <w:szCs w:val="24"/>
        </w:rPr>
        <w:t xml:space="preserve">Note: </w:t>
      </w:r>
      <w:r w:rsidR="004C355A" w:rsidRPr="006A15FE">
        <w:rPr>
          <w:rFonts w:eastAsia="Times New Roman" w:cs="Calibri"/>
          <w:sz w:val="24"/>
          <w:szCs w:val="24"/>
        </w:rPr>
        <w:t>The spooler can optionally be raised 3–4 inches from the bench if it is found that the filament is drooping to the point of touching the benchtop.</w:t>
      </w:r>
    </w:p>
    <w:p w14:paraId="1703B2B8"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03EBF9B1" w14:textId="0AA5E85A" w:rsidR="004C355A" w:rsidRDefault="006A15FE" w:rsidP="00D412EE">
      <w:pPr>
        <w:pStyle w:val="ListParagraph"/>
        <w:numPr>
          <w:ilvl w:val="2"/>
          <w:numId w:val="8"/>
        </w:numPr>
        <w:spacing w:after="0" w:line="240" w:lineRule="auto"/>
        <w:jc w:val="both"/>
        <w:rPr>
          <w:rFonts w:eastAsia="Times New Roman" w:cs="Calibri"/>
          <w:sz w:val="24"/>
          <w:szCs w:val="24"/>
          <w:highlight w:val="yellow"/>
        </w:rPr>
      </w:pPr>
      <w:r>
        <w:rPr>
          <w:rFonts w:eastAsia="Times New Roman" w:cs="Calibri"/>
          <w:sz w:val="24"/>
          <w:szCs w:val="24"/>
          <w:highlight w:val="yellow"/>
        </w:rPr>
        <w:lastRenderedPageBreak/>
        <w:t>Place a</w:t>
      </w:r>
      <w:r w:rsidR="004C355A" w:rsidRPr="00D412EE">
        <w:rPr>
          <w:rFonts w:eastAsia="Times New Roman" w:cs="Calibri"/>
          <w:sz w:val="24"/>
          <w:szCs w:val="24"/>
          <w:highlight w:val="yellow"/>
        </w:rPr>
        <w:t xml:space="preserve"> desktop fan </w:t>
      </w:r>
      <w:r>
        <w:rPr>
          <w:rFonts w:eastAsia="Times New Roman" w:cs="Calibri"/>
          <w:sz w:val="24"/>
          <w:szCs w:val="24"/>
          <w:highlight w:val="yellow"/>
        </w:rPr>
        <w:t>~</w:t>
      </w:r>
      <w:r w:rsidR="004C355A" w:rsidRPr="00D412EE">
        <w:rPr>
          <w:rFonts w:eastAsia="Times New Roman" w:cs="Calibri"/>
          <w:sz w:val="24"/>
          <w:szCs w:val="24"/>
          <w:highlight w:val="yellow"/>
        </w:rPr>
        <w:t>15 cm from the heating jacket and direct</w:t>
      </w:r>
      <w:r>
        <w:rPr>
          <w:rFonts w:eastAsia="Times New Roman" w:cs="Calibri"/>
          <w:sz w:val="24"/>
          <w:szCs w:val="24"/>
          <w:highlight w:val="yellow"/>
        </w:rPr>
        <w:t xml:space="preserve"> it</w:t>
      </w:r>
      <w:r w:rsidR="004C355A" w:rsidRPr="00D412EE">
        <w:rPr>
          <w:rFonts w:eastAsia="Times New Roman" w:cs="Calibri"/>
          <w:sz w:val="24"/>
          <w:szCs w:val="24"/>
          <w:highlight w:val="yellow"/>
        </w:rPr>
        <w:t xml:space="preserve"> toward</w:t>
      </w:r>
      <w:r>
        <w:rPr>
          <w:rFonts w:eastAsia="Times New Roman" w:cs="Calibri"/>
          <w:sz w:val="24"/>
          <w:szCs w:val="24"/>
          <w:highlight w:val="yellow"/>
        </w:rPr>
        <w:t>s</w:t>
      </w:r>
      <w:r w:rsidR="004C355A" w:rsidRPr="00D412EE">
        <w:rPr>
          <w:rFonts w:eastAsia="Times New Roman" w:cs="Calibri"/>
          <w:sz w:val="24"/>
          <w:szCs w:val="24"/>
          <w:highlight w:val="yellow"/>
        </w:rPr>
        <w:t xml:space="preserve"> the heating jacket to offer cooling with ambient air throughout filament production. </w:t>
      </w:r>
      <w:r>
        <w:rPr>
          <w:rFonts w:eastAsia="Times New Roman" w:cs="Calibri"/>
          <w:sz w:val="24"/>
          <w:szCs w:val="24"/>
          <w:highlight w:val="yellow"/>
        </w:rPr>
        <w:t>Place a</w:t>
      </w:r>
      <w:r w:rsidR="004C355A" w:rsidRPr="00D412EE">
        <w:rPr>
          <w:rFonts w:eastAsia="Times New Roman" w:cs="Calibri"/>
          <w:sz w:val="24"/>
          <w:szCs w:val="24"/>
          <w:highlight w:val="yellow"/>
        </w:rPr>
        <w:t xml:space="preserve"> second cooling fan approximately halfway between the extruder and spooler and direct</w:t>
      </w:r>
      <w:r>
        <w:rPr>
          <w:rFonts w:eastAsia="Times New Roman" w:cs="Calibri"/>
          <w:sz w:val="24"/>
          <w:szCs w:val="24"/>
          <w:highlight w:val="yellow"/>
        </w:rPr>
        <w:t xml:space="preserve"> it</w:t>
      </w:r>
      <w:r w:rsidR="004C355A" w:rsidRPr="00D412EE">
        <w:rPr>
          <w:rFonts w:eastAsia="Times New Roman" w:cs="Calibri"/>
          <w:sz w:val="24"/>
          <w:szCs w:val="24"/>
          <w:highlight w:val="yellow"/>
        </w:rPr>
        <w:t xml:space="preserve"> toward</w:t>
      </w:r>
      <w:r>
        <w:rPr>
          <w:rFonts w:eastAsia="Times New Roman" w:cs="Calibri"/>
          <w:sz w:val="24"/>
          <w:szCs w:val="24"/>
          <w:highlight w:val="yellow"/>
        </w:rPr>
        <w:t>s</w:t>
      </w:r>
      <w:r w:rsidR="004C355A" w:rsidRPr="00D412EE">
        <w:rPr>
          <w:rFonts w:eastAsia="Times New Roman" w:cs="Calibri"/>
          <w:sz w:val="24"/>
          <w:szCs w:val="24"/>
          <w:highlight w:val="yellow"/>
        </w:rPr>
        <w:t xml:space="preserve"> the extrudate to assist in cooling the filament with ambient air.</w:t>
      </w:r>
    </w:p>
    <w:p w14:paraId="0ED69B4C"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5A107B97" w14:textId="77777777" w:rsidR="0006286A" w:rsidRDefault="004C355A" w:rsidP="00D412EE">
      <w:pPr>
        <w:pStyle w:val="ListParagraph"/>
        <w:numPr>
          <w:ilvl w:val="2"/>
          <w:numId w:val="8"/>
        </w:numPr>
        <w:spacing w:after="0" w:line="240" w:lineRule="auto"/>
        <w:jc w:val="both"/>
        <w:rPr>
          <w:rFonts w:eastAsia="Times New Roman" w:cs="Calibri"/>
          <w:sz w:val="24"/>
          <w:szCs w:val="24"/>
          <w:highlight w:val="yellow"/>
        </w:rPr>
      </w:pPr>
      <w:r w:rsidRPr="00D412EE">
        <w:rPr>
          <w:rFonts w:eastAsia="Times New Roman" w:cs="Calibri"/>
          <w:sz w:val="24"/>
          <w:szCs w:val="24"/>
          <w:highlight w:val="yellow"/>
        </w:rPr>
        <w:t xml:space="preserve">Adjust the positioning as needed throughout the process. </w:t>
      </w:r>
    </w:p>
    <w:p w14:paraId="4562268C"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616DA8C4" w14:textId="0456E903"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Set the modified </w:t>
      </w:r>
      <w:bookmarkStart w:id="0" w:name="_Hlk518643370"/>
      <w:r w:rsidR="00C265B8" w:rsidRPr="00D412EE">
        <w:rPr>
          <w:rFonts w:eastAsia="Times New Roman" w:cs="Calibri"/>
          <w:color w:val="000000"/>
          <w:sz w:val="24"/>
          <w:szCs w:val="24"/>
          <w:highlight w:val="yellow"/>
        </w:rPr>
        <w:t>extruder</w:t>
      </w:r>
      <w:r w:rsidRPr="00D412EE">
        <w:rPr>
          <w:rFonts w:eastAsia="Times New Roman" w:cs="Calibri"/>
          <w:color w:val="000000"/>
          <w:sz w:val="24"/>
          <w:szCs w:val="24"/>
          <w:highlight w:val="yellow"/>
        </w:rPr>
        <w:t xml:space="preserve"> </w:t>
      </w:r>
      <w:bookmarkEnd w:id="0"/>
      <w:r w:rsidRPr="00D412EE">
        <w:rPr>
          <w:rFonts w:eastAsia="Times New Roman" w:cs="Calibri"/>
          <w:color w:val="000000"/>
          <w:sz w:val="24"/>
          <w:szCs w:val="24"/>
          <w:highlight w:val="yellow"/>
        </w:rPr>
        <w:t xml:space="preserve">heating element to 52 </w:t>
      </w:r>
      <w:r w:rsidR="0058078F" w:rsidRPr="0058078F">
        <w:rPr>
          <w:rFonts w:eastAsia="Times New Roman" w:cs="Calibri"/>
          <w:color w:val="000000"/>
          <w:sz w:val="24"/>
          <w:szCs w:val="24"/>
          <w:highlight w:val="yellow"/>
        </w:rPr>
        <w:t>°</w:t>
      </w:r>
      <w:r w:rsidRPr="00D412EE">
        <w:rPr>
          <w:rFonts w:eastAsia="Times New Roman" w:cs="Calibri"/>
          <w:color w:val="000000"/>
          <w:sz w:val="24"/>
          <w:szCs w:val="24"/>
          <w:highlight w:val="yellow"/>
        </w:rPr>
        <w:t xml:space="preserve">C, turn on the </w:t>
      </w:r>
      <w:r w:rsidR="00C265B8" w:rsidRPr="00D412EE">
        <w:rPr>
          <w:rFonts w:eastAsia="Times New Roman" w:cs="Calibri"/>
          <w:color w:val="000000"/>
          <w:sz w:val="24"/>
          <w:szCs w:val="24"/>
          <w:highlight w:val="yellow"/>
        </w:rPr>
        <w:t xml:space="preserve">desktop </w:t>
      </w:r>
      <w:r w:rsidRPr="00D412EE">
        <w:rPr>
          <w:rFonts w:eastAsia="Times New Roman" w:cs="Calibri"/>
          <w:color w:val="000000"/>
          <w:sz w:val="24"/>
          <w:szCs w:val="24"/>
          <w:highlight w:val="yellow"/>
        </w:rPr>
        <w:t>cooling fans</w:t>
      </w:r>
      <w:bookmarkStart w:id="1" w:name="_Hlk518643375"/>
      <w:r w:rsidRPr="00D412EE">
        <w:rPr>
          <w:rFonts w:eastAsia="Times New Roman" w:cs="Calibri"/>
          <w:color w:val="000000"/>
          <w:sz w:val="24"/>
          <w:szCs w:val="24"/>
          <w:highlight w:val="yellow"/>
        </w:rPr>
        <w:t xml:space="preserve">, </w:t>
      </w:r>
      <w:bookmarkEnd w:id="1"/>
      <w:r w:rsidRPr="00D412EE">
        <w:rPr>
          <w:rFonts w:eastAsia="Times New Roman" w:cs="Calibri"/>
          <w:color w:val="000000"/>
          <w:sz w:val="24"/>
          <w:szCs w:val="24"/>
          <w:highlight w:val="yellow"/>
        </w:rPr>
        <w:t xml:space="preserve">and allow the instrument to come to equilibrium for 20 to 30 </w:t>
      </w:r>
      <w:r w:rsidR="006A15FE">
        <w:rPr>
          <w:rFonts w:eastAsia="Times New Roman" w:cs="Calibri"/>
          <w:color w:val="000000"/>
          <w:sz w:val="24"/>
          <w:szCs w:val="24"/>
          <w:highlight w:val="yellow"/>
        </w:rPr>
        <w:t>min</w:t>
      </w:r>
      <w:r w:rsidRPr="00D412EE">
        <w:rPr>
          <w:rFonts w:eastAsia="Times New Roman" w:cs="Calibri"/>
          <w:color w:val="000000"/>
          <w:sz w:val="24"/>
          <w:szCs w:val="24"/>
          <w:highlight w:val="yellow"/>
        </w:rPr>
        <w:t>. Ensure</w:t>
      </w:r>
      <w:r w:rsidR="006A15FE">
        <w:rPr>
          <w:rFonts w:eastAsia="Times New Roman" w:cs="Calibri"/>
          <w:color w:val="000000"/>
          <w:sz w:val="24"/>
          <w:szCs w:val="24"/>
          <w:highlight w:val="yellow"/>
        </w:rPr>
        <w:t xml:space="preserve"> that</w:t>
      </w:r>
      <w:r w:rsidRPr="00D412EE">
        <w:rPr>
          <w:rFonts w:eastAsia="Times New Roman" w:cs="Calibri"/>
          <w:color w:val="000000"/>
          <w:sz w:val="24"/>
          <w:szCs w:val="24"/>
          <w:highlight w:val="yellow"/>
        </w:rPr>
        <w:t xml:space="preserve"> the proper nozzle is attached to the extruder.</w:t>
      </w:r>
    </w:p>
    <w:p w14:paraId="46F05439"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0CDBF390" w14:textId="77777777"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Just before </w:t>
      </w:r>
      <w:r w:rsidR="00FD5956" w:rsidRPr="00D412EE">
        <w:rPr>
          <w:rFonts w:eastAsia="Times New Roman" w:cs="Calibri"/>
          <w:color w:val="000000"/>
          <w:sz w:val="24"/>
          <w:szCs w:val="24"/>
          <w:highlight w:val="yellow"/>
        </w:rPr>
        <w:t>beginning,</w:t>
      </w:r>
      <w:r w:rsidRPr="00D412EE">
        <w:rPr>
          <w:rFonts w:eastAsia="Times New Roman" w:cs="Calibri"/>
          <w:color w:val="000000"/>
          <w:sz w:val="24"/>
          <w:szCs w:val="24"/>
          <w:highlight w:val="yellow"/>
        </w:rPr>
        <w:t xml:space="preserve"> fill the extruder hopper with the microsphere/PCL mixture from step</w:t>
      </w:r>
      <w:r w:rsidR="00C143A5" w:rsidRPr="00D412EE">
        <w:rPr>
          <w:rFonts w:eastAsia="Times New Roman" w:cs="Calibri"/>
          <w:color w:val="000000"/>
          <w:sz w:val="24"/>
          <w:szCs w:val="24"/>
          <w:highlight w:val="yellow"/>
        </w:rPr>
        <w:t xml:space="preserve"> 3.3.</w:t>
      </w:r>
      <w:r w:rsidRPr="00D412EE">
        <w:rPr>
          <w:rFonts w:eastAsia="Times New Roman" w:cs="Calibri"/>
          <w:color w:val="000000"/>
          <w:sz w:val="24"/>
          <w:szCs w:val="24"/>
          <w:highlight w:val="yellow"/>
        </w:rPr>
        <w:t xml:space="preserve"> Turn on the spooler and the extruder auger to initiate extrusion of filament. </w:t>
      </w:r>
    </w:p>
    <w:p w14:paraId="6D1BA185"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58104CB9" w14:textId="4A454B67"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When the initial filament is extruded, manually pull the extrudate from the extrusion outlet with </w:t>
      </w:r>
      <w:r w:rsidR="00C143A5" w:rsidRPr="00D412EE">
        <w:rPr>
          <w:rFonts w:eastAsia="Times New Roman" w:cs="Calibri"/>
          <w:color w:val="000000"/>
          <w:sz w:val="24"/>
          <w:szCs w:val="24"/>
          <w:highlight w:val="yellow"/>
        </w:rPr>
        <w:t>forceps</w:t>
      </w:r>
      <w:r w:rsidRPr="00D412EE">
        <w:rPr>
          <w:rFonts w:eastAsia="Times New Roman" w:cs="Calibri"/>
          <w:color w:val="000000"/>
          <w:sz w:val="24"/>
          <w:szCs w:val="24"/>
          <w:highlight w:val="yellow"/>
        </w:rPr>
        <w:t xml:space="preserve"> and feed it to the </w:t>
      </w:r>
      <w:r w:rsidR="0048463E" w:rsidRPr="00D412EE">
        <w:rPr>
          <w:rFonts w:eastAsia="Times New Roman" w:cs="Calibri"/>
          <w:color w:val="000000"/>
          <w:sz w:val="24"/>
          <w:szCs w:val="24"/>
          <w:highlight w:val="yellow"/>
        </w:rPr>
        <w:t>filament s</w:t>
      </w:r>
      <w:r w:rsidRPr="00D412EE">
        <w:rPr>
          <w:rFonts w:eastAsia="Times New Roman" w:cs="Calibri"/>
          <w:color w:val="000000"/>
          <w:sz w:val="24"/>
          <w:szCs w:val="24"/>
          <w:highlight w:val="yellow"/>
        </w:rPr>
        <w:t xml:space="preserve">pooler. </w:t>
      </w:r>
    </w:p>
    <w:p w14:paraId="045C3425"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6AF0BB1B" w14:textId="75BCD4D2" w:rsidR="006E666D" w:rsidRPr="006E666D" w:rsidRDefault="00FD5956" w:rsidP="006E666D">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The</w:t>
      </w:r>
      <w:r w:rsidR="00615EAD" w:rsidRPr="00D412EE">
        <w:rPr>
          <w:rFonts w:eastAsia="Times New Roman" w:cs="Calibri"/>
          <w:color w:val="000000"/>
          <w:sz w:val="24"/>
          <w:szCs w:val="24"/>
          <w:highlight w:val="yellow"/>
        </w:rPr>
        <w:t xml:space="preserve"> desired filament will take some time to come out of the spooler.</w:t>
      </w:r>
      <w:r w:rsidR="006E666D">
        <w:rPr>
          <w:rFonts w:eastAsia="Times New Roman" w:cs="Calibri"/>
          <w:color w:val="000000"/>
          <w:sz w:val="24"/>
          <w:szCs w:val="24"/>
          <w:highlight w:val="yellow"/>
        </w:rPr>
        <w:t xml:space="preserve"> U</w:t>
      </w:r>
      <w:r w:rsidR="00615EAD" w:rsidRPr="00D412EE">
        <w:rPr>
          <w:rFonts w:eastAsia="Times New Roman" w:cs="Calibri"/>
          <w:color w:val="000000"/>
          <w:sz w:val="24"/>
          <w:szCs w:val="24"/>
          <w:highlight w:val="yellow"/>
        </w:rPr>
        <w:t>sing s</w:t>
      </w:r>
      <w:r w:rsidRPr="00D412EE">
        <w:rPr>
          <w:rFonts w:eastAsia="Times New Roman" w:cs="Calibri"/>
          <w:color w:val="000000"/>
          <w:sz w:val="24"/>
          <w:szCs w:val="24"/>
          <w:highlight w:val="yellow"/>
        </w:rPr>
        <w:t>eparate spools or tape</w:t>
      </w:r>
      <w:r w:rsidR="006E666D">
        <w:rPr>
          <w:rFonts w:eastAsia="Times New Roman" w:cs="Calibri"/>
          <w:color w:val="000000"/>
          <w:sz w:val="24"/>
          <w:szCs w:val="24"/>
          <w:highlight w:val="yellow"/>
        </w:rPr>
        <w:t>,</w:t>
      </w:r>
      <w:r w:rsidRPr="00D412EE">
        <w:rPr>
          <w:rFonts w:eastAsia="Times New Roman" w:cs="Calibri"/>
          <w:color w:val="000000"/>
          <w:sz w:val="24"/>
          <w:szCs w:val="24"/>
          <w:highlight w:val="yellow"/>
        </w:rPr>
        <w:t xml:space="preserve"> </w:t>
      </w:r>
      <w:r w:rsidR="006E666D">
        <w:rPr>
          <w:rFonts w:eastAsia="Times New Roman" w:cs="Calibri"/>
          <w:color w:val="000000"/>
          <w:sz w:val="24"/>
          <w:szCs w:val="24"/>
          <w:highlight w:val="yellow"/>
        </w:rPr>
        <w:t>c</w:t>
      </w:r>
      <w:r w:rsidR="006E666D" w:rsidRPr="00D412EE">
        <w:rPr>
          <w:rFonts w:eastAsia="Times New Roman" w:cs="Calibri"/>
          <w:color w:val="000000"/>
          <w:sz w:val="24"/>
          <w:szCs w:val="24"/>
          <w:highlight w:val="yellow"/>
        </w:rPr>
        <w:t xml:space="preserve">learly mark </w:t>
      </w:r>
      <w:r w:rsidRPr="00D412EE">
        <w:rPr>
          <w:rFonts w:eastAsia="Times New Roman" w:cs="Calibri"/>
          <w:color w:val="000000"/>
          <w:sz w:val="24"/>
          <w:szCs w:val="24"/>
          <w:highlight w:val="yellow"/>
        </w:rPr>
        <w:t>when the</w:t>
      </w:r>
      <w:r w:rsidR="00615EAD" w:rsidRPr="00D412EE">
        <w:rPr>
          <w:rFonts w:eastAsia="Times New Roman" w:cs="Calibri"/>
          <w:color w:val="000000"/>
          <w:sz w:val="24"/>
          <w:szCs w:val="24"/>
          <w:highlight w:val="yellow"/>
        </w:rPr>
        <w:t xml:space="preserve"> filament composition visually appears uniform.</w:t>
      </w:r>
    </w:p>
    <w:p w14:paraId="683D80E9" w14:textId="77777777" w:rsidR="006E666D" w:rsidRPr="006E666D" w:rsidRDefault="006E666D" w:rsidP="006E666D">
      <w:pPr>
        <w:pStyle w:val="ListParagraph"/>
        <w:spacing w:after="0" w:line="240" w:lineRule="auto"/>
        <w:ind w:left="0"/>
        <w:jc w:val="both"/>
        <w:rPr>
          <w:rFonts w:eastAsia="Times New Roman" w:cs="Calibri"/>
          <w:sz w:val="24"/>
          <w:szCs w:val="24"/>
          <w:highlight w:val="yellow"/>
        </w:rPr>
      </w:pPr>
    </w:p>
    <w:p w14:paraId="64D7B8C2" w14:textId="57B24909" w:rsidR="006E666D" w:rsidRPr="006E666D" w:rsidRDefault="00615EAD" w:rsidP="006E666D">
      <w:pPr>
        <w:pStyle w:val="ListParagraph"/>
        <w:numPr>
          <w:ilvl w:val="1"/>
          <w:numId w:val="8"/>
        </w:numPr>
        <w:spacing w:after="0" w:line="240" w:lineRule="auto"/>
        <w:jc w:val="both"/>
        <w:rPr>
          <w:rFonts w:eastAsia="Times New Roman" w:cs="Calibri"/>
          <w:sz w:val="24"/>
          <w:szCs w:val="24"/>
          <w:highlight w:val="yellow"/>
        </w:rPr>
      </w:pPr>
      <w:r w:rsidRPr="006E666D">
        <w:rPr>
          <w:rFonts w:eastAsia="Times New Roman" w:cs="Calibri"/>
          <w:color w:val="000000"/>
          <w:sz w:val="24"/>
          <w:szCs w:val="24"/>
          <w:highlight w:val="yellow"/>
        </w:rPr>
        <w:t>Monitor the process closely and mod</w:t>
      </w:r>
      <w:r w:rsidR="00FD5956" w:rsidRPr="006E666D">
        <w:rPr>
          <w:rFonts w:eastAsia="Times New Roman" w:cs="Calibri"/>
          <w:color w:val="000000"/>
          <w:sz w:val="24"/>
          <w:szCs w:val="24"/>
          <w:highlight w:val="yellow"/>
        </w:rPr>
        <w:t xml:space="preserve">ify parameters as necessary. </w:t>
      </w:r>
      <w:r w:rsidR="006E666D" w:rsidRPr="006E666D">
        <w:rPr>
          <w:rFonts w:eastAsia="Times New Roman" w:cs="Calibri"/>
          <w:color w:val="000000"/>
          <w:sz w:val="24"/>
          <w:szCs w:val="24"/>
          <w:highlight w:val="yellow"/>
        </w:rPr>
        <w:t>Adjust the extruder temperature, extrusion auger speed, and spooler speed to obtain a 1.75 mm diameter filament as measured by calipers. Adjust the fans as needed to cool the filament properly to avoid non-circular filament cross-sections. Mix and refill the hopper as necessary</w:t>
      </w:r>
      <w:r w:rsidR="006E666D">
        <w:rPr>
          <w:rFonts w:eastAsia="Times New Roman" w:cs="Calibri"/>
          <w:sz w:val="24"/>
          <w:szCs w:val="24"/>
          <w:highlight w:val="yellow"/>
        </w:rPr>
        <w:t>.</w:t>
      </w:r>
    </w:p>
    <w:p w14:paraId="347AD0E4" w14:textId="77777777" w:rsidR="006E666D" w:rsidRDefault="006E666D" w:rsidP="006E666D">
      <w:pPr>
        <w:pStyle w:val="ListParagraph"/>
        <w:spacing w:after="0" w:line="240" w:lineRule="auto"/>
        <w:ind w:left="0"/>
        <w:jc w:val="both"/>
        <w:rPr>
          <w:rFonts w:eastAsia="Times New Roman" w:cs="Calibri"/>
          <w:sz w:val="24"/>
          <w:szCs w:val="24"/>
          <w:highlight w:val="yellow"/>
        </w:rPr>
      </w:pPr>
    </w:p>
    <w:p w14:paraId="0A2EAC2A" w14:textId="2D52665F" w:rsidR="00615EAD" w:rsidRPr="006E666D" w:rsidRDefault="006E666D" w:rsidP="006E666D">
      <w:pPr>
        <w:pStyle w:val="ListParagraph"/>
        <w:spacing w:after="0" w:line="240" w:lineRule="auto"/>
        <w:ind w:left="0"/>
        <w:jc w:val="both"/>
        <w:rPr>
          <w:rFonts w:eastAsia="Times New Roman" w:cs="Calibri"/>
          <w:sz w:val="24"/>
          <w:szCs w:val="24"/>
        </w:rPr>
      </w:pPr>
      <w:r w:rsidRPr="006E666D">
        <w:rPr>
          <w:rFonts w:eastAsia="Times New Roman" w:cs="Calibri"/>
          <w:color w:val="000000"/>
          <w:sz w:val="24"/>
          <w:szCs w:val="24"/>
        </w:rPr>
        <w:t xml:space="preserve">Note: </w:t>
      </w:r>
      <w:r w:rsidR="00FD5956" w:rsidRPr="006E666D">
        <w:rPr>
          <w:rFonts w:eastAsia="Times New Roman" w:cs="Calibri"/>
          <w:color w:val="000000"/>
          <w:sz w:val="24"/>
          <w:szCs w:val="24"/>
        </w:rPr>
        <w:t xml:space="preserve">Close attention is required </w:t>
      </w:r>
      <w:r w:rsidR="00615EAD" w:rsidRPr="006E666D">
        <w:rPr>
          <w:rFonts w:eastAsia="Times New Roman" w:cs="Calibri"/>
          <w:color w:val="000000"/>
          <w:sz w:val="24"/>
          <w:szCs w:val="24"/>
        </w:rPr>
        <w:t xml:space="preserve">during this process </w:t>
      </w:r>
      <w:r w:rsidR="00C143A5" w:rsidRPr="006E666D">
        <w:rPr>
          <w:rFonts w:eastAsia="Times New Roman" w:cs="Calibri"/>
          <w:color w:val="000000"/>
          <w:sz w:val="24"/>
          <w:szCs w:val="24"/>
        </w:rPr>
        <w:t>to</w:t>
      </w:r>
      <w:r w:rsidR="00615EAD" w:rsidRPr="006E666D">
        <w:rPr>
          <w:rFonts w:eastAsia="Times New Roman" w:cs="Calibri"/>
          <w:color w:val="000000"/>
          <w:sz w:val="24"/>
          <w:szCs w:val="24"/>
        </w:rPr>
        <w:t xml:space="preserve"> obtain adequate filament for subsequent 3D printing.</w:t>
      </w:r>
      <w:r>
        <w:rPr>
          <w:rFonts w:eastAsia="Times New Roman" w:cs="Calibri"/>
          <w:color w:val="000000"/>
          <w:sz w:val="24"/>
          <w:szCs w:val="24"/>
        </w:rPr>
        <w:t xml:space="preserve"> </w:t>
      </w:r>
      <w:r w:rsidR="004C355A" w:rsidRPr="006E666D">
        <w:rPr>
          <w:rFonts w:eastAsia="Times New Roman" w:cs="Calibri"/>
          <w:color w:val="000000"/>
          <w:sz w:val="24"/>
          <w:szCs w:val="24"/>
        </w:rPr>
        <w:t>The</w:t>
      </w:r>
      <w:r>
        <w:rPr>
          <w:rFonts w:eastAsia="Times New Roman" w:cs="Calibri"/>
          <w:color w:val="000000"/>
          <w:sz w:val="24"/>
          <w:szCs w:val="24"/>
        </w:rPr>
        <w:t xml:space="preserve"> above </w:t>
      </w:r>
      <w:r w:rsidR="004C355A" w:rsidRPr="006E666D">
        <w:rPr>
          <w:rFonts w:eastAsia="Times New Roman" w:cs="Calibri"/>
          <w:color w:val="000000"/>
          <w:sz w:val="24"/>
          <w:szCs w:val="24"/>
        </w:rPr>
        <w:t xml:space="preserve">parameters will change depending on the ambient conditions, the fill level and uniformity of the mixture in the hopper, and the thermodynamics and flow dynamics of the specific batches of PCL and microspheres. </w:t>
      </w:r>
    </w:p>
    <w:p w14:paraId="3B8F8539" w14:textId="77777777" w:rsidR="00C437E4" w:rsidRPr="00D412EE" w:rsidRDefault="00C437E4" w:rsidP="00C437E4">
      <w:pPr>
        <w:spacing w:after="0" w:line="240" w:lineRule="auto"/>
        <w:contextualSpacing/>
        <w:jc w:val="both"/>
        <w:textAlignment w:val="baseline"/>
        <w:rPr>
          <w:rFonts w:eastAsia="Times New Roman" w:cs="Calibri"/>
          <w:color w:val="000000"/>
          <w:sz w:val="24"/>
          <w:szCs w:val="24"/>
          <w:highlight w:val="yellow"/>
        </w:rPr>
      </w:pPr>
    </w:p>
    <w:p w14:paraId="5FC3DC79" w14:textId="17E9E2C2" w:rsidR="006E666D" w:rsidRPr="006E666D" w:rsidRDefault="00FD5956" w:rsidP="006E666D">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Continue extruding until </w:t>
      </w:r>
      <w:proofErr w:type="gramStart"/>
      <w:r w:rsidRPr="00D412EE">
        <w:rPr>
          <w:rFonts w:eastAsia="Times New Roman" w:cs="Calibri"/>
          <w:color w:val="000000"/>
          <w:sz w:val="24"/>
          <w:szCs w:val="24"/>
          <w:highlight w:val="yellow"/>
        </w:rPr>
        <w:t>all of</w:t>
      </w:r>
      <w:proofErr w:type="gramEnd"/>
      <w:r w:rsidRPr="00D412EE">
        <w:rPr>
          <w:rFonts w:eastAsia="Times New Roman" w:cs="Calibri"/>
          <w:color w:val="000000"/>
          <w:sz w:val="24"/>
          <w:szCs w:val="24"/>
          <w:highlight w:val="yellow"/>
        </w:rPr>
        <w:t xml:space="preserve"> the powder has been used </w:t>
      </w:r>
      <w:r w:rsidR="00615EAD" w:rsidRPr="00D412EE">
        <w:rPr>
          <w:rFonts w:eastAsia="Times New Roman" w:cs="Calibri"/>
          <w:color w:val="000000"/>
          <w:sz w:val="24"/>
          <w:szCs w:val="24"/>
          <w:highlight w:val="yellow"/>
        </w:rPr>
        <w:t>and the hopper is almost empty.</w:t>
      </w:r>
      <w:r w:rsidR="006E666D">
        <w:rPr>
          <w:rFonts w:eastAsia="Times New Roman" w:cs="Calibri"/>
          <w:sz w:val="24"/>
          <w:szCs w:val="24"/>
          <w:highlight w:val="yellow"/>
        </w:rPr>
        <w:t xml:space="preserve"> </w:t>
      </w:r>
      <w:r w:rsidR="00615EAD" w:rsidRPr="006E666D">
        <w:rPr>
          <w:rFonts w:eastAsia="Times New Roman" w:cs="Calibri"/>
          <w:color w:val="000000"/>
          <w:sz w:val="24"/>
          <w:szCs w:val="24"/>
          <w:highlight w:val="yellow"/>
        </w:rPr>
        <w:t>Add PCL powder</w:t>
      </w:r>
      <w:r w:rsidR="004C355A" w:rsidRPr="006E666D">
        <w:rPr>
          <w:rFonts w:eastAsia="Times New Roman" w:cs="Calibri"/>
          <w:color w:val="000000"/>
          <w:sz w:val="24"/>
          <w:szCs w:val="24"/>
          <w:highlight w:val="yellow"/>
        </w:rPr>
        <w:t xml:space="preserve"> (without microspheres)</w:t>
      </w:r>
      <w:r w:rsidR="00615EAD" w:rsidRPr="006E666D">
        <w:rPr>
          <w:rFonts w:eastAsia="Times New Roman" w:cs="Calibri"/>
          <w:color w:val="000000"/>
          <w:sz w:val="24"/>
          <w:szCs w:val="24"/>
          <w:highlight w:val="yellow"/>
        </w:rPr>
        <w:t xml:space="preserve"> to the hopper to flush out the microsphere mixture that is currently in the extruder. Continue adding PCL powder to the hopper until no more microspheres are visible in the extrudate. </w:t>
      </w:r>
    </w:p>
    <w:p w14:paraId="0DA2521B" w14:textId="77777777" w:rsidR="006E666D" w:rsidRPr="006E666D" w:rsidRDefault="006E666D" w:rsidP="006E666D">
      <w:pPr>
        <w:pStyle w:val="ListParagraph"/>
        <w:spacing w:after="0" w:line="240" w:lineRule="auto"/>
        <w:ind w:left="0"/>
        <w:jc w:val="both"/>
        <w:rPr>
          <w:rFonts w:eastAsia="Times New Roman" w:cs="Calibri"/>
          <w:sz w:val="24"/>
          <w:szCs w:val="24"/>
          <w:highlight w:val="yellow"/>
        </w:rPr>
      </w:pPr>
    </w:p>
    <w:p w14:paraId="5E8D5DA8" w14:textId="7A6A6C26" w:rsidR="00615EAD" w:rsidRPr="00C437E4"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Be sure to label and separate the filament which contains the microspheres in the desired concentration, as after the filament is cooled it is harder to distinguish the uniform filament from non-uniform filament.</w:t>
      </w:r>
    </w:p>
    <w:p w14:paraId="704EEDD7" w14:textId="77777777" w:rsidR="00C437E4" w:rsidRPr="00D412EE" w:rsidRDefault="00C437E4" w:rsidP="00C437E4">
      <w:pPr>
        <w:pStyle w:val="ListParagraph"/>
        <w:spacing w:after="0" w:line="240" w:lineRule="auto"/>
        <w:ind w:left="0"/>
        <w:jc w:val="both"/>
        <w:rPr>
          <w:rFonts w:eastAsia="Times New Roman" w:cs="Calibri"/>
          <w:sz w:val="24"/>
          <w:szCs w:val="24"/>
          <w:highlight w:val="yellow"/>
        </w:rPr>
      </w:pPr>
    </w:p>
    <w:p w14:paraId="1F073BF5" w14:textId="77777777" w:rsidR="007C5F07" w:rsidRPr="00D412EE"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Continue extruding until there is minimal powder left in the hopper, then turn off the spooler, extruder auger, extruder heating element, and fans. </w:t>
      </w:r>
    </w:p>
    <w:p w14:paraId="7393DA60" w14:textId="77777777" w:rsidR="007C5F07" w:rsidRPr="00D412EE" w:rsidRDefault="007C5F07" w:rsidP="00D412EE">
      <w:pPr>
        <w:pStyle w:val="ListParagraph"/>
        <w:spacing w:after="0" w:line="240" w:lineRule="auto"/>
        <w:ind w:left="0"/>
        <w:jc w:val="both"/>
        <w:rPr>
          <w:rFonts w:eastAsia="Times New Roman" w:cs="Calibri"/>
          <w:sz w:val="24"/>
          <w:szCs w:val="24"/>
          <w:highlight w:val="yellow"/>
        </w:rPr>
      </w:pPr>
    </w:p>
    <w:p w14:paraId="0A2D93CF" w14:textId="744A61B1" w:rsidR="00615EAD" w:rsidRDefault="00615EAD" w:rsidP="00D412EE">
      <w:pPr>
        <w:numPr>
          <w:ilvl w:val="0"/>
          <w:numId w:val="8"/>
        </w:numPr>
        <w:spacing w:after="0" w:line="240" w:lineRule="auto"/>
        <w:contextualSpacing/>
        <w:jc w:val="both"/>
        <w:textAlignment w:val="baseline"/>
        <w:rPr>
          <w:rFonts w:eastAsia="Times New Roman" w:cs="Calibri"/>
          <w:b/>
          <w:bCs/>
          <w:color w:val="000000"/>
          <w:sz w:val="24"/>
          <w:szCs w:val="24"/>
          <w:highlight w:val="yellow"/>
        </w:rPr>
      </w:pPr>
      <w:r w:rsidRPr="00D412EE">
        <w:rPr>
          <w:rFonts w:eastAsia="Times New Roman" w:cs="Calibri"/>
          <w:b/>
          <w:bCs/>
          <w:color w:val="000000"/>
          <w:sz w:val="24"/>
          <w:szCs w:val="24"/>
          <w:highlight w:val="yellow"/>
        </w:rPr>
        <w:t xml:space="preserve">Printing with the </w:t>
      </w:r>
      <w:r w:rsidR="006E666D">
        <w:rPr>
          <w:rFonts w:eastAsia="Times New Roman" w:cs="Calibri"/>
          <w:b/>
          <w:bCs/>
          <w:color w:val="000000"/>
          <w:sz w:val="24"/>
          <w:szCs w:val="24"/>
          <w:highlight w:val="yellow"/>
        </w:rPr>
        <w:t>F</w:t>
      </w:r>
      <w:r w:rsidRPr="00D412EE">
        <w:rPr>
          <w:rFonts w:eastAsia="Times New Roman" w:cs="Calibri"/>
          <w:b/>
          <w:bCs/>
          <w:color w:val="000000"/>
          <w:sz w:val="24"/>
          <w:szCs w:val="24"/>
          <w:highlight w:val="yellow"/>
        </w:rPr>
        <w:t>ilament</w:t>
      </w:r>
    </w:p>
    <w:p w14:paraId="118C144A" w14:textId="77777777" w:rsidR="00C437E4" w:rsidRPr="00D412EE" w:rsidRDefault="00C437E4" w:rsidP="00C437E4">
      <w:pPr>
        <w:spacing w:after="0" w:line="240" w:lineRule="auto"/>
        <w:contextualSpacing/>
        <w:jc w:val="both"/>
        <w:textAlignment w:val="baseline"/>
        <w:rPr>
          <w:rFonts w:eastAsia="Times New Roman" w:cs="Calibri"/>
          <w:b/>
          <w:bCs/>
          <w:color w:val="000000"/>
          <w:sz w:val="24"/>
          <w:szCs w:val="24"/>
          <w:highlight w:val="yellow"/>
        </w:rPr>
      </w:pPr>
    </w:p>
    <w:p w14:paraId="45F3152D" w14:textId="61894189" w:rsidR="00C437E4" w:rsidRPr="00C437E4" w:rsidRDefault="00427A00" w:rsidP="00D412EE">
      <w:pPr>
        <w:pStyle w:val="ListParagraph"/>
        <w:numPr>
          <w:ilvl w:val="1"/>
          <w:numId w:val="8"/>
        </w:numPr>
        <w:spacing w:after="0" w:line="240" w:lineRule="auto"/>
        <w:jc w:val="both"/>
        <w:rPr>
          <w:rFonts w:eastAsia="Times New Roman" w:cs="Calibri"/>
          <w:sz w:val="24"/>
          <w:szCs w:val="24"/>
          <w:highlight w:val="yellow"/>
        </w:rPr>
      </w:pPr>
      <w:r>
        <w:rPr>
          <w:rFonts w:eastAsia="Times New Roman" w:cs="Calibri"/>
          <w:color w:val="000000"/>
          <w:sz w:val="24"/>
          <w:szCs w:val="24"/>
          <w:highlight w:val="yellow"/>
        </w:rPr>
        <w:lastRenderedPageBreak/>
        <w:t>D</w:t>
      </w:r>
      <w:r w:rsidR="00615EAD" w:rsidRPr="00D412EE">
        <w:rPr>
          <w:rFonts w:eastAsia="Times New Roman" w:cs="Calibri"/>
          <w:color w:val="000000"/>
          <w:sz w:val="24"/>
          <w:szCs w:val="24"/>
          <w:highlight w:val="yellow"/>
        </w:rPr>
        <w:t xml:space="preserve">esign a geometry of </w:t>
      </w:r>
      <w:r w:rsidR="00FD5956" w:rsidRPr="00D412EE">
        <w:rPr>
          <w:rFonts w:eastAsia="Times New Roman" w:cs="Calibri"/>
          <w:color w:val="000000"/>
          <w:sz w:val="24"/>
          <w:szCs w:val="24"/>
          <w:highlight w:val="yellow"/>
        </w:rPr>
        <w:t xml:space="preserve">the desired </w:t>
      </w:r>
      <w:r w:rsidR="00615EAD" w:rsidRPr="00D412EE">
        <w:rPr>
          <w:rFonts w:eastAsia="Times New Roman" w:cs="Calibri"/>
          <w:color w:val="000000"/>
          <w:sz w:val="24"/>
          <w:szCs w:val="24"/>
          <w:highlight w:val="yellow"/>
        </w:rPr>
        <w:t xml:space="preserve">shape and form using </w:t>
      </w:r>
      <w:r w:rsidR="00FD5956" w:rsidRPr="00D412EE">
        <w:rPr>
          <w:rFonts w:eastAsia="Times New Roman" w:cs="Calibri"/>
          <w:color w:val="000000"/>
          <w:sz w:val="24"/>
          <w:szCs w:val="24"/>
          <w:highlight w:val="yellow"/>
        </w:rPr>
        <w:t>a</w:t>
      </w:r>
      <w:r w:rsidR="007A06E2" w:rsidRPr="00D412EE">
        <w:rPr>
          <w:rFonts w:eastAsia="Times New Roman" w:cs="Calibri"/>
          <w:color w:val="000000"/>
          <w:sz w:val="24"/>
          <w:szCs w:val="24"/>
          <w:highlight w:val="yellow"/>
        </w:rPr>
        <w:t xml:space="preserve"> computer aided design software</w:t>
      </w:r>
      <w:r w:rsidR="00615EAD" w:rsidRPr="00D412EE">
        <w:rPr>
          <w:rFonts w:eastAsia="Times New Roman" w:cs="Calibri"/>
          <w:color w:val="000000"/>
          <w:sz w:val="24"/>
          <w:szCs w:val="24"/>
          <w:highlight w:val="yellow"/>
        </w:rPr>
        <w:t>. Then slice the model and dictate the toolpath using slicing softw</w:t>
      </w:r>
      <w:r w:rsidR="00FD5956" w:rsidRPr="00D412EE">
        <w:rPr>
          <w:rFonts w:eastAsia="Times New Roman" w:cs="Calibri"/>
          <w:color w:val="000000"/>
          <w:sz w:val="24"/>
          <w:szCs w:val="24"/>
          <w:highlight w:val="yellow"/>
        </w:rPr>
        <w:t>are that is compatible with the 3D printing</w:t>
      </w:r>
      <w:r w:rsidR="00615EAD" w:rsidRPr="00D412EE">
        <w:rPr>
          <w:rFonts w:eastAsia="Times New Roman" w:cs="Calibri"/>
          <w:color w:val="000000"/>
          <w:sz w:val="24"/>
          <w:szCs w:val="24"/>
          <w:highlight w:val="yellow"/>
        </w:rPr>
        <w:t xml:space="preserve"> machine</w:t>
      </w:r>
      <w:r w:rsidR="00FD5956" w:rsidRPr="00D412EE">
        <w:rPr>
          <w:rFonts w:eastAsia="Times New Roman" w:cs="Calibri"/>
          <w:color w:val="000000"/>
          <w:sz w:val="24"/>
          <w:szCs w:val="24"/>
          <w:highlight w:val="yellow"/>
        </w:rPr>
        <w:t xml:space="preserve"> being used</w:t>
      </w:r>
      <w:r w:rsidR="00615EAD" w:rsidRPr="00D412EE">
        <w:rPr>
          <w:rFonts w:eastAsia="Times New Roman" w:cs="Calibri"/>
          <w:color w:val="000000"/>
          <w:sz w:val="24"/>
          <w:szCs w:val="24"/>
          <w:highlight w:val="yellow"/>
        </w:rPr>
        <w:t>.</w:t>
      </w:r>
    </w:p>
    <w:p w14:paraId="19804554" w14:textId="77777777" w:rsidR="00615EAD" w:rsidRPr="00D412EE" w:rsidRDefault="00615EAD" w:rsidP="00C437E4">
      <w:pPr>
        <w:pStyle w:val="ListParagraph"/>
        <w:spacing w:after="0" w:line="240" w:lineRule="auto"/>
        <w:ind w:left="0"/>
        <w:jc w:val="both"/>
        <w:rPr>
          <w:rFonts w:eastAsia="Times New Roman" w:cs="Calibri"/>
          <w:sz w:val="24"/>
          <w:szCs w:val="24"/>
          <w:highlight w:val="yellow"/>
        </w:rPr>
      </w:pPr>
      <w:r w:rsidRPr="00D412EE">
        <w:rPr>
          <w:rFonts w:eastAsia="Times New Roman" w:cs="Calibri"/>
          <w:color w:val="000000"/>
          <w:sz w:val="24"/>
          <w:szCs w:val="24"/>
          <w:highlight w:val="yellow"/>
        </w:rPr>
        <w:t xml:space="preserve"> </w:t>
      </w:r>
    </w:p>
    <w:p w14:paraId="5D5B5BBC" w14:textId="5EAED56B" w:rsidR="00427A00" w:rsidRPr="00427A00"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Load the filament from s</w:t>
      </w:r>
      <w:r w:rsidR="00427A00">
        <w:rPr>
          <w:rFonts w:eastAsia="Times New Roman" w:cs="Calibri"/>
          <w:color w:val="000000"/>
          <w:sz w:val="24"/>
          <w:szCs w:val="24"/>
          <w:highlight w:val="yellow"/>
        </w:rPr>
        <w:t>tep</w:t>
      </w:r>
      <w:r w:rsidR="00C143A5" w:rsidRPr="00D412EE">
        <w:rPr>
          <w:rFonts w:eastAsia="Times New Roman" w:cs="Calibri"/>
          <w:color w:val="000000"/>
          <w:sz w:val="24"/>
          <w:szCs w:val="24"/>
          <w:highlight w:val="yellow"/>
        </w:rPr>
        <w:t xml:space="preserve"> </w:t>
      </w:r>
      <w:r w:rsidR="00427A00">
        <w:rPr>
          <w:rFonts w:eastAsia="Times New Roman" w:cs="Calibri"/>
          <w:color w:val="000000"/>
          <w:sz w:val="24"/>
          <w:szCs w:val="24"/>
          <w:highlight w:val="yellow"/>
        </w:rPr>
        <w:t>3</w:t>
      </w:r>
      <w:r w:rsidRPr="00D412EE">
        <w:rPr>
          <w:rFonts w:eastAsia="Times New Roman" w:cs="Calibri"/>
          <w:color w:val="000000"/>
          <w:sz w:val="24"/>
          <w:szCs w:val="24"/>
          <w:highlight w:val="yellow"/>
        </w:rPr>
        <w:t xml:space="preserve"> </w:t>
      </w:r>
      <w:r w:rsidR="00427A00">
        <w:rPr>
          <w:rFonts w:eastAsia="Times New Roman" w:cs="Calibri"/>
          <w:color w:val="000000"/>
          <w:sz w:val="24"/>
          <w:szCs w:val="24"/>
          <w:highlight w:val="yellow"/>
        </w:rPr>
        <w:t>on</w:t>
      </w:r>
      <w:r w:rsidRPr="00D412EE">
        <w:rPr>
          <w:rFonts w:eastAsia="Times New Roman" w:cs="Calibri"/>
          <w:color w:val="000000"/>
          <w:sz w:val="24"/>
          <w:szCs w:val="24"/>
          <w:highlight w:val="yellow"/>
        </w:rPr>
        <w:t xml:space="preserve">to any standard </w:t>
      </w:r>
      <w:r w:rsidR="00427A00">
        <w:rPr>
          <w:rFonts w:eastAsia="Times New Roman" w:cs="Calibri"/>
          <w:color w:val="000000"/>
          <w:sz w:val="24"/>
          <w:szCs w:val="24"/>
          <w:highlight w:val="yellow"/>
        </w:rPr>
        <w:t>FDM</w:t>
      </w:r>
      <w:r w:rsidR="00C265B8" w:rsidRPr="00D412EE">
        <w:rPr>
          <w:rFonts w:eastAsia="Times New Roman" w:cs="Calibri"/>
          <w:color w:val="000000"/>
          <w:sz w:val="24"/>
          <w:szCs w:val="24"/>
          <w:highlight w:val="yellow"/>
        </w:rPr>
        <w:t xml:space="preserve"> printer</w:t>
      </w:r>
      <w:r w:rsidRPr="00D412EE">
        <w:rPr>
          <w:rFonts w:eastAsia="Times New Roman" w:cs="Calibri"/>
          <w:color w:val="000000"/>
          <w:sz w:val="24"/>
          <w:szCs w:val="24"/>
          <w:highlight w:val="yellow"/>
        </w:rPr>
        <w:t>, fitte</w:t>
      </w:r>
      <w:r w:rsidR="00FD5956" w:rsidRPr="00D412EE">
        <w:rPr>
          <w:rFonts w:eastAsia="Times New Roman" w:cs="Calibri"/>
          <w:color w:val="000000"/>
          <w:sz w:val="24"/>
          <w:szCs w:val="24"/>
          <w:highlight w:val="yellow"/>
        </w:rPr>
        <w:t xml:space="preserve">d with standard nozzles of the </w:t>
      </w:r>
      <w:r w:rsidRPr="00D412EE">
        <w:rPr>
          <w:rFonts w:eastAsia="Times New Roman" w:cs="Calibri"/>
          <w:color w:val="000000"/>
          <w:sz w:val="24"/>
          <w:szCs w:val="24"/>
          <w:highlight w:val="yellow"/>
        </w:rPr>
        <w:t>desired d</w:t>
      </w:r>
      <w:r w:rsidR="00FD5956" w:rsidRPr="00D412EE">
        <w:rPr>
          <w:rFonts w:eastAsia="Times New Roman" w:cs="Calibri"/>
          <w:color w:val="000000"/>
          <w:sz w:val="24"/>
          <w:szCs w:val="24"/>
          <w:highlight w:val="yellow"/>
        </w:rPr>
        <w:t>iameter</w:t>
      </w:r>
      <w:r w:rsidR="00C265B8" w:rsidRPr="00D412EE">
        <w:rPr>
          <w:rFonts w:eastAsia="Times New Roman" w:cs="Calibri"/>
          <w:color w:val="000000"/>
          <w:sz w:val="24"/>
          <w:szCs w:val="24"/>
          <w:highlight w:val="yellow"/>
        </w:rPr>
        <w:t xml:space="preserve"> (typically 0.4 mm)</w:t>
      </w:r>
      <w:r w:rsidR="00FD5956" w:rsidRPr="00D412EE">
        <w:rPr>
          <w:rFonts w:eastAsia="Times New Roman" w:cs="Calibri"/>
          <w:color w:val="000000"/>
          <w:sz w:val="24"/>
          <w:szCs w:val="24"/>
          <w:highlight w:val="yellow"/>
        </w:rPr>
        <w:t xml:space="preserve">. Begin the print </w:t>
      </w:r>
      <w:r w:rsidR="004C355A" w:rsidRPr="00D412EE">
        <w:rPr>
          <w:rFonts w:eastAsia="Times New Roman" w:cs="Calibri"/>
          <w:color w:val="000000"/>
          <w:sz w:val="24"/>
          <w:szCs w:val="24"/>
          <w:highlight w:val="yellow"/>
        </w:rPr>
        <w:t>(typically at 65</w:t>
      </w:r>
      <w:r w:rsidR="00427A00" w:rsidRPr="00427A00">
        <w:rPr>
          <w:rFonts w:eastAsia="Times New Roman" w:cs="Calibri"/>
          <w:color w:val="000000"/>
          <w:sz w:val="24"/>
          <w:szCs w:val="24"/>
          <w:highlight w:val="yellow"/>
        </w:rPr>
        <w:t>‒</w:t>
      </w:r>
      <w:r w:rsidR="004C355A" w:rsidRPr="00D412EE">
        <w:rPr>
          <w:rFonts w:eastAsia="Times New Roman" w:cs="Calibri"/>
          <w:color w:val="000000"/>
          <w:sz w:val="24"/>
          <w:szCs w:val="24"/>
          <w:highlight w:val="yellow"/>
        </w:rPr>
        <w:t xml:space="preserve">70 </w:t>
      </w:r>
      <w:r w:rsidR="0058078F" w:rsidRPr="0058078F">
        <w:rPr>
          <w:rFonts w:eastAsia="Times New Roman" w:cs="Calibri"/>
          <w:color w:val="000000"/>
          <w:sz w:val="24"/>
          <w:szCs w:val="24"/>
          <w:highlight w:val="yellow"/>
        </w:rPr>
        <w:t>°</w:t>
      </w:r>
      <w:r w:rsidR="004C355A" w:rsidRPr="00D412EE">
        <w:rPr>
          <w:rFonts w:eastAsia="Times New Roman" w:cs="Calibri"/>
          <w:color w:val="000000"/>
          <w:sz w:val="24"/>
          <w:szCs w:val="24"/>
          <w:highlight w:val="yellow"/>
        </w:rPr>
        <w:t xml:space="preserve">C and 300 mm/min linear speed) </w:t>
      </w:r>
      <w:r w:rsidR="00FD5956" w:rsidRPr="00D412EE">
        <w:rPr>
          <w:rFonts w:eastAsia="Times New Roman" w:cs="Calibri"/>
          <w:color w:val="000000"/>
          <w:sz w:val="24"/>
          <w:szCs w:val="24"/>
          <w:highlight w:val="yellow"/>
        </w:rPr>
        <w:t>as the</w:t>
      </w:r>
      <w:r w:rsidRPr="00D412EE">
        <w:rPr>
          <w:rFonts w:eastAsia="Times New Roman" w:cs="Calibri"/>
          <w:color w:val="000000"/>
          <w:sz w:val="24"/>
          <w:szCs w:val="24"/>
          <w:highlight w:val="yellow"/>
        </w:rPr>
        <w:t xml:space="preserve"> custom filament is deposited layer-by-layer by the machine. </w:t>
      </w:r>
    </w:p>
    <w:p w14:paraId="743E480E" w14:textId="77777777" w:rsidR="00427A00" w:rsidRPr="00427A00" w:rsidRDefault="00427A00" w:rsidP="00427A00">
      <w:pPr>
        <w:pStyle w:val="ListParagraph"/>
        <w:spacing w:after="0" w:line="240" w:lineRule="auto"/>
        <w:ind w:left="0"/>
        <w:jc w:val="both"/>
        <w:rPr>
          <w:rFonts w:eastAsia="Times New Roman" w:cs="Calibri"/>
          <w:sz w:val="24"/>
          <w:szCs w:val="24"/>
          <w:highlight w:val="yellow"/>
        </w:rPr>
      </w:pPr>
    </w:p>
    <w:p w14:paraId="094CD2DD" w14:textId="77777777" w:rsidR="000C32A9" w:rsidRPr="000C32A9" w:rsidRDefault="00615EAD" w:rsidP="00D412EE">
      <w:pPr>
        <w:pStyle w:val="ListParagraph"/>
        <w:numPr>
          <w:ilvl w:val="1"/>
          <w:numId w:val="8"/>
        </w:numPr>
        <w:spacing w:after="0" w:line="240" w:lineRule="auto"/>
        <w:jc w:val="both"/>
        <w:rPr>
          <w:rFonts w:eastAsia="Times New Roman" w:cs="Calibri"/>
          <w:sz w:val="24"/>
          <w:szCs w:val="24"/>
          <w:highlight w:val="yellow"/>
        </w:rPr>
      </w:pPr>
      <w:r w:rsidRPr="00D412EE">
        <w:rPr>
          <w:rFonts w:eastAsia="Times New Roman" w:cs="Calibri"/>
          <w:color w:val="000000"/>
          <w:sz w:val="24"/>
          <w:szCs w:val="24"/>
          <w:highlight w:val="yellow"/>
        </w:rPr>
        <w:t xml:space="preserve">Make sure to pay special attention to the first layer and </w:t>
      </w:r>
      <w:r w:rsidR="0048463E" w:rsidRPr="00D412EE">
        <w:rPr>
          <w:rFonts w:eastAsia="Times New Roman" w:cs="Calibri"/>
          <w:color w:val="000000"/>
          <w:sz w:val="24"/>
          <w:szCs w:val="24"/>
          <w:highlight w:val="yellow"/>
        </w:rPr>
        <w:t>adjust</w:t>
      </w:r>
      <w:r w:rsidRPr="00D412EE">
        <w:rPr>
          <w:rFonts w:eastAsia="Times New Roman" w:cs="Calibri"/>
          <w:color w:val="000000"/>
          <w:sz w:val="24"/>
          <w:szCs w:val="24"/>
          <w:highlight w:val="yellow"/>
        </w:rPr>
        <w:t xml:space="preserve"> </w:t>
      </w:r>
      <w:r w:rsidR="000C32A9">
        <w:rPr>
          <w:rFonts w:eastAsia="Times New Roman" w:cs="Calibri"/>
          <w:color w:val="000000"/>
          <w:sz w:val="24"/>
          <w:szCs w:val="24"/>
          <w:highlight w:val="yellow"/>
        </w:rPr>
        <w:t xml:space="preserve">settings </w:t>
      </w:r>
      <w:r w:rsidRPr="00D412EE">
        <w:rPr>
          <w:rFonts w:eastAsia="Times New Roman" w:cs="Calibri"/>
          <w:color w:val="000000"/>
          <w:sz w:val="24"/>
          <w:szCs w:val="24"/>
          <w:highlight w:val="yellow"/>
        </w:rPr>
        <w:t>as needed to get a good quality print.</w:t>
      </w:r>
      <w:r w:rsidR="004C355A" w:rsidRPr="00D412EE">
        <w:rPr>
          <w:rFonts w:eastAsia="Times New Roman" w:cs="Calibri"/>
          <w:color w:val="000000"/>
          <w:sz w:val="24"/>
          <w:szCs w:val="24"/>
          <w:highlight w:val="yellow"/>
        </w:rPr>
        <w:t xml:space="preserve"> </w:t>
      </w:r>
    </w:p>
    <w:p w14:paraId="4061A15B" w14:textId="77777777" w:rsidR="000C32A9" w:rsidRDefault="000C32A9" w:rsidP="000C32A9">
      <w:pPr>
        <w:pStyle w:val="ListParagraph"/>
        <w:spacing w:after="0" w:line="240" w:lineRule="auto"/>
        <w:ind w:left="0"/>
        <w:jc w:val="both"/>
        <w:rPr>
          <w:rFonts w:eastAsia="Times New Roman" w:cs="Calibri"/>
          <w:color w:val="000000"/>
          <w:sz w:val="24"/>
          <w:szCs w:val="24"/>
          <w:highlight w:val="yellow"/>
        </w:rPr>
      </w:pPr>
    </w:p>
    <w:p w14:paraId="68F06328" w14:textId="74E03306" w:rsidR="00615EAD" w:rsidRPr="00D412EE" w:rsidRDefault="000C32A9" w:rsidP="000C32A9">
      <w:pPr>
        <w:pStyle w:val="ListParagraph"/>
        <w:spacing w:after="0" w:line="240" w:lineRule="auto"/>
        <w:ind w:left="0"/>
        <w:jc w:val="both"/>
        <w:rPr>
          <w:rFonts w:eastAsia="Times New Roman" w:cs="Calibri"/>
          <w:sz w:val="24"/>
          <w:szCs w:val="24"/>
          <w:highlight w:val="yellow"/>
        </w:rPr>
      </w:pPr>
      <w:r w:rsidRPr="000C32A9">
        <w:rPr>
          <w:rFonts w:eastAsia="Times New Roman" w:cs="Calibri"/>
          <w:color w:val="000000"/>
          <w:sz w:val="24"/>
          <w:szCs w:val="24"/>
        </w:rPr>
        <w:t xml:space="preserve">Note: </w:t>
      </w:r>
      <w:r w:rsidR="004C355A" w:rsidRPr="000C32A9">
        <w:rPr>
          <w:rFonts w:eastAsia="Times New Roman" w:cs="Calibri"/>
          <w:color w:val="000000"/>
          <w:sz w:val="24"/>
          <w:szCs w:val="24"/>
        </w:rPr>
        <w:t>Adjustments may be made to the print speed, print temperature, platform temperature, extrusion multiplier, and other parameters.</w:t>
      </w:r>
      <w:r w:rsidR="00615EAD" w:rsidRPr="000C32A9">
        <w:rPr>
          <w:rFonts w:eastAsia="Times New Roman" w:cs="Calibri"/>
          <w:color w:val="000000"/>
          <w:sz w:val="24"/>
          <w:szCs w:val="24"/>
        </w:rPr>
        <w:t xml:space="preserve"> </w:t>
      </w:r>
      <w:r>
        <w:rPr>
          <w:rFonts w:eastAsia="Times New Roman" w:cs="Calibri"/>
          <w:color w:val="000000"/>
          <w:sz w:val="24"/>
          <w:szCs w:val="24"/>
        </w:rPr>
        <w:t>Refer to the</w:t>
      </w:r>
      <w:r w:rsidR="004C355A" w:rsidRPr="000C32A9">
        <w:rPr>
          <w:rFonts w:eastAsia="Times New Roman" w:cs="Calibri"/>
          <w:color w:val="000000"/>
          <w:sz w:val="24"/>
          <w:szCs w:val="24"/>
        </w:rPr>
        <w:t xml:space="preserve"> printer and slicing manufacturer’s troubleshooting guide for further assistance.</w:t>
      </w:r>
    </w:p>
    <w:p w14:paraId="6918E5D9" w14:textId="77777777" w:rsidR="007C5F07" w:rsidRPr="00D412EE" w:rsidRDefault="007C5F07" w:rsidP="00D412EE">
      <w:pPr>
        <w:pStyle w:val="ListParagraph"/>
        <w:spacing w:after="0" w:line="240" w:lineRule="auto"/>
        <w:ind w:left="0"/>
        <w:jc w:val="both"/>
        <w:rPr>
          <w:rFonts w:eastAsia="Times New Roman" w:cs="Calibri"/>
          <w:sz w:val="24"/>
          <w:szCs w:val="24"/>
          <w:highlight w:val="yellow"/>
        </w:rPr>
      </w:pPr>
    </w:p>
    <w:p w14:paraId="7B369A62" w14:textId="77777777" w:rsidR="00615EAD" w:rsidRPr="00C437E4" w:rsidRDefault="000B1457" w:rsidP="00D412EE">
      <w:pPr>
        <w:pStyle w:val="ListParagraph"/>
        <w:numPr>
          <w:ilvl w:val="0"/>
          <w:numId w:val="8"/>
        </w:numPr>
        <w:spacing w:after="0" w:line="240" w:lineRule="auto"/>
        <w:jc w:val="both"/>
        <w:rPr>
          <w:rFonts w:eastAsia="Times New Roman" w:cs="Calibri"/>
          <w:sz w:val="24"/>
          <w:szCs w:val="24"/>
        </w:rPr>
      </w:pPr>
      <w:r w:rsidRPr="00D412EE">
        <w:rPr>
          <w:rFonts w:eastAsia="Times New Roman" w:cs="Calibri"/>
          <w:b/>
          <w:bCs/>
          <w:color w:val="000000"/>
          <w:sz w:val="24"/>
          <w:szCs w:val="24"/>
        </w:rPr>
        <w:t>Quality Control Assessment</w:t>
      </w:r>
    </w:p>
    <w:p w14:paraId="78CD98A9"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137CC0D3" w14:textId="142D54DF" w:rsidR="000C32A9" w:rsidRDefault="00FD5956" w:rsidP="000C32A9">
      <w:pPr>
        <w:pStyle w:val="ListParagraph"/>
        <w:numPr>
          <w:ilvl w:val="1"/>
          <w:numId w:val="8"/>
        </w:numPr>
        <w:spacing w:after="0" w:line="240" w:lineRule="auto"/>
        <w:jc w:val="both"/>
        <w:rPr>
          <w:rFonts w:eastAsia="Times New Roman" w:cs="Calibri"/>
          <w:sz w:val="24"/>
          <w:szCs w:val="24"/>
        </w:rPr>
      </w:pPr>
      <w:r w:rsidRPr="00D412EE">
        <w:rPr>
          <w:rFonts w:eastAsia="Times New Roman" w:cs="Calibri"/>
          <w:sz w:val="24"/>
          <w:szCs w:val="24"/>
        </w:rPr>
        <w:t>Place the</w:t>
      </w:r>
      <w:r w:rsidR="004C3227" w:rsidRPr="00D412EE">
        <w:rPr>
          <w:rFonts w:eastAsia="Times New Roman" w:cs="Calibri"/>
          <w:sz w:val="24"/>
          <w:szCs w:val="24"/>
        </w:rPr>
        <w:t xml:space="preserve"> printed constructs on SEM chucks and </w:t>
      </w:r>
      <w:r w:rsidR="00235860" w:rsidRPr="00D412EE">
        <w:rPr>
          <w:rFonts w:eastAsia="Times New Roman" w:cs="Calibri"/>
          <w:color w:val="000000"/>
          <w:sz w:val="24"/>
          <w:szCs w:val="24"/>
        </w:rPr>
        <w:t>sputter coat with gold-palladium in argon atmosphere using a sputter coater to a thickness of 4 nm.</w:t>
      </w:r>
      <w:r w:rsidR="004C3227" w:rsidRPr="00D412EE">
        <w:rPr>
          <w:rFonts w:eastAsia="Times New Roman" w:cs="Calibri"/>
          <w:sz w:val="24"/>
          <w:szCs w:val="24"/>
        </w:rPr>
        <w:t xml:space="preserve"> </w:t>
      </w:r>
    </w:p>
    <w:p w14:paraId="2A1DBCDD" w14:textId="77777777" w:rsidR="000C32A9" w:rsidRDefault="000C32A9" w:rsidP="000C32A9">
      <w:pPr>
        <w:pStyle w:val="ListParagraph"/>
        <w:spacing w:after="0" w:line="240" w:lineRule="auto"/>
        <w:ind w:left="0"/>
        <w:jc w:val="both"/>
        <w:rPr>
          <w:rFonts w:eastAsia="Times New Roman" w:cs="Calibri"/>
          <w:sz w:val="24"/>
          <w:szCs w:val="24"/>
        </w:rPr>
      </w:pPr>
    </w:p>
    <w:p w14:paraId="394F65A7" w14:textId="5E4E56E3" w:rsidR="004C3227" w:rsidRPr="00D412EE" w:rsidRDefault="00981044" w:rsidP="000C32A9">
      <w:pPr>
        <w:pStyle w:val="ListParagraph"/>
        <w:numPr>
          <w:ilvl w:val="1"/>
          <w:numId w:val="8"/>
        </w:numPr>
        <w:spacing w:after="0" w:line="240" w:lineRule="auto"/>
        <w:jc w:val="both"/>
        <w:rPr>
          <w:rFonts w:eastAsia="Times New Roman" w:cs="Calibri"/>
          <w:sz w:val="24"/>
          <w:szCs w:val="24"/>
        </w:rPr>
      </w:pPr>
      <w:r w:rsidRPr="00D412EE">
        <w:rPr>
          <w:rFonts w:eastAsia="Times New Roman" w:cs="Calibri"/>
          <w:sz w:val="24"/>
          <w:szCs w:val="24"/>
        </w:rPr>
        <w:t xml:space="preserve">Observe under the microscope </w:t>
      </w:r>
      <w:r w:rsidR="00235860" w:rsidRPr="00D412EE">
        <w:rPr>
          <w:rFonts w:eastAsia="Times New Roman" w:cs="Calibri"/>
          <w:sz w:val="24"/>
          <w:szCs w:val="24"/>
        </w:rPr>
        <w:t xml:space="preserve">using a </w:t>
      </w:r>
      <w:proofErr w:type="gramStart"/>
      <w:r w:rsidR="00235860" w:rsidRPr="00D412EE">
        <w:rPr>
          <w:rFonts w:eastAsia="Times New Roman" w:cs="Calibri"/>
          <w:sz w:val="24"/>
          <w:szCs w:val="24"/>
        </w:rPr>
        <w:t>10 kV</w:t>
      </w:r>
      <w:proofErr w:type="gramEnd"/>
      <w:r w:rsidR="00235860" w:rsidRPr="00D412EE">
        <w:rPr>
          <w:rFonts w:eastAsia="Times New Roman" w:cs="Calibri"/>
          <w:sz w:val="24"/>
          <w:szCs w:val="24"/>
        </w:rPr>
        <w:t xml:space="preserve"> accelerating voltage and a 10 mm working distance </w:t>
      </w:r>
      <w:r w:rsidR="000C32A9">
        <w:rPr>
          <w:rFonts w:eastAsia="Times New Roman" w:cs="Calibri"/>
          <w:sz w:val="24"/>
          <w:szCs w:val="24"/>
        </w:rPr>
        <w:t xml:space="preserve">to check </w:t>
      </w:r>
      <w:r w:rsidRPr="00D412EE">
        <w:rPr>
          <w:rFonts w:eastAsia="Times New Roman" w:cs="Calibri"/>
          <w:sz w:val="24"/>
          <w:szCs w:val="24"/>
        </w:rPr>
        <w:t xml:space="preserve">surface features and </w:t>
      </w:r>
      <w:r w:rsidR="000C32A9">
        <w:rPr>
          <w:rFonts w:eastAsia="Times New Roman" w:cs="Calibri"/>
          <w:sz w:val="24"/>
          <w:szCs w:val="24"/>
        </w:rPr>
        <w:t xml:space="preserve">for the </w:t>
      </w:r>
      <w:r w:rsidRPr="00D412EE">
        <w:rPr>
          <w:rFonts w:eastAsia="Times New Roman" w:cs="Calibri"/>
          <w:sz w:val="24"/>
          <w:szCs w:val="24"/>
        </w:rPr>
        <w:t>presence or absence of microspheres if applicable.</w:t>
      </w:r>
    </w:p>
    <w:p w14:paraId="35FB77F5" w14:textId="77777777" w:rsidR="004C355A" w:rsidRPr="00D412EE" w:rsidRDefault="004C355A" w:rsidP="00D412EE">
      <w:pPr>
        <w:pStyle w:val="ListParagraph"/>
        <w:spacing w:after="0" w:line="240" w:lineRule="auto"/>
        <w:ind w:left="0"/>
        <w:jc w:val="both"/>
        <w:rPr>
          <w:rFonts w:eastAsia="Times New Roman" w:cs="Calibri"/>
          <w:sz w:val="24"/>
          <w:szCs w:val="24"/>
        </w:rPr>
      </w:pPr>
    </w:p>
    <w:p w14:paraId="0B35C601" w14:textId="77777777" w:rsidR="004C355A" w:rsidRPr="00C437E4" w:rsidRDefault="004C355A" w:rsidP="00D412EE">
      <w:pPr>
        <w:pStyle w:val="ListParagraph"/>
        <w:numPr>
          <w:ilvl w:val="0"/>
          <w:numId w:val="8"/>
        </w:numPr>
        <w:spacing w:after="0" w:line="240" w:lineRule="auto"/>
        <w:jc w:val="both"/>
        <w:rPr>
          <w:rFonts w:eastAsia="Times New Roman" w:cs="Calibri"/>
          <w:sz w:val="24"/>
          <w:szCs w:val="24"/>
        </w:rPr>
      </w:pPr>
      <w:r w:rsidRPr="00D412EE">
        <w:rPr>
          <w:rFonts w:eastAsia="Times New Roman" w:cs="Calibri"/>
          <w:b/>
          <w:sz w:val="24"/>
          <w:szCs w:val="24"/>
        </w:rPr>
        <w:t>Fu</w:t>
      </w:r>
      <w:r w:rsidR="00C43E1B" w:rsidRPr="00D412EE">
        <w:rPr>
          <w:rFonts w:eastAsia="Times New Roman" w:cs="Calibri"/>
          <w:b/>
          <w:sz w:val="24"/>
          <w:szCs w:val="24"/>
        </w:rPr>
        <w:t>nctional Testing of the Printed Constructs</w:t>
      </w:r>
    </w:p>
    <w:p w14:paraId="28F9B93B"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0F43CE00" w14:textId="50B0C6BE" w:rsidR="00591CC7" w:rsidRDefault="000C32A9" w:rsidP="000C32A9">
      <w:pPr>
        <w:pStyle w:val="ListParagraph"/>
        <w:spacing w:after="0" w:line="240" w:lineRule="auto"/>
        <w:ind w:left="0"/>
        <w:jc w:val="both"/>
        <w:rPr>
          <w:rFonts w:eastAsia="Times New Roman" w:cs="Calibri"/>
          <w:sz w:val="24"/>
          <w:szCs w:val="24"/>
        </w:rPr>
      </w:pPr>
      <w:r>
        <w:rPr>
          <w:rFonts w:eastAsia="Times New Roman" w:cs="Calibri"/>
          <w:sz w:val="24"/>
          <w:szCs w:val="24"/>
        </w:rPr>
        <w:t xml:space="preserve">Note: </w:t>
      </w:r>
      <w:r w:rsidR="00650413" w:rsidRPr="00D412EE">
        <w:rPr>
          <w:rFonts w:eastAsia="Times New Roman" w:cs="Calibri"/>
          <w:sz w:val="24"/>
          <w:szCs w:val="24"/>
        </w:rPr>
        <w:t xml:space="preserve">Alkaline phosphatase </w:t>
      </w:r>
      <w:r w:rsidR="00591CC7" w:rsidRPr="00D412EE">
        <w:rPr>
          <w:rFonts w:eastAsia="Times New Roman" w:cs="Calibri"/>
          <w:sz w:val="24"/>
          <w:szCs w:val="24"/>
        </w:rPr>
        <w:t>(ALP) can be</w:t>
      </w:r>
      <w:r w:rsidR="00650413" w:rsidRPr="00D412EE">
        <w:rPr>
          <w:rFonts w:eastAsia="Times New Roman" w:cs="Calibri"/>
          <w:sz w:val="24"/>
          <w:szCs w:val="24"/>
        </w:rPr>
        <w:t xml:space="preserve"> used as a surrogate for decellularized matrix to determine if </w:t>
      </w:r>
      <w:r w:rsidR="00C304EE" w:rsidRPr="00D412EE">
        <w:rPr>
          <w:rFonts w:eastAsia="Times New Roman" w:cs="Calibri"/>
          <w:sz w:val="24"/>
          <w:szCs w:val="24"/>
        </w:rPr>
        <w:t xml:space="preserve">encapsulated proteins </w:t>
      </w:r>
      <w:r w:rsidR="005B0E43" w:rsidRPr="00D412EE">
        <w:rPr>
          <w:rFonts w:eastAsia="Times New Roman" w:cs="Calibri"/>
          <w:sz w:val="24"/>
          <w:szCs w:val="24"/>
        </w:rPr>
        <w:t xml:space="preserve">are biologically active </w:t>
      </w:r>
      <w:r w:rsidR="00C304EE" w:rsidRPr="00D412EE">
        <w:rPr>
          <w:rFonts w:eastAsia="Times New Roman" w:cs="Calibri"/>
          <w:sz w:val="24"/>
          <w:szCs w:val="24"/>
        </w:rPr>
        <w:t xml:space="preserve">after the filament production process. </w:t>
      </w:r>
      <w:r w:rsidR="00591CC7" w:rsidRPr="00D412EE">
        <w:rPr>
          <w:rFonts w:eastAsia="Times New Roman" w:cs="Calibri"/>
          <w:sz w:val="24"/>
          <w:szCs w:val="24"/>
        </w:rPr>
        <w:t>ALP is used because it catalyzes a reaction from a</w:t>
      </w:r>
      <w:r w:rsidR="00C304EE" w:rsidRPr="00D412EE">
        <w:rPr>
          <w:rFonts w:eastAsia="Times New Roman" w:cs="Calibri"/>
          <w:sz w:val="24"/>
          <w:szCs w:val="24"/>
        </w:rPr>
        <w:t xml:space="preserve"> substrate, </w:t>
      </w:r>
      <w:r w:rsidR="00591CC7" w:rsidRPr="00D412EE">
        <w:rPr>
          <w:rFonts w:eastAsia="Times New Roman" w:cs="Calibri"/>
          <w:sz w:val="24"/>
          <w:szCs w:val="24"/>
        </w:rPr>
        <w:t>p-nitrophenyl phosphate</w:t>
      </w:r>
      <w:r w:rsidR="00C304EE" w:rsidRPr="00D412EE">
        <w:rPr>
          <w:rFonts w:eastAsia="Times New Roman" w:cs="Calibri"/>
          <w:sz w:val="24"/>
          <w:szCs w:val="24"/>
        </w:rPr>
        <w:t>, to change from colorless to yellow</w:t>
      </w:r>
      <w:r w:rsidR="00591CC7" w:rsidRPr="00D412EE">
        <w:rPr>
          <w:rFonts w:eastAsia="Times New Roman" w:cs="Calibri"/>
          <w:sz w:val="24"/>
          <w:szCs w:val="24"/>
        </w:rPr>
        <w:t xml:space="preserve"> byproducts, p-nitrophenol and inorganic phosphate, but only if ALP is in the functional conformation. </w:t>
      </w:r>
    </w:p>
    <w:p w14:paraId="37428701"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0E420343" w14:textId="32D4ECE7" w:rsidR="00C43E1B" w:rsidRDefault="00A76B2F" w:rsidP="000C32A9">
      <w:pPr>
        <w:pStyle w:val="ListParagraph"/>
        <w:numPr>
          <w:ilvl w:val="1"/>
          <w:numId w:val="8"/>
        </w:numPr>
        <w:spacing w:after="0" w:line="240" w:lineRule="auto"/>
        <w:jc w:val="both"/>
        <w:rPr>
          <w:rFonts w:eastAsia="Times New Roman" w:cs="Calibri"/>
          <w:sz w:val="24"/>
          <w:szCs w:val="24"/>
        </w:rPr>
      </w:pPr>
      <w:r w:rsidRPr="00D412EE">
        <w:rPr>
          <w:rFonts w:eastAsia="Times New Roman" w:cs="Calibri"/>
          <w:sz w:val="24"/>
          <w:szCs w:val="24"/>
        </w:rPr>
        <w:t>Print</w:t>
      </w:r>
      <w:r w:rsidR="005F66D5" w:rsidRPr="00D412EE">
        <w:rPr>
          <w:rFonts w:eastAsia="Times New Roman" w:cs="Calibri"/>
          <w:sz w:val="24"/>
          <w:szCs w:val="24"/>
        </w:rPr>
        <w:t xml:space="preserve"> a</w:t>
      </w:r>
      <w:r w:rsidRPr="00D412EE">
        <w:rPr>
          <w:rFonts w:eastAsia="Times New Roman" w:cs="Calibri"/>
          <w:sz w:val="24"/>
          <w:szCs w:val="24"/>
        </w:rPr>
        <w:t xml:space="preserve"> </w:t>
      </w:r>
      <w:r w:rsidR="00C304EE" w:rsidRPr="00D412EE">
        <w:rPr>
          <w:rFonts w:eastAsia="Times New Roman" w:cs="Calibri"/>
          <w:sz w:val="24"/>
          <w:szCs w:val="24"/>
        </w:rPr>
        <w:t xml:space="preserve">geometry </w:t>
      </w:r>
      <w:r w:rsidR="005F66D5" w:rsidRPr="00D412EE">
        <w:rPr>
          <w:rFonts w:eastAsia="Times New Roman" w:cs="Calibri"/>
          <w:sz w:val="24"/>
          <w:szCs w:val="24"/>
        </w:rPr>
        <w:t xml:space="preserve">(n = 3) </w:t>
      </w:r>
      <w:r w:rsidRPr="00D412EE">
        <w:rPr>
          <w:rFonts w:eastAsia="Times New Roman" w:cs="Calibri"/>
          <w:sz w:val="24"/>
          <w:szCs w:val="24"/>
        </w:rPr>
        <w:t xml:space="preserve">that has an end mass of at least 400 mg </w:t>
      </w:r>
      <w:r w:rsidR="00C304EE" w:rsidRPr="00D412EE">
        <w:rPr>
          <w:rFonts w:eastAsia="Times New Roman" w:cs="Calibri"/>
          <w:sz w:val="24"/>
          <w:szCs w:val="24"/>
        </w:rPr>
        <w:t>with th</w:t>
      </w:r>
      <w:r w:rsidR="009F01CA" w:rsidRPr="00D412EE">
        <w:rPr>
          <w:rFonts w:eastAsia="Times New Roman" w:cs="Calibri"/>
          <w:sz w:val="24"/>
          <w:szCs w:val="24"/>
        </w:rPr>
        <w:t>e ALP microsphere filament</w:t>
      </w:r>
      <w:r w:rsidR="00C304EE" w:rsidRPr="00D412EE">
        <w:rPr>
          <w:rFonts w:eastAsia="Times New Roman" w:cs="Calibri"/>
          <w:sz w:val="24"/>
          <w:szCs w:val="24"/>
        </w:rPr>
        <w:t xml:space="preserve"> </w:t>
      </w:r>
      <w:r w:rsidRPr="00D412EE">
        <w:rPr>
          <w:rFonts w:eastAsia="Times New Roman" w:cs="Calibri"/>
          <w:sz w:val="24"/>
          <w:szCs w:val="24"/>
        </w:rPr>
        <w:t>(PLA-ALP/PCL</w:t>
      </w:r>
      <w:r w:rsidR="009F01CA" w:rsidRPr="00D412EE">
        <w:rPr>
          <w:rFonts w:eastAsia="Times New Roman" w:cs="Calibri"/>
          <w:sz w:val="24"/>
          <w:szCs w:val="24"/>
        </w:rPr>
        <w:t xml:space="preserve">) </w:t>
      </w:r>
      <w:r w:rsidR="00591CC7" w:rsidRPr="00D412EE">
        <w:rPr>
          <w:rFonts w:eastAsia="Times New Roman" w:cs="Calibri"/>
          <w:sz w:val="24"/>
          <w:szCs w:val="24"/>
        </w:rPr>
        <w:t>using identical print parameters</w:t>
      </w:r>
      <w:r w:rsidR="009F01CA" w:rsidRPr="00D412EE">
        <w:rPr>
          <w:rFonts w:eastAsia="Times New Roman" w:cs="Calibri"/>
          <w:sz w:val="24"/>
          <w:szCs w:val="24"/>
        </w:rPr>
        <w:t xml:space="preserve"> as the PLA-DM/PCL scaffolds</w:t>
      </w:r>
      <w:r w:rsidR="00591CC7" w:rsidRPr="00D412EE">
        <w:rPr>
          <w:rFonts w:eastAsia="Times New Roman" w:cs="Calibri"/>
          <w:sz w:val="24"/>
          <w:szCs w:val="24"/>
        </w:rPr>
        <w:t xml:space="preserve">. </w:t>
      </w:r>
      <w:r w:rsidRPr="00D412EE">
        <w:rPr>
          <w:rFonts w:eastAsia="Times New Roman" w:cs="Calibri"/>
          <w:sz w:val="24"/>
          <w:szCs w:val="24"/>
        </w:rPr>
        <w:t xml:space="preserve">Also print </w:t>
      </w:r>
      <w:r w:rsidR="00FF14A4">
        <w:rPr>
          <w:rFonts w:eastAsia="Times New Roman" w:cs="Calibri"/>
          <w:sz w:val="24"/>
          <w:szCs w:val="24"/>
        </w:rPr>
        <w:t>PCL-only (</w:t>
      </w:r>
      <w:proofErr w:type="gramStart"/>
      <w:r w:rsidRPr="00D412EE">
        <w:rPr>
          <w:rFonts w:eastAsia="Times New Roman" w:cs="Calibri"/>
          <w:sz w:val="24"/>
          <w:szCs w:val="24"/>
        </w:rPr>
        <w:t>PCL(</w:t>
      </w:r>
      <w:proofErr w:type="gramEnd"/>
      <w:r w:rsidRPr="00D412EE">
        <w:rPr>
          <w:rFonts w:eastAsia="Times New Roman" w:cs="Calibri"/>
          <w:sz w:val="24"/>
          <w:szCs w:val="24"/>
        </w:rPr>
        <w:t>-)</w:t>
      </w:r>
      <w:r w:rsidR="00FF14A4">
        <w:rPr>
          <w:rFonts w:eastAsia="Times New Roman" w:cs="Calibri"/>
          <w:sz w:val="24"/>
          <w:szCs w:val="24"/>
        </w:rPr>
        <w:t>)</w:t>
      </w:r>
      <w:r w:rsidRPr="00D412EE">
        <w:rPr>
          <w:rFonts w:eastAsia="Times New Roman" w:cs="Calibri"/>
          <w:sz w:val="24"/>
          <w:szCs w:val="24"/>
        </w:rPr>
        <w:t xml:space="preserve"> scaffolds of the same geometry as the PLA-ALP/PCL scaffolds. </w:t>
      </w:r>
      <w:r w:rsidR="00591CC7" w:rsidRPr="00D412EE">
        <w:rPr>
          <w:rFonts w:eastAsia="Times New Roman" w:cs="Calibri"/>
          <w:sz w:val="24"/>
          <w:szCs w:val="24"/>
        </w:rPr>
        <w:t>Submerge the</w:t>
      </w:r>
      <w:r w:rsidRPr="00D412EE">
        <w:rPr>
          <w:rFonts w:eastAsia="Times New Roman" w:cs="Calibri"/>
          <w:sz w:val="24"/>
          <w:szCs w:val="24"/>
        </w:rPr>
        <w:t>m</w:t>
      </w:r>
      <w:r w:rsidR="00591CC7" w:rsidRPr="00D412EE">
        <w:rPr>
          <w:rFonts w:eastAsia="Times New Roman" w:cs="Calibri"/>
          <w:sz w:val="24"/>
          <w:szCs w:val="24"/>
        </w:rPr>
        <w:t xml:space="preserve"> in </w:t>
      </w:r>
      <w:r w:rsidR="009F01CA" w:rsidRPr="00D412EE">
        <w:rPr>
          <w:rFonts w:eastAsia="Times New Roman" w:cs="Calibri"/>
          <w:sz w:val="24"/>
          <w:szCs w:val="24"/>
        </w:rPr>
        <w:t>1</w:t>
      </w:r>
      <w:r w:rsidR="00591CC7" w:rsidRPr="00D412EE">
        <w:rPr>
          <w:rFonts w:eastAsia="Times New Roman" w:cs="Calibri"/>
          <w:sz w:val="24"/>
          <w:szCs w:val="24"/>
        </w:rPr>
        <w:t xml:space="preserve"> mL Tris-HCl buffer </w:t>
      </w:r>
      <w:r w:rsidR="009F01CA" w:rsidRPr="00D412EE">
        <w:rPr>
          <w:rFonts w:eastAsia="Times New Roman" w:cs="Calibri"/>
          <w:sz w:val="24"/>
          <w:szCs w:val="24"/>
        </w:rPr>
        <w:t xml:space="preserve">and incubate </w:t>
      </w:r>
      <w:r w:rsidR="00591CC7" w:rsidRPr="00D412EE">
        <w:rPr>
          <w:rFonts w:eastAsia="Times New Roman" w:cs="Calibri"/>
          <w:sz w:val="24"/>
          <w:szCs w:val="24"/>
        </w:rPr>
        <w:t>for 24 h</w:t>
      </w:r>
      <w:r w:rsidR="009F01CA" w:rsidRPr="00D412EE">
        <w:rPr>
          <w:rFonts w:eastAsia="Times New Roman" w:cs="Calibri"/>
          <w:sz w:val="24"/>
          <w:szCs w:val="24"/>
        </w:rPr>
        <w:t xml:space="preserve"> at 37 </w:t>
      </w:r>
      <w:r w:rsidR="0058078F" w:rsidRPr="0058078F">
        <w:rPr>
          <w:rFonts w:eastAsia="Times New Roman" w:cs="Calibri"/>
          <w:sz w:val="24"/>
          <w:szCs w:val="24"/>
        </w:rPr>
        <w:t>°</w:t>
      </w:r>
      <w:r w:rsidR="009F01CA" w:rsidRPr="00D412EE">
        <w:rPr>
          <w:rFonts w:eastAsia="Times New Roman" w:cs="Calibri"/>
          <w:sz w:val="24"/>
          <w:szCs w:val="24"/>
        </w:rPr>
        <w:t>C and 110 rpm</w:t>
      </w:r>
      <w:r w:rsidR="00591CC7" w:rsidRPr="00D412EE">
        <w:rPr>
          <w:rFonts w:eastAsia="Times New Roman" w:cs="Calibri"/>
          <w:sz w:val="24"/>
          <w:szCs w:val="24"/>
        </w:rPr>
        <w:t xml:space="preserve"> </w:t>
      </w:r>
      <w:r w:rsidR="000C32A9">
        <w:rPr>
          <w:rFonts w:eastAsia="Times New Roman" w:cs="Calibri"/>
          <w:sz w:val="24"/>
          <w:szCs w:val="24"/>
        </w:rPr>
        <w:t xml:space="preserve">rotation </w:t>
      </w:r>
      <w:r w:rsidR="00591CC7" w:rsidRPr="00D412EE">
        <w:rPr>
          <w:rFonts w:eastAsia="Times New Roman" w:cs="Calibri"/>
          <w:sz w:val="24"/>
          <w:szCs w:val="24"/>
        </w:rPr>
        <w:t xml:space="preserve">to allow enzyme diffusion. </w:t>
      </w:r>
    </w:p>
    <w:p w14:paraId="1583E946" w14:textId="77777777" w:rsidR="00C437E4" w:rsidRPr="00D412EE" w:rsidRDefault="00C437E4" w:rsidP="00C437E4">
      <w:pPr>
        <w:pStyle w:val="ListParagraph"/>
        <w:spacing w:after="0" w:line="240" w:lineRule="auto"/>
        <w:ind w:left="0"/>
        <w:jc w:val="both"/>
        <w:rPr>
          <w:rFonts w:eastAsia="Times New Roman" w:cs="Calibri"/>
          <w:sz w:val="24"/>
          <w:szCs w:val="24"/>
        </w:rPr>
      </w:pPr>
    </w:p>
    <w:p w14:paraId="0098E44C" w14:textId="1B0B4148" w:rsidR="009F01CA" w:rsidRPr="00D412EE" w:rsidRDefault="009F01CA" w:rsidP="000C32A9">
      <w:pPr>
        <w:pStyle w:val="ListParagraph"/>
        <w:numPr>
          <w:ilvl w:val="1"/>
          <w:numId w:val="8"/>
        </w:numPr>
        <w:spacing w:after="0" w:line="240" w:lineRule="auto"/>
        <w:jc w:val="both"/>
        <w:rPr>
          <w:rFonts w:eastAsia="Times New Roman" w:cs="Calibri"/>
          <w:sz w:val="24"/>
          <w:szCs w:val="24"/>
        </w:rPr>
      </w:pPr>
      <w:r w:rsidRPr="00D412EE">
        <w:rPr>
          <w:rFonts w:eastAsia="Times New Roman" w:cs="Calibri"/>
          <w:sz w:val="24"/>
          <w:szCs w:val="24"/>
        </w:rPr>
        <w:t>Add 1 mL of 1 mg/mL p-nitrophenyl phosphate, disodium hexahydrate in Tris-HCl</w:t>
      </w:r>
      <w:r w:rsidR="006C023F" w:rsidRPr="00D412EE">
        <w:rPr>
          <w:rFonts w:eastAsia="Times New Roman" w:cs="Calibri"/>
          <w:sz w:val="24"/>
          <w:szCs w:val="24"/>
        </w:rPr>
        <w:t xml:space="preserve">. Incubate at 37 </w:t>
      </w:r>
      <w:r w:rsidR="0058078F" w:rsidRPr="0058078F">
        <w:rPr>
          <w:rFonts w:eastAsia="Times New Roman" w:cs="Calibri"/>
          <w:sz w:val="24"/>
          <w:szCs w:val="24"/>
        </w:rPr>
        <w:t>°</w:t>
      </w:r>
      <w:r w:rsidR="006C023F" w:rsidRPr="00D412EE">
        <w:rPr>
          <w:rFonts w:eastAsia="Times New Roman" w:cs="Calibri"/>
          <w:sz w:val="24"/>
          <w:szCs w:val="24"/>
        </w:rPr>
        <w:t xml:space="preserve">C, 110 rpm for an additional 10 h. Read </w:t>
      </w:r>
      <w:r w:rsidR="000C32A9">
        <w:rPr>
          <w:rFonts w:eastAsia="Times New Roman" w:cs="Calibri"/>
          <w:sz w:val="24"/>
          <w:szCs w:val="24"/>
        </w:rPr>
        <w:t xml:space="preserve">the </w:t>
      </w:r>
      <w:r w:rsidR="006C023F" w:rsidRPr="00D412EE">
        <w:rPr>
          <w:rFonts w:eastAsia="Times New Roman" w:cs="Calibri"/>
          <w:sz w:val="24"/>
          <w:szCs w:val="24"/>
        </w:rPr>
        <w:t xml:space="preserve">supernatant absorbance at 415 nm. </w:t>
      </w:r>
    </w:p>
    <w:p w14:paraId="047ADE20" w14:textId="77777777" w:rsidR="00615EAD" w:rsidRPr="00D412EE" w:rsidRDefault="00615EAD" w:rsidP="00D412EE">
      <w:pPr>
        <w:spacing w:after="0" w:line="240" w:lineRule="auto"/>
        <w:jc w:val="both"/>
        <w:rPr>
          <w:rFonts w:eastAsia="Times New Roman" w:cs="Calibri"/>
          <w:sz w:val="24"/>
          <w:szCs w:val="24"/>
        </w:rPr>
      </w:pPr>
    </w:p>
    <w:p w14:paraId="78A83309" w14:textId="77777777" w:rsidR="00C143A5" w:rsidRPr="00C437E4"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REPRESENTATIVE RESULTS:</w:t>
      </w:r>
    </w:p>
    <w:p w14:paraId="67BADB8F" w14:textId="1AF9DBCB"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After sieving, microspheres should appear uniform and be free from aggregates. Under SEM, the sieved microspheres may have small pores on their surface, but will otherwise be spherical and smooth, as shown in </w:t>
      </w:r>
      <w:r w:rsidR="00D412EE" w:rsidRPr="00D412EE">
        <w:rPr>
          <w:rFonts w:eastAsia="Times New Roman" w:cs="Calibri"/>
          <w:b/>
          <w:sz w:val="24"/>
          <w:szCs w:val="24"/>
        </w:rPr>
        <w:t>Figure 1</w:t>
      </w:r>
      <w:r w:rsidRPr="00D412EE">
        <w:rPr>
          <w:rFonts w:eastAsia="Times New Roman" w:cs="Calibri"/>
          <w:sz w:val="24"/>
          <w:szCs w:val="24"/>
        </w:rPr>
        <w:t xml:space="preserve">. All extruded filaments should be of uniform diameter and circular </w:t>
      </w:r>
      <w:r w:rsidRPr="00D412EE">
        <w:rPr>
          <w:rFonts w:eastAsia="Times New Roman" w:cs="Calibri"/>
          <w:sz w:val="24"/>
          <w:szCs w:val="24"/>
        </w:rPr>
        <w:lastRenderedPageBreak/>
        <w:t xml:space="preserve">cross-section. </w:t>
      </w:r>
      <w:r w:rsidR="00FF14A4">
        <w:rPr>
          <w:rFonts w:eastAsia="Times New Roman" w:cs="Calibri"/>
          <w:sz w:val="24"/>
          <w:szCs w:val="24"/>
        </w:rPr>
        <w:t>A f</w:t>
      </w:r>
      <w:r w:rsidRPr="00D412EE">
        <w:rPr>
          <w:rFonts w:eastAsia="Times New Roman" w:cs="Calibri"/>
          <w:sz w:val="24"/>
          <w:szCs w:val="24"/>
        </w:rPr>
        <w:t>ilament that contains microspheres</w:t>
      </w:r>
      <w:r w:rsidR="000A1925" w:rsidRPr="00D412EE">
        <w:rPr>
          <w:rFonts w:eastAsia="Times New Roman" w:cs="Calibri"/>
          <w:sz w:val="24"/>
          <w:szCs w:val="24"/>
        </w:rPr>
        <w:t xml:space="preserve"> </w:t>
      </w:r>
      <w:r w:rsidR="00FF14A4">
        <w:rPr>
          <w:rFonts w:eastAsia="Times New Roman" w:cs="Calibri"/>
          <w:sz w:val="24"/>
          <w:szCs w:val="24"/>
        </w:rPr>
        <w:t>(</w:t>
      </w:r>
      <w:r w:rsidR="000A1925" w:rsidRPr="00D412EE">
        <w:rPr>
          <w:rFonts w:eastAsia="Times New Roman" w:cs="Calibri"/>
          <w:sz w:val="24"/>
          <w:szCs w:val="24"/>
        </w:rPr>
        <w:t>PLA-DM/PCL</w:t>
      </w:r>
      <w:r w:rsidR="00FF14A4">
        <w:rPr>
          <w:rFonts w:eastAsia="Times New Roman" w:cs="Calibri"/>
          <w:sz w:val="24"/>
          <w:szCs w:val="24"/>
        </w:rPr>
        <w:t>)</w:t>
      </w:r>
      <w:r w:rsidRPr="00D412EE">
        <w:rPr>
          <w:rFonts w:eastAsia="Times New Roman" w:cs="Calibri"/>
          <w:sz w:val="24"/>
          <w:szCs w:val="24"/>
        </w:rPr>
        <w:t xml:space="preserve"> will have a slightly more matte finish while </w:t>
      </w:r>
      <w:r w:rsidR="00FF14A4">
        <w:rPr>
          <w:rFonts w:eastAsia="Times New Roman" w:cs="Calibri"/>
          <w:sz w:val="24"/>
          <w:szCs w:val="24"/>
        </w:rPr>
        <w:t xml:space="preserve">a </w:t>
      </w:r>
      <w:r w:rsidRPr="00D412EE">
        <w:rPr>
          <w:rFonts w:eastAsia="Times New Roman" w:cs="Calibri"/>
          <w:sz w:val="24"/>
          <w:szCs w:val="24"/>
        </w:rPr>
        <w:t>PCL</w:t>
      </w:r>
      <w:r w:rsidR="00FF14A4">
        <w:rPr>
          <w:rFonts w:eastAsia="Times New Roman" w:cs="Calibri"/>
          <w:sz w:val="24"/>
          <w:szCs w:val="24"/>
        </w:rPr>
        <w:t>-</w:t>
      </w:r>
      <w:r w:rsidRPr="00D412EE">
        <w:rPr>
          <w:rFonts w:eastAsia="Times New Roman" w:cs="Calibri"/>
          <w:sz w:val="24"/>
          <w:szCs w:val="24"/>
        </w:rPr>
        <w:t>only</w:t>
      </w:r>
      <w:r w:rsidR="00864CBE" w:rsidRPr="00D412EE">
        <w:rPr>
          <w:rFonts w:eastAsia="Times New Roman" w:cs="Calibri"/>
          <w:sz w:val="24"/>
          <w:szCs w:val="24"/>
        </w:rPr>
        <w:t xml:space="preserve"> </w:t>
      </w:r>
      <w:r w:rsidR="00FF14A4">
        <w:rPr>
          <w:rFonts w:eastAsia="Times New Roman" w:cs="Calibri"/>
          <w:sz w:val="24"/>
          <w:szCs w:val="24"/>
        </w:rPr>
        <w:t>(</w:t>
      </w:r>
      <w:proofErr w:type="gramStart"/>
      <w:r w:rsidR="00864CBE" w:rsidRPr="00D412EE">
        <w:rPr>
          <w:rFonts w:eastAsia="Times New Roman" w:cs="Calibri"/>
          <w:sz w:val="24"/>
          <w:szCs w:val="24"/>
        </w:rPr>
        <w:t>PCL(</w:t>
      </w:r>
      <w:proofErr w:type="gramEnd"/>
      <w:r w:rsidR="00864CBE" w:rsidRPr="00D412EE">
        <w:rPr>
          <w:rFonts w:eastAsia="Times New Roman" w:cs="Calibri"/>
          <w:sz w:val="24"/>
          <w:szCs w:val="24"/>
        </w:rPr>
        <w:t>-)</w:t>
      </w:r>
      <w:r w:rsidR="00FF14A4">
        <w:rPr>
          <w:rFonts w:eastAsia="Times New Roman" w:cs="Calibri"/>
          <w:sz w:val="24"/>
          <w:szCs w:val="24"/>
        </w:rPr>
        <w:t>)</w:t>
      </w:r>
      <w:r w:rsidRPr="00D412EE">
        <w:rPr>
          <w:rFonts w:eastAsia="Times New Roman" w:cs="Calibri"/>
          <w:sz w:val="24"/>
          <w:szCs w:val="24"/>
        </w:rPr>
        <w:t xml:space="preserve"> filam</w:t>
      </w:r>
      <w:r w:rsidR="00C143A5" w:rsidRPr="00D412EE">
        <w:rPr>
          <w:rFonts w:eastAsia="Times New Roman" w:cs="Calibri"/>
          <w:sz w:val="24"/>
          <w:szCs w:val="24"/>
        </w:rPr>
        <w:t>ent would look more glossy. The PLA-DM/PCL</w:t>
      </w:r>
      <w:r w:rsidRPr="00D412EE">
        <w:rPr>
          <w:rFonts w:eastAsia="Times New Roman" w:cs="Calibri"/>
          <w:sz w:val="24"/>
          <w:szCs w:val="24"/>
        </w:rPr>
        <w:t xml:space="preserve"> filament would also fee</w:t>
      </w:r>
      <w:r w:rsidR="00C143A5" w:rsidRPr="00D412EE">
        <w:rPr>
          <w:rFonts w:eastAsia="Times New Roman" w:cs="Calibri"/>
          <w:sz w:val="24"/>
          <w:szCs w:val="24"/>
        </w:rPr>
        <w:t>l coarse</w:t>
      </w:r>
      <w:r w:rsidR="00FF14A4">
        <w:rPr>
          <w:rFonts w:eastAsia="Times New Roman" w:cs="Calibri"/>
          <w:sz w:val="24"/>
          <w:szCs w:val="24"/>
        </w:rPr>
        <w:t>r</w:t>
      </w:r>
      <w:r w:rsidR="00C143A5" w:rsidRPr="00D412EE">
        <w:rPr>
          <w:rFonts w:eastAsia="Times New Roman" w:cs="Calibri"/>
          <w:sz w:val="24"/>
          <w:szCs w:val="24"/>
        </w:rPr>
        <w:t xml:space="preserve"> to the touch than the </w:t>
      </w:r>
      <w:proofErr w:type="gramStart"/>
      <w:r w:rsidR="00C143A5" w:rsidRPr="00D412EE">
        <w:rPr>
          <w:rFonts w:eastAsia="Times New Roman" w:cs="Calibri"/>
          <w:sz w:val="24"/>
          <w:szCs w:val="24"/>
        </w:rPr>
        <w:t>PCL(</w:t>
      </w:r>
      <w:proofErr w:type="gramEnd"/>
      <w:r w:rsidR="00C143A5" w:rsidRPr="00D412EE">
        <w:rPr>
          <w:rFonts w:eastAsia="Times New Roman" w:cs="Calibri"/>
          <w:sz w:val="24"/>
          <w:szCs w:val="24"/>
        </w:rPr>
        <w:t xml:space="preserve">-) filament. </w:t>
      </w:r>
      <w:r w:rsidRPr="00D412EE">
        <w:rPr>
          <w:rFonts w:eastAsia="Times New Roman" w:cs="Calibri"/>
          <w:sz w:val="24"/>
          <w:szCs w:val="24"/>
        </w:rPr>
        <w:t>Scaffolds should be printed in the desired geometry which was dictated by the software</w:t>
      </w:r>
      <w:r w:rsidR="00864CBE" w:rsidRPr="00D412EE">
        <w:rPr>
          <w:rFonts w:eastAsia="Times New Roman" w:cs="Calibri"/>
          <w:sz w:val="24"/>
          <w:szCs w:val="24"/>
        </w:rPr>
        <w:t xml:space="preserve"> in step 4.1</w:t>
      </w:r>
      <w:r w:rsidRPr="00D412EE">
        <w:rPr>
          <w:rFonts w:eastAsia="Times New Roman" w:cs="Calibri"/>
          <w:sz w:val="24"/>
          <w:szCs w:val="24"/>
        </w:rPr>
        <w:t>. The scaffold quality and shape should be repeatable and uniform from one print to another. After printing, scaffolds with and without microspheres will be difficult to distinguish</w:t>
      </w:r>
      <w:r w:rsidR="00FF14A4" w:rsidRPr="00FF14A4">
        <w:rPr>
          <w:rFonts w:eastAsia="Times New Roman" w:cs="Calibri"/>
          <w:sz w:val="24"/>
          <w:szCs w:val="24"/>
        </w:rPr>
        <w:t xml:space="preserve"> </w:t>
      </w:r>
      <w:r w:rsidR="00FF14A4" w:rsidRPr="00D412EE">
        <w:rPr>
          <w:rFonts w:eastAsia="Times New Roman" w:cs="Calibri"/>
          <w:sz w:val="24"/>
          <w:szCs w:val="24"/>
        </w:rPr>
        <w:t>macroscopically</w:t>
      </w:r>
      <w:r w:rsidRPr="00D412EE">
        <w:rPr>
          <w:rFonts w:eastAsia="Times New Roman" w:cs="Calibri"/>
          <w:sz w:val="24"/>
          <w:szCs w:val="24"/>
        </w:rPr>
        <w:t>, but under SEM</w:t>
      </w:r>
      <w:r w:rsidR="00FF14A4">
        <w:rPr>
          <w:rFonts w:eastAsia="Times New Roman" w:cs="Calibri"/>
          <w:sz w:val="24"/>
          <w:szCs w:val="24"/>
        </w:rPr>
        <w:t>,</w:t>
      </w:r>
      <w:r w:rsidRPr="00D412EE">
        <w:rPr>
          <w:rFonts w:eastAsia="Times New Roman" w:cs="Calibri"/>
          <w:sz w:val="24"/>
          <w:szCs w:val="24"/>
        </w:rPr>
        <w:t xml:space="preserve"> microspheres should be visible on the surface</w:t>
      </w:r>
      <w:r w:rsidR="00B04DE8" w:rsidRPr="00D412EE">
        <w:rPr>
          <w:rFonts w:eastAsia="Times New Roman" w:cs="Calibri"/>
          <w:sz w:val="24"/>
          <w:szCs w:val="24"/>
        </w:rPr>
        <w:t xml:space="preserve"> and throughout the constructs. Under SEM, </w:t>
      </w:r>
      <w:proofErr w:type="gramStart"/>
      <w:r w:rsidR="00B04DE8" w:rsidRPr="00D412EE">
        <w:rPr>
          <w:rFonts w:eastAsia="Times New Roman" w:cs="Calibri"/>
          <w:sz w:val="24"/>
          <w:szCs w:val="24"/>
        </w:rPr>
        <w:t>PCL(</w:t>
      </w:r>
      <w:proofErr w:type="gramEnd"/>
      <w:r w:rsidR="00B04DE8" w:rsidRPr="00D412EE">
        <w:rPr>
          <w:rFonts w:eastAsia="Times New Roman" w:cs="Calibri"/>
          <w:sz w:val="24"/>
          <w:szCs w:val="24"/>
        </w:rPr>
        <w:t>-) filament will appear smooth, with some striations as an artifact of the extrusion process</w:t>
      </w:r>
      <w:r w:rsidR="00FF14A4">
        <w:rPr>
          <w:rFonts w:eastAsia="Times New Roman" w:cs="Calibri"/>
          <w:sz w:val="24"/>
          <w:szCs w:val="24"/>
        </w:rPr>
        <w:t xml:space="preserve"> (</w:t>
      </w:r>
      <w:r w:rsidR="00D412EE" w:rsidRPr="00D412EE">
        <w:rPr>
          <w:rFonts w:eastAsia="Times New Roman" w:cs="Calibri"/>
          <w:b/>
          <w:sz w:val="24"/>
          <w:szCs w:val="24"/>
        </w:rPr>
        <w:t>Figure 4B</w:t>
      </w:r>
      <w:r w:rsidR="00FF14A4">
        <w:rPr>
          <w:rFonts w:eastAsia="Times New Roman" w:cs="Calibri"/>
          <w:b/>
          <w:sz w:val="24"/>
          <w:szCs w:val="24"/>
        </w:rPr>
        <w:t>)</w:t>
      </w:r>
      <w:r w:rsidR="00B04DE8" w:rsidRPr="00D412EE">
        <w:rPr>
          <w:rFonts w:eastAsia="Times New Roman" w:cs="Calibri"/>
          <w:sz w:val="24"/>
          <w:szCs w:val="24"/>
        </w:rPr>
        <w:t xml:space="preserve">. Microspheres should be visible both protruding through and under the surface of the PLA-DM/PCL scaffolds (see </w:t>
      </w:r>
      <w:r w:rsidR="00D412EE" w:rsidRPr="00D412EE">
        <w:rPr>
          <w:rFonts w:eastAsia="Times New Roman" w:cs="Calibri"/>
          <w:b/>
          <w:sz w:val="24"/>
          <w:szCs w:val="24"/>
        </w:rPr>
        <w:t>Figure 4C</w:t>
      </w:r>
      <w:r w:rsidR="00B04DE8" w:rsidRPr="00D412EE">
        <w:rPr>
          <w:rFonts w:eastAsia="Times New Roman" w:cs="Calibri"/>
          <w:sz w:val="24"/>
          <w:szCs w:val="24"/>
        </w:rPr>
        <w:t>)</w:t>
      </w:r>
      <w:r w:rsidRPr="00D412EE">
        <w:rPr>
          <w:rFonts w:eastAsia="Times New Roman" w:cs="Calibri"/>
          <w:sz w:val="24"/>
          <w:szCs w:val="24"/>
        </w:rPr>
        <w:t xml:space="preserve">. </w:t>
      </w:r>
      <w:r w:rsidR="006B5152" w:rsidRPr="00D412EE">
        <w:rPr>
          <w:rFonts w:eastAsia="Times New Roman" w:cs="Calibri"/>
          <w:sz w:val="24"/>
          <w:szCs w:val="24"/>
        </w:rPr>
        <w:t>When using ALP as a surrogate for DM, the functionality of the enzyme within the scaffold should be maintained with significantly higher absorbance</w:t>
      </w:r>
      <w:r w:rsidR="005F66D5" w:rsidRPr="00D412EE">
        <w:rPr>
          <w:rFonts w:eastAsia="Times New Roman" w:cs="Calibri"/>
          <w:sz w:val="24"/>
          <w:szCs w:val="24"/>
        </w:rPr>
        <w:t xml:space="preserve"> (</w:t>
      </w:r>
      <w:r w:rsidR="00FF14A4" w:rsidRPr="00FF14A4">
        <w:rPr>
          <w:rFonts w:eastAsia="Times New Roman" w:cs="Calibri"/>
          <w:i/>
          <w:sz w:val="24"/>
          <w:szCs w:val="24"/>
        </w:rPr>
        <w:t>t</w:t>
      </w:r>
      <w:r w:rsidR="00FF14A4">
        <w:rPr>
          <w:rFonts w:eastAsia="Times New Roman" w:cs="Calibri"/>
          <w:sz w:val="24"/>
          <w:szCs w:val="24"/>
        </w:rPr>
        <w:t xml:space="preserve">-test, </w:t>
      </w:r>
      <w:r w:rsidR="005F66D5" w:rsidRPr="00D412EE">
        <w:rPr>
          <w:rFonts w:eastAsia="Times New Roman" w:cs="Calibri"/>
          <w:sz w:val="24"/>
          <w:szCs w:val="24"/>
        </w:rPr>
        <w:t>p</w:t>
      </w:r>
      <w:r w:rsidR="00FF14A4">
        <w:rPr>
          <w:rFonts w:eastAsia="Times New Roman" w:cs="Calibri"/>
          <w:sz w:val="24"/>
          <w:szCs w:val="24"/>
        </w:rPr>
        <w:t xml:space="preserve"> </w:t>
      </w:r>
      <w:r w:rsidR="005F66D5" w:rsidRPr="00D412EE">
        <w:rPr>
          <w:rFonts w:eastAsia="Times New Roman" w:cs="Calibri"/>
          <w:sz w:val="24"/>
          <w:szCs w:val="24"/>
        </w:rPr>
        <w:t>&lt;</w:t>
      </w:r>
      <w:r w:rsidR="00FF14A4">
        <w:rPr>
          <w:rFonts w:eastAsia="Times New Roman" w:cs="Calibri"/>
          <w:sz w:val="24"/>
          <w:szCs w:val="24"/>
        </w:rPr>
        <w:t xml:space="preserve"> </w:t>
      </w:r>
      <w:r w:rsidR="005F66D5" w:rsidRPr="00D412EE">
        <w:rPr>
          <w:rFonts w:eastAsia="Times New Roman" w:cs="Calibri"/>
          <w:sz w:val="24"/>
          <w:szCs w:val="24"/>
        </w:rPr>
        <w:t>0.05)</w:t>
      </w:r>
      <w:r w:rsidR="006B5152" w:rsidRPr="00D412EE">
        <w:rPr>
          <w:rFonts w:eastAsia="Times New Roman" w:cs="Calibri"/>
          <w:sz w:val="24"/>
          <w:szCs w:val="24"/>
        </w:rPr>
        <w:t xml:space="preserve"> at 415 nm than those of blank </w:t>
      </w:r>
      <w:proofErr w:type="gramStart"/>
      <w:r w:rsidR="006B5152" w:rsidRPr="00D412EE">
        <w:rPr>
          <w:rFonts w:eastAsia="Times New Roman" w:cs="Calibri"/>
          <w:sz w:val="24"/>
          <w:szCs w:val="24"/>
        </w:rPr>
        <w:t>PCL(</w:t>
      </w:r>
      <w:proofErr w:type="gramEnd"/>
      <w:r w:rsidR="006B5152" w:rsidRPr="00D412EE">
        <w:rPr>
          <w:rFonts w:eastAsia="Times New Roman" w:cs="Calibri"/>
          <w:sz w:val="24"/>
          <w:szCs w:val="24"/>
        </w:rPr>
        <w:t>-) scaffolds,</w:t>
      </w:r>
      <w:r w:rsidR="005F66D5" w:rsidRPr="00D412EE">
        <w:rPr>
          <w:rFonts w:eastAsia="Times New Roman" w:cs="Calibri"/>
          <w:sz w:val="24"/>
          <w:szCs w:val="24"/>
        </w:rPr>
        <w:t xml:space="preserve"> 0.297 ± 0.023 and 0.166 ± 0.012, respectively,</w:t>
      </w:r>
      <w:r w:rsidR="006B5152" w:rsidRPr="00D412EE">
        <w:rPr>
          <w:rFonts w:eastAsia="Times New Roman" w:cs="Calibri"/>
          <w:sz w:val="24"/>
          <w:szCs w:val="24"/>
        </w:rPr>
        <w:t xml:space="preserve"> </w:t>
      </w:r>
      <w:r w:rsidR="00D412EE" w:rsidRPr="00D412EE">
        <w:rPr>
          <w:rFonts w:eastAsia="Times New Roman" w:cs="Calibri"/>
          <w:b/>
          <w:sz w:val="24"/>
          <w:szCs w:val="24"/>
        </w:rPr>
        <w:t>Figure 5</w:t>
      </w:r>
      <w:r w:rsidR="006B5152" w:rsidRPr="00D412EE">
        <w:rPr>
          <w:rFonts w:eastAsia="Times New Roman" w:cs="Calibri"/>
          <w:sz w:val="24"/>
          <w:szCs w:val="24"/>
        </w:rPr>
        <w:t xml:space="preserve">. </w:t>
      </w:r>
    </w:p>
    <w:p w14:paraId="0685DE23" w14:textId="77777777" w:rsidR="00615EAD" w:rsidRPr="00D412EE" w:rsidRDefault="00615EAD" w:rsidP="00D412EE">
      <w:pPr>
        <w:spacing w:after="0" w:line="240" w:lineRule="auto"/>
        <w:jc w:val="both"/>
        <w:rPr>
          <w:rFonts w:eastAsia="Times New Roman" w:cs="Calibri"/>
          <w:sz w:val="24"/>
          <w:szCs w:val="24"/>
        </w:rPr>
      </w:pPr>
    </w:p>
    <w:p w14:paraId="58A78861" w14:textId="1690E0DA" w:rsidR="00615EAD" w:rsidRPr="00D412EE" w:rsidRDefault="00FF14A4"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FIGURE LEGENDS:</w:t>
      </w:r>
      <w:r w:rsidRPr="00D412EE">
        <w:rPr>
          <w:rFonts w:eastAsia="Times New Roman" w:cs="Calibri"/>
          <w:i/>
          <w:iCs/>
          <w:color w:val="808080"/>
          <w:sz w:val="24"/>
          <w:szCs w:val="24"/>
        </w:rPr>
        <w:t xml:space="preserve"> </w:t>
      </w:r>
    </w:p>
    <w:p w14:paraId="2E27DCC3" w14:textId="77777777" w:rsidR="00615EAD" w:rsidRPr="00D412EE" w:rsidRDefault="00615EAD" w:rsidP="00D412EE">
      <w:pPr>
        <w:spacing w:after="0" w:line="240" w:lineRule="auto"/>
        <w:jc w:val="both"/>
        <w:rPr>
          <w:rFonts w:eastAsia="Times New Roman" w:cs="Calibri"/>
          <w:sz w:val="24"/>
          <w:szCs w:val="24"/>
        </w:rPr>
      </w:pPr>
    </w:p>
    <w:p w14:paraId="4A4CF16B" w14:textId="48306512" w:rsidR="00615EAD" w:rsidRPr="00D412EE" w:rsidRDefault="00D412EE" w:rsidP="00D412EE">
      <w:pPr>
        <w:spacing w:after="0" w:line="240" w:lineRule="auto"/>
        <w:jc w:val="both"/>
        <w:rPr>
          <w:rFonts w:eastAsia="Times New Roman" w:cs="Calibri"/>
          <w:sz w:val="24"/>
          <w:szCs w:val="24"/>
        </w:rPr>
      </w:pPr>
      <w:r w:rsidRPr="00D412EE">
        <w:rPr>
          <w:rFonts w:eastAsia="Times New Roman" w:cs="Calibri"/>
          <w:b/>
          <w:sz w:val="24"/>
          <w:szCs w:val="24"/>
        </w:rPr>
        <w:t>Figure 1</w:t>
      </w:r>
      <w:r w:rsidR="00615EAD" w:rsidRPr="00D412EE">
        <w:rPr>
          <w:rFonts w:eastAsia="Times New Roman" w:cs="Calibri"/>
          <w:b/>
          <w:sz w:val="24"/>
          <w:szCs w:val="24"/>
        </w:rPr>
        <w:t>.</w:t>
      </w:r>
      <w:r w:rsidR="00615EAD" w:rsidRPr="00D412EE">
        <w:rPr>
          <w:rFonts w:eastAsia="Times New Roman" w:cs="Calibri"/>
          <w:sz w:val="24"/>
          <w:szCs w:val="24"/>
        </w:rPr>
        <w:t xml:space="preserve"> </w:t>
      </w:r>
      <w:r w:rsidR="00615EAD" w:rsidRPr="00FF14A4">
        <w:rPr>
          <w:rFonts w:eastAsia="Times New Roman" w:cs="Calibri"/>
          <w:b/>
          <w:sz w:val="24"/>
          <w:szCs w:val="24"/>
        </w:rPr>
        <w:t xml:space="preserve">Representative </w:t>
      </w:r>
      <w:r w:rsidR="00583876" w:rsidRPr="00FF14A4">
        <w:rPr>
          <w:rFonts w:eastAsia="Times New Roman" w:cs="Calibri"/>
          <w:b/>
          <w:sz w:val="24"/>
          <w:szCs w:val="24"/>
        </w:rPr>
        <w:t xml:space="preserve">macroscopic (left) and </w:t>
      </w:r>
      <w:r w:rsidR="00615EAD" w:rsidRPr="00FF14A4">
        <w:rPr>
          <w:rFonts w:eastAsia="Times New Roman" w:cs="Calibri"/>
          <w:b/>
          <w:sz w:val="24"/>
          <w:szCs w:val="24"/>
        </w:rPr>
        <w:t>SEM</w:t>
      </w:r>
      <w:r w:rsidR="00583876" w:rsidRPr="00FF14A4">
        <w:rPr>
          <w:rFonts w:eastAsia="Times New Roman" w:cs="Calibri"/>
          <w:b/>
          <w:sz w:val="24"/>
          <w:szCs w:val="24"/>
        </w:rPr>
        <w:t xml:space="preserve"> (right)</w:t>
      </w:r>
      <w:r w:rsidR="00615EAD" w:rsidRPr="00FF14A4">
        <w:rPr>
          <w:rFonts w:eastAsia="Times New Roman" w:cs="Calibri"/>
          <w:b/>
          <w:sz w:val="24"/>
          <w:szCs w:val="24"/>
        </w:rPr>
        <w:t xml:space="preserve"> images of microspheres after preparation and sieving</w:t>
      </w:r>
      <w:r w:rsidR="0048463E" w:rsidRPr="00FF14A4">
        <w:rPr>
          <w:rFonts w:eastAsia="Times New Roman" w:cs="Calibri"/>
          <w:b/>
          <w:sz w:val="24"/>
          <w:szCs w:val="24"/>
        </w:rPr>
        <w:fldChar w:fldCharType="begin" w:fldLock="1"/>
      </w:r>
      <w:r w:rsidR="00D52B77" w:rsidRPr="00FF14A4">
        <w:rPr>
          <w:rFonts w:eastAsia="Times New Roman" w:cs="Calibri"/>
          <w:b/>
          <w:sz w:val="24"/>
          <w:szCs w:val="24"/>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2&lt;/sup&gt;","plainTextFormattedCitation":"2","previouslyFormattedCitation":"&lt;sup&gt;2&lt;/sup&gt;"},"properties":{"noteIndex":0},"schema":"https://github.com/citation-style-language/schema/raw/master/csl-citation.json"}</w:instrText>
      </w:r>
      <w:r w:rsidR="0048463E" w:rsidRPr="00FF14A4">
        <w:rPr>
          <w:rFonts w:eastAsia="Times New Roman" w:cs="Calibri"/>
          <w:b/>
          <w:sz w:val="24"/>
          <w:szCs w:val="24"/>
        </w:rPr>
        <w:fldChar w:fldCharType="separate"/>
      </w:r>
      <w:r w:rsidR="0048463E" w:rsidRPr="00FF14A4">
        <w:rPr>
          <w:rFonts w:eastAsia="Times New Roman" w:cs="Calibri"/>
          <w:b/>
          <w:sz w:val="24"/>
          <w:szCs w:val="24"/>
          <w:vertAlign w:val="superscript"/>
        </w:rPr>
        <w:t>2</w:t>
      </w:r>
      <w:r w:rsidR="0048463E" w:rsidRPr="00FF14A4">
        <w:rPr>
          <w:rFonts w:eastAsia="Times New Roman" w:cs="Calibri"/>
          <w:b/>
          <w:sz w:val="24"/>
          <w:szCs w:val="24"/>
        </w:rPr>
        <w:fldChar w:fldCharType="end"/>
      </w:r>
      <w:r w:rsidR="00615EAD" w:rsidRPr="00D412EE">
        <w:rPr>
          <w:rFonts w:eastAsia="Times New Roman" w:cs="Calibri"/>
          <w:sz w:val="24"/>
          <w:szCs w:val="24"/>
        </w:rPr>
        <w:t>.</w:t>
      </w:r>
      <w:r w:rsidR="007C5F07" w:rsidRPr="00D412EE">
        <w:rPr>
          <w:rFonts w:eastAsia="Times New Roman" w:cs="Calibri"/>
          <w:sz w:val="24"/>
          <w:szCs w:val="24"/>
        </w:rPr>
        <w:t xml:space="preserve"> Note that the microspheres are spherical and in the appropriate size range (53–106</w:t>
      </w:r>
      <w:r w:rsidR="0033607A" w:rsidRPr="00D412EE">
        <w:rPr>
          <w:rFonts w:eastAsia="Times New Roman" w:cs="Calibri"/>
          <w:sz w:val="24"/>
          <w:szCs w:val="24"/>
        </w:rPr>
        <w:t xml:space="preserve"> µm</w:t>
      </w:r>
      <w:r w:rsidR="007C5F07" w:rsidRPr="00D412EE">
        <w:rPr>
          <w:rFonts w:eastAsia="Times New Roman" w:cs="Calibri"/>
          <w:sz w:val="24"/>
          <w:szCs w:val="24"/>
        </w:rPr>
        <w:t xml:space="preserve"> diameter). </w:t>
      </w:r>
    </w:p>
    <w:p w14:paraId="04D661C7" w14:textId="77777777" w:rsidR="00615EAD" w:rsidRPr="00D412EE" w:rsidRDefault="00615EAD" w:rsidP="00D412EE">
      <w:pPr>
        <w:spacing w:after="0" w:line="240" w:lineRule="auto"/>
        <w:jc w:val="both"/>
        <w:rPr>
          <w:rFonts w:eastAsia="Times New Roman" w:cs="Calibri"/>
          <w:sz w:val="24"/>
          <w:szCs w:val="24"/>
        </w:rPr>
      </w:pPr>
    </w:p>
    <w:p w14:paraId="2F71C2D8" w14:textId="3EE4C6ED" w:rsidR="00A76B2F" w:rsidRPr="00FF14A4" w:rsidRDefault="00D412EE" w:rsidP="00D412EE">
      <w:pPr>
        <w:spacing w:after="0" w:line="240" w:lineRule="auto"/>
        <w:jc w:val="both"/>
        <w:rPr>
          <w:rFonts w:eastAsia="Times New Roman" w:cs="Calibri"/>
          <w:b/>
          <w:sz w:val="24"/>
          <w:szCs w:val="24"/>
        </w:rPr>
      </w:pPr>
      <w:r w:rsidRPr="00FF14A4">
        <w:rPr>
          <w:rFonts w:eastAsia="Times New Roman" w:cs="Calibri"/>
          <w:b/>
          <w:sz w:val="24"/>
          <w:szCs w:val="24"/>
        </w:rPr>
        <w:t>Figure 2</w:t>
      </w:r>
      <w:r w:rsidR="00615EAD" w:rsidRPr="00FF14A4">
        <w:rPr>
          <w:rFonts w:eastAsia="Times New Roman" w:cs="Calibri"/>
          <w:b/>
          <w:sz w:val="24"/>
          <w:szCs w:val="24"/>
        </w:rPr>
        <w:t>.</w:t>
      </w:r>
      <w:r w:rsidR="00A76B2F" w:rsidRPr="00FF14A4">
        <w:rPr>
          <w:rFonts w:eastAsia="Times New Roman" w:cs="Calibri"/>
          <w:b/>
          <w:sz w:val="24"/>
          <w:szCs w:val="24"/>
        </w:rPr>
        <w:t xml:space="preserve"> </w:t>
      </w:r>
      <w:r w:rsidR="00FF14A4" w:rsidRPr="00FF14A4">
        <w:rPr>
          <w:rFonts w:eastAsia="Times New Roman" w:cs="Calibri"/>
          <w:b/>
          <w:sz w:val="24"/>
          <w:szCs w:val="24"/>
        </w:rPr>
        <w:t>Custom made rolling mixer</w:t>
      </w:r>
      <w:r w:rsidR="00FF14A4">
        <w:rPr>
          <w:rFonts w:eastAsia="Times New Roman" w:cs="Calibri"/>
          <w:b/>
          <w:sz w:val="24"/>
          <w:szCs w:val="24"/>
        </w:rPr>
        <w:t xml:space="preserve">. </w:t>
      </w:r>
      <w:r w:rsidR="00FF14A4" w:rsidRPr="00085B70">
        <w:rPr>
          <w:rFonts w:eastAsia="Times New Roman" w:cs="Calibri"/>
          <w:sz w:val="24"/>
          <w:szCs w:val="24"/>
        </w:rPr>
        <w:t>The c</w:t>
      </w:r>
      <w:r w:rsidR="00A76B2F" w:rsidRPr="00085B70">
        <w:rPr>
          <w:rFonts w:eastAsia="Times New Roman" w:cs="Calibri"/>
          <w:sz w:val="24"/>
          <w:szCs w:val="24"/>
        </w:rPr>
        <w:t>ustom</w:t>
      </w:r>
      <w:r w:rsidR="00085B70" w:rsidRPr="00085B70">
        <w:rPr>
          <w:rFonts w:eastAsia="Times New Roman" w:cs="Calibri"/>
          <w:sz w:val="24"/>
          <w:szCs w:val="24"/>
        </w:rPr>
        <w:t>-</w:t>
      </w:r>
      <w:r w:rsidR="00A76B2F" w:rsidRPr="00085B70">
        <w:rPr>
          <w:rFonts w:eastAsia="Times New Roman" w:cs="Calibri"/>
          <w:sz w:val="24"/>
          <w:szCs w:val="24"/>
        </w:rPr>
        <w:t xml:space="preserve">made rolling mixer </w:t>
      </w:r>
      <w:r w:rsidR="00FF14A4" w:rsidRPr="00085B70">
        <w:rPr>
          <w:rFonts w:eastAsia="Times New Roman" w:cs="Calibri"/>
          <w:sz w:val="24"/>
          <w:szCs w:val="24"/>
        </w:rPr>
        <w:t xml:space="preserve">is used </w:t>
      </w:r>
      <w:r w:rsidR="00A76B2F" w:rsidRPr="00085B70">
        <w:rPr>
          <w:rFonts w:eastAsia="Times New Roman" w:cs="Calibri"/>
          <w:sz w:val="24"/>
          <w:szCs w:val="24"/>
        </w:rPr>
        <w:t>for combining the microspheres with PCL powder.</w:t>
      </w:r>
      <w:r w:rsidR="00A76B2F" w:rsidRPr="00FF14A4">
        <w:rPr>
          <w:rFonts w:eastAsia="Times New Roman" w:cs="Calibri"/>
          <w:b/>
          <w:sz w:val="24"/>
          <w:szCs w:val="24"/>
        </w:rPr>
        <w:t xml:space="preserve"> </w:t>
      </w:r>
    </w:p>
    <w:p w14:paraId="3A4CB11C" w14:textId="77777777" w:rsidR="00A76B2F" w:rsidRPr="00D412EE" w:rsidRDefault="00A76B2F" w:rsidP="00D412EE">
      <w:pPr>
        <w:spacing w:after="0" w:line="240" w:lineRule="auto"/>
        <w:jc w:val="both"/>
        <w:rPr>
          <w:rFonts w:eastAsia="Times New Roman" w:cs="Calibri"/>
          <w:b/>
          <w:sz w:val="24"/>
          <w:szCs w:val="24"/>
        </w:rPr>
      </w:pPr>
    </w:p>
    <w:p w14:paraId="2B335471" w14:textId="34F1BC38" w:rsidR="00282FA4" w:rsidRPr="00D412EE" w:rsidRDefault="00D412EE" w:rsidP="00D412EE">
      <w:pPr>
        <w:spacing w:after="0" w:line="240" w:lineRule="auto"/>
        <w:jc w:val="both"/>
        <w:rPr>
          <w:rFonts w:eastAsia="Times New Roman" w:cs="Calibri"/>
          <w:sz w:val="24"/>
          <w:szCs w:val="24"/>
        </w:rPr>
      </w:pPr>
      <w:r w:rsidRPr="00D412EE">
        <w:rPr>
          <w:rFonts w:eastAsia="Times New Roman" w:cs="Calibri"/>
          <w:b/>
          <w:sz w:val="24"/>
          <w:szCs w:val="24"/>
        </w:rPr>
        <w:t>Figure 3</w:t>
      </w:r>
      <w:r w:rsidR="00A76B2F" w:rsidRPr="00D412EE">
        <w:rPr>
          <w:rFonts w:eastAsia="Times New Roman" w:cs="Calibri"/>
          <w:b/>
          <w:sz w:val="24"/>
          <w:szCs w:val="24"/>
        </w:rPr>
        <w:t xml:space="preserve">. </w:t>
      </w:r>
      <w:r w:rsidR="00282FA4" w:rsidRPr="00085B70">
        <w:rPr>
          <w:rFonts w:eastAsia="Times New Roman" w:cs="Calibri"/>
          <w:b/>
          <w:sz w:val="24"/>
          <w:szCs w:val="24"/>
        </w:rPr>
        <w:t>Filament production setup.</w:t>
      </w:r>
      <w:r w:rsidR="00282FA4" w:rsidRPr="00D412EE">
        <w:rPr>
          <w:rFonts w:eastAsia="Times New Roman" w:cs="Calibri"/>
          <w:sz w:val="24"/>
          <w:szCs w:val="24"/>
        </w:rPr>
        <w:t xml:space="preserve"> The outlet of the extrude</w:t>
      </w:r>
      <w:bookmarkStart w:id="2" w:name="_GoBack"/>
      <w:bookmarkEnd w:id="2"/>
      <w:r w:rsidR="00282FA4" w:rsidRPr="00D412EE">
        <w:rPr>
          <w:rFonts w:eastAsia="Times New Roman" w:cs="Calibri"/>
          <w:sz w:val="24"/>
          <w:szCs w:val="24"/>
        </w:rPr>
        <w:t>r is set approximately 60 cm from the inlet of the spooler. Desktop fans are located near the heating element and approximately half way between the extruder and spooler. The spooler can optionally be elevated 3–4 inches above the benchtop.</w:t>
      </w:r>
      <w:r w:rsidR="00C143A5" w:rsidRPr="00D412EE">
        <w:rPr>
          <w:rFonts w:eastAsia="Times New Roman" w:cs="Calibri"/>
          <w:sz w:val="24"/>
          <w:szCs w:val="24"/>
        </w:rPr>
        <w:t xml:space="preserve"> </w:t>
      </w:r>
    </w:p>
    <w:p w14:paraId="6B3B41A6" w14:textId="77777777" w:rsidR="00282FA4" w:rsidRPr="00085B70" w:rsidRDefault="00282FA4" w:rsidP="00D412EE">
      <w:pPr>
        <w:spacing w:after="0" w:line="240" w:lineRule="auto"/>
        <w:jc w:val="both"/>
        <w:rPr>
          <w:rFonts w:eastAsia="Times New Roman" w:cs="Calibri"/>
          <w:b/>
          <w:sz w:val="24"/>
          <w:szCs w:val="24"/>
        </w:rPr>
      </w:pPr>
    </w:p>
    <w:p w14:paraId="5B526BE6" w14:textId="310E7A78" w:rsidR="00615EAD" w:rsidRPr="00D412EE" w:rsidRDefault="00D412EE" w:rsidP="00D412EE">
      <w:pPr>
        <w:spacing w:after="0" w:line="240" w:lineRule="auto"/>
        <w:jc w:val="both"/>
        <w:rPr>
          <w:rFonts w:eastAsia="Times New Roman" w:cs="Calibri"/>
          <w:sz w:val="24"/>
          <w:szCs w:val="24"/>
        </w:rPr>
      </w:pPr>
      <w:r w:rsidRPr="00085B70">
        <w:rPr>
          <w:rFonts w:eastAsia="Times New Roman" w:cs="Calibri"/>
          <w:b/>
          <w:sz w:val="24"/>
          <w:szCs w:val="24"/>
        </w:rPr>
        <w:t>Figure 4</w:t>
      </w:r>
      <w:r w:rsidR="00615EAD" w:rsidRPr="00085B70">
        <w:rPr>
          <w:rFonts w:eastAsia="Times New Roman" w:cs="Calibri"/>
          <w:b/>
          <w:sz w:val="24"/>
          <w:szCs w:val="24"/>
        </w:rPr>
        <w:t>.</w:t>
      </w:r>
      <w:r w:rsidR="00C143A5" w:rsidRPr="00085B70">
        <w:rPr>
          <w:rFonts w:eastAsia="Times New Roman" w:cs="Calibri"/>
          <w:b/>
          <w:sz w:val="24"/>
          <w:szCs w:val="24"/>
        </w:rPr>
        <w:t xml:space="preserve"> </w:t>
      </w:r>
      <w:r w:rsidR="00085B70" w:rsidRPr="00085B70">
        <w:rPr>
          <w:rFonts w:eastAsia="Times New Roman" w:cs="Calibri"/>
          <w:b/>
          <w:sz w:val="24"/>
          <w:szCs w:val="24"/>
        </w:rPr>
        <w:t xml:space="preserve">Quality Assessments. </w:t>
      </w:r>
      <w:r w:rsidR="00085B70">
        <w:rPr>
          <w:rFonts w:eastAsia="Times New Roman" w:cs="Calibri"/>
          <w:b/>
          <w:sz w:val="24"/>
          <w:szCs w:val="24"/>
        </w:rPr>
        <w:t xml:space="preserve">(A) </w:t>
      </w:r>
      <w:proofErr w:type="gramStart"/>
      <w:r w:rsidR="00C143A5" w:rsidRPr="00D412EE">
        <w:rPr>
          <w:rFonts w:eastAsia="Times New Roman" w:cs="Calibri"/>
          <w:sz w:val="24"/>
          <w:szCs w:val="24"/>
        </w:rPr>
        <w:t>PCL(</w:t>
      </w:r>
      <w:proofErr w:type="gramEnd"/>
      <w:r w:rsidR="00C143A5" w:rsidRPr="00D412EE">
        <w:rPr>
          <w:rFonts w:eastAsia="Times New Roman" w:cs="Calibri"/>
          <w:sz w:val="24"/>
          <w:szCs w:val="24"/>
        </w:rPr>
        <w:t>-)</w:t>
      </w:r>
      <w:r w:rsidR="00085B70">
        <w:rPr>
          <w:rFonts w:eastAsia="Times New Roman" w:cs="Calibri"/>
          <w:sz w:val="24"/>
          <w:szCs w:val="24"/>
        </w:rPr>
        <w:t xml:space="preserve"> (</w:t>
      </w:r>
      <w:r w:rsidR="00583876" w:rsidRPr="00D412EE">
        <w:rPr>
          <w:rFonts w:eastAsia="Times New Roman" w:cs="Calibri"/>
          <w:sz w:val="24"/>
          <w:szCs w:val="24"/>
        </w:rPr>
        <w:t>lef</w:t>
      </w:r>
      <w:r w:rsidR="00085B70">
        <w:rPr>
          <w:rFonts w:eastAsia="Times New Roman" w:cs="Calibri"/>
          <w:sz w:val="24"/>
          <w:szCs w:val="24"/>
        </w:rPr>
        <w:t>t)</w:t>
      </w:r>
      <w:r w:rsidR="00C143A5" w:rsidRPr="00D412EE">
        <w:rPr>
          <w:rFonts w:eastAsia="Times New Roman" w:cs="Calibri"/>
          <w:sz w:val="24"/>
          <w:szCs w:val="24"/>
        </w:rPr>
        <w:t xml:space="preserve"> and PLA-DM/PCL</w:t>
      </w:r>
      <w:r w:rsidR="00085B70">
        <w:rPr>
          <w:rFonts w:eastAsia="Times New Roman" w:cs="Calibri"/>
          <w:sz w:val="24"/>
          <w:szCs w:val="24"/>
        </w:rPr>
        <w:t xml:space="preserve"> (</w:t>
      </w:r>
      <w:r w:rsidR="00583876" w:rsidRPr="00D412EE">
        <w:rPr>
          <w:rFonts w:eastAsia="Times New Roman" w:cs="Calibri"/>
          <w:sz w:val="24"/>
          <w:szCs w:val="24"/>
        </w:rPr>
        <w:t>right</w:t>
      </w:r>
      <w:r w:rsidR="00085B70">
        <w:rPr>
          <w:rFonts w:eastAsia="Times New Roman" w:cs="Calibri"/>
          <w:sz w:val="24"/>
          <w:szCs w:val="24"/>
        </w:rPr>
        <w:t>)</w:t>
      </w:r>
      <w:r w:rsidR="00615EAD" w:rsidRPr="00D412EE">
        <w:rPr>
          <w:rFonts w:eastAsia="Times New Roman" w:cs="Calibri"/>
          <w:sz w:val="24"/>
          <w:szCs w:val="24"/>
        </w:rPr>
        <w:t xml:space="preserve"> scaffolds are difficult to distinguish</w:t>
      </w:r>
      <w:r w:rsidR="00583876" w:rsidRPr="00D412EE">
        <w:rPr>
          <w:rFonts w:eastAsia="Times New Roman" w:cs="Calibri"/>
          <w:sz w:val="24"/>
          <w:szCs w:val="24"/>
        </w:rPr>
        <w:t xml:space="preserve"> </w:t>
      </w:r>
      <w:r w:rsidR="00085B70">
        <w:rPr>
          <w:rFonts w:eastAsia="Times New Roman" w:cs="Calibri"/>
          <w:sz w:val="24"/>
          <w:szCs w:val="24"/>
        </w:rPr>
        <w:t>m</w:t>
      </w:r>
      <w:r w:rsidR="00085B70" w:rsidRPr="00085B70">
        <w:rPr>
          <w:rFonts w:eastAsia="Times New Roman" w:cs="Calibri"/>
          <w:sz w:val="24"/>
          <w:szCs w:val="24"/>
        </w:rPr>
        <w:t>acroscopically</w:t>
      </w:r>
      <w:r w:rsidR="008E5295" w:rsidRPr="00D412EE">
        <w:rPr>
          <w:rFonts w:eastAsia="Times New Roman" w:cs="Calibri"/>
          <w:sz w:val="24"/>
          <w:szCs w:val="24"/>
        </w:rPr>
        <w:t>.</w:t>
      </w:r>
      <w:r w:rsidR="00085B70">
        <w:rPr>
          <w:rFonts w:eastAsia="Times New Roman" w:cs="Calibri"/>
          <w:sz w:val="24"/>
          <w:szCs w:val="24"/>
        </w:rPr>
        <w:t xml:space="preserve"> </w:t>
      </w:r>
      <w:r w:rsidR="00085B70" w:rsidRPr="00085B70">
        <w:rPr>
          <w:rFonts w:eastAsia="Times New Roman" w:cs="Calibri"/>
          <w:b/>
          <w:sz w:val="24"/>
          <w:szCs w:val="24"/>
        </w:rPr>
        <w:t>(B)</w:t>
      </w:r>
      <w:r w:rsidR="008E5295" w:rsidRPr="00D412EE">
        <w:rPr>
          <w:rFonts w:eastAsia="Times New Roman" w:cs="Calibri"/>
          <w:sz w:val="24"/>
          <w:szCs w:val="24"/>
        </w:rPr>
        <w:t xml:space="preserve"> Under SEM</w:t>
      </w:r>
      <w:r w:rsidR="00615EAD" w:rsidRPr="00D412EE">
        <w:rPr>
          <w:rFonts w:eastAsia="Times New Roman" w:cs="Calibri"/>
          <w:sz w:val="24"/>
          <w:szCs w:val="24"/>
        </w:rPr>
        <w:t xml:space="preserve">, </w:t>
      </w:r>
      <w:r w:rsidR="008E5295" w:rsidRPr="00D412EE">
        <w:rPr>
          <w:rFonts w:eastAsia="Times New Roman" w:cs="Calibri"/>
          <w:sz w:val="24"/>
          <w:szCs w:val="24"/>
        </w:rPr>
        <w:t xml:space="preserve">the </w:t>
      </w:r>
      <w:proofErr w:type="gramStart"/>
      <w:r w:rsidR="008E5295" w:rsidRPr="00D412EE">
        <w:rPr>
          <w:rFonts w:eastAsia="Times New Roman" w:cs="Calibri"/>
          <w:sz w:val="24"/>
          <w:szCs w:val="24"/>
        </w:rPr>
        <w:t>PCL(</w:t>
      </w:r>
      <w:proofErr w:type="gramEnd"/>
      <w:r w:rsidR="008E5295" w:rsidRPr="00D412EE">
        <w:rPr>
          <w:rFonts w:eastAsia="Times New Roman" w:cs="Calibri"/>
          <w:sz w:val="24"/>
          <w:szCs w:val="24"/>
        </w:rPr>
        <w:t>-) scaffold appears mostly smooth, with a few striations as artifact</w:t>
      </w:r>
      <w:r w:rsidR="00085B70">
        <w:rPr>
          <w:rFonts w:eastAsia="Times New Roman" w:cs="Calibri"/>
          <w:sz w:val="24"/>
          <w:szCs w:val="24"/>
        </w:rPr>
        <w:t>s</w:t>
      </w:r>
      <w:r w:rsidR="008E5295" w:rsidRPr="00D412EE">
        <w:rPr>
          <w:rFonts w:eastAsia="Times New Roman" w:cs="Calibri"/>
          <w:sz w:val="24"/>
          <w:szCs w:val="24"/>
        </w:rPr>
        <w:t xml:space="preserve"> of the printing process. </w:t>
      </w:r>
      <w:r w:rsidR="00085B70" w:rsidRPr="00085B70">
        <w:rPr>
          <w:rFonts w:eastAsia="Times New Roman" w:cs="Calibri"/>
          <w:b/>
          <w:sz w:val="24"/>
          <w:szCs w:val="24"/>
        </w:rPr>
        <w:t>(C)</w:t>
      </w:r>
      <w:r w:rsidR="00085B70">
        <w:rPr>
          <w:rFonts w:eastAsia="Times New Roman" w:cs="Calibri"/>
          <w:sz w:val="24"/>
          <w:szCs w:val="24"/>
        </w:rPr>
        <w:t xml:space="preserve"> </w:t>
      </w:r>
      <w:r w:rsidR="008E5295" w:rsidRPr="00D412EE">
        <w:rPr>
          <w:rFonts w:eastAsia="Times New Roman" w:cs="Calibri"/>
          <w:sz w:val="24"/>
          <w:szCs w:val="24"/>
        </w:rPr>
        <w:t xml:space="preserve">Under SEM, </w:t>
      </w:r>
      <w:r w:rsidR="00615EAD" w:rsidRPr="00D412EE">
        <w:rPr>
          <w:rFonts w:eastAsia="Times New Roman" w:cs="Calibri"/>
          <w:sz w:val="24"/>
          <w:szCs w:val="24"/>
        </w:rPr>
        <w:t>microspheres are visible</w:t>
      </w:r>
      <w:r w:rsidR="00000675" w:rsidRPr="00D412EE">
        <w:rPr>
          <w:rFonts w:eastAsia="Times New Roman" w:cs="Calibri"/>
          <w:sz w:val="24"/>
          <w:szCs w:val="24"/>
        </w:rPr>
        <w:t xml:space="preserve"> in the PLA-DM/PCL samples</w:t>
      </w:r>
      <w:r w:rsidR="008E5295" w:rsidRPr="00D412EE">
        <w:rPr>
          <w:rFonts w:eastAsia="Times New Roman" w:cs="Calibri"/>
          <w:sz w:val="24"/>
          <w:szCs w:val="24"/>
        </w:rPr>
        <w:t xml:space="preserve">. Some of the microspheres are </w:t>
      </w:r>
      <w:r w:rsidR="00085B70">
        <w:rPr>
          <w:rFonts w:eastAsia="Times New Roman" w:cs="Calibri"/>
          <w:sz w:val="24"/>
          <w:szCs w:val="24"/>
        </w:rPr>
        <w:t>indicated</w:t>
      </w:r>
      <w:r w:rsidR="008E5295" w:rsidRPr="00D412EE">
        <w:rPr>
          <w:rFonts w:eastAsia="Times New Roman" w:cs="Calibri"/>
          <w:sz w:val="24"/>
          <w:szCs w:val="24"/>
        </w:rPr>
        <w:t xml:space="preserve"> </w:t>
      </w:r>
      <w:r w:rsidR="00085B70">
        <w:rPr>
          <w:rFonts w:eastAsia="Times New Roman" w:cs="Calibri"/>
          <w:sz w:val="24"/>
          <w:szCs w:val="24"/>
        </w:rPr>
        <w:t>using</w:t>
      </w:r>
      <w:r w:rsidR="008E5295" w:rsidRPr="00D412EE">
        <w:rPr>
          <w:rFonts w:eastAsia="Times New Roman" w:cs="Calibri"/>
          <w:sz w:val="24"/>
          <w:szCs w:val="24"/>
        </w:rPr>
        <w:t xml:space="preserve"> arrows</w:t>
      </w:r>
      <w:r w:rsidR="00615EAD" w:rsidRPr="00D412EE">
        <w:rPr>
          <w:rFonts w:eastAsia="Times New Roman" w:cs="Calibri"/>
          <w:sz w:val="24"/>
          <w:szCs w:val="24"/>
        </w:rPr>
        <w:t>.</w:t>
      </w:r>
    </w:p>
    <w:p w14:paraId="0402344B" w14:textId="77777777" w:rsidR="00A76B2F" w:rsidRPr="00D412EE" w:rsidRDefault="00A76B2F" w:rsidP="00D412EE">
      <w:pPr>
        <w:spacing w:after="0" w:line="240" w:lineRule="auto"/>
        <w:jc w:val="both"/>
        <w:rPr>
          <w:rFonts w:eastAsia="Times New Roman" w:cs="Calibri"/>
          <w:sz w:val="24"/>
          <w:szCs w:val="24"/>
        </w:rPr>
      </w:pPr>
    </w:p>
    <w:p w14:paraId="639CDDA3" w14:textId="3E7707B9" w:rsidR="00A76B2F" w:rsidRPr="00D412EE" w:rsidRDefault="00D412EE" w:rsidP="00D412EE">
      <w:pPr>
        <w:spacing w:after="0" w:line="240" w:lineRule="auto"/>
        <w:jc w:val="both"/>
        <w:rPr>
          <w:rFonts w:eastAsia="Times New Roman" w:cs="Calibri"/>
          <w:sz w:val="24"/>
          <w:szCs w:val="24"/>
        </w:rPr>
      </w:pPr>
      <w:r w:rsidRPr="00D412EE">
        <w:rPr>
          <w:rFonts w:eastAsia="Times New Roman" w:cs="Calibri"/>
          <w:b/>
          <w:sz w:val="24"/>
          <w:szCs w:val="24"/>
        </w:rPr>
        <w:t>Figure 5</w:t>
      </w:r>
      <w:r w:rsidR="00A76B2F" w:rsidRPr="00D412EE">
        <w:rPr>
          <w:rFonts w:eastAsia="Times New Roman" w:cs="Calibri"/>
          <w:b/>
          <w:sz w:val="24"/>
          <w:szCs w:val="24"/>
        </w:rPr>
        <w:t>.</w:t>
      </w:r>
      <w:r w:rsidR="00A76B2F" w:rsidRPr="00D412EE">
        <w:rPr>
          <w:rFonts w:eastAsia="Times New Roman" w:cs="Calibri"/>
          <w:sz w:val="24"/>
          <w:szCs w:val="24"/>
        </w:rPr>
        <w:t xml:space="preserve"> </w:t>
      </w:r>
      <w:r w:rsidR="00A76B2F" w:rsidRPr="00085B70">
        <w:rPr>
          <w:rFonts w:eastAsia="Times New Roman" w:cs="Calibri"/>
          <w:b/>
          <w:sz w:val="24"/>
          <w:szCs w:val="24"/>
        </w:rPr>
        <w:t>Representative results of an ALP colorimetric assay.</w:t>
      </w:r>
      <w:r w:rsidR="00A76B2F" w:rsidRPr="00D412EE">
        <w:rPr>
          <w:rFonts w:eastAsia="Times New Roman" w:cs="Calibri"/>
          <w:sz w:val="24"/>
          <w:szCs w:val="24"/>
        </w:rPr>
        <w:t xml:space="preserve"> </w:t>
      </w:r>
      <w:r w:rsidR="00085B70">
        <w:rPr>
          <w:rFonts w:eastAsia="Times New Roman" w:cs="Calibri"/>
          <w:sz w:val="24"/>
          <w:szCs w:val="24"/>
        </w:rPr>
        <w:t>The</w:t>
      </w:r>
      <w:r w:rsidR="008E5295" w:rsidRPr="00D412EE">
        <w:rPr>
          <w:rFonts w:eastAsia="Times New Roman" w:cs="Calibri"/>
          <w:sz w:val="24"/>
          <w:szCs w:val="24"/>
        </w:rPr>
        <w:t xml:space="preserve"> absorbance </w:t>
      </w:r>
      <w:r w:rsidR="00085B70">
        <w:rPr>
          <w:rFonts w:eastAsia="Times New Roman" w:cs="Calibri"/>
          <w:sz w:val="24"/>
          <w:szCs w:val="24"/>
        </w:rPr>
        <w:t>of</w:t>
      </w:r>
      <w:r w:rsidR="008E5295" w:rsidRPr="00D412EE">
        <w:rPr>
          <w:rFonts w:eastAsia="Times New Roman" w:cs="Calibri"/>
          <w:sz w:val="24"/>
          <w:szCs w:val="24"/>
        </w:rPr>
        <w:t xml:space="preserve"> ALP-</w:t>
      </w:r>
      <w:r w:rsidR="00A76B2F" w:rsidRPr="00D412EE">
        <w:rPr>
          <w:rFonts w:eastAsia="Times New Roman" w:cs="Calibri"/>
          <w:sz w:val="24"/>
          <w:szCs w:val="24"/>
        </w:rPr>
        <w:t>containing scaffold</w:t>
      </w:r>
      <w:r w:rsidR="00085B70">
        <w:rPr>
          <w:rFonts w:eastAsia="Times New Roman" w:cs="Calibri"/>
          <w:sz w:val="24"/>
          <w:szCs w:val="24"/>
        </w:rPr>
        <w:t>s (</w:t>
      </w:r>
      <w:r w:rsidR="008E5295" w:rsidRPr="00D412EE">
        <w:rPr>
          <w:rFonts w:eastAsia="Times New Roman" w:cs="Calibri"/>
          <w:sz w:val="24"/>
          <w:szCs w:val="24"/>
        </w:rPr>
        <w:t>PLA-ALP/PCL</w:t>
      </w:r>
      <w:r w:rsidR="00085B70">
        <w:rPr>
          <w:rFonts w:eastAsia="Times New Roman" w:cs="Calibri"/>
          <w:sz w:val="24"/>
          <w:szCs w:val="24"/>
        </w:rPr>
        <w:t>)</w:t>
      </w:r>
      <w:r w:rsidR="00A76B2F" w:rsidRPr="00D412EE">
        <w:rPr>
          <w:rFonts w:eastAsia="Times New Roman" w:cs="Calibri"/>
          <w:sz w:val="24"/>
          <w:szCs w:val="24"/>
        </w:rPr>
        <w:t xml:space="preserve"> is significantly higher than that of the </w:t>
      </w:r>
      <w:r w:rsidR="00085B70">
        <w:rPr>
          <w:rFonts w:eastAsia="Times New Roman" w:cs="Calibri"/>
          <w:sz w:val="24"/>
          <w:szCs w:val="24"/>
        </w:rPr>
        <w:t>PCL-only (</w:t>
      </w:r>
      <w:proofErr w:type="gramStart"/>
      <w:r w:rsidR="00A76B2F" w:rsidRPr="00D412EE">
        <w:rPr>
          <w:rFonts w:eastAsia="Times New Roman" w:cs="Calibri"/>
          <w:sz w:val="24"/>
          <w:szCs w:val="24"/>
        </w:rPr>
        <w:t>PCL(</w:t>
      </w:r>
      <w:proofErr w:type="gramEnd"/>
      <w:r w:rsidR="00A76B2F" w:rsidRPr="00D412EE">
        <w:rPr>
          <w:rFonts w:eastAsia="Times New Roman" w:cs="Calibri"/>
          <w:sz w:val="24"/>
          <w:szCs w:val="24"/>
        </w:rPr>
        <w:t>-)</w:t>
      </w:r>
      <w:r w:rsidR="00085B70">
        <w:rPr>
          <w:rFonts w:eastAsia="Times New Roman" w:cs="Calibri"/>
          <w:sz w:val="24"/>
          <w:szCs w:val="24"/>
        </w:rPr>
        <w:t>)</w:t>
      </w:r>
      <w:r w:rsidR="00A76B2F" w:rsidRPr="00D412EE">
        <w:rPr>
          <w:rFonts w:eastAsia="Times New Roman" w:cs="Calibri"/>
          <w:sz w:val="24"/>
          <w:szCs w:val="24"/>
        </w:rPr>
        <w:t xml:space="preserve"> scaffolds, indicating that the ALP enzyme catalyzed the reaction from colorless p-nitrophenyl phosphate to p-nitrophenol and inorganic phosphate</w:t>
      </w:r>
      <w:r w:rsidR="00085B70">
        <w:rPr>
          <w:rFonts w:eastAsia="Times New Roman" w:cs="Calibri"/>
          <w:sz w:val="24"/>
          <w:szCs w:val="24"/>
        </w:rPr>
        <w:t>. This</w:t>
      </w:r>
      <w:r w:rsidR="00A76B2F" w:rsidRPr="00D412EE">
        <w:rPr>
          <w:rFonts w:eastAsia="Times New Roman" w:cs="Calibri"/>
          <w:sz w:val="24"/>
          <w:szCs w:val="24"/>
        </w:rPr>
        <w:t xml:space="preserve"> demonstrates</w:t>
      </w:r>
      <w:r w:rsidR="00085B70">
        <w:rPr>
          <w:rFonts w:eastAsia="Times New Roman" w:cs="Calibri"/>
          <w:sz w:val="24"/>
          <w:szCs w:val="24"/>
        </w:rPr>
        <w:t xml:space="preserve"> that</w:t>
      </w:r>
      <w:r w:rsidR="00A76B2F" w:rsidRPr="00D412EE">
        <w:rPr>
          <w:rFonts w:eastAsia="Times New Roman" w:cs="Calibri"/>
          <w:sz w:val="24"/>
          <w:szCs w:val="24"/>
        </w:rPr>
        <w:t xml:space="preserve"> the ability</w:t>
      </w:r>
      <w:r w:rsidR="00085B70">
        <w:rPr>
          <w:rFonts w:eastAsia="Times New Roman" w:cs="Calibri"/>
          <w:sz w:val="24"/>
          <w:szCs w:val="24"/>
        </w:rPr>
        <w:t xml:space="preserve"> to print</w:t>
      </w:r>
      <w:r w:rsidR="00A76B2F" w:rsidRPr="00D412EE">
        <w:rPr>
          <w:rFonts w:eastAsia="Times New Roman" w:cs="Calibri"/>
          <w:sz w:val="24"/>
          <w:szCs w:val="24"/>
        </w:rPr>
        <w:t xml:space="preserve"> functional proteins with the process described in this manuscript. </w:t>
      </w:r>
      <w:r w:rsidR="00B04DE8" w:rsidRPr="00D412EE">
        <w:rPr>
          <w:rFonts w:eastAsia="Times New Roman" w:cs="Calibri"/>
          <w:sz w:val="24"/>
          <w:szCs w:val="24"/>
        </w:rPr>
        <w:t>*</w:t>
      </w:r>
      <w:r w:rsidR="00D95952">
        <w:rPr>
          <w:rFonts w:eastAsia="Times New Roman" w:cs="Calibri"/>
          <w:sz w:val="24"/>
          <w:szCs w:val="24"/>
        </w:rPr>
        <w:t xml:space="preserve"> </w:t>
      </w:r>
      <w:r w:rsidR="00B04DE8" w:rsidRPr="00D412EE">
        <w:rPr>
          <w:rFonts w:eastAsia="Times New Roman" w:cs="Calibri"/>
          <w:sz w:val="24"/>
          <w:szCs w:val="24"/>
        </w:rPr>
        <w:t>significantly different (p</w:t>
      </w:r>
      <w:r w:rsidR="00085B70">
        <w:rPr>
          <w:rFonts w:eastAsia="Times New Roman" w:cs="Calibri"/>
          <w:sz w:val="24"/>
          <w:szCs w:val="24"/>
        </w:rPr>
        <w:t xml:space="preserve"> </w:t>
      </w:r>
      <w:r w:rsidR="00B04DE8" w:rsidRPr="00D412EE">
        <w:rPr>
          <w:rFonts w:eastAsia="Times New Roman" w:cs="Calibri"/>
          <w:sz w:val="24"/>
          <w:szCs w:val="24"/>
        </w:rPr>
        <w:t>&lt;</w:t>
      </w:r>
      <w:r w:rsidR="00085B70">
        <w:rPr>
          <w:rFonts w:eastAsia="Times New Roman" w:cs="Calibri"/>
          <w:sz w:val="24"/>
          <w:szCs w:val="24"/>
        </w:rPr>
        <w:t xml:space="preserve"> </w:t>
      </w:r>
      <w:r w:rsidR="00B04DE8" w:rsidRPr="00D412EE">
        <w:rPr>
          <w:rFonts w:eastAsia="Times New Roman" w:cs="Calibri"/>
          <w:sz w:val="24"/>
          <w:szCs w:val="24"/>
        </w:rPr>
        <w:t>0.05) from all other groups.</w:t>
      </w:r>
      <w:r w:rsidR="00085B70">
        <w:rPr>
          <w:rFonts w:eastAsia="Times New Roman" w:cs="Calibri"/>
          <w:sz w:val="24"/>
          <w:szCs w:val="24"/>
        </w:rPr>
        <w:t xml:space="preserve"> Error bars indicate standard deviation.</w:t>
      </w:r>
    </w:p>
    <w:p w14:paraId="13EF9F7E" w14:textId="77777777" w:rsidR="00615EAD" w:rsidRPr="00D412EE" w:rsidRDefault="00615EAD" w:rsidP="00D412EE">
      <w:pPr>
        <w:spacing w:after="0" w:line="240" w:lineRule="auto"/>
        <w:jc w:val="both"/>
        <w:rPr>
          <w:rFonts w:eastAsia="Times New Roman" w:cs="Calibri"/>
          <w:sz w:val="24"/>
          <w:szCs w:val="24"/>
        </w:rPr>
      </w:pPr>
    </w:p>
    <w:p w14:paraId="57623357" w14:textId="0DDCC07C"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DISCUSSION: </w:t>
      </w:r>
    </w:p>
    <w:p w14:paraId="6D5885B7" w14:textId="4D874CB6" w:rsidR="008D7464" w:rsidRPr="00D412EE" w:rsidRDefault="00066086" w:rsidP="00D412EE">
      <w:pPr>
        <w:spacing w:after="0" w:line="240" w:lineRule="auto"/>
        <w:jc w:val="both"/>
        <w:rPr>
          <w:rFonts w:eastAsia="Times New Roman" w:cs="Calibri"/>
          <w:sz w:val="24"/>
          <w:szCs w:val="24"/>
        </w:rPr>
      </w:pPr>
      <w:r w:rsidRPr="00D412EE">
        <w:rPr>
          <w:rFonts w:eastAsia="Times New Roman" w:cs="Calibri"/>
          <w:sz w:val="24"/>
          <w:szCs w:val="24"/>
        </w:rPr>
        <w:t>Both decellularized matrices and 3D printed PCL scaffolds have independently been show</w:t>
      </w:r>
      <w:r w:rsidR="008D7464" w:rsidRPr="00D412EE">
        <w:rPr>
          <w:rFonts w:eastAsia="Times New Roman" w:cs="Calibri"/>
          <w:sz w:val="24"/>
          <w:szCs w:val="24"/>
        </w:rPr>
        <w:t>n to allow adhesion and proliferation</w:t>
      </w:r>
      <w:r w:rsidRPr="00D412EE">
        <w:rPr>
          <w:rFonts w:eastAsia="Times New Roman" w:cs="Calibri"/>
          <w:sz w:val="24"/>
          <w:szCs w:val="24"/>
        </w:rPr>
        <w:t xml:space="preserve"> of cells, validating their use for osteochondral repair</w:t>
      </w:r>
      <w:r w:rsidR="0027084B"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{"citationItems":[{"id":"ITEM-1","itemData":{"DOI":"10.1016/j.biomaterials.2014.10.012","ISBN":"0142-9612","ISSN":"18785905","PMID":"25453953","abstract":"3D printing technique is the most sophisticated technique to produce scaffolds with tailorable physical properties. But, these scaffolds often suffer from limited biological functionality as they are typically made from synthetic materials. Cell-laid mineralized ECM was shown to be potential for improving the cellular responses and drive osteogenesis of stem cells. Here, we intend to improve the biological functionality of 3D-printed synthetic scaffolds by ornamenting them with cell-laid mineralized extracellular matrix (ECM) that mimics a bony microenvironment. We developed bone graft substitutes by using 3D printed scaffolds made from a composite of polycaprolactone (PCL), poly(lactic-co-glycolic acid) (PLGA), and ??-tricalcium phosphate (??-TCP) and mineralized ECM laid by human nasal inferior turbinate tissue-derived mesenchymal stromal cells (hTMSCs). A rotary flask bioreactor was used to culture hTMSCs on the scaffolds to foster formation of mineralized ECM. A freeze/thaw cycle in hypotonic buffer was used to efficiently decellularize (97% DNA reduction) the ECM-ornamented scaffolds while preserving its main organic and inorganic components. The ECM-ornamented 3D printed scaffolds supported osteoblastic differentiation of newly-seeded hTMSCs by upregulating four typical osteoblastic genes (4-fold higher RUNX2; 3-fold higher ALP; 4-fold higher osteocalcin; and 4-fold higher osteopontin) and increasing calcium deposition compared to bare 3D printed scaffolds. Invivo, in ectopic and orthotopic models in rats, ECM-ornamented scaffolds induced greater bone formation than that of bare scaffolds. These results suggest a valuable method to produce ECM-ornamented 3D printed scaffolds as off-the-shelf bone graft substitutes that combine tunable physical properties with physiological presentation of biological signals.","author":[{"dropping-particle":"","family":"Pati","given":"Falguni","non-dropping-particle":"","parse-names":false,"suffix":""},{"dropping-particle":"","family":"Song","given":"Tae Ha","non-dropping-particle":"","parse-names":false,"suffix":""},{"dropping-particle":"","family":"Rijal","given":"Girdhari","non-dropping-particle":"","parse-names":false,"suffix":""},{"dropping-particle":"","family":"Jang","given":"Jinah","non-dropping-particle":"","parse-names":false,"suffix":""},{"dropping-particle":"","family":"Kim","given":"Sung Won","non-dropping-particle":"","parse-names":false,"suffix":""},{"dropping-particle":"","family":"Cho","given":"Dong Woo","non-dropping-particle":"","parse-names":false,"suffix":""}],"container-title":"Biomaterials","id":"ITEM-1","issue":"October","issued":{"date-parts":[["2015"]]},"page":"230-241","title":"Ornamenting 3D printed scaffolds with cell-laid extracellular matrix for bone tissue regeneration","type":"article-journal","volume":"37"},"uris":["http://www.mendeley.com/documents/?uuid=dd969e6c-8345-4a8c-9d62-a1f90ef17b54"]},{"id":"ITEM-2","itemData":{"DOI":"10.1016/j.msec.2014.09.042","ISBN":"0928-4931","ISSN":"09284931","PMID":"25491954","abstract":"Interface integration between chondral phase and osseous phase is crucial in engineered osteochondral scaffolds. However, the integration was poorly understood and commonly failed to meet the need of osteochondral scaffolds. In this paper, a biphasic polyethylene glycol (PEG)/β-tricalcium phosphate (β-TCP) scaffold with enhanced interfacial integration was developed. The chondral phase was a PEG hydrogel. The osseous phase was a β-TCP ceramic scaffold. The PEG hydrogel was directly cured on the ceramic interface layer by layer to fabricate osteochondral scaffolds by 3D printing technology. Meanwhile, a series of interface structure were designed with different interface pore area percentages (0/10/20/30/40/50/60%), and interfacial shear test was applied for interface structure optimization (n = 6 samples/group). The interfacial shear strength of 30% pore area group was nearly three folds improved compared with that of 0% pore area percentage group, and more than fifty folds improved compared with that of traditional integration (5.91 ± 0.59 kPa). In conclusion, the biomimetic PEG/β-TCP scaffolds with interface structure enhanced integration show promising potential application for osteochondral tissue engineering.","author":[{"dropping-particle":"","family":"Zhang","given":"Weijie","non-dropping-particle":"","parse-names":false,"suffix":""},{"dropping-particle":"","family":"Lian","given":"Qin","non-dropping-particle":"","parse-names":false,"suffix":""},{"dropping-particle":"","family":"Li","given":"Dichen","non-dropping-particle":"","parse-names":false,"suffix":""},{"dropping-particle":"","family":"Wang","given":"Kunzheng","non-dropping-particle":"","parse-names":false,"suffix":""},{"dropping-particle":"","family":"Hao","given":"Dingjun","non-dropping-particle":"","parse-names":false,"suffix":""},{"dropping-particle":"","family":"Bian","given":"Weiguo","non-dropping-particle":"","parse-names":false,"suffix":""},{"dropping-particle":"","family":"Jin","given":"Zhongmin","non-dropping-particle":"","parse-names":false,"suffix":""}],"container-title":"Materials Science and Engineering C","id":"ITEM-2","issue":"September","issued":{"date-parts":[["2015"]]},"page":"10-15","title":"The effect of interface microstructure on interfacial shear strength for osteochondral scaffolds based on biomimetic design and 3D printing","type":"article-journal","volume":"46"},"uris":["http://www.mendeley.com/documents/?uuid=29f317da-4b61-49e4-adfd-f80b6374a166"]},{"id":"ITEM-3","itemData":{"DOI":"10.1016/j.biomaterials.2004.11.057","ISBN":"0142-9612","ISSN":"01429612","PMID":"15763261","abstract":"Polycaprolactone (PCL) is a bioresorbable polymer with potential applications for bone and cartilage repair. In this work, porous PCL scaffolds were computationally designed and then fabricated via selective laser sintering (SLS), a rapid prototyping technique. The microstructure and mechanical properties of the fabricated scaffolds were assessed and compared to the designed porous architectures and computationally predicted properties. Scaffolds were then seeded with bone morphogenetic protein-7 (BMP-7) transduced fibroblasts and implanted subcutaneously to evaluate biological properties and to demonstrate tissue in-growth. The work done illustrates the ability to design and fabricate PCL scaffolds with porous architecture that have sufficient mechanical properties for bone tissue engineering applications using SLS. Compressive modulus and yield strength values ranged from 52 to 67 MPa and 2.0 to 3.2 Mpa, respectively, lying within the lower range of properties reported for human trabecular bone. Finite element analysis (FEA) results showed that mechanical properties of scaffold designs and of fabricated scaffolds can be computationally predicted. Histological evaluation and micro-computed tomography (??CT) analysis of implanted scaffolds showed that bone can be generated in vivo. Finally, to demonstrate the clinical application of this technology, we designed and fabricated a prototype mandibular condyle scaffold based on an actual pig condyle. The integration of scaffold computational design and free-form fabrication techniques presented here could prove highly useful for the construction of scaffolds that have anatomy specific exterior architecture derived from patient CT or MRI data and an interior porous architecture derived from computational design optimization. ?? 2005 Elsevier Ltd. All rights reserved.","author":[{"dropping-particle":"","family":"Williams","given":"Jessica M.","non-dropping-particle":"","parse-names":false,"suffix":""},{"dropping-particle":"","family":"Adewunmi","given":"Adebisi","non-dropping-particle":"","parse-names":false,"suffix":""},{"dropping-particle":"","family":"Schek","given":"Rachel M.","non-dropping-particle":"","parse-names":false,"suffix":""},{"dropping-particle":"","family":"Flanagan","given":"Colleen L.","non-dropping-particle":"","parse-names":false,"suffix":""},{"dropping-particle":"","family":"Krebsbach","given":"Paul H.","non-dropping-particle":"","parse-names":false,"suffix":""},{"dropping-particle":"","family":"Feinberg","given":"Stephen E.","non-dropping-particle":"","parse-names":false,"suffix":""},{"dropping-particle":"","family":"Hollister","given":"Scott J.","non-dropping-particle":"","parse-names":false,"suffix":""},{"dropping-particle":"","family":"Das","given":"Suman","non-dropping-particle":"","parse-names":false,"suffix":""}],"container-title":"Biomaterials","id":"ITEM-3","issue":"23","issued":{"date-parts":[["2005"]]},"page":"4817-4827","title":"Bone tissue engineering using polycaprolactone scaffolds fabricated via selective laser sintering","type":"article-journal","volume":"26"},"uris":["http://www.mendeley.com/documents/?uuid=cd551160-cbb1-41b9-bb0f-bf4f2fcb86d0"]}],"mendeley":{"formattedCitation":"&lt;sup&gt;10–12&lt;/sup&gt;","plainTextFormattedCitation":"10–12","previouslyFormattedCitation":"&lt;sup&gt;11–13&lt;/sup&gt;"},"properties":{"noteIndex":0},"schema":"https://github.com/citation-style-language/schema/raw/master/csl-citation.json"}</w:instrText>
      </w:r>
      <w:r w:rsidR="0027084B" w:rsidRPr="00D412EE">
        <w:rPr>
          <w:rFonts w:eastAsia="Times New Roman" w:cs="Calibri"/>
          <w:sz w:val="24"/>
          <w:szCs w:val="24"/>
        </w:rPr>
        <w:fldChar w:fldCharType="separate"/>
      </w:r>
      <w:r w:rsidR="0097254C" w:rsidRPr="00D412EE">
        <w:rPr>
          <w:rFonts w:eastAsia="Times New Roman" w:cs="Calibri"/>
          <w:sz w:val="24"/>
          <w:szCs w:val="24"/>
          <w:vertAlign w:val="superscript"/>
        </w:rPr>
        <w:t>10–12</w:t>
      </w:r>
      <w:r w:rsidR="0027084B" w:rsidRPr="00D412EE">
        <w:rPr>
          <w:rFonts w:eastAsia="Times New Roman" w:cs="Calibri"/>
          <w:sz w:val="24"/>
          <w:szCs w:val="24"/>
        </w:rPr>
        <w:fldChar w:fldCharType="end"/>
      </w:r>
      <w:r w:rsidR="008D7464" w:rsidRPr="00D412EE">
        <w:rPr>
          <w:rFonts w:eastAsia="Times New Roman" w:cs="Calibri"/>
          <w:sz w:val="24"/>
          <w:szCs w:val="24"/>
        </w:rPr>
        <w:t>.</w:t>
      </w:r>
      <w:r w:rsidRPr="00D412EE">
        <w:rPr>
          <w:rFonts w:eastAsia="Times New Roman" w:cs="Calibri"/>
          <w:sz w:val="24"/>
          <w:szCs w:val="24"/>
        </w:rPr>
        <w:t xml:space="preserve"> </w:t>
      </w:r>
      <w:r w:rsidR="007A5656" w:rsidRPr="00D412EE">
        <w:rPr>
          <w:rFonts w:eastAsia="Times New Roman" w:cs="Calibri"/>
          <w:sz w:val="24"/>
          <w:szCs w:val="24"/>
        </w:rPr>
        <w:t>The use of decellularized matrix in engineer</w:t>
      </w:r>
      <w:r w:rsidR="00F21CCD">
        <w:rPr>
          <w:rFonts w:eastAsia="Times New Roman" w:cs="Calibri"/>
          <w:sz w:val="24"/>
          <w:szCs w:val="24"/>
        </w:rPr>
        <w:t>ing</w:t>
      </w:r>
      <w:r w:rsidR="007A5656" w:rsidRPr="00D412EE">
        <w:rPr>
          <w:rFonts w:eastAsia="Times New Roman" w:cs="Calibri"/>
          <w:sz w:val="24"/>
          <w:szCs w:val="24"/>
        </w:rPr>
        <w:t xml:space="preserve"> approaches to tissue repair has been a subject of much </w:t>
      </w:r>
      <w:r w:rsidR="007A5656" w:rsidRPr="00D412EE">
        <w:rPr>
          <w:rFonts w:eastAsia="Times New Roman" w:cs="Calibri"/>
          <w:sz w:val="24"/>
          <w:szCs w:val="24"/>
        </w:rPr>
        <w:lastRenderedPageBreak/>
        <w:t>interest</w:t>
      </w:r>
      <w:r w:rsidR="0027084B" w:rsidRPr="00D412EE">
        <w:rPr>
          <w:rFonts w:eastAsia="Times New Roman" w:cs="Calibri"/>
          <w:sz w:val="24"/>
          <w:szCs w:val="24"/>
        </w:rPr>
        <w:t xml:space="preserve"> and success in the recent past</w:t>
      </w:r>
      <w:r w:rsidR="007A5656"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{"citationItems":[{"id":"ITEM-1","itemData":{"DOI":"10.1089/ten.TEB.2016.0431","ISSN":"1937-3368","author":[{"dropping-particle":"","family":"Monibi","given":"Farrah A.","non-dropping-particle":"","parse-names":false,"suffix":""},{"dropping-particle":"","family":"Cook","given":"James Lee","non-dropping-particle":"","parse-names":false,"suffix":""}],"container-title":"Tissue Engineering Part B: Reviews","id":"ITEM-1","issued":{"date-parts":[["2017"]]},"title":"Tissue-Derived Extracellular Matrix Bioscaffolds: Emerging Applications in Cartilage and Meniscus Repair","type":"article-journal"},"uris":["http://www.mendeley.com/documents/?uuid=a9f4c51d-11b1-3d04-9d10-832fdf1b3bf1"]},{"id":"ITEM-2","itemData":{"author":[{"dropping-particle":"","family":"Wiles","given":"Katherine","non-dropping-particle":"","parse-names":false,"suffix":""},{"dropping-particle":"","family":"Fishman","given":"Jonathan","non-dropping-particle":"","parse-names":false,"suffix":""},{"dropping-particle":"","family":"Coppi","given":"Paolo","non-dropping-particle":"","parse-names":false,"suffix":""},{"dropping-particle":"","family":"Birchall","given":"Martin","non-dropping-particle":"","parse-names":false,"suffix":""}],"container-title":"Tissue Engineering Part B: Reviews","id":"ITEM-2","issue":"3","issued":{"date-parts":[["2016"]]},"title":"The Host Immune Response to Tissue-Engineered Organs: Current Problems and Future Directions","type":"article-journal","volume":"22"},"uris":["http://www.mendeley.com/documents/?uuid=7cd738ad-a4ef-3088-af0b-24dc9c21929e"]},{"id":"ITEM-3","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-3","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scaffold","type":"article-journal"},"uris":["http://www.mendeley.com/documents/?uuid=640aa9cc-b8c1-34f9-be62-f6909dbdb03c"]}],"mendeley":{"formattedCitation":"&lt;sup&gt;2, 13, 14&lt;/sup&gt;","manualFormatting":"2, 3, 14, 15","plainTextFormattedCitation":"2, 13, 14","previouslyFormattedCitation":"&lt;sup&gt;2, 14, 15&lt;/sup&gt;"},"properties":{"noteIndex":0},"schema":"https://github.com/citation-style-language/schema/raw/master/csl-citation.json"}</w:instrText>
      </w:r>
      <w:r w:rsidR="007A5656" w:rsidRPr="00D412EE">
        <w:rPr>
          <w:rFonts w:eastAsia="Times New Roman" w:cs="Calibri"/>
          <w:sz w:val="24"/>
          <w:szCs w:val="24"/>
        </w:rPr>
        <w:fldChar w:fldCharType="separate"/>
      </w:r>
      <w:r w:rsidR="00CE08CD" w:rsidRPr="00D412EE">
        <w:rPr>
          <w:rFonts w:eastAsia="Times New Roman" w:cs="Calibri"/>
          <w:sz w:val="24"/>
          <w:szCs w:val="24"/>
          <w:vertAlign w:val="superscript"/>
        </w:rPr>
        <w:t xml:space="preserve">2, </w:t>
      </w:r>
      <w:r w:rsidR="0097254C" w:rsidRPr="00D412EE">
        <w:rPr>
          <w:rFonts w:eastAsia="Times New Roman" w:cs="Calibri"/>
          <w:sz w:val="24"/>
          <w:szCs w:val="24"/>
          <w:vertAlign w:val="superscript"/>
        </w:rPr>
        <w:t xml:space="preserve">3, </w:t>
      </w:r>
      <w:r w:rsidR="00CE08CD" w:rsidRPr="00D412EE">
        <w:rPr>
          <w:rFonts w:eastAsia="Times New Roman" w:cs="Calibri"/>
          <w:sz w:val="24"/>
          <w:szCs w:val="24"/>
          <w:vertAlign w:val="superscript"/>
        </w:rPr>
        <w:t>14, 15</w:t>
      </w:r>
      <w:r w:rsidR="007A5656" w:rsidRPr="00D412EE">
        <w:rPr>
          <w:rFonts w:eastAsia="Times New Roman" w:cs="Calibri"/>
          <w:sz w:val="24"/>
          <w:szCs w:val="24"/>
        </w:rPr>
        <w:fldChar w:fldCharType="end"/>
      </w:r>
      <w:r w:rsidR="007A5656" w:rsidRPr="00D412EE">
        <w:rPr>
          <w:rFonts w:eastAsia="Times New Roman" w:cs="Calibri"/>
          <w:sz w:val="24"/>
          <w:szCs w:val="24"/>
        </w:rPr>
        <w:t>. We have previously noted the increased migration, adhesion, proliferation, and overall maintenance of resulting tissues</w:t>
      </w:r>
      <w:r w:rsidR="00C43E1B" w:rsidRPr="00D412EE">
        <w:rPr>
          <w:rFonts w:eastAsia="Times New Roman" w:cs="Calibri"/>
          <w:sz w:val="24"/>
          <w:szCs w:val="24"/>
        </w:rPr>
        <w:t xml:space="preserve"> when compared to traditional techniques</w:t>
      </w:r>
      <w:r w:rsidR="007A5656"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{"citationItems":[{"id":"ITEM-1","itemData":{"DOI":"10.1002/mabi.201400472","ISBN":"1616-5195","ISSN":"16165195","PMID":"25821206","abstract":"The aim of this study was to fabricate mechanically functional microsphere-based scaffolds containing decellularized cartilage (DCC), with the hypothesis that this approach would induce chondrogenesis of rat bone marrow-derived mesenchymal stem cells (rBMSCs) in vitro. The DCC was derived from porcine articular cartilage and decellularized using a combination of physical and chemical methods. Four types of scaffolds were fabricated: poly(d,l-lactic-co-glycolic acid) (PLGA) only (negative control), TGF-β-encapsulated (positive control), PLGA surface coated with DCC, and DCC-encapsulated. These scaffolds were seeded with rBMSCs and cultured up to 6 weeks. The compressive modulus of the DCC-coated scaffolds prior to cell seeding was significantly lower than all other scaffold types. Gene expression was comparable between DCC-encapsulated and TGF-β-encapsulated groups. Notably, DCC-encapsulated scaffolds contained 70% higher glycosaminoglyan (GAG) content and 85% more hydroxyproline compared to the TGF-β group at week 3 (with baseline levels subtracted out from acellular DCC scaffolds). Certainly, bioactivity was demonstrated in eliciting a biosynthetic response from the cells with DCC, although true demonstration of chondrogenesis remained elusive under the prescribed conditions. Encapsulation of DCC appeared to lead to improved cell performance relative to coating with DCC, although this finding may be a dose-dependent observation. Overall, DCC introduced via microsphere-based scaffolds appears to be promising as a bioactive approach to cartilage regeneration, although additional studies will be required to conclusively demonstrate chondroinductivity.","author":[{"dropping-particle":"","family":"Sutherland","given":"Amanda J.","non-dropping-particle":"","parse-names":false,"suffix":""},{"dropping-particle":"","family":"Detamore","given":"Michael S.","non-dropping-particle":"","parse-names":false,"suffix":""}],"container-title":"Macromolecular Bioscience","id":"ITEM-1","issued":{"date-parts":[["2015"]]},"title":"Bioactive Microsphere-Based Scaffolds Containing Decellularized Cartilage","type":"article-journal"},"uris":["http://www.mendeley.com/documents/?uuid=5a917508-5c67-3551-b3ca-58979f0c75cc"]},{"id":"ITEM-2","itemData":{"DOI":"10.1016/j.biomaterials.2007.05.029","ISBN":"0142-9612","ISSN":"01429612","PMID":"17610948","abstract":"Tissue-engineered tendon scaffolds have the potential to significantly improve the treatment of tendon and ligament injuries, especially those associated with tumors, trauma, and congenital deficiencies where autograft or allograft tissue might not be available in sufficient quantity for reconstruction. In this study, a tendon scaffold was produced that: (1) has decreased/absent cellular material histologically, as well as significantly decreased DNA content in comparison with the material it is derived from-fresh-frozen flexor digitorum profundus tendon; (2) is cytocompatible in vitro; (3) has been modified to produce increased pore size and porosity; (4) retains 76-78% of the tensile properties of the material it is derived from; (5) is readily infiltrated by fibroblast-like, mononuclear host cells; and (6) does not exhibit a host-cell-mediated foreign-body immune response after implantation in vivo. ?? 2007 Elsevier Ltd. All rights reserved.","author":[{"dropping-particle":"","family":"Whitlock","given":"Patrick W.","non-dropping-particle":"","parse-names":false,"suffix":""},{"dropping-particle":"","family":"Smith","given":"Thomas L.","non-dropping-particle":"","parse-names":false,"suffix":""},{"dropping-particle":"","family":"Poehling","given":"Gary G.","non-dropping-particle":"","parse-names":false,"suffix":""},{"dropping-particle":"","family":"Shilt","given":"Jeffrey S.","non-dropping-particle":"","parse-names":false,"suffix":""},{"dropping-particle":"","family":"Dyke","given":"Mark","non-dropping-particle":"Van","parse-names":false,"suffix":""}],"container-title":"Biomaterials","id":"ITEM-2","issued":{"date-parts":[["2007"]]},"title":"A naturally derived, cytocompatible, and architecturally optimized scaffold for tendon and ligament regeneration","type":"article-journal"},"uris":["http://www.mendeley.com/documents/?uuid=4cbddd6f-57ac-38e6-8184-fe52aa14f817"]},{"id":"ITEM-3","itemData":{"ISBN":"1548-825X","abstract":"Naturally derived tendon scaffolds have the potential to improve the treatment of flexor tendon injuries. Seeded and unseeded tendon scaffolds were maintained in the presence or absence of physiologic strain for 7 days. After 7 days, the tensile properties and associated messenger RNA expression were compared. Seeded scaffolds maintained in the absence of strain had significantly lower tensile properties than unseeded tendons and fresh-frozen tendons. The loss of tensile properties was associated with elevated matrix metalloproteinase-2 and collagen III expression. Tensile properties of seeded scaffolds maintained in the presence of strain for 7 days after seeding did not differ from those of fresh-frozen tendons. This study demonstrates that the tensile properties of seeded, naturally derived tendon scaffolds will degrade rapidly in the absence of cyclic strain. Seeded scaffolds used for tendon reconstruction should be maintained under cyclic strain to maintain essential tensile properties. ","author":[{"dropping-particle":"","family":"Whitlock","given":"Patrick W","non-dropping-particle":"","parse-names":false,"suffix":""},{"dropping-particle":"","family":"Seyler","given":"Thorsten M","non-dropping-particle":"","parse-names":false,"suffix":""},{"dropping-particle":"","family":"Northam","given":"Casey N","non-dropping-particle":"","parse-names":false,"suffix":""},{"dropping-particle":"","family":"Smith","given":"Thomas L","non-dropping-particle":"","parse-names":false,"suffix":""},{"dropping-particle":"","family":"Poehling","given":"Gary G","non-dropping-particle":"","parse-names":false,"suffix":""},{"dropping-particle":"","family":"Koman","given":"L Andrew","non-dropping-particle":"","parse-names":false,"suffix":""},{"dropping-particle":"","family":"Dyke","given":"Mark E","non-dropping-particle":"Van","parse-names":false,"suffix":""}],"container-title":"Journal of surgical orthopaedic advances ","id":"ITEM-3","issue":"3 ","issued":{"date-parts":[["2013"]]},"page":"224-232","publisher-place":"United States ","title":"Effect of cyclic strain on tensile properties of a naturally derived, decellularized tendon scaffold seeded with allogeneic tenocytes and associated messenger RNA expression ","type":"article","volume":"22 "},"uris":["http://www.mendeley.com/documents/?uuid=714cd50d-052c-4715-9cbc-d62d2149c0b8"]},{"id":"ITEM-4","itemData":{"DOI":"10.2106/JBJS.K.01397","ISBN":"0021-9355","ISSN":"15351386","PMID":"22786867","abstract":"BACKGROUND This study evaluated the properties of scaffold derived from freeze-dried human Achilles tendon allograft for use in anterior cruciate ligament (ACL) reconstruction. Our hypothesis was that such an allograft could be processed using a method to remove cellular and infectious material, producing a cytocompatible, architecturally modified scaffold possessing tensile properties suitable for ACL reconstruction. METHODS Fifty-two allografts were provided by a tissue bank. Twenty-one were used as controls to assess cellularity, DNA content, microarchitecture, porosity, cytocompatibility, and tensile properties in vitro (n = 13) and in vivo (n = 8). Thirty-one were processed to produce scaffolds that were similarly assessed for these properties in vitro (n = 23) and in vivo (n = 8). The elimination of added enveloped and nonenveloped viruses was also determined in vitro after each processing step. RESULTS A subjective decrease in cellularity and a significant decrease in DNA content were observed in the scaffolds compared with the allografts from which they had been derived. The porosity was increased significantly, and the scaffolds were cytocompatible in vitro. Processing resulted in significantly increased elongation of the scaffolds (138% of the elongation of the unprocessed allograft) during tensile testing. No other significant differences in tensile properties were observed in vitro or in vivo. The number of infiltrating host cells and the depth to which those cells infiltrated were significantly greater in the scaffolds. No enveloped viruses and only two of 10(8) nonenveloped viruses were detected in the scaffolds after processing, corresponding to a sterility assurance level of 0.2 × 10(-7). CONCLUSIONS Allografts were processed using a method that removed cellular and infectious material to produce a decellularized, cytocompatible, architecturally modified scaffold with tensile properties that differed minimally from those of human allograft tissue both in vitro and in vivo. The scaffold production process also resulted in an increase in porosity that led to increased cell infiltration in vivo.","author":[{"dropping-particle":"","family":"Whitlock","given":"Patrick W.","non-dropping-particle":"","parse-names":false,"suffix":""},{"dropping-particle":"","family":"Seyler","given":"Thorsten M.","non-dropping-particle":"","parse-names":false,"suffix":""},{"dropping-particle":"","family":"Parks","given":"Griffith D.","non-dropping-particle":"","parse-names":false,"suffix":""},{"dropping-particle":"","family":"Ornelles","given":"David A.","non-dropping-particle":"","parse-names":false,"suffix":""},{"dropping-particle":"","family":"Smith","given":"Thomas L.","non-dropping-particle":"","parse-names":false,"suffix":""},{"dropping-particle":"","family":"Dyke","given":"Mark E.","non-dropping-particle":"Van","parse-names":false,"suffix":""},{"dropping-particle":"","family":"Poehling","given":"Gary G.","non-dropping-particle":"","parse-names":false,"suffix":""}],"container-title":"Journal of Bone and Joint Surgery - Series A","id":"ITEM-4","issue":"16","issued":{"date-parts":[["2012"]]},"page":"1458-1467","title":"A novel process for optimizing musculoskeletal allograft tissue to improve safety, ultrastructural properties, and cell infiltration","type":"article-journal","volume":"94"},"uris":["http://www.mendeley.com/documents/?uuid=72df3005-c5f2-49e2-bf2e-ac5e2a4dcd2d"]},{"id":"ITEM-5","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-5","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scaffold","type":"article-journal"},"uris":["http://www.mendeley.com/documents/?uuid=640aa9cc-b8c1-34f9-be62-f6909dbdb03c"]}],"mendeley":{"formattedCitation":"&lt;sup&gt;2, 15–18&lt;/sup&gt;","plainTextFormattedCitation":"2, 15–18","previouslyFormattedCitation":"&lt;sup&gt;2, 16–19&lt;/sup&gt;"},"properties":{"noteIndex":0},"schema":"https://github.com/citation-style-language/schema/raw/master/csl-citation.json"}</w:instrText>
      </w:r>
      <w:r w:rsidR="007A5656" w:rsidRPr="00D412EE">
        <w:rPr>
          <w:rFonts w:eastAsia="Times New Roman" w:cs="Calibri"/>
          <w:sz w:val="24"/>
          <w:szCs w:val="24"/>
        </w:rPr>
        <w:fldChar w:fldCharType="separate"/>
      </w:r>
      <w:r w:rsidR="0097254C" w:rsidRPr="00D412EE">
        <w:rPr>
          <w:rFonts w:eastAsia="Times New Roman" w:cs="Calibri"/>
          <w:sz w:val="24"/>
          <w:szCs w:val="24"/>
          <w:vertAlign w:val="superscript"/>
        </w:rPr>
        <w:t>2, 15–18</w:t>
      </w:r>
      <w:r w:rsidR="007A5656" w:rsidRPr="00D412EE">
        <w:rPr>
          <w:rFonts w:eastAsia="Times New Roman" w:cs="Calibri"/>
          <w:sz w:val="24"/>
          <w:szCs w:val="24"/>
        </w:rPr>
        <w:fldChar w:fldCharType="end"/>
      </w:r>
      <w:r w:rsidR="007A5656" w:rsidRPr="00D412EE">
        <w:rPr>
          <w:rFonts w:eastAsia="Times New Roman" w:cs="Calibri"/>
          <w:sz w:val="24"/>
          <w:szCs w:val="24"/>
        </w:rPr>
        <w:t>. Many have attributed these desirable results to the process of dynamic reciprocity through which the host cells receive cues from the decellularized matrix, dynamically respond, and replicate the cues for new cells by laying more extracellular matrix that typically resembles what is already present</w:t>
      </w:r>
      <w:r w:rsidR="007A5656"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{"citationItems":[{"id":"ITEM-1","itemData":{"DOI":"10.1111/j.1524-475X.2011.00673.x.Dynamic","abstract":"Here, we define dynamic reciprocity (DR) as an ongoing, bidirectional interaction amongst cells and their surrounding microenvironment. In the review, we posit that DR is especially meaningful during wound healing as the DR-driven biochemical, biophysical and cellular responses to injury play pivotal roles in regulating tissue regenerative responses. Such cell-extracellular matrix interactions not only guide and regulate cellular morphology, but cellular differentiation, migration, proliferation, and survival during tissue development, including e.g. embryogenesis, angiogenesis, as well as during pathologic processes including cancer diabetes, hypertension and chronic wound healing. Herein, we examine DR within the wound microenvironment while considering specific examples across acute and chronic wound healing. This review also considers how a number of hypotheses that attempt to explain chronic wound pathophysiology, which may be understood within the DR framework. The implications of applying the principles of dynamic reciprocity to optimize wound care practice and future development of innovative wound healing therapeutics are also briefly considered.","author":[{"dropping-particle":"","family":"Schultz","given":"Gregory S","non-dropping-particle":"","parse-names":false,"suffix":""},{"dropping-particle":"","family":"Davidson","given":"Jeffrey M","non-dropping-particle":"","parse-names":false,"suffix":""},{"dropping-particle":"","family":"Kirsner","given":"Robert S","non-dropping-particle":"","parse-names":false,"suffix":""},{"dropping-particle":"","family":"Herman","given":"Ira M","non-dropping-particle":"","parse-names":false,"suffix":""}],"container-title":"Wound Repair Regeneration","id":"ITEM-1","issue":"2","issued":{"date-parts":[["2012"]]},"page":"134-148","title":"Dynamic Reciprocity in the Wound Microenvironment","type":"article-journal","volume":"19"},"uris":["http://www.mendeley.com/documents/?uuid=7d294cdd-7115-4b1a-b0e3-94537030fa20"]},{"id":"ITEM-2","itemData":{"DOI":"10.1016/j.tibtech.2012.12.004","ISBN":"0167-7799","ISSN":"01677799","PMID":"23298610","abstract":"Regenerative medicine approaches based on decellularized extracellular matrix (ECM) scaffolds and tissues are rapidly expanding. The rationale for using ECM as a natural biomaterial is the presence of bioactive molecules that drive tissue homeostasis and regeneration. Moreover, appropriately prepared ECM is biodegradable and does not elicit adverse immune responses. Successful clinical application of decellularized tissues has been reported in cardiovascular, gastrointestinal, and breast reconstructive surgery. At present, the use of ECM for osteochondral tissue engineering is attracting interest. Recent data underscore the great promise for future application of decellularized ECM for osteochondral repair. This review describes the rationale for using ECM-based approaches for different regenerative purposes and details the application of ECM for cartilage or osteochondral repair. ?? 2012 Elsevier Ltd.","author":[{"dropping-particle":"","family":"Benders","given":"Kim E M","non-dropping-particle":"","parse-names":false,"suffix":""},{"dropping-particle":"van","family":"Weeren","given":"P. Ren??","non-dropping-particle":"","parse-names":false,"suffix":""},{"dropping-particle":"","family":"Badylak","given":"Stephen F.","non-dropping-particle":"","parse-names":false,"suffix":""},{"dropping-particle":"","family":"Saris","given":"Dani??l B F","non-dropping-particle":"","parse-names":false,"suffix":""},{"dropping-particle":"","family":"Dhert","given":"Wouter J A","non-dropping-particle":"","parse-names":false,"suffix":""},{"dropping-particle":"","family":"Malda","given":"Jos","non-dropping-particle":"","parse-names":false,"suffix":""}],"container-title":"Trends in Biotechnology","id":"ITEM-2","issue":"3","issued":{"date-parts":[["2013"]]},"page":"169-176","title":"Extracellular matrix scaffolds for cartilage and bone regeneration","type":"article-journal","volume":"31"},"uris":["http://www.mendeley.com/documents/?uuid=12c88f7c-466d-40b6-937b-8af2aef0fbb3"]},{"id":"ITEM-3","itemData":{"DOI":"10.1016/j.biomaterials.2011.01.057.An","abstract":"Biologic scaffold materials composed of extracellular matrix (ECM) are typically derived by processes that involve decellularization of tissues or organs. Preservation of the complex composition and three-dimensional ultrastructure of the ECM is highly desirable but it is recognized that all methods of decellularization result in disruption of the architecture and potential loss of surface structure and composition. Physical methods and chemical and biologic agents are used in combination to lyse cells, followed by rinsing to remove cell remnants. Effective decellularization methodology is dictated by factors such as tissue density and organization, geometric and biologic properties desired for the end product, and the targeted clinical application. Tissue decellularization with preservation of ECM integrity and bioactivity can be optimized by making educated decisions regarding the agents and techniques utilized during processing. An overview of decellularization methods, their effect upon resulting ECM structure and composition, and recently described perfusion techniques for whole organ decellularization techniques are presented herein.","author":[{"dropping-particle":"","family":"Crapo","given":"Peter","non-dropping-particle":"","parse-names":false,"suffix":""},{"dropping-particle":"","family":"Gilbert","given":"Thomas","non-dropping-particle":"","parse-names":false,"suffix":""},{"dropping-particle":"","family":"Badylak","given":"Stephen","non-dropping-particle":"","parse-names":false,"suffix":""}],"container-title":"Biomaterials","id":"ITEM-3","issue":"12","issued":{"date-parts":[["2011"]]},"page":"3233-3243","title":"An overview of tissue and whole organ decellularization processes","type":"article-journal","volume":"32"},"uris":["http://www.mendeley.com/documents/?uuid=6f867071-ff28-4dea-8c67-0c15293c74b2"]},{"id":"ITEM-4","itemData":{"DOI":"10.1016/j.msec.2015.07.007","ISBN":"1878-5905 (Electronic)\\r0142-9612 (Linking)","ISSN":"09284931","PMID":"26249614","abstract":"Abstract Objective To produce and examine decellularized kidney scaffolds from porcine as a platform for kidney regeneration research. Methods Porcine kidneys were decellularized with sodium dodecyl sulfate solution and Triton X-100 after the blood was rinsed. Then the renal ECM scaffolds were examined for vascular imaging, histology to investigate the vascular patency, degree of decellularization. Results Renal ECM scaffolds of porcine kidneys were successfully produced. Decellularized renal scaffolds retained intact microarchitecture including the renal vasculature and essential extracellular matrix components. Conclusion We have developed an excellent decellularization method that can be used in large organs. These scaffolds maintain their basic components, and show intact vasculature system. This represents a step toward development of a transplantable organ using tissue engineering techniques.","author":[{"dropping-particle":"","family":"Guan","given":"Yong","non-dropping-particle":"","parse-names":false,"suffix":""},{"dropping-particle":"","family":"Liu","given":"Shuangde","non-dropping-particle":"","parse-names":false,"suffix":""},{"dropping-particle":"","family":"Liu","given":"Yuqiang","non-dropping-particle":"","parse-names":false,"suffix":""},{"dropping-particle":"","family":"Sun","given":"Chao","non-dropping-particle":"","parse-names":false,"suffix":""},{"dropping-particle":"","family":"Cheng","given":"Guanghui","non-dropping-particle":"","parse-names":false,"suffix":""},{"dropping-particle":"","family":"Luan","given":"Yun","non-dropping-particle":"","parse-names":false,"suffix":""},{"dropping-particle":"","family":"Li","given":"Kailin","non-dropping-particle":"","parse-names":false,"suffix":""},{"dropping-particle":"","family":"Wang","given":"Jue","non-dropping-particle":"","parse-names":false,"suffix":""},{"dropping-particle":"","family":"Xie","given":"Xiaoshuai","non-dropping-particle":"","parse-names":false,"suffix":""},{"dropping-particle":"","family":"Zhao","given":"Shengtian","non-dropping-particle":"","parse-names":false,"suffix":""}],"container-title":"Materials Science and Engineering C","id":"ITEM-4","issued":{"date-parts":[["2015"]]},"page":"451-456","publisher":"Elsevier B.V.","title":"Porcine kidneys as a source of ECM scaffold for kidney regeneration","type":"article-journal","volume":"56"},"uris":["http://www.mendeley.com/documents/?uuid=5372db98-499b-4f4a-ac18-a3e212bd41d6"]}],"mendeley":{"formattedCitation":"&lt;sup&gt;19–22&lt;/sup&gt;","plainTextFormattedCitation":"19–22","previouslyFormattedCitation":"&lt;sup&gt;20–23&lt;/sup&gt;"},"properties":{"noteIndex":0},"schema":"https://github.com/citation-style-language/schema/raw/master/csl-citation.json"}</w:instrText>
      </w:r>
      <w:r w:rsidR="007A5656" w:rsidRPr="00D412EE">
        <w:rPr>
          <w:rFonts w:eastAsia="Times New Roman" w:cs="Calibri"/>
          <w:sz w:val="24"/>
          <w:szCs w:val="24"/>
        </w:rPr>
        <w:fldChar w:fldCharType="separate"/>
      </w:r>
      <w:r w:rsidR="0097254C" w:rsidRPr="00D412EE">
        <w:rPr>
          <w:rFonts w:eastAsia="Times New Roman" w:cs="Calibri"/>
          <w:sz w:val="24"/>
          <w:szCs w:val="24"/>
          <w:vertAlign w:val="superscript"/>
        </w:rPr>
        <w:t>19–22</w:t>
      </w:r>
      <w:r w:rsidR="007A5656" w:rsidRPr="00D412EE">
        <w:rPr>
          <w:rFonts w:eastAsia="Times New Roman" w:cs="Calibri"/>
          <w:sz w:val="24"/>
          <w:szCs w:val="24"/>
        </w:rPr>
        <w:fldChar w:fldCharType="end"/>
      </w:r>
      <w:r w:rsidR="007A5656" w:rsidRPr="00D412EE">
        <w:rPr>
          <w:rFonts w:eastAsia="Times New Roman" w:cs="Calibri"/>
          <w:sz w:val="24"/>
          <w:szCs w:val="24"/>
        </w:rPr>
        <w:t>. While this has been studied for many applications, many of the processes are not easy to replicate</w:t>
      </w:r>
      <w:r w:rsidR="00F21CCD">
        <w:rPr>
          <w:rFonts w:eastAsia="Times New Roman" w:cs="Calibri"/>
          <w:sz w:val="24"/>
          <w:szCs w:val="24"/>
        </w:rPr>
        <w:t xml:space="preserve"> and cannot</w:t>
      </w:r>
      <w:r w:rsidR="007A5656" w:rsidRPr="00D412EE">
        <w:rPr>
          <w:rFonts w:eastAsia="Times New Roman" w:cs="Calibri"/>
          <w:sz w:val="24"/>
          <w:szCs w:val="24"/>
        </w:rPr>
        <w:t xml:space="preserve"> be adapted for different uses, unable to successfully create highly patient-specific constructs, unable to create complex morphologies, and unable to withstand </w:t>
      </w:r>
      <w:r w:rsidR="00D412EE" w:rsidRPr="00D412EE">
        <w:rPr>
          <w:rFonts w:eastAsia="Times New Roman" w:cs="Calibri"/>
          <w:i/>
          <w:sz w:val="24"/>
          <w:szCs w:val="24"/>
        </w:rPr>
        <w:t>in vivo</w:t>
      </w:r>
      <w:r w:rsidR="007A5656" w:rsidRPr="00D412EE">
        <w:rPr>
          <w:rFonts w:eastAsia="Times New Roman" w:cs="Calibri"/>
          <w:sz w:val="24"/>
          <w:szCs w:val="24"/>
        </w:rPr>
        <w:t xml:space="preserve"> forces</w:t>
      </w:r>
      <w:r w:rsidR="00D52B77" w:rsidRPr="00D412EE">
        <w:rPr>
          <w:rFonts w:eastAsia="Times New Roman" w:cs="Calibri"/>
          <w:sz w:val="24"/>
          <w:szCs w:val="24"/>
          <w:vertAlign w:val="superscript"/>
        </w:rPr>
        <w:t>2-4</w:t>
      </w:r>
      <w:r w:rsidR="0097254C" w:rsidRPr="00D412EE">
        <w:rPr>
          <w:rFonts w:eastAsia="Times New Roman" w:cs="Calibri"/>
          <w:sz w:val="24"/>
          <w:szCs w:val="24"/>
          <w:vertAlign w:val="superscript"/>
        </w:rPr>
        <w:t>, 13-16</w:t>
      </w:r>
      <w:r w:rsidR="007A5656" w:rsidRPr="00D412EE">
        <w:rPr>
          <w:rFonts w:eastAsia="Times New Roman" w:cs="Calibri"/>
          <w:sz w:val="24"/>
          <w:szCs w:val="24"/>
        </w:rPr>
        <w:t xml:space="preserve">. </w:t>
      </w:r>
    </w:p>
    <w:p w14:paraId="780EBA02" w14:textId="77777777" w:rsidR="008D7464" w:rsidRPr="00D412EE" w:rsidRDefault="008D7464" w:rsidP="00D412EE">
      <w:pPr>
        <w:spacing w:after="0" w:line="240" w:lineRule="auto"/>
        <w:jc w:val="both"/>
        <w:rPr>
          <w:rFonts w:eastAsia="Times New Roman" w:cs="Calibri"/>
          <w:sz w:val="24"/>
          <w:szCs w:val="24"/>
        </w:rPr>
      </w:pPr>
    </w:p>
    <w:p w14:paraId="6802DABB" w14:textId="7C04923B" w:rsidR="007A5656" w:rsidRPr="00D412EE" w:rsidRDefault="007A5656" w:rsidP="00D412EE">
      <w:pPr>
        <w:spacing w:after="0" w:line="240" w:lineRule="auto"/>
        <w:jc w:val="both"/>
        <w:rPr>
          <w:rFonts w:eastAsia="Times New Roman" w:cs="Calibri"/>
          <w:sz w:val="24"/>
          <w:szCs w:val="24"/>
        </w:rPr>
      </w:pPr>
      <w:r w:rsidRPr="00D412EE">
        <w:rPr>
          <w:rFonts w:eastAsia="Times New Roman" w:cs="Calibri"/>
          <w:sz w:val="24"/>
          <w:szCs w:val="24"/>
        </w:rPr>
        <w:t>The innovative approach proposed herein avoids both transient and prolonged exposure to high temperatures</w:t>
      </w:r>
      <w:r w:rsidR="000A1925" w:rsidRPr="00D412EE">
        <w:rPr>
          <w:rFonts w:eastAsia="Times New Roman" w:cs="Calibri"/>
          <w:sz w:val="24"/>
          <w:szCs w:val="24"/>
        </w:rPr>
        <w:t xml:space="preserve"> </w:t>
      </w:r>
      <w:r w:rsidR="00F21CCD">
        <w:rPr>
          <w:rFonts w:eastAsia="Times New Roman" w:cs="Calibri"/>
          <w:sz w:val="24"/>
          <w:szCs w:val="24"/>
        </w:rPr>
        <w:t xml:space="preserve">that are </w:t>
      </w:r>
      <w:r w:rsidR="000A1925" w:rsidRPr="00D412EE">
        <w:rPr>
          <w:rFonts w:eastAsia="Times New Roman" w:cs="Calibri"/>
          <w:sz w:val="24"/>
          <w:szCs w:val="24"/>
        </w:rPr>
        <w:t>typically required by 3D printing</w:t>
      </w:r>
      <w:r w:rsidRPr="00D412EE">
        <w:rPr>
          <w:rFonts w:eastAsia="Times New Roman" w:cs="Calibri"/>
          <w:sz w:val="24"/>
          <w:szCs w:val="24"/>
        </w:rPr>
        <w:t xml:space="preserve"> </w:t>
      </w:r>
      <w:r w:rsidR="00F21CCD">
        <w:rPr>
          <w:rFonts w:eastAsia="Times New Roman" w:cs="Calibri"/>
          <w:sz w:val="24"/>
          <w:szCs w:val="24"/>
        </w:rPr>
        <w:t>when</w:t>
      </w:r>
      <w:r w:rsidRPr="00D412EE">
        <w:rPr>
          <w:rFonts w:eastAsia="Times New Roman" w:cs="Calibri"/>
          <w:sz w:val="24"/>
          <w:szCs w:val="24"/>
        </w:rPr>
        <w:t xml:space="preserve"> using traditional </w:t>
      </w:r>
      <w:r w:rsidR="000A1925" w:rsidRPr="00D412EE">
        <w:rPr>
          <w:rFonts w:eastAsia="Times New Roman" w:cs="Calibri"/>
          <w:sz w:val="24"/>
          <w:szCs w:val="24"/>
        </w:rPr>
        <w:t>mechanical extrusion</w:t>
      </w:r>
      <w:r w:rsidR="00F21CCD">
        <w:rPr>
          <w:rFonts w:eastAsia="Times New Roman" w:cs="Calibri"/>
          <w:sz w:val="24"/>
          <w:szCs w:val="24"/>
        </w:rPr>
        <w:t>-</w:t>
      </w:r>
      <w:r w:rsidR="000A1925" w:rsidRPr="00D412EE">
        <w:rPr>
          <w:rFonts w:eastAsia="Times New Roman" w:cs="Calibri"/>
          <w:sz w:val="24"/>
          <w:szCs w:val="24"/>
        </w:rPr>
        <w:t xml:space="preserve">based </w:t>
      </w:r>
      <w:r w:rsidRPr="00D412EE">
        <w:rPr>
          <w:rFonts w:eastAsia="Times New Roman" w:cs="Calibri"/>
          <w:sz w:val="24"/>
          <w:szCs w:val="24"/>
        </w:rPr>
        <w:t>FDM printers with a new carrier vehicle. Moreover, the carrier vehicle (PLA microspheres) helps protect the encapsulated biologic for the relatively short period of time it is exposed to heat and provides an all-in-one treatment option for fast turnover in the clinic</w:t>
      </w:r>
      <w:r w:rsidR="000A1925" w:rsidRPr="00D412EE">
        <w:rPr>
          <w:rFonts w:eastAsia="Times New Roman" w:cs="Calibri"/>
          <w:sz w:val="24"/>
          <w:szCs w:val="24"/>
        </w:rPr>
        <w:fldChar w:fldCharType="begin" w:fldLock="1"/>
      </w:r>
      <w:r w:rsidR="00D52B77" w:rsidRPr="00D412EE">
        <w:rPr>
          <w:rFonts w:eastAsia="Times New Roman" w:cs="Calibri"/>
          <w:sz w:val="24"/>
          <w:szCs w:val="24"/>
        </w:rPr>
        <w:instrText>ADDIN CSL_CITATION {"citationItems":[{"id":"ITEM-1","itemData":{"DOI":"10.1088/1758-5090/aaa637","ISSN":"1758-5082","author":[{"dropping-particle":"","family":"Ghosh","given":"Paulomi","non-dropping-particle":"","parse-names":false,"suffix":""},{"dropping-particle":"","family":"Gruber","given":"Stacey M.S.","non-dropping-particle":"","parse-names":false,"suffix":""},{"dropping-particle":"","family":"Lin","given":"Chia-Ying","non-dropping-particle":"","parse-names":false,"suffix":""},{"dropping-particle":"","family":"Whitlock","given":"Patrick","non-dropping-particle":"","parse-names":false,"suffix":""}],"container-title":"Biofabrication","id":"ITEM-1","issued":{"date-parts":[["2018","1","9"]]},"title":"Microspheres containing decellularized cartilage induce chondrogenesis &amp;lt;i&amp;gt;in vitro&amp;lt;/i&amp;gt; and remain functional after incorporation within a poly(caprolactone) filament useful for fabricating a 3D scaffold","type":"article-journal"},"uris":["http://www.mendeley.com/documents/?uuid=640aa9cc-b8c1-34f9-be62-f6909dbdb03c"]}],"mendeley":{"formattedCitation":"&lt;sup&gt;2&lt;/sup&gt;","plainTextFormattedCitation":"2","previouslyFormattedCitation":"&lt;sup&gt;2&lt;/sup&gt;"},"properties":{"noteIndex":0},"schema":"https://github.com/citation-style-language/schema/raw/master/csl-citation.json"}</w:instrText>
      </w:r>
      <w:r w:rsidR="000A1925" w:rsidRPr="00D412EE">
        <w:rPr>
          <w:rFonts w:eastAsia="Times New Roman" w:cs="Calibri"/>
          <w:sz w:val="24"/>
          <w:szCs w:val="24"/>
        </w:rPr>
        <w:fldChar w:fldCharType="separate"/>
      </w:r>
      <w:r w:rsidR="000A1925" w:rsidRPr="00D412EE">
        <w:rPr>
          <w:rFonts w:eastAsia="Times New Roman" w:cs="Calibri"/>
          <w:sz w:val="24"/>
          <w:szCs w:val="24"/>
          <w:vertAlign w:val="superscript"/>
        </w:rPr>
        <w:t>2</w:t>
      </w:r>
      <w:r w:rsidR="000A1925" w:rsidRPr="00D412EE">
        <w:rPr>
          <w:rFonts w:eastAsia="Times New Roman" w:cs="Calibri"/>
          <w:sz w:val="24"/>
          <w:szCs w:val="24"/>
        </w:rPr>
        <w:fldChar w:fldCharType="end"/>
      </w:r>
      <w:r w:rsidRPr="00D412EE">
        <w:rPr>
          <w:rFonts w:eastAsia="Times New Roman" w:cs="Calibri"/>
          <w:sz w:val="24"/>
          <w:szCs w:val="24"/>
        </w:rPr>
        <w:t>.</w:t>
      </w:r>
      <w:r w:rsidR="00C43E1B" w:rsidRPr="00D412EE">
        <w:rPr>
          <w:rFonts w:eastAsia="Times New Roman" w:cs="Calibri"/>
          <w:sz w:val="24"/>
          <w:szCs w:val="24"/>
        </w:rPr>
        <w:t xml:space="preserve"> The methods proposed herein demonstrate how to create biologically active filament</w:t>
      </w:r>
      <w:r w:rsidR="00F21CCD">
        <w:rPr>
          <w:rFonts w:eastAsia="Times New Roman" w:cs="Calibri"/>
          <w:sz w:val="24"/>
          <w:szCs w:val="24"/>
        </w:rPr>
        <w:t>s</w:t>
      </w:r>
      <w:r w:rsidR="00C43E1B" w:rsidRPr="00D412EE">
        <w:rPr>
          <w:rFonts w:eastAsia="Times New Roman" w:cs="Calibri"/>
          <w:sz w:val="24"/>
          <w:szCs w:val="24"/>
        </w:rPr>
        <w:t xml:space="preserve"> for 3D printing and scaffolds </w:t>
      </w:r>
      <w:r w:rsidR="00D412EE" w:rsidRPr="00F21CCD">
        <w:rPr>
          <w:rFonts w:eastAsia="Times New Roman" w:cs="Calibri"/>
          <w:sz w:val="24"/>
          <w:szCs w:val="24"/>
        </w:rPr>
        <w:t>via</w:t>
      </w:r>
      <w:r w:rsidR="00C43E1B" w:rsidRPr="00D412EE">
        <w:rPr>
          <w:rFonts w:eastAsia="Times New Roman" w:cs="Calibri"/>
          <w:sz w:val="24"/>
          <w:szCs w:val="24"/>
        </w:rPr>
        <w:t xml:space="preserve"> 3D printing</w:t>
      </w:r>
      <w:r w:rsidR="00F21CCD">
        <w:rPr>
          <w:rFonts w:eastAsia="Times New Roman" w:cs="Calibri"/>
          <w:sz w:val="24"/>
          <w:szCs w:val="24"/>
        </w:rPr>
        <w:t xml:space="preserve"> where</w:t>
      </w:r>
      <w:r w:rsidR="00C43E1B" w:rsidRPr="00D412EE">
        <w:rPr>
          <w:rFonts w:eastAsia="Times New Roman" w:cs="Calibri"/>
          <w:sz w:val="24"/>
          <w:szCs w:val="24"/>
        </w:rPr>
        <w:t xml:space="preserve"> a critical step is the extrusion of the filament and the printing of those filaments at low temperatures (65 </w:t>
      </w:r>
      <w:r w:rsidR="0058078F" w:rsidRPr="0058078F">
        <w:rPr>
          <w:rFonts w:eastAsia="Times New Roman" w:cs="Calibri"/>
          <w:sz w:val="24"/>
          <w:szCs w:val="24"/>
        </w:rPr>
        <w:t>°</w:t>
      </w:r>
      <w:r w:rsidR="00C43E1B" w:rsidRPr="00D412EE">
        <w:rPr>
          <w:rFonts w:eastAsia="Times New Roman" w:cs="Calibri"/>
          <w:sz w:val="24"/>
          <w:szCs w:val="24"/>
        </w:rPr>
        <w:t>C).</w:t>
      </w:r>
      <w:r w:rsidR="00660823" w:rsidRPr="00D412EE">
        <w:rPr>
          <w:rFonts w:eastAsia="Times New Roman" w:cs="Calibri"/>
          <w:sz w:val="24"/>
          <w:szCs w:val="24"/>
        </w:rPr>
        <w:t xml:space="preserve"> The ability of the encapsulated proteins to remain functional was demonstrated by using ALP as a surrogate for DM throughout the process. ALP was used </w:t>
      </w:r>
      <w:r w:rsidR="00F21CCD">
        <w:rPr>
          <w:rFonts w:eastAsia="Times New Roman" w:cs="Calibri"/>
          <w:sz w:val="24"/>
          <w:szCs w:val="24"/>
        </w:rPr>
        <w:t>as</w:t>
      </w:r>
      <w:r w:rsidR="00660823" w:rsidRPr="00D412EE">
        <w:rPr>
          <w:rFonts w:eastAsia="Times New Roman" w:cs="Calibri"/>
          <w:sz w:val="24"/>
          <w:szCs w:val="24"/>
        </w:rPr>
        <w:t xml:space="preserve"> the enzyme must be in a very specific functional conformation in order to catalyze the colorimetric reaction assessed in this protocol</w:t>
      </w:r>
      <w:r w:rsidR="00D52B77" w:rsidRPr="00D412EE">
        <w:rPr>
          <w:rFonts w:eastAsia="Times New Roman" w:cs="Calibri"/>
          <w:sz w:val="24"/>
          <w:szCs w:val="24"/>
        </w:rPr>
        <w:fldChar w:fldCharType="begin" w:fldLock="1"/>
      </w:r>
      <w:r w:rsidR="0097254C" w:rsidRPr="00D412EE">
        <w:rPr>
          <w:rFonts w:eastAsia="Times New Roman" w:cs="Calibri"/>
          <w:sz w:val="24"/>
          <w:szCs w:val="24"/>
        </w:rPr>
        <w:instrText>ADDIN CSL_CITATION {"citationItems":[{"id":"ITEM-1","itemData":{"DOI":"10.1002/bmb.2002.494030060138","ISSN":"14708175","abstract":"A very robust and inexpensive kinetic assay for determining rates of hydrolysis of p-nitrophenyl phosphate by the enzyme alkaline phosphatase is presented. The reaction increases in rate with increase in pH. The enzyme is competitively inhibited by the reaction products, uncompetitively inhibited by L-phenylalanine, and responds to the presence of two cofactors, magnesium and zinc ions. The reaction rate increases as Mg2+ concentration is increased from 1–5 mM. With increasing Zn2+ concentration, the reaction rate is stimulated and then depressed. Experimental work on the interaction between Mg2+ and Zn2+ in the reaction is suggested for more capable students.","author":[{"dropping-particle":"","family":"Dean","given":"Rob L.","non-dropping-particle":"","parse-names":false,"suffix":""}],"container-title":"Biochemistry and Molecular Biology Education","id":"ITEM-1","issue":"6","issued":{"date-parts":[["2002"]]},"page":"401-407","title":"Kinetic studies with alkaline phosphatase in the presence and absence of inhibitors and divalent cations","type":"article-journal","volume":"30"},"uris":["http://www.mendeley.com/documents/?uuid=c0d36437-4fb2-49b5-8fd2-972aa59653e1"]}],"mendeley":{"formattedCitation":"&lt;sup&gt;23&lt;/sup&gt;","plainTextFormattedCitation":"23","previouslyFormattedCitation":"&lt;sup&gt;24&lt;/sup&gt;"},"properties":{"noteIndex":0},"schema":"https://github.com/citation-style-language/schema/raw/master/csl-citation.json"}</w:instrText>
      </w:r>
      <w:r w:rsidR="00D52B77" w:rsidRPr="00D412EE">
        <w:rPr>
          <w:rFonts w:eastAsia="Times New Roman" w:cs="Calibri"/>
          <w:sz w:val="24"/>
          <w:szCs w:val="24"/>
        </w:rPr>
        <w:fldChar w:fldCharType="separate"/>
      </w:r>
      <w:r w:rsidR="0097254C" w:rsidRPr="00D412EE">
        <w:rPr>
          <w:rFonts w:eastAsia="Times New Roman" w:cs="Calibri"/>
          <w:sz w:val="24"/>
          <w:szCs w:val="24"/>
          <w:vertAlign w:val="superscript"/>
        </w:rPr>
        <w:t>23</w:t>
      </w:r>
      <w:r w:rsidR="00D52B77" w:rsidRPr="00D412EE">
        <w:rPr>
          <w:rFonts w:eastAsia="Times New Roman" w:cs="Calibri"/>
          <w:sz w:val="24"/>
          <w:szCs w:val="24"/>
        </w:rPr>
        <w:fldChar w:fldCharType="end"/>
      </w:r>
      <w:r w:rsidR="00660823" w:rsidRPr="00D412EE">
        <w:rPr>
          <w:rFonts w:eastAsia="Times New Roman" w:cs="Calibri"/>
          <w:sz w:val="24"/>
          <w:szCs w:val="24"/>
        </w:rPr>
        <w:t>.</w:t>
      </w:r>
      <w:r w:rsidR="00C43E1B" w:rsidRPr="00D412EE">
        <w:rPr>
          <w:rFonts w:eastAsia="Times New Roman" w:cs="Calibri"/>
          <w:sz w:val="24"/>
          <w:szCs w:val="24"/>
        </w:rPr>
        <w:t xml:space="preserve"> If the filament is not extruded with careful attention to diameter, temperature, and speed, the biologic activity and utility for 3D printing would be sacrificed.</w:t>
      </w:r>
    </w:p>
    <w:p w14:paraId="508E2973" w14:textId="77777777" w:rsidR="007A5656" w:rsidRPr="00D412EE" w:rsidRDefault="007A5656" w:rsidP="00D412EE">
      <w:pPr>
        <w:spacing w:after="0" w:line="240" w:lineRule="auto"/>
        <w:jc w:val="both"/>
        <w:rPr>
          <w:rFonts w:eastAsia="Times New Roman" w:cs="Calibri"/>
          <w:sz w:val="24"/>
          <w:szCs w:val="24"/>
        </w:rPr>
      </w:pPr>
    </w:p>
    <w:p w14:paraId="78D901BB" w14:textId="116D4442" w:rsidR="00066086"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In this protocol, microspheres containing </w:t>
      </w:r>
      <w:proofErr w:type="spellStart"/>
      <w:r w:rsidRPr="00D412EE">
        <w:rPr>
          <w:rFonts w:eastAsia="Times New Roman" w:cs="Calibri"/>
          <w:sz w:val="24"/>
          <w:szCs w:val="24"/>
        </w:rPr>
        <w:t>decelluarized</w:t>
      </w:r>
      <w:proofErr w:type="spellEnd"/>
      <w:r w:rsidRPr="00D412EE">
        <w:rPr>
          <w:rFonts w:eastAsia="Times New Roman" w:cs="Calibri"/>
          <w:sz w:val="24"/>
          <w:szCs w:val="24"/>
        </w:rPr>
        <w:t xml:space="preserve"> matri</w:t>
      </w:r>
      <w:r w:rsidR="00F21CCD">
        <w:rPr>
          <w:rFonts w:eastAsia="Times New Roman" w:cs="Calibri"/>
          <w:sz w:val="24"/>
          <w:szCs w:val="24"/>
        </w:rPr>
        <w:t>ces</w:t>
      </w:r>
      <w:r w:rsidRPr="00D412EE">
        <w:rPr>
          <w:rFonts w:eastAsia="Times New Roman" w:cs="Calibri"/>
          <w:sz w:val="24"/>
          <w:szCs w:val="24"/>
        </w:rPr>
        <w:t xml:space="preserve"> (PLA-DM) were co-extruded with PCL to make 3D printable filaments and 3D printed scaffolds for osteochondral repair</w:t>
      </w:r>
      <w:r w:rsidR="007A5656" w:rsidRPr="00D412EE">
        <w:rPr>
          <w:rFonts w:eastAsia="Times New Roman" w:cs="Calibri"/>
          <w:sz w:val="24"/>
          <w:szCs w:val="24"/>
        </w:rPr>
        <w:t xml:space="preserve"> (PLA-DM/PCL)</w:t>
      </w:r>
      <w:r w:rsidRPr="00D412EE">
        <w:rPr>
          <w:rFonts w:eastAsia="Times New Roman" w:cs="Calibri"/>
          <w:sz w:val="24"/>
          <w:szCs w:val="24"/>
        </w:rPr>
        <w:t>.</w:t>
      </w:r>
      <w:r w:rsidR="00066086" w:rsidRPr="00D412EE">
        <w:rPr>
          <w:rFonts w:eastAsia="Times New Roman" w:cs="Calibri"/>
          <w:sz w:val="24"/>
          <w:szCs w:val="24"/>
        </w:rPr>
        <w:t xml:space="preserve"> </w:t>
      </w:r>
      <w:r w:rsidR="007C5F07" w:rsidRPr="00D412EE">
        <w:rPr>
          <w:rFonts w:eastAsia="Times New Roman" w:cs="Calibri"/>
          <w:sz w:val="24"/>
          <w:szCs w:val="24"/>
        </w:rPr>
        <w:t xml:space="preserve">As mentioned in the protocol steps, continuous monitoring of the filament production process is essential for high quality </w:t>
      </w:r>
      <w:r w:rsidR="00F21CCD">
        <w:rPr>
          <w:rFonts w:eastAsia="Times New Roman" w:cs="Calibri"/>
          <w:sz w:val="24"/>
          <w:szCs w:val="24"/>
        </w:rPr>
        <w:t xml:space="preserve">of the </w:t>
      </w:r>
      <w:r w:rsidR="007C5F07" w:rsidRPr="00D412EE">
        <w:rPr>
          <w:rFonts w:eastAsia="Times New Roman" w:cs="Calibri"/>
          <w:sz w:val="24"/>
          <w:szCs w:val="24"/>
        </w:rPr>
        <w:t xml:space="preserve">filament. Adjustments must be made to extrusion speed, spooler speed, and extrusion temperature </w:t>
      </w:r>
      <w:proofErr w:type="gramStart"/>
      <w:r w:rsidR="007C5F07" w:rsidRPr="00D412EE">
        <w:rPr>
          <w:rFonts w:eastAsia="Times New Roman" w:cs="Calibri"/>
          <w:sz w:val="24"/>
          <w:szCs w:val="24"/>
        </w:rPr>
        <w:t>in order to</w:t>
      </w:r>
      <w:proofErr w:type="gramEnd"/>
      <w:r w:rsidR="007C5F07" w:rsidRPr="00D412EE">
        <w:rPr>
          <w:rFonts w:eastAsia="Times New Roman" w:cs="Calibri"/>
          <w:sz w:val="24"/>
          <w:szCs w:val="24"/>
        </w:rPr>
        <w:t xml:space="preserve"> maintain the desired filament diameter (typically 1.75 mm). </w:t>
      </w:r>
      <w:r w:rsidRPr="00D412EE">
        <w:rPr>
          <w:rFonts w:eastAsia="Times New Roman" w:cs="Calibri"/>
          <w:sz w:val="24"/>
          <w:szCs w:val="24"/>
        </w:rPr>
        <w:t>The presence of the microspheres in the scaffolds is confirmed by SEM imaging</w:t>
      </w:r>
      <w:r w:rsidR="00C43E1B" w:rsidRPr="00D412EE">
        <w:rPr>
          <w:rFonts w:eastAsia="Times New Roman" w:cs="Calibri"/>
          <w:sz w:val="24"/>
          <w:szCs w:val="24"/>
        </w:rPr>
        <w:t xml:space="preserve"> and the maintenance of enzyme functionality is demonstrated by an alkaline phosphatase assay</w:t>
      </w:r>
      <w:r w:rsidR="00864CBE" w:rsidRPr="00D412EE">
        <w:rPr>
          <w:rFonts w:eastAsia="Times New Roman" w:cs="Calibri"/>
          <w:sz w:val="24"/>
          <w:szCs w:val="24"/>
        </w:rPr>
        <w:t>.</w:t>
      </w:r>
      <w:r w:rsidR="00066086" w:rsidRPr="00D412EE">
        <w:rPr>
          <w:rFonts w:eastAsia="Times New Roman" w:cs="Calibri"/>
          <w:sz w:val="24"/>
          <w:szCs w:val="24"/>
        </w:rPr>
        <w:t xml:space="preserve"> </w:t>
      </w:r>
      <w:r w:rsidR="007C5F07" w:rsidRPr="00D412EE">
        <w:rPr>
          <w:rFonts w:eastAsia="Times New Roman" w:cs="Calibri"/>
          <w:sz w:val="24"/>
          <w:szCs w:val="24"/>
        </w:rPr>
        <w:t>Note that t</w:t>
      </w:r>
      <w:r w:rsidR="00C265B8" w:rsidRPr="00D412EE">
        <w:rPr>
          <w:rFonts w:eastAsia="Times New Roman" w:cs="Calibri"/>
          <w:sz w:val="24"/>
          <w:szCs w:val="24"/>
        </w:rPr>
        <w:t xml:space="preserve">his protocol is limited by the large </w:t>
      </w:r>
      <w:proofErr w:type="gramStart"/>
      <w:r w:rsidR="00C265B8" w:rsidRPr="00D412EE">
        <w:rPr>
          <w:rFonts w:eastAsia="Times New Roman" w:cs="Calibri"/>
          <w:sz w:val="24"/>
          <w:szCs w:val="24"/>
        </w:rPr>
        <w:t>amount</w:t>
      </w:r>
      <w:proofErr w:type="gramEnd"/>
      <w:r w:rsidR="00C265B8" w:rsidRPr="00D412EE">
        <w:rPr>
          <w:rFonts w:eastAsia="Times New Roman" w:cs="Calibri"/>
          <w:sz w:val="24"/>
          <w:szCs w:val="24"/>
        </w:rPr>
        <w:t xml:space="preserve"> of microspheres </w:t>
      </w:r>
      <w:r w:rsidR="00F21CCD">
        <w:rPr>
          <w:rFonts w:eastAsia="Times New Roman" w:cs="Calibri"/>
          <w:sz w:val="24"/>
          <w:szCs w:val="24"/>
        </w:rPr>
        <w:t>required</w:t>
      </w:r>
      <w:r w:rsidR="00C265B8" w:rsidRPr="00D412EE">
        <w:rPr>
          <w:rFonts w:eastAsia="Times New Roman" w:cs="Calibri"/>
          <w:sz w:val="24"/>
          <w:szCs w:val="24"/>
        </w:rPr>
        <w:t xml:space="preserve"> for production and the relatively lower resolution of fused deposition modeling to other 3D printing modalities</w:t>
      </w:r>
      <w:r w:rsidR="00F21CCD">
        <w:rPr>
          <w:rFonts w:eastAsia="Times New Roman" w:cs="Calibri"/>
          <w:sz w:val="24"/>
          <w:szCs w:val="24"/>
        </w:rPr>
        <w:t>.</w:t>
      </w:r>
      <w:r w:rsidR="00C43E1B" w:rsidRPr="00D412EE">
        <w:rPr>
          <w:rFonts w:eastAsia="Times New Roman" w:cs="Calibri"/>
          <w:sz w:val="24"/>
          <w:szCs w:val="24"/>
        </w:rPr>
        <w:t xml:space="preserve"> </w:t>
      </w:r>
      <w:r w:rsidR="00F21CCD">
        <w:rPr>
          <w:rFonts w:eastAsia="Times New Roman" w:cs="Calibri"/>
          <w:sz w:val="24"/>
          <w:szCs w:val="24"/>
        </w:rPr>
        <w:t>Nevertheless,</w:t>
      </w:r>
      <w:r w:rsidR="00C43E1B" w:rsidRPr="00D412EE">
        <w:rPr>
          <w:rFonts w:eastAsia="Times New Roman" w:cs="Calibri"/>
          <w:sz w:val="24"/>
          <w:szCs w:val="24"/>
        </w:rPr>
        <w:t xml:space="preserve"> the increased biologic activity is a major advancement</w:t>
      </w:r>
      <w:r w:rsidR="00C265B8" w:rsidRPr="00D412EE">
        <w:rPr>
          <w:rFonts w:eastAsia="Times New Roman" w:cs="Calibri"/>
          <w:sz w:val="24"/>
          <w:szCs w:val="24"/>
        </w:rPr>
        <w:t>.</w:t>
      </w:r>
      <w:r w:rsidR="007C5F07" w:rsidRPr="00D412EE">
        <w:rPr>
          <w:rFonts w:eastAsia="Times New Roman" w:cs="Calibri"/>
          <w:sz w:val="24"/>
          <w:szCs w:val="24"/>
        </w:rPr>
        <w:t xml:space="preserve"> </w:t>
      </w:r>
      <w:r w:rsidR="00E37239" w:rsidRPr="00D412EE">
        <w:rPr>
          <w:rFonts w:eastAsia="Times New Roman" w:cs="Calibri"/>
          <w:sz w:val="24"/>
          <w:szCs w:val="24"/>
        </w:rPr>
        <w:t xml:space="preserve">Although not the focus of this protocol, subsequent studies will concentrate on the impact of the microspheres on mechanical strength, cell migration and differentiation, and further characterizations of the scaffolds. </w:t>
      </w:r>
      <w:r w:rsidR="008D7464" w:rsidRPr="00D412EE">
        <w:rPr>
          <w:rFonts w:eastAsia="Times New Roman" w:cs="Calibri"/>
          <w:sz w:val="24"/>
          <w:szCs w:val="24"/>
        </w:rPr>
        <w:t>Overall, the technique described herein allows decellularized matrix</w:t>
      </w:r>
      <w:r w:rsidR="00660823" w:rsidRPr="00D412EE">
        <w:rPr>
          <w:rFonts w:eastAsia="Times New Roman" w:cs="Calibri"/>
          <w:sz w:val="24"/>
          <w:szCs w:val="24"/>
        </w:rPr>
        <w:t xml:space="preserve"> and other</w:t>
      </w:r>
      <w:r w:rsidR="008D7464" w:rsidRPr="00D412EE">
        <w:rPr>
          <w:rFonts w:eastAsia="Times New Roman" w:cs="Calibri"/>
          <w:sz w:val="24"/>
          <w:szCs w:val="24"/>
        </w:rPr>
        <w:t xml:space="preserve"> proteins to be printed at lower temperatures than previously allowed and in thermally protective barriers </w:t>
      </w:r>
      <w:proofErr w:type="gramStart"/>
      <w:r w:rsidR="008D7464" w:rsidRPr="00D412EE">
        <w:rPr>
          <w:rFonts w:eastAsia="Times New Roman" w:cs="Calibri"/>
          <w:sz w:val="24"/>
          <w:szCs w:val="24"/>
        </w:rPr>
        <w:t>in order to</w:t>
      </w:r>
      <w:proofErr w:type="gramEnd"/>
      <w:r w:rsidR="008D7464" w:rsidRPr="00D412EE">
        <w:rPr>
          <w:rFonts w:eastAsia="Times New Roman" w:cs="Calibri"/>
          <w:sz w:val="24"/>
          <w:szCs w:val="24"/>
        </w:rPr>
        <w:t xml:space="preserve"> maintain function and mechanical strength</w:t>
      </w:r>
      <w:r w:rsidR="00380141" w:rsidRPr="00D412EE">
        <w:rPr>
          <w:rFonts w:eastAsia="Times New Roman" w:cs="Calibri"/>
          <w:sz w:val="24"/>
          <w:szCs w:val="24"/>
          <w:vertAlign w:val="superscript"/>
        </w:rPr>
        <w:t>2</w:t>
      </w:r>
      <w:r w:rsidR="0097254C" w:rsidRPr="00D412EE">
        <w:rPr>
          <w:rFonts w:eastAsia="Times New Roman" w:cs="Calibri"/>
          <w:sz w:val="24"/>
          <w:szCs w:val="24"/>
          <w:vertAlign w:val="superscript"/>
        </w:rPr>
        <w:t>,3</w:t>
      </w:r>
      <w:r w:rsidR="008D7464" w:rsidRPr="00D412EE">
        <w:rPr>
          <w:rFonts w:eastAsia="Times New Roman" w:cs="Calibri"/>
          <w:sz w:val="24"/>
          <w:szCs w:val="24"/>
        </w:rPr>
        <w:t>.</w:t>
      </w:r>
      <w:r w:rsidR="00D412EE">
        <w:rPr>
          <w:rFonts w:eastAsia="Times New Roman" w:cs="Calibri"/>
          <w:sz w:val="24"/>
          <w:szCs w:val="24"/>
        </w:rPr>
        <w:t xml:space="preserve"> </w:t>
      </w:r>
    </w:p>
    <w:p w14:paraId="382464C9" w14:textId="77777777" w:rsidR="008D7464" w:rsidRPr="00D412EE" w:rsidRDefault="008D7464" w:rsidP="00D412EE">
      <w:pPr>
        <w:spacing w:after="0" w:line="240" w:lineRule="auto"/>
        <w:jc w:val="both"/>
        <w:rPr>
          <w:rFonts w:eastAsia="Times New Roman" w:cs="Calibri"/>
          <w:sz w:val="24"/>
          <w:szCs w:val="24"/>
        </w:rPr>
      </w:pPr>
    </w:p>
    <w:p w14:paraId="673B449D"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ACKNOWLEDGMENTS:</w:t>
      </w:r>
      <w:r w:rsidRPr="00D412EE">
        <w:rPr>
          <w:rFonts w:eastAsia="Times New Roman" w:cs="Calibri"/>
          <w:color w:val="000000"/>
          <w:sz w:val="24"/>
          <w:szCs w:val="24"/>
        </w:rPr>
        <w:t xml:space="preserve"> </w:t>
      </w:r>
    </w:p>
    <w:p w14:paraId="67C433D1"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 xml:space="preserve">This project was partially funded by a grant from the Pediatric </w:t>
      </w:r>
      <w:proofErr w:type="spellStart"/>
      <w:r w:rsidRPr="00D412EE">
        <w:rPr>
          <w:rFonts w:eastAsia="Times New Roman" w:cs="Calibri"/>
          <w:sz w:val="24"/>
          <w:szCs w:val="24"/>
        </w:rPr>
        <w:t>Orthopaedic</w:t>
      </w:r>
      <w:proofErr w:type="spellEnd"/>
      <w:r w:rsidRPr="00D412EE">
        <w:rPr>
          <w:rFonts w:eastAsia="Times New Roman" w:cs="Calibri"/>
          <w:sz w:val="24"/>
          <w:szCs w:val="24"/>
        </w:rPr>
        <w:t xml:space="preserve"> Society of North America (POSNA)</w:t>
      </w:r>
      <w:r w:rsidR="00356B97" w:rsidRPr="00D412EE">
        <w:rPr>
          <w:rFonts w:eastAsia="Times New Roman" w:cs="Calibri"/>
          <w:sz w:val="24"/>
          <w:szCs w:val="24"/>
        </w:rPr>
        <w:t xml:space="preserve"> and the National Institutes of Health grant NIBIB R21EB025378-01 (Exploratory Bioengineering Research Grant)</w:t>
      </w:r>
      <w:r w:rsidR="00511B38" w:rsidRPr="00D412EE">
        <w:rPr>
          <w:rFonts w:eastAsia="Times New Roman" w:cs="Calibri"/>
          <w:sz w:val="24"/>
          <w:szCs w:val="24"/>
        </w:rPr>
        <w:t>.</w:t>
      </w:r>
    </w:p>
    <w:p w14:paraId="6D04D1A2"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color w:val="000000"/>
          <w:sz w:val="24"/>
          <w:szCs w:val="24"/>
        </w:rPr>
        <w:lastRenderedPageBreak/>
        <w:t xml:space="preserve"> </w:t>
      </w:r>
    </w:p>
    <w:p w14:paraId="6CEB2597"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b/>
          <w:bCs/>
          <w:color w:val="000000"/>
          <w:sz w:val="24"/>
          <w:szCs w:val="24"/>
        </w:rPr>
        <w:t xml:space="preserve">DISCLOSURES: </w:t>
      </w:r>
    </w:p>
    <w:p w14:paraId="140E07DF"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sz w:val="24"/>
          <w:szCs w:val="24"/>
        </w:rPr>
        <w:t>The authors have nothing to disclose.</w:t>
      </w:r>
    </w:p>
    <w:p w14:paraId="7950ACC8" w14:textId="77777777" w:rsidR="00615EAD" w:rsidRPr="00D412EE" w:rsidRDefault="00615EAD" w:rsidP="00D412EE">
      <w:pPr>
        <w:spacing w:after="0" w:line="240" w:lineRule="auto"/>
        <w:jc w:val="both"/>
        <w:rPr>
          <w:rFonts w:eastAsia="Times New Roman" w:cs="Calibri"/>
          <w:sz w:val="24"/>
          <w:szCs w:val="24"/>
        </w:rPr>
      </w:pPr>
      <w:r w:rsidRPr="00D412EE">
        <w:rPr>
          <w:rFonts w:eastAsia="Times New Roman" w:cs="Calibri"/>
          <w:color w:val="000000"/>
          <w:sz w:val="24"/>
          <w:szCs w:val="24"/>
        </w:rPr>
        <w:t xml:space="preserve"> </w:t>
      </w:r>
    </w:p>
    <w:p w14:paraId="7CA81C5B" w14:textId="0E634AC5" w:rsidR="00A20A23" w:rsidRPr="00494F6C" w:rsidRDefault="00615EAD" w:rsidP="00D412EE">
      <w:pPr>
        <w:spacing w:after="0" w:line="240" w:lineRule="auto"/>
        <w:jc w:val="both"/>
        <w:rPr>
          <w:rFonts w:eastAsia="Times New Roman" w:cs="Calibri"/>
          <w:i/>
          <w:iCs/>
          <w:color w:val="808080"/>
          <w:sz w:val="24"/>
          <w:szCs w:val="24"/>
        </w:rPr>
      </w:pPr>
      <w:r w:rsidRPr="00D412EE">
        <w:rPr>
          <w:rFonts w:eastAsia="Times New Roman" w:cs="Calibri"/>
          <w:b/>
          <w:bCs/>
          <w:color w:val="000000"/>
          <w:sz w:val="24"/>
          <w:szCs w:val="24"/>
        </w:rPr>
        <w:t>REFERENCES</w:t>
      </w:r>
      <w:r w:rsidR="00A27C2B" w:rsidRPr="00D412EE">
        <w:rPr>
          <w:rFonts w:eastAsia="Times New Roman" w:cs="Calibri"/>
          <w:color w:val="000000"/>
          <w:sz w:val="24"/>
          <w:szCs w:val="24"/>
        </w:rPr>
        <w:t>:</w:t>
      </w:r>
    </w:p>
    <w:p w14:paraId="5854BBB4" w14:textId="4E38F9D5" w:rsidR="0097254C" w:rsidRPr="00D412EE" w:rsidRDefault="00A20A23" w:rsidP="00D412EE">
      <w:pPr>
        <w:autoSpaceDE w:val="0"/>
        <w:autoSpaceDN w:val="0"/>
        <w:adjustRightInd w:val="0"/>
        <w:spacing w:after="0" w:line="240" w:lineRule="auto"/>
        <w:jc w:val="both"/>
        <w:rPr>
          <w:rFonts w:cs="Calibri"/>
          <w:sz w:val="24"/>
          <w:szCs w:val="24"/>
        </w:rPr>
      </w:pPr>
      <w:r w:rsidRPr="00D412EE">
        <w:rPr>
          <w:rFonts w:cs="Calibri"/>
          <w:sz w:val="24"/>
          <w:szCs w:val="24"/>
        </w:rPr>
        <w:fldChar w:fldCharType="begin" w:fldLock="1"/>
      </w:r>
      <w:r w:rsidRPr="00D412EE">
        <w:rPr>
          <w:rFonts w:cs="Calibri"/>
          <w:sz w:val="24"/>
          <w:szCs w:val="24"/>
        </w:rPr>
        <w:instrText xml:space="preserve">ADDIN Mendeley Bibliography CSL_BIBLIOGRAPHY </w:instrText>
      </w:r>
      <w:r w:rsidRPr="00D412EE">
        <w:rPr>
          <w:rFonts w:cs="Calibri"/>
          <w:sz w:val="24"/>
          <w:szCs w:val="24"/>
        </w:rPr>
        <w:fldChar w:fldCharType="separate"/>
      </w:r>
      <w:r w:rsidR="0097254C" w:rsidRPr="00D412EE">
        <w:rPr>
          <w:rFonts w:cs="Calibri"/>
          <w:sz w:val="24"/>
          <w:szCs w:val="24"/>
        </w:rPr>
        <w:t>1.</w:t>
      </w:r>
      <w:r w:rsidR="0097254C" w:rsidRPr="00D412EE">
        <w:rPr>
          <w:rFonts w:cs="Calibri"/>
          <w:sz w:val="24"/>
          <w:szCs w:val="24"/>
        </w:rPr>
        <w:tab/>
      </w:r>
      <w:proofErr w:type="spellStart"/>
      <w:r w:rsidR="0097254C" w:rsidRPr="00D412EE">
        <w:rPr>
          <w:rFonts w:cs="Calibri"/>
          <w:sz w:val="24"/>
          <w:szCs w:val="24"/>
        </w:rPr>
        <w:t>Hutchmaker</w:t>
      </w:r>
      <w:proofErr w:type="spellEnd"/>
      <w:r w:rsidR="0097254C" w:rsidRPr="00D412EE">
        <w:rPr>
          <w:rFonts w:cs="Calibri"/>
          <w:sz w:val="24"/>
          <w:szCs w:val="24"/>
        </w:rPr>
        <w:t xml:space="preserve">, D., Teoh, S., </w:t>
      </w:r>
      <w:proofErr w:type="spellStart"/>
      <w:r w:rsidR="0097254C" w:rsidRPr="00D412EE">
        <w:rPr>
          <w:rFonts w:cs="Calibri"/>
          <w:sz w:val="24"/>
          <w:szCs w:val="24"/>
        </w:rPr>
        <w:t>Zein</w:t>
      </w:r>
      <w:proofErr w:type="spellEnd"/>
      <w:r w:rsidR="0097254C" w:rsidRPr="00D412EE">
        <w:rPr>
          <w:rFonts w:cs="Calibri"/>
          <w:sz w:val="24"/>
          <w:szCs w:val="24"/>
        </w:rPr>
        <w:t>, I., Ng, K.</w:t>
      </w:r>
      <w:r w:rsidR="00494F6C">
        <w:rPr>
          <w:rFonts w:cs="Calibri"/>
          <w:sz w:val="24"/>
          <w:szCs w:val="24"/>
        </w:rPr>
        <w:t xml:space="preserve"> </w:t>
      </w:r>
      <w:r w:rsidR="0097254C" w:rsidRPr="00D412EE">
        <w:rPr>
          <w:rFonts w:cs="Calibri"/>
          <w:sz w:val="24"/>
          <w:szCs w:val="24"/>
        </w:rPr>
        <w:t>W., Schantz, J.</w:t>
      </w:r>
      <w:r w:rsidR="00F21CCD">
        <w:rPr>
          <w:rFonts w:cs="Calibri"/>
          <w:sz w:val="24"/>
          <w:szCs w:val="24"/>
        </w:rPr>
        <w:t xml:space="preserve"> </w:t>
      </w:r>
      <w:r w:rsidR="0097254C" w:rsidRPr="00D412EE">
        <w:rPr>
          <w:rFonts w:cs="Calibri"/>
          <w:sz w:val="24"/>
          <w:szCs w:val="24"/>
        </w:rPr>
        <w:t>-T., Leahy</w:t>
      </w:r>
      <w:r w:rsidR="00494F6C">
        <w:rPr>
          <w:rFonts w:cs="Calibri"/>
          <w:sz w:val="24"/>
          <w:szCs w:val="24"/>
        </w:rPr>
        <w:t>, J. C</w:t>
      </w:r>
      <w:r w:rsidR="00F74E11" w:rsidRPr="00D412EE">
        <w:rPr>
          <w:rFonts w:cs="Calibri"/>
          <w:sz w:val="24"/>
          <w:szCs w:val="24"/>
        </w:rPr>
        <w:t>.</w:t>
      </w:r>
      <w:r w:rsidR="0097254C" w:rsidRPr="00D412EE">
        <w:rPr>
          <w:rFonts w:cs="Calibri"/>
          <w:sz w:val="24"/>
          <w:szCs w:val="24"/>
        </w:rPr>
        <w:t xml:space="preserve"> Design and Fabrication of a 3D Scaffold for Tissue Engineering Bone.</w:t>
      </w:r>
      <w:r w:rsidR="00E85267" w:rsidRPr="00D412EE">
        <w:rPr>
          <w:rFonts w:cs="Calibri"/>
          <w:sz w:val="24"/>
          <w:szCs w:val="24"/>
        </w:rPr>
        <w:t xml:space="preserve"> </w:t>
      </w:r>
      <w:r w:rsidR="00E85267" w:rsidRPr="00D412EE">
        <w:rPr>
          <w:rFonts w:cs="Calibri"/>
          <w:i/>
          <w:sz w:val="24"/>
        </w:rPr>
        <w:t>Synthetic Bioabsorbable Polymers and Implants.</w:t>
      </w:r>
      <w:r w:rsidR="0097254C" w:rsidRPr="00D412EE">
        <w:rPr>
          <w:rFonts w:cs="Calibri"/>
          <w:sz w:val="24"/>
          <w:szCs w:val="24"/>
        </w:rPr>
        <w:t xml:space="preserve"> </w:t>
      </w:r>
      <w:r w:rsidR="0097254C" w:rsidRPr="00D412EE">
        <w:rPr>
          <w:rFonts w:cs="Calibri"/>
          <w:b/>
          <w:bCs/>
          <w:sz w:val="24"/>
          <w:szCs w:val="24"/>
        </w:rPr>
        <w:t>15</w:t>
      </w:r>
      <w:r w:rsidR="0097254C" w:rsidRPr="00D412EE">
        <w:rPr>
          <w:rFonts w:cs="Calibri"/>
          <w:sz w:val="24"/>
          <w:szCs w:val="24"/>
        </w:rPr>
        <w:t xml:space="preserve"> (2), 845–847 (1988).</w:t>
      </w:r>
    </w:p>
    <w:p w14:paraId="45B1D0EA" w14:textId="73BC8FDE"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2.</w:t>
      </w:r>
      <w:r w:rsidRPr="00D412EE">
        <w:rPr>
          <w:rFonts w:cs="Calibri"/>
          <w:sz w:val="24"/>
          <w:szCs w:val="24"/>
        </w:rPr>
        <w:tab/>
        <w:t>Ghosh, P., Gruber, S.</w:t>
      </w:r>
      <w:r w:rsidR="00F21CCD">
        <w:rPr>
          <w:rFonts w:cs="Calibri"/>
          <w:sz w:val="24"/>
          <w:szCs w:val="24"/>
        </w:rPr>
        <w:t xml:space="preserve"> </w:t>
      </w:r>
      <w:r w:rsidRPr="00D412EE">
        <w:rPr>
          <w:rFonts w:cs="Calibri"/>
          <w:sz w:val="24"/>
          <w:szCs w:val="24"/>
        </w:rPr>
        <w:t>M.</w:t>
      </w:r>
      <w:r w:rsidR="00F21CCD">
        <w:rPr>
          <w:rFonts w:cs="Calibri"/>
          <w:sz w:val="24"/>
          <w:szCs w:val="24"/>
        </w:rPr>
        <w:t xml:space="preserve"> </w:t>
      </w:r>
      <w:r w:rsidRPr="00D412EE">
        <w:rPr>
          <w:rFonts w:cs="Calibri"/>
          <w:sz w:val="24"/>
          <w:szCs w:val="24"/>
        </w:rPr>
        <w:t>S., Lin, C.</w:t>
      </w:r>
      <w:r w:rsidR="00F21CCD">
        <w:rPr>
          <w:rFonts w:cs="Calibri"/>
          <w:sz w:val="24"/>
          <w:szCs w:val="24"/>
        </w:rPr>
        <w:t xml:space="preserve"> </w:t>
      </w:r>
      <w:r w:rsidRPr="00D412EE">
        <w:rPr>
          <w:rFonts w:cs="Calibri"/>
          <w:sz w:val="24"/>
          <w:szCs w:val="24"/>
        </w:rPr>
        <w:t xml:space="preserve">-Y., Whitlock, P. Microspheres containing decellularized cartilage induce chondrogenesis and remain functional after incorporation within a poly(caprolactone) filament useful for fabricating a 3D scaffold. </w:t>
      </w:r>
      <w:proofErr w:type="spellStart"/>
      <w:r w:rsidRPr="00D412EE">
        <w:rPr>
          <w:rFonts w:cs="Calibri"/>
          <w:i/>
          <w:iCs/>
          <w:sz w:val="24"/>
          <w:szCs w:val="24"/>
        </w:rPr>
        <w:t>Biofabrication</w:t>
      </w:r>
      <w:proofErr w:type="spellEnd"/>
      <w:r w:rsidRPr="00D412EE">
        <w:rPr>
          <w:rFonts w:cs="Calibri"/>
          <w:sz w:val="24"/>
          <w:szCs w:val="24"/>
        </w:rPr>
        <w:t xml:space="preserve">. </w:t>
      </w:r>
      <w:proofErr w:type="spellStart"/>
      <w:r w:rsidRPr="00D412EE">
        <w:rPr>
          <w:rFonts w:cs="Calibri"/>
          <w:sz w:val="24"/>
          <w:szCs w:val="24"/>
        </w:rPr>
        <w:t>doi</w:t>
      </w:r>
      <w:proofErr w:type="spellEnd"/>
      <w:r w:rsidRPr="00D412EE">
        <w:rPr>
          <w:rFonts w:cs="Calibri"/>
          <w:sz w:val="24"/>
          <w:szCs w:val="24"/>
        </w:rPr>
        <w:t>: 10.1088/1758-5090/aaa637 (2018).</w:t>
      </w:r>
    </w:p>
    <w:p w14:paraId="51A889C2" w14:textId="60938C16"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3.</w:t>
      </w:r>
      <w:r w:rsidRPr="00D412EE">
        <w:rPr>
          <w:rFonts w:cs="Calibri"/>
          <w:sz w:val="24"/>
          <w:szCs w:val="24"/>
        </w:rPr>
        <w:tab/>
        <w:t>Partington, L.</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Biochemical changes caused by decellularization may compromise mechanical integrity of tracheal scaffolds. </w:t>
      </w:r>
      <w:r w:rsidRPr="00D412EE">
        <w:rPr>
          <w:rFonts w:cs="Calibri"/>
          <w:i/>
          <w:iCs/>
          <w:sz w:val="24"/>
          <w:szCs w:val="24"/>
        </w:rPr>
        <w:t xml:space="preserve">Acta </w:t>
      </w:r>
      <w:proofErr w:type="spellStart"/>
      <w:r w:rsidRPr="00D412EE">
        <w:rPr>
          <w:rFonts w:cs="Calibri"/>
          <w:i/>
          <w:iCs/>
          <w:sz w:val="24"/>
          <w:szCs w:val="24"/>
        </w:rPr>
        <w:t>Biomaterialia</w:t>
      </w:r>
      <w:proofErr w:type="spellEnd"/>
      <w:r w:rsidRPr="00D412EE">
        <w:rPr>
          <w:rFonts w:cs="Calibri"/>
          <w:sz w:val="24"/>
          <w:szCs w:val="24"/>
        </w:rPr>
        <w:t xml:space="preserve">. </w:t>
      </w:r>
      <w:r w:rsidRPr="00D412EE">
        <w:rPr>
          <w:rFonts w:cs="Calibri"/>
          <w:b/>
          <w:bCs/>
          <w:sz w:val="24"/>
          <w:szCs w:val="24"/>
        </w:rPr>
        <w:t>9</w:t>
      </w:r>
      <w:r w:rsidRPr="00D412EE">
        <w:rPr>
          <w:rFonts w:cs="Calibri"/>
          <w:sz w:val="24"/>
          <w:szCs w:val="24"/>
        </w:rPr>
        <w:t xml:space="preserve"> (2), 5251–5261, </w:t>
      </w:r>
      <w:proofErr w:type="spellStart"/>
      <w:r w:rsidRPr="00D412EE">
        <w:rPr>
          <w:rFonts w:cs="Calibri"/>
          <w:sz w:val="24"/>
          <w:szCs w:val="24"/>
        </w:rPr>
        <w:t>doi</w:t>
      </w:r>
      <w:proofErr w:type="spellEnd"/>
      <w:r w:rsidRPr="00D412EE">
        <w:rPr>
          <w:rFonts w:cs="Calibri"/>
          <w:sz w:val="24"/>
          <w:szCs w:val="24"/>
        </w:rPr>
        <w:t>: 10.1016/j.actbio.2012.10.004 (2013).</w:t>
      </w:r>
    </w:p>
    <w:p w14:paraId="49B9AEC5" w14:textId="6553C455"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4.</w:t>
      </w:r>
      <w:r w:rsidRPr="00D412EE">
        <w:rPr>
          <w:rFonts w:cs="Calibri"/>
          <w:sz w:val="24"/>
          <w:szCs w:val="24"/>
        </w:rPr>
        <w:tab/>
      </w:r>
      <w:proofErr w:type="spellStart"/>
      <w:r w:rsidRPr="00D412EE">
        <w:rPr>
          <w:rFonts w:cs="Calibri"/>
          <w:sz w:val="24"/>
          <w:szCs w:val="24"/>
        </w:rPr>
        <w:t>Hutmacher</w:t>
      </w:r>
      <w:proofErr w:type="spellEnd"/>
      <w:r w:rsidRPr="00D412EE">
        <w:rPr>
          <w:rFonts w:cs="Calibri"/>
          <w:sz w:val="24"/>
          <w:szCs w:val="24"/>
        </w:rPr>
        <w:t>, D.</w:t>
      </w:r>
      <w:r w:rsidR="00494F6C">
        <w:rPr>
          <w:rFonts w:cs="Calibri"/>
          <w:sz w:val="24"/>
          <w:szCs w:val="24"/>
        </w:rPr>
        <w:t xml:space="preserve"> </w:t>
      </w:r>
      <w:r w:rsidRPr="00D412EE">
        <w:rPr>
          <w:rFonts w:cs="Calibri"/>
          <w:sz w:val="24"/>
          <w:szCs w:val="24"/>
        </w:rPr>
        <w:t xml:space="preserve">W. Scaffolds in tissue engineering bone and cartilage. </w:t>
      </w:r>
      <w:r w:rsidRPr="00D412EE">
        <w:rPr>
          <w:rFonts w:cs="Calibri"/>
          <w:i/>
          <w:iCs/>
          <w:sz w:val="24"/>
          <w:szCs w:val="24"/>
        </w:rPr>
        <w:t>Biomaterials</w:t>
      </w:r>
      <w:r w:rsidRPr="00D412EE">
        <w:rPr>
          <w:rFonts w:cs="Calibri"/>
          <w:sz w:val="24"/>
          <w:szCs w:val="24"/>
        </w:rPr>
        <w:t xml:space="preserve">. </w:t>
      </w:r>
      <w:r w:rsidRPr="00D412EE">
        <w:rPr>
          <w:rFonts w:cs="Calibri"/>
          <w:b/>
          <w:bCs/>
          <w:sz w:val="24"/>
          <w:szCs w:val="24"/>
        </w:rPr>
        <w:t>21</w:t>
      </w:r>
      <w:r w:rsidRPr="00D412EE">
        <w:rPr>
          <w:rFonts w:cs="Calibri"/>
          <w:sz w:val="24"/>
          <w:szCs w:val="24"/>
        </w:rPr>
        <w:t xml:space="preserve"> (24), 2529–2543, </w:t>
      </w:r>
      <w:proofErr w:type="spellStart"/>
      <w:r w:rsidRPr="00D412EE">
        <w:rPr>
          <w:rFonts w:cs="Calibri"/>
          <w:sz w:val="24"/>
          <w:szCs w:val="24"/>
        </w:rPr>
        <w:t>doi</w:t>
      </w:r>
      <w:proofErr w:type="spellEnd"/>
      <w:r w:rsidRPr="00D412EE">
        <w:rPr>
          <w:rFonts w:cs="Calibri"/>
          <w:sz w:val="24"/>
          <w:szCs w:val="24"/>
        </w:rPr>
        <w:t>: 10.1016/S0142-9612(00)00121-6 (2000).</w:t>
      </w:r>
    </w:p>
    <w:p w14:paraId="7372867E" w14:textId="725EAB54"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5.</w:t>
      </w:r>
      <w:r w:rsidRPr="00D412EE">
        <w:rPr>
          <w:rFonts w:cs="Calibri"/>
          <w:sz w:val="24"/>
          <w:szCs w:val="24"/>
        </w:rPr>
        <w:tab/>
        <w:t>Kang, H., Hollister, S.</w:t>
      </w:r>
      <w:r w:rsidR="00494F6C">
        <w:rPr>
          <w:rFonts w:cs="Calibri"/>
          <w:sz w:val="24"/>
          <w:szCs w:val="24"/>
        </w:rPr>
        <w:t xml:space="preserve"> </w:t>
      </w:r>
      <w:r w:rsidRPr="00D412EE">
        <w:rPr>
          <w:rFonts w:cs="Calibri"/>
          <w:sz w:val="24"/>
          <w:szCs w:val="24"/>
        </w:rPr>
        <w:t>J., La Marca, F., Park, P., Lin, C.</w:t>
      </w:r>
      <w:r w:rsidR="00494F6C">
        <w:rPr>
          <w:rFonts w:cs="Calibri"/>
          <w:sz w:val="24"/>
          <w:szCs w:val="24"/>
        </w:rPr>
        <w:t xml:space="preserve"> </w:t>
      </w:r>
      <w:r w:rsidRPr="00D412EE">
        <w:rPr>
          <w:rFonts w:cs="Calibri"/>
          <w:sz w:val="24"/>
          <w:szCs w:val="24"/>
        </w:rPr>
        <w:t xml:space="preserve">-Y. Porous biodegradable lumbar interbody fusion cage design and fabrication using integrated global-local topology optimization with laser sintering. </w:t>
      </w:r>
      <w:r w:rsidRPr="00D412EE">
        <w:rPr>
          <w:rFonts w:cs="Calibri"/>
          <w:i/>
          <w:iCs/>
          <w:sz w:val="24"/>
          <w:szCs w:val="24"/>
        </w:rPr>
        <w:t>Journal of biomechanical engineering</w:t>
      </w:r>
      <w:r w:rsidRPr="00D412EE">
        <w:rPr>
          <w:rFonts w:cs="Calibri"/>
          <w:sz w:val="24"/>
          <w:szCs w:val="24"/>
        </w:rPr>
        <w:t xml:space="preserve">. </w:t>
      </w:r>
      <w:r w:rsidRPr="00D412EE">
        <w:rPr>
          <w:rFonts w:cs="Calibri"/>
          <w:b/>
          <w:bCs/>
          <w:sz w:val="24"/>
          <w:szCs w:val="24"/>
        </w:rPr>
        <w:t>135</w:t>
      </w:r>
      <w:r w:rsidRPr="00D412EE">
        <w:rPr>
          <w:rFonts w:cs="Calibri"/>
          <w:sz w:val="24"/>
          <w:szCs w:val="24"/>
        </w:rPr>
        <w:t xml:space="preserve"> (10), 101013–8, </w:t>
      </w:r>
      <w:proofErr w:type="spellStart"/>
      <w:r w:rsidRPr="00D412EE">
        <w:rPr>
          <w:rFonts w:cs="Calibri"/>
          <w:sz w:val="24"/>
          <w:szCs w:val="24"/>
        </w:rPr>
        <w:t>doi</w:t>
      </w:r>
      <w:proofErr w:type="spellEnd"/>
      <w:r w:rsidRPr="00D412EE">
        <w:rPr>
          <w:rFonts w:cs="Calibri"/>
          <w:sz w:val="24"/>
          <w:szCs w:val="24"/>
        </w:rPr>
        <w:t>: 10.1115/1.4025102 (2013).</w:t>
      </w:r>
    </w:p>
    <w:p w14:paraId="0B9E8231" w14:textId="3C59A474"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6.</w:t>
      </w:r>
      <w:r w:rsidRPr="00D412EE">
        <w:rPr>
          <w:rFonts w:cs="Calibri"/>
          <w:sz w:val="24"/>
          <w:szCs w:val="24"/>
        </w:rPr>
        <w:tab/>
        <w:t>Kang, H., Lin, C.</w:t>
      </w:r>
      <w:r w:rsidR="00494F6C">
        <w:rPr>
          <w:rFonts w:cs="Calibri"/>
          <w:sz w:val="24"/>
          <w:szCs w:val="24"/>
        </w:rPr>
        <w:t xml:space="preserve"> </w:t>
      </w:r>
      <w:r w:rsidRPr="00D412EE">
        <w:rPr>
          <w:rFonts w:cs="Calibri"/>
          <w:sz w:val="24"/>
          <w:szCs w:val="24"/>
        </w:rPr>
        <w:t>Y., Hollister, S.</w:t>
      </w:r>
      <w:r w:rsidR="00494F6C">
        <w:rPr>
          <w:rFonts w:cs="Calibri"/>
          <w:sz w:val="24"/>
          <w:szCs w:val="24"/>
        </w:rPr>
        <w:t xml:space="preserve"> </w:t>
      </w:r>
      <w:r w:rsidRPr="00D412EE">
        <w:rPr>
          <w:rFonts w:cs="Calibri"/>
          <w:sz w:val="24"/>
          <w:szCs w:val="24"/>
        </w:rPr>
        <w:t xml:space="preserve">J. Topology optimization of </w:t>
      </w:r>
      <w:proofErr w:type="gramStart"/>
      <w:r w:rsidRPr="00D412EE">
        <w:rPr>
          <w:rFonts w:cs="Calibri"/>
          <w:sz w:val="24"/>
          <w:szCs w:val="24"/>
        </w:rPr>
        <w:t>three dimensional</w:t>
      </w:r>
      <w:proofErr w:type="gramEnd"/>
      <w:r w:rsidRPr="00D412EE">
        <w:rPr>
          <w:rFonts w:cs="Calibri"/>
          <w:sz w:val="24"/>
          <w:szCs w:val="24"/>
        </w:rPr>
        <w:t xml:space="preserve"> tissue engineering scaffold architectures for prescribed bulk modulus and diffusivity. </w:t>
      </w:r>
      <w:r w:rsidRPr="00D412EE">
        <w:rPr>
          <w:rFonts w:cs="Calibri"/>
          <w:i/>
          <w:iCs/>
          <w:sz w:val="24"/>
          <w:szCs w:val="24"/>
        </w:rPr>
        <w:t>Structural and Multidisciplinary Optimization</w:t>
      </w:r>
      <w:r w:rsidRPr="00D412EE">
        <w:rPr>
          <w:rFonts w:cs="Calibri"/>
          <w:sz w:val="24"/>
          <w:szCs w:val="24"/>
        </w:rPr>
        <w:t xml:space="preserve">. </w:t>
      </w:r>
      <w:r w:rsidRPr="00D412EE">
        <w:rPr>
          <w:rFonts w:cs="Calibri"/>
          <w:b/>
          <w:bCs/>
          <w:sz w:val="24"/>
          <w:szCs w:val="24"/>
        </w:rPr>
        <w:t>42</w:t>
      </w:r>
      <w:r w:rsidRPr="00D412EE">
        <w:rPr>
          <w:rFonts w:cs="Calibri"/>
          <w:sz w:val="24"/>
          <w:szCs w:val="24"/>
        </w:rPr>
        <w:t xml:space="preserve"> (4), 633–644, </w:t>
      </w:r>
      <w:proofErr w:type="spellStart"/>
      <w:r w:rsidRPr="00D412EE">
        <w:rPr>
          <w:rFonts w:cs="Calibri"/>
          <w:sz w:val="24"/>
          <w:szCs w:val="24"/>
        </w:rPr>
        <w:t>doi</w:t>
      </w:r>
      <w:proofErr w:type="spellEnd"/>
      <w:r w:rsidRPr="00D412EE">
        <w:rPr>
          <w:rFonts w:cs="Calibri"/>
          <w:sz w:val="24"/>
          <w:szCs w:val="24"/>
        </w:rPr>
        <w:t>: 10.1007/s00158-010-0508-8 (2010).</w:t>
      </w:r>
    </w:p>
    <w:p w14:paraId="5AF5535D" w14:textId="158CDCB9"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7.</w:t>
      </w:r>
      <w:r w:rsidRPr="00D412EE">
        <w:rPr>
          <w:rFonts w:cs="Calibri"/>
          <w:sz w:val="24"/>
          <w:szCs w:val="24"/>
        </w:rPr>
        <w:tab/>
        <w:t>Lin, C.-Y.</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Functional bone engineering using </w:t>
      </w:r>
      <w:r w:rsidR="00D412EE" w:rsidRPr="00D412EE">
        <w:rPr>
          <w:rFonts w:cs="Calibri"/>
          <w:i/>
          <w:sz w:val="24"/>
          <w:szCs w:val="24"/>
        </w:rPr>
        <w:t>ex vivo</w:t>
      </w:r>
      <w:r w:rsidRPr="00D412EE">
        <w:rPr>
          <w:rFonts w:cs="Calibri"/>
          <w:sz w:val="24"/>
          <w:szCs w:val="24"/>
        </w:rPr>
        <w:t xml:space="preserve"> gene therapy and topology-optimized, biodegradable polymer composite scaffolds</w:t>
      </w:r>
      <w:r w:rsidR="00494F6C">
        <w:rPr>
          <w:rFonts w:cs="Calibri"/>
          <w:sz w:val="24"/>
          <w:szCs w:val="24"/>
        </w:rPr>
        <w:t>.</w:t>
      </w:r>
      <w:r w:rsidRPr="00D412EE">
        <w:rPr>
          <w:rFonts w:cs="Calibri"/>
          <w:sz w:val="24"/>
          <w:szCs w:val="24"/>
        </w:rPr>
        <w:t xml:space="preserve"> </w:t>
      </w:r>
      <w:r w:rsidRPr="00D412EE">
        <w:rPr>
          <w:rFonts w:cs="Calibri"/>
          <w:i/>
          <w:iCs/>
          <w:sz w:val="24"/>
          <w:szCs w:val="24"/>
        </w:rPr>
        <w:t>Tissue Engineering</w:t>
      </w:r>
      <w:r w:rsidR="00494F6C">
        <w:rPr>
          <w:rFonts w:cs="Calibri"/>
          <w:i/>
          <w:iCs/>
          <w:sz w:val="24"/>
          <w:szCs w:val="24"/>
        </w:rPr>
        <w:t>.</w:t>
      </w:r>
      <w:r w:rsidRPr="00D412EE">
        <w:rPr>
          <w:rFonts w:cs="Calibri"/>
          <w:sz w:val="24"/>
          <w:szCs w:val="24"/>
        </w:rPr>
        <w:t xml:space="preserve"> </w:t>
      </w:r>
      <w:r w:rsidRPr="00D412EE">
        <w:rPr>
          <w:rFonts w:cs="Calibri"/>
          <w:b/>
          <w:bCs/>
          <w:sz w:val="24"/>
          <w:szCs w:val="24"/>
        </w:rPr>
        <w:t>11</w:t>
      </w:r>
      <w:r w:rsidRPr="00D412EE">
        <w:rPr>
          <w:rFonts w:cs="Calibri"/>
          <w:sz w:val="24"/>
          <w:szCs w:val="24"/>
        </w:rPr>
        <w:t xml:space="preserve"> (9–10), 1589–1598, </w:t>
      </w:r>
      <w:proofErr w:type="spellStart"/>
      <w:r w:rsidRPr="00D412EE">
        <w:rPr>
          <w:rFonts w:cs="Calibri"/>
          <w:sz w:val="24"/>
          <w:szCs w:val="24"/>
        </w:rPr>
        <w:t>doi</w:t>
      </w:r>
      <w:proofErr w:type="spellEnd"/>
      <w:r w:rsidRPr="00D412EE">
        <w:rPr>
          <w:rFonts w:cs="Calibri"/>
          <w:sz w:val="24"/>
          <w:szCs w:val="24"/>
        </w:rPr>
        <w:t>: 10.1089/ten.2005.11.1589 (2005).</w:t>
      </w:r>
    </w:p>
    <w:p w14:paraId="108BEE28" w14:textId="7622F38E"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8.</w:t>
      </w:r>
      <w:r w:rsidRPr="00D412EE">
        <w:rPr>
          <w:rFonts w:cs="Calibri"/>
          <w:sz w:val="24"/>
          <w:szCs w:val="24"/>
        </w:rPr>
        <w:tab/>
        <w:t>Lin, C.</w:t>
      </w:r>
      <w:r w:rsidR="00494F6C">
        <w:rPr>
          <w:rFonts w:cs="Calibri"/>
          <w:sz w:val="24"/>
          <w:szCs w:val="24"/>
        </w:rPr>
        <w:t xml:space="preserve"> </w:t>
      </w:r>
      <w:r w:rsidRPr="00D412EE">
        <w:rPr>
          <w:rFonts w:cs="Calibri"/>
          <w:sz w:val="24"/>
          <w:szCs w:val="24"/>
        </w:rPr>
        <w:t>-Y., Hsiao, C.</w:t>
      </w:r>
      <w:r w:rsidR="00494F6C">
        <w:rPr>
          <w:rFonts w:cs="Calibri"/>
          <w:sz w:val="24"/>
          <w:szCs w:val="24"/>
        </w:rPr>
        <w:t xml:space="preserve"> </w:t>
      </w:r>
      <w:r w:rsidRPr="00D412EE">
        <w:rPr>
          <w:rFonts w:cs="Calibri"/>
          <w:sz w:val="24"/>
          <w:szCs w:val="24"/>
        </w:rPr>
        <w:t>-C., Chen, P.</w:t>
      </w:r>
      <w:r w:rsidR="00494F6C">
        <w:rPr>
          <w:rFonts w:cs="Calibri"/>
          <w:sz w:val="24"/>
          <w:szCs w:val="24"/>
        </w:rPr>
        <w:t xml:space="preserve"> </w:t>
      </w:r>
      <w:r w:rsidRPr="00D412EE">
        <w:rPr>
          <w:rFonts w:cs="Calibri"/>
          <w:sz w:val="24"/>
          <w:szCs w:val="24"/>
        </w:rPr>
        <w:t>-Q., Hollister, S.</w:t>
      </w:r>
      <w:r w:rsidR="00494F6C">
        <w:rPr>
          <w:rFonts w:cs="Calibri"/>
          <w:sz w:val="24"/>
          <w:szCs w:val="24"/>
        </w:rPr>
        <w:t xml:space="preserve"> </w:t>
      </w:r>
      <w:r w:rsidRPr="00D412EE">
        <w:rPr>
          <w:rFonts w:cs="Calibri"/>
          <w:sz w:val="24"/>
          <w:szCs w:val="24"/>
        </w:rPr>
        <w:t xml:space="preserve">J. Interbody Fusion Cage Design Using Integrated Global Layout and Local Microstructure Topology Optimization. </w:t>
      </w:r>
      <w:r w:rsidRPr="00D412EE">
        <w:rPr>
          <w:rFonts w:cs="Calibri"/>
          <w:i/>
          <w:iCs/>
          <w:sz w:val="24"/>
          <w:szCs w:val="24"/>
        </w:rPr>
        <w:t>Spine</w:t>
      </w:r>
      <w:r w:rsidRPr="00D412EE">
        <w:rPr>
          <w:rFonts w:cs="Calibri"/>
          <w:sz w:val="24"/>
          <w:szCs w:val="24"/>
        </w:rPr>
        <w:t xml:space="preserve">. </w:t>
      </w:r>
      <w:r w:rsidRPr="00D412EE">
        <w:rPr>
          <w:rFonts w:cs="Calibri"/>
          <w:b/>
          <w:bCs/>
          <w:sz w:val="24"/>
          <w:szCs w:val="24"/>
        </w:rPr>
        <w:t>29</w:t>
      </w:r>
      <w:r w:rsidRPr="00D412EE">
        <w:rPr>
          <w:rFonts w:cs="Calibri"/>
          <w:sz w:val="24"/>
          <w:szCs w:val="24"/>
        </w:rPr>
        <w:t xml:space="preserve"> (16), 1747–1754, </w:t>
      </w:r>
      <w:proofErr w:type="spellStart"/>
      <w:r w:rsidRPr="00D412EE">
        <w:rPr>
          <w:rFonts w:cs="Calibri"/>
          <w:sz w:val="24"/>
          <w:szCs w:val="24"/>
        </w:rPr>
        <w:t>doi</w:t>
      </w:r>
      <w:proofErr w:type="spellEnd"/>
      <w:r w:rsidRPr="00D412EE">
        <w:rPr>
          <w:rFonts w:cs="Calibri"/>
          <w:sz w:val="24"/>
          <w:szCs w:val="24"/>
        </w:rPr>
        <w:t>: 10.1097/01.BRS.0000134573.14150.1A (2004).</w:t>
      </w:r>
    </w:p>
    <w:p w14:paraId="633C2010" w14:textId="77777777"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9.</w:t>
      </w:r>
      <w:r w:rsidRPr="00D412EE">
        <w:rPr>
          <w:rFonts w:cs="Calibri"/>
          <w:sz w:val="24"/>
          <w:szCs w:val="24"/>
        </w:rPr>
        <w:tab/>
      </w:r>
      <w:proofErr w:type="spellStart"/>
      <w:r w:rsidRPr="00D412EE">
        <w:rPr>
          <w:rFonts w:cs="Calibri"/>
          <w:sz w:val="24"/>
          <w:szCs w:val="24"/>
        </w:rPr>
        <w:t>Zopf</w:t>
      </w:r>
      <w:proofErr w:type="spellEnd"/>
      <w:r w:rsidRPr="00D412EE">
        <w:rPr>
          <w:rFonts w:cs="Calibri"/>
          <w:sz w:val="24"/>
          <w:szCs w:val="24"/>
        </w:rPr>
        <w:t xml:space="preserve">, D., Hollister, S., Nelson, M., </w:t>
      </w:r>
      <w:proofErr w:type="spellStart"/>
      <w:r w:rsidRPr="00D412EE">
        <w:rPr>
          <w:rFonts w:cs="Calibri"/>
          <w:sz w:val="24"/>
          <w:szCs w:val="24"/>
        </w:rPr>
        <w:t>Ohye</w:t>
      </w:r>
      <w:proofErr w:type="spellEnd"/>
      <w:r w:rsidRPr="00D412EE">
        <w:rPr>
          <w:rFonts w:cs="Calibri"/>
          <w:sz w:val="24"/>
          <w:szCs w:val="24"/>
        </w:rPr>
        <w:t xml:space="preserve">, R., Green, G. Bioresorbable Airway Splint Created with a Three-Dimensional Printer. </w:t>
      </w:r>
      <w:r w:rsidRPr="00D412EE">
        <w:rPr>
          <w:rFonts w:cs="Calibri"/>
          <w:i/>
          <w:iCs/>
          <w:sz w:val="24"/>
          <w:szCs w:val="24"/>
        </w:rPr>
        <w:t>New England Journal of Medicine</w:t>
      </w:r>
      <w:r w:rsidRPr="00D412EE">
        <w:rPr>
          <w:rFonts w:cs="Calibri"/>
          <w:sz w:val="24"/>
          <w:szCs w:val="24"/>
        </w:rPr>
        <w:t xml:space="preserve">. </w:t>
      </w:r>
      <w:r w:rsidRPr="00D412EE">
        <w:rPr>
          <w:rFonts w:cs="Calibri"/>
          <w:b/>
          <w:bCs/>
          <w:sz w:val="24"/>
          <w:szCs w:val="24"/>
        </w:rPr>
        <w:t>368</w:t>
      </w:r>
      <w:r w:rsidRPr="00D412EE">
        <w:rPr>
          <w:rFonts w:cs="Calibri"/>
          <w:sz w:val="24"/>
          <w:szCs w:val="24"/>
        </w:rPr>
        <w:t xml:space="preserve"> (21), 2043–2045, </w:t>
      </w:r>
      <w:proofErr w:type="spellStart"/>
      <w:r w:rsidRPr="00D412EE">
        <w:rPr>
          <w:rFonts w:cs="Calibri"/>
          <w:sz w:val="24"/>
          <w:szCs w:val="24"/>
        </w:rPr>
        <w:t>doi</w:t>
      </w:r>
      <w:proofErr w:type="spellEnd"/>
      <w:r w:rsidRPr="00D412EE">
        <w:rPr>
          <w:rFonts w:cs="Calibri"/>
          <w:sz w:val="24"/>
          <w:szCs w:val="24"/>
        </w:rPr>
        <w:t>: 10.1056/NEJMc1301237 (2013).</w:t>
      </w:r>
    </w:p>
    <w:p w14:paraId="14A6F41C" w14:textId="090625CB"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10.</w:t>
      </w:r>
      <w:r w:rsidRPr="00D412EE">
        <w:rPr>
          <w:rFonts w:cs="Calibri"/>
          <w:sz w:val="24"/>
          <w:szCs w:val="24"/>
        </w:rPr>
        <w:tab/>
      </w:r>
      <w:proofErr w:type="spellStart"/>
      <w:r w:rsidRPr="00D412EE">
        <w:rPr>
          <w:rFonts w:cs="Calibri"/>
          <w:sz w:val="24"/>
          <w:szCs w:val="24"/>
        </w:rPr>
        <w:t>Pati</w:t>
      </w:r>
      <w:proofErr w:type="spellEnd"/>
      <w:r w:rsidRPr="00D412EE">
        <w:rPr>
          <w:rFonts w:cs="Calibri"/>
          <w:sz w:val="24"/>
          <w:szCs w:val="24"/>
        </w:rPr>
        <w:t>, F., Song, T.</w:t>
      </w:r>
      <w:r w:rsidR="00494F6C">
        <w:rPr>
          <w:rFonts w:cs="Calibri"/>
          <w:sz w:val="24"/>
          <w:szCs w:val="24"/>
        </w:rPr>
        <w:t xml:space="preserve"> </w:t>
      </w:r>
      <w:r w:rsidRPr="00D412EE">
        <w:rPr>
          <w:rFonts w:cs="Calibri"/>
          <w:sz w:val="24"/>
          <w:szCs w:val="24"/>
        </w:rPr>
        <w:t xml:space="preserve">H., </w:t>
      </w:r>
      <w:proofErr w:type="spellStart"/>
      <w:r w:rsidRPr="00D412EE">
        <w:rPr>
          <w:rFonts w:cs="Calibri"/>
          <w:sz w:val="24"/>
          <w:szCs w:val="24"/>
        </w:rPr>
        <w:t>Rijal</w:t>
      </w:r>
      <w:proofErr w:type="spellEnd"/>
      <w:r w:rsidRPr="00D412EE">
        <w:rPr>
          <w:rFonts w:cs="Calibri"/>
          <w:sz w:val="24"/>
          <w:szCs w:val="24"/>
        </w:rPr>
        <w:t>, G., Jang, J., Kim, S.</w:t>
      </w:r>
      <w:r w:rsidR="00494F6C">
        <w:rPr>
          <w:rFonts w:cs="Calibri"/>
          <w:sz w:val="24"/>
          <w:szCs w:val="24"/>
        </w:rPr>
        <w:t xml:space="preserve"> </w:t>
      </w:r>
      <w:r w:rsidRPr="00D412EE">
        <w:rPr>
          <w:rFonts w:cs="Calibri"/>
          <w:sz w:val="24"/>
          <w:szCs w:val="24"/>
        </w:rPr>
        <w:t xml:space="preserve">W., Cho, D.W. Ornamenting 3D printed scaffolds with cell-laid extracellular matrix for bone tissue regeneration. </w:t>
      </w:r>
      <w:r w:rsidRPr="00D412EE">
        <w:rPr>
          <w:rFonts w:cs="Calibri"/>
          <w:i/>
          <w:iCs/>
          <w:sz w:val="24"/>
          <w:szCs w:val="24"/>
        </w:rPr>
        <w:t>Biomaterials</w:t>
      </w:r>
      <w:r w:rsidRPr="00D412EE">
        <w:rPr>
          <w:rFonts w:cs="Calibri"/>
          <w:sz w:val="24"/>
          <w:szCs w:val="24"/>
        </w:rPr>
        <w:t xml:space="preserve">. </w:t>
      </w:r>
      <w:r w:rsidRPr="00D412EE">
        <w:rPr>
          <w:rFonts w:cs="Calibri"/>
          <w:b/>
          <w:bCs/>
          <w:sz w:val="24"/>
          <w:szCs w:val="24"/>
        </w:rPr>
        <w:t>37</w:t>
      </w:r>
      <w:r w:rsidRPr="00D412EE">
        <w:rPr>
          <w:rFonts w:cs="Calibri"/>
          <w:sz w:val="24"/>
          <w:szCs w:val="24"/>
        </w:rPr>
        <w:t xml:space="preserve"> (October), 230–241, </w:t>
      </w:r>
      <w:proofErr w:type="spellStart"/>
      <w:r w:rsidRPr="00D412EE">
        <w:rPr>
          <w:rFonts w:cs="Calibri"/>
          <w:sz w:val="24"/>
          <w:szCs w:val="24"/>
        </w:rPr>
        <w:t>doi</w:t>
      </w:r>
      <w:proofErr w:type="spellEnd"/>
      <w:r w:rsidRPr="00D412EE">
        <w:rPr>
          <w:rFonts w:cs="Calibri"/>
          <w:sz w:val="24"/>
          <w:szCs w:val="24"/>
        </w:rPr>
        <w:t>: 10.1016/j.biomaterials.2014.10.012 (2015).</w:t>
      </w:r>
    </w:p>
    <w:p w14:paraId="63EF9808" w14:textId="536063E0"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11.</w:t>
      </w:r>
      <w:r w:rsidRPr="00D412EE">
        <w:rPr>
          <w:rFonts w:cs="Calibri"/>
          <w:sz w:val="24"/>
          <w:szCs w:val="24"/>
        </w:rPr>
        <w:tab/>
        <w:t>Zhang, W.</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The effect of interface microstructure on interfacial shear strength for osteochondral scaffolds based on biomimetic design and 3D printing. </w:t>
      </w:r>
      <w:r w:rsidRPr="00D412EE">
        <w:rPr>
          <w:rFonts w:cs="Calibri"/>
          <w:i/>
          <w:iCs/>
          <w:sz w:val="24"/>
          <w:szCs w:val="24"/>
        </w:rPr>
        <w:t>Materials Science and Engineering C</w:t>
      </w:r>
      <w:r w:rsidRPr="00D412EE">
        <w:rPr>
          <w:rFonts w:cs="Calibri"/>
          <w:sz w:val="24"/>
          <w:szCs w:val="24"/>
        </w:rPr>
        <w:t xml:space="preserve">. </w:t>
      </w:r>
      <w:r w:rsidRPr="00D412EE">
        <w:rPr>
          <w:rFonts w:cs="Calibri"/>
          <w:b/>
          <w:bCs/>
          <w:sz w:val="24"/>
          <w:szCs w:val="24"/>
        </w:rPr>
        <w:t>46</w:t>
      </w:r>
      <w:r w:rsidRPr="00D412EE">
        <w:rPr>
          <w:rFonts w:cs="Calibri"/>
          <w:sz w:val="24"/>
          <w:szCs w:val="24"/>
        </w:rPr>
        <w:t xml:space="preserve"> (September), 10–15, </w:t>
      </w:r>
      <w:proofErr w:type="spellStart"/>
      <w:r w:rsidRPr="00D412EE">
        <w:rPr>
          <w:rFonts w:cs="Calibri"/>
          <w:sz w:val="24"/>
          <w:szCs w:val="24"/>
        </w:rPr>
        <w:t>doi</w:t>
      </w:r>
      <w:proofErr w:type="spellEnd"/>
      <w:r w:rsidRPr="00D412EE">
        <w:rPr>
          <w:rFonts w:cs="Calibri"/>
          <w:sz w:val="24"/>
          <w:szCs w:val="24"/>
        </w:rPr>
        <w:t>: 10.1016/j.m</w:t>
      </w:r>
      <w:r w:rsidR="00D412EE">
        <w:rPr>
          <w:rFonts w:cs="Calibri"/>
          <w:sz w:val="24"/>
          <w:szCs w:val="24"/>
        </w:rPr>
        <w:t>s.</w:t>
      </w:r>
      <w:r w:rsidRPr="00D412EE">
        <w:rPr>
          <w:rFonts w:cs="Calibri"/>
          <w:sz w:val="24"/>
          <w:szCs w:val="24"/>
        </w:rPr>
        <w:t>2014.09.042 (2015).</w:t>
      </w:r>
    </w:p>
    <w:p w14:paraId="79A85E25" w14:textId="5C8FDE87"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12.</w:t>
      </w:r>
      <w:r w:rsidRPr="00D412EE">
        <w:rPr>
          <w:rFonts w:cs="Calibri"/>
          <w:sz w:val="24"/>
          <w:szCs w:val="24"/>
        </w:rPr>
        <w:tab/>
        <w:t>Williams, J.</w:t>
      </w:r>
      <w:r w:rsidR="00494F6C">
        <w:rPr>
          <w:rFonts w:cs="Calibri"/>
          <w:sz w:val="24"/>
          <w:szCs w:val="24"/>
        </w:rPr>
        <w:t xml:space="preserve"> </w:t>
      </w:r>
      <w:r w:rsidRPr="00D412EE">
        <w:rPr>
          <w:rFonts w:cs="Calibri"/>
          <w:sz w:val="24"/>
          <w:szCs w:val="24"/>
        </w:rPr>
        <w:t>M.</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Bone tissue engineering using polycaprolactone scaffolds fabricated </w:t>
      </w:r>
      <w:r w:rsidR="00D412EE" w:rsidRPr="00D412EE">
        <w:rPr>
          <w:rFonts w:cs="Calibri"/>
          <w:i/>
          <w:sz w:val="24"/>
          <w:szCs w:val="24"/>
        </w:rPr>
        <w:t>via</w:t>
      </w:r>
      <w:r w:rsidRPr="00D412EE">
        <w:rPr>
          <w:rFonts w:cs="Calibri"/>
          <w:sz w:val="24"/>
          <w:szCs w:val="24"/>
        </w:rPr>
        <w:t xml:space="preserve"> selective laser sintering. </w:t>
      </w:r>
      <w:r w:rsidRPr="00D412EE">
        <w:rPr>
          <w:rFonts w:cs="Calibri"/>
          <w:i/>
          <w:iCs/>
          <w:sz w:val="24"/>
          <w:szCs w:val="24"/>
        </w:rPr>
        <w:t>Biomaterials</w:t>
      </w:r>
      <w:r w:rsidRPr="00D412EE">
        <w:rPr>
          <w:rFonts w:cs="Calibri"/>
          <w:sz w:val="24"/>
          <w:szCs w:val="24"/>
        </w:rPr>
        <w:t xml:space="preserve">. </w:t>
      </w:r>
      <w:r w:rsidRPr="00D412EE">
        <w:rPr>
          <w:rFonts w:cs="Calibri"/>
          <w:b/>
          <w:bCs/>
          <w:sz w:val="24"/>
          <w:szCs w:val="24"/>
        </w:rPr>
        <w:t>26</w:t>
      </w:r>
      <w:r w:rsidRPr="00D412EE">
        <w:rPr>
          <w:rFonts w:cs="Calibri"/>
          <w:sz w:val="24"/>
          <w:szCs w:val="24"/>
        </w:rPr>
        <w:t xml:space="preserve"> (23), 4817–4827, </w:t>
      </w:r>
      <w:proofErr w:type="spellStart"/>
      <w:r w:rsidRPr="00D412EE">
        <w:rPr>
          <w:rFonts w:cs="Calibri"/>
          <w:sz w:val="24"/>
          <w:szCs w:val="24"/>
        </w:rPr>
        <w:t>doi</w:t>
      </w:r>
      <w:proofErr w:type="spellEnd"/>
      <w:r w:rsidRPr="00D412EE">
        <w:rPr>
          <w:rFonts w:cs="Calibri"/>
          <w:sz w:val="24"/>
          <w:szCs w:val="24"/>
        </w:rPr>
        <w:t>: 10.1016/j.biomaterials.2004.11.057 (2005).</w:t>
      </w:r>
    </w:p>
    <w:p w14:paraId="4B309937" w14:textId="343A3A67"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lastRenderedPageBreak/>
        <w:t>13.</w:t>
      </w:r>
      <w:r w:rsidRPr="00D412EE">
        <w:rPr>
          <w:rFonts w:cs="Calibri"/>
          <w:sz w:val="24"/>
          <w:szCs w:val="24"/>
        </w:rPr>
        <w:tab/>
      </w:r>
      <w:proofErr w:type="spellStart"/>
      <w:r w:rsidRPr="00D412EE">
        <w:rPr>
          <w:rFonts w:cs="Calibri"/>
          <w:sz w:val="24"/>
          <w:szCs w:val="24"/>
        </w:rPr>
        <w:t>Monibi</w:t>
      </w:r>
      <w:proofErr w:type="spellEnd"/>
      <w:r w:rsidRPr="00D412EE">
        <w:rPr>
          <w:rFonts w:cs="Calibri"/>
          <w:sz w:val="24"/>
          <w:szCs w:val="24"/>
        </w:rPr>
        <w:t>, F.</w:t>
      </w:r>
      <w:r w:rsidR="00494F6C">
        <w:rPr>
          <w:rFonts w:cs="Calibri"/>
          <w:sz w:val="24"/>
          <w:szCs w:val="24"/>
        </w:rPr>
        <w:t xml:space="preserve"> </w:t>
      </w:r>
      <w:r w:rsidRPr="00D412EE">
        <w:rPr>
          <w:rFonts w:cs="Calibri"/>
          <w:sz w:val="24"/>
          <w:szCs w:val="24"/>
        </w:rPr>
        <w:t>A., Cook, J.</w:t>
      </w:r>
      <w:r w:rsidR="00494F6C">
        <w:rPr>
          <w:rFonts w:cs="Calibri"/>
          <w:sz w:val="24"/>
          <w:szCs w:val="24"/>
        </w:rPr>
        <w:t xml:space="preserve"> </w:t>
      </w:r>
      <w:r w:rsidRPr="00D412EE">
        <w:rPr>
          <w:rFonts w:cs="Calibri"/>
          <w:sz w:val="24"/>
          <w:szCs w:val="24"/>
        </w:rPr>
        <w:t xml:space="preserve">L. Tissue-Derived Extracellular Matrix </w:t>
      </w:r>
      <w:proofErr w:type="spellStart"/>
      <w:r w:rsidRPr="00D412EE">
        <w:rPr>
          <w:rFonts w:cs="Calibri"/>
          <w:sz w:val="24"/>
          <w:szCs w:val="24"/>
        </w:rPr>
        <w:t>Bioscaffolds</w:t>
      </w:r>
      <w:proofErr w:type="spellEnd"/>
      <w:r w:rsidRPr="00D412EE">
        <w:rPr>
          <w:rFonts w:cs="Calibri"/>
          <w:sz w:val="24"/>
          <w:szCs w:val="24"/>
        </w:rPr>
        <w:t xml:space="preserve">: Emerging Applications in Cartilage and Meniscus Repair. </w:t>
      </w:r>
      <w:r w:rsidRPr="00D412EE">
        <w:rPr>
          <w:rFonts w:cs="Calibri"/>
          <w:i/>
          <w:iCs/>
          <w:sz w:val="24"/>
          <w:szCs w:val="24"/>
        </w:rPr>
        <w:t>Tissue Engineering Part B: Reviews</w:t>
      </w:r>
      <w:r w:rsidRPr="00D412EE">
        <w:rPr>
          <w:rFonts w:cs="Calibri"/>
          <w:sz w:val="24"/>
          <w:szCs w:val="24"/>
        </w:rPr>
        <w:t xml:space="preserve">. </w:t>
      </w:r>
      <w:proofErr w:type="spellStart"/>
      <w:r w:rsidRPr="00D412EE">
        <w:rPr>
          <w:rFonts w:cs="Calibri"/>
          <w:sz w:val="24"/>
          <w:szCs w:val="24"/>
        </w:rPr>
        <w:t>doi</w:t>
      </w:r>
      <w:proofErr w:type="spellEnd"/>
      <w:r w:rsidRPr="00D412EE">
        <w:rPr>
          <w:rFonts w:cs="Calibri"/>
          <w:sz w:val="24"/>
          <w:szCs w:val="24"/>
        </w:rPr>
        <w:t>: 10.1089/ten.TEB.2016.0431 (2017).</w:t>
      </w:r>
    </w:p>
    <w:p w14:paraId="2272C2DA" w14:textId="77777777"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14.</w:t>
      </w:r>
      <w:r w:rsidRPr="00D412EE">
        <w:rPr>
          <w:rFonts w:cs="Calibri"/>
          <w:sz w:val="24"/>
          <w:szCs w:val="24"/>
        </w:rPr>
        <w:tab/>
        <w:t xml:space="preserve">Wiles, K., Fishman, J., </w:t>
      </w:r>
      <w:proofErr w:type="spellStart"/>
      <w:r w:rsidRPr="00D412EE">
        <w:rPr>
          <w:rFonts w:cs="Calibri"/>
          <w:sz w:val="24"/>
          <w:szCs w:val="24"/>
        </w:rPr>
        <w:t>Coppi</w:t>
      </w:r>
      <w:proofErr w:type="spellEnd"/>
      <w:r w:rsidRPr="00D412EE">
        <w:rPr>
          <w:rFonts w:cs="Calibri"/>
          <w:sz w:val="24"/>
          <w:szCs w:val="24"/>
        </w:rPr>
        <w:t xml:space="preserve">, P., Birchall, M. The Host Immune Response to Tissue-Engineered Organs: Current Problems and Future Directions. </w:t>
      </w:r>
      <w:r w:rsidRPr="00D412EE">
        <w:rPr>
          <w:rFonts w:cs="Calibri"/>
          <w:i/>
          <w:iCs/>
          <w:sz w:val="24"/>
          <w:szCs w:val="24"/>
        </w:rPr>
        <w:t>Tissue Engineering Part B: Reviews</w:t>
      </w:r>
      <w:r w:rsidRPr="00D412EE">
        <w:rPr>
          <w:rFonts w:cs="Calibri"/>
          <w:sz w:val="24"/>
          <w:szCs w:val="24"/>
        </w:rPr>
        <w:t xml:space="preserve">. </w:t>
      </w:r>
      <w:r w:rsidRPr="00D412EE">
        <w:rPr>
          <w:rFonts w:cs="Calibri"/>
          <w:b/>
          <w:bCs/>
          <w:sz w:val="24"/>
          <w:szCs w:val="24"/>
        </w:rPr>
        <w:t>22</w:t>
      </w:r>
      <w:r w:rsidRPr="00D412EE">
        <w:rPr>
          <w:rFonts w:cs="Calibri"/>
          <w:sz w:val="24"/>
          <w:szCs w:val="24"/>
        </w:rPr>
        <w:t xml:space="preserve"> (3) (2016).</w:t>
      </w:r>
    </w:p>
    <w:p w14:paraId="27A9DFF1" w14:textId="0C89E6C1"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15.</w:t>
      </w:r>
      <w:r w:rsidRPr="00D412EE">
        <w:rPr>
          <w:rFonts w:cs="Calibri"/>
          <w:sz w:val="24"/>
          <w:szCs w:val="24"/>
        </w:rPr>
        <w:tab/>
        <w:t>Sutherland, A.</w:t>
      </w:r>
      <w:r w:rsidR="00494F6C">
        <w:rPr>
          <w:rFonts w:cs="Calibri"/>
          <w:sz w:val="24"/>
          <w:szCs w:val="24"/>
        </w:rPr>
        <w:t xml:space="preserve"> </w:t>
      </w:r>
      <w:r w:rsidRPr="00D412EE">
        <w:rPr>
          <w:rFonts w:cs="Calibri"/>
          <w:sz w:val="24"/>
          <w:szCs w:val="24"/>
        </w:rPr>
        <w:t xml:space="preserve">J., </w:t>
      </w:r>
      <w:proofErr w:type="spellStart"/>
      <w:r w:rsidRPr="00D412EE">
        <w:rPr>
          <w:rFonts w:cs="Calibri"/>
          <w:sz w:val="24"/>
          <w:szCs w:val="24"/>
        </w:rPr>
        <w:t>Detamore</w:t>
      </w:r>
      <w:proofErr w:type="spellEnd"/>
      <w:r w:rsidRPr="00D412EE">
        <w:rPr>
          <w:rFonts w:cs="Calibri"/>
          <w:sz w:val="24"/>
          <w:szCs w:val="24"/>
        </w:rPr>
        <w:t>, M.</w:t>
      </w:r>
      <w:r w:rsidR="00494F6C">
        <w:rPr>
          <w:rFonts w:cs="Calibri"/>
          <w:sz w:val="24"/>
          <w:szCs w:val="24"/>
        </w:rPr>
        <w:t xml:space="preserve"> </w:t>
      </w:r>
      <w:r w:rsidRPr="00D412EE">
        <w:rPr>
          <w:rFonts w:cs="Calibri"/>
          <w:sz w:val="24"/>
          <w:szCs w:val="24"/>
        </w:rPr>
        <w:t xml:space="preserve">S. Bioactive Microsphere-Based Scaffolds Containing Decellularized Cartilage. </w:t>
      </w:r>
      <w:r w:rsidRPr="00D412EE">
        <w:rPr>
          <w:rFonts w:cs="Calibri"/>
          <w:i/>
          <w:iCs/>
          <w:sz w:val="24"/>
          <w:szCs w:val="24"/>
        </w:rPr>
        <w:t>Macromolecular Bioscience</w:t>
      </w:r>
      <w:r w:rsidRPr="00D412EE">
        <w:rPr>
          <w:rFonts w:cs="Calibri"/>
          <w:sz w:val="24"/>
          <w:szCs w:val="24"/>
        </w:rPr>
        <w:t xml:space="preserve">. </w:t>
      </w:r>
      <w:proofErr w:type="spellStart"/>
      <w:r w:rsidRPr="00D412EE">
        <w:rPr>
          <w:rFonts w:cs="Calibri"/>
          <w:sz w:val="24"/>
          <w:szCs w:val="24"/>
        </w:rPr>
        <w:t>doi</w:t>
      </w:r>
      <w:proofErr w:type="spellEnd"/>
      <w:r w:rsidRPr="00D412EE">
        <w:rPr>
          <w:rFonts w:cs="Calibri"/>
          <w:sz w:val="24"/>
          <w:szCs w:val="24"/>
        </w:rPr>
        <w:t>: 10.1002/mabi.201400472 (2015).</w:t>
      </w:r>
    </w:p>
    <w:p w14:paraId="3B00E39D" w14:textId="6D2C9FF4"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16.</w:t>
      </w:r>
      <w:r w:rsidRPr="00D412EE">
        <w:rPr>
          <w:rFonts w:cs="Calibri"/>
          <w:sz w:val="24"/>
          <w:szCs w:val="24"/>
        </w:rPr>
        <w:tab/>
        <w:t>Whitlock, P.</w:t>
      </w:r>
      <w:r w:rsidR="00494F6C">
        <w:rPr>
          <w:rFonts w:cs="Calibri"/>
          <w:sz w:val="24"/>
          <w:szCs w:val="24"/>
        </w:rPr>
        <w:t xml:space="preserve"> </w:t>
      </w:r>
      <w:r w:rsidRPr="00D412EE">
        <w:rPr>
          <w:rFonts w:cs="Calibri"/>
          <w:sz w:val="24"/>
          <w:szCs w:val="24"/>
        </w:rPr>
        <w:t>W., Smith, T.</w:t>
      </w:r>
      <w:r w:rsidR="00494F6C">
        <w:rPr>
          <w:rFonts w:cs="Calibri"/>
          <w:sz w:val="24"/>
          <w:szCs w:val="24"/>
        </w:rPr>
        <w:t xml:space="preserve"> </w:t>
      </w:r>
      <w:r w:rsidRPr="00D412EE">
        <w:rPr>
          <w:rFonts w:cs="Calibri"/>
          <w:sz w:val="24"/>
          <w:szCs w:val="24"/>
        </w:rPr>
        <w:t xml:space="preserve">L., </w:t>
      </w:r>
      <w:proofErr w:type="spellStart"/>
      <w:r w:rsidRPr="00D412EE">
        <w:rPr>
          <w:rFonts w:cs="Calibri"/>
          <w:sz w:val="24"/>
          <w:szCs w:val="24"/>
        </w:rPr>
        <w:t>Poehling</w:t>
      </w:r>
      <w:proofErr w:type="spellEnd"/>
      <w:r w:rsidRPr="00D412EE">
        <w:rPr>
          <w:rFonts w:cs="Calibri"/>
          <w:sz w:val="24"/>
          <w:szCs w:val="24"/>
        </w:rPr>
        <w:t>, G.</w:t>
      </w:r>
      <w:r w:rsidR="00494F6C">
        <w:rPr>
          <w:rFonts w:cs="Calibri"/>
          <w:sz w:val="24"/>
          <w:szCs w:val="24"/>
        </w:rPr>
        <w:t xml:space="preserve"> </w:t>
      </w:r>
      <w:r w:rsidRPr="00D412EE">
        <w:rPr>
          <w:rFonts w:cs="Calibri"/>
          <w:sz w:val="24"/>
          <w:szCs w:val="24"/>
        </w:rPr>
        <w:t xml:space="preserve">G., </w:t>
      </w:r>
      <w:proofErr w:type="spellStart"/>
      <w:r w:rsidRPr="00D412EE">
        <w:rPr>
          <w:rFonts w:cs="Calibri"/>
          <w:sz w:val="24"/>
          <w:szCs w:val="24"/>
        </w:rPr>
        <w:t>Shilt</w:t>
      </w:r>
      <w:proofErr w:type="spellEnd"/>
      <w:r w:rsidRPr="00D412EE">
        <w:rPr>
          <w:rFonts w:cs="Calibri"/>
          <w:sz w:val="24"/>
          <w:szCs w:val="24"/>
        </w:rPr>
        <w:t>, J.</w:t>
      </w:r>
      <w:r w:rsidR="00494F6C">
        <w:rPr>
          <w:rFonts w:cs="Calibri"/>
          <w:sz w:val="24"/>
          <w:szCs w:val="24"/>
        </w:rPr>
        <w:t xml:space="preserve"> </w:t>
      </w:r>
      <w:r w:rsidRPr="00D412EE">
        <w:rPr>
          <w:rFonts w:cs="Calibri"/>
          <w:sz w:val="24"/>
          <w:szCs w:val="24"/>
        </w:rPr>
        <w:t xml:space="preserve">S., Van Dyke, M. A naturally derived, </w:t>
      </w:r>
      <w:proofErr w:type="spellStart"/>
      <w:r w:rsidRPr="00D412EE">
        <w:rPr>
          <w:rFonts w:cs="Calibri"/>
          <w:sz w:val="24"/>
          <w:szCs w:val="24"/>
        </w:rPr>
        <w:t>cytocompatible</w:t>
      </w:r>
      <w:proofErr w:type="spellEnd"/>
      <w:r w:rsidRPr="00D412EE">
        <w:rPr>
          <w:rFonts w:cs="Calibri"/>
          <w:sz w:val="24"/>
          <w:szCs w:val="24"/>
        </w:rPr>
        <w:t xml:space="preserve">, and architecturally optimized scaffold for tendon and ligament regeneration. </w:t>
      </w:r>
      <w:r w:rsidRPr="00D412EE">
        <w:rPr>
          <w:rFonts w:cs="Calibri"/>
          <w:i/>
          <w:iCs/>
          <w:sz w:val="24"/>
          <w:szCs w:val="24"/>
        </w:rPr>
        <w:t>Biomaterials</w:t>
      </w:r>
      <w:r w:rsidRPr="00D412EE">
        <w:rPr>
          <w:rFonts w:cs="Calibri"/>
          <w:sz w:val="24"/>
          <w:szCs w:val="24"/>
        </w:rPr>
        <w:t xml:space="preserve">. </w:t>
      </w:r>
      <w:proofErr w:type="spellStart"/>
      <w:r w:rsidRPr="00D412EE">
        <w:rPr>
          <w:rFonts w:cs="Calibri"/>
          <w:sz w:val="24"/>
          <w:szCs w:val="24"/>
        </w:rPr>
        <w:t>doi</w:t>
      </w:r>
      <w:proofErr w:type="spellEnd"/>
      <w:r w:rsidRPr="00D412EE">
        <w:rPr>
          <w:rFonts w:cs="Calibri"/>
          <w:sz w:val="24"/>
          <w:szCs w:val="24"/>
        </w:rPr>
        <w:t>: 10.1016/j.biomaterials.2007.05.029 (2007).</w:t>
      </w:r>
    </w:p>
    <w:p w14:paraId="2C28C751" w14:textId="4F8BB37B"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17.</w:t>
      </w:r>
      <w:r w:rsidRPr="00D412EE">
        <w:rPr>
          <w:rFonts w:cs="Calibri"/>
          <w:sz w:val="24"/>
          <w:szCs w:val="24"/>
        </w:rPr>
        <w:tab/>
        <w:t>Whitlock, P.</w:t>
      </w:r>
      <w:r w:rsidR="00494F6C">
        <w:rPr>
          <w:rFonts w:cs="Calibri"/>
          <w:sz w:val="24"/>
          <w:szCs w:val="24"/>
        </w:rPr>
        <w:t xml:space="preserve"> </w:t>
      </w:r>
      <w:r w:rsidRPr="00D412EE">
        <w:rPr>
          <w:rFonts w:cs="Calibri"/>
          <w:sz w:val="24"/>
          <w:szCs w:val="24"/>
        </w:rPr>
        <w:t>W.</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Effect of cyclic strain on tensile properties of a naturally derived, decellularized tendon scaffold seeded with allogeneic tenocytes and associated messenger RNA expression. </w:t>
      </w:r>
      <w:r w:rsidRPr="00D412EE">
        <w:rPr>
          <w:rFonts w:cs="Calibri"/>
          <w:i/>
          <w:iCs/>
          <w:sz w:val="24"/>
          <w:szCs w:val="24"/>
        </w:rPr>
        <w:t xml:space="preserve">Journal of surgical </w:t>
      </w:r>
      <w:proofErr w:type="spellStart"/>
      <w:r w:rsidRPr="00D412EE">
        <w:rPr>
          <w:rFonts w:cs="Calibri"/>
          <w:i/>
          <w:iCs/>
          <w:sz w:val="24"/>
          <w:szCs w:val="24"/>
        </w:rPr>
        <w:t>orthopaedic</w:t>
      </w:r>
      <w:proofErr w:type="spellEnd"/>
      <w:r w:rsidRPr="00D412EE">
        <w:rPr>
          <w:rFonts w:cs="Calibri"/>
          <w:i/>
          <w:iCs/>
          <w:sz w:val="24"/>
          <w:szCs w:val="24"/>
        </w:rPr>
        <w:t xml:space="preserve"> advances</w:t>
      </w:r>
      <w:r w:rsidRPr="00D412EE">
        <w:rPr>
          <w:rFonts w:cs="Calibri"/>
          <w:sz w:val="24"/>
          <w:szCs w:val="24"/>
        </w:rPr>
        <w:t xml:space="preserve">. </w:t>
      </w:r>
      <w:r w:rsidRPr="00D412EE">
        <w:rPr>
          <w:rFonts w:cs="Calibri"/>
          <w:b/>
          <w:bCs/>
          <w:sz w:val="24"/>
          <w:szCs w:val="24"/>
        </w:rPr>
        <w:t>22</w:t>
      </w:r>
      <w:r w:rsidRPr="00D412EE">
        <w:rPr>
          <w:rFonts w:cs="Calibri"/>
          <w:sz w:val="24"/>
          <w:szCs w:val="24"/>
        </w:rPr>
        <w:t xml:space="preserve"> (3), 224–232, (2013).</w:t>
      </w:r>
    </w:p>
    <w:p w14:paraId="33733AA1" w14:textId="2AA7BFE1"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18.</w:t>
      </w:r>
      <w:r w:rsidRPr="00D412EE">
        <w:rPr>
          <w:rFonts w:cs="Calibri"/>
          <w:sz w:val="24"/>
          <w:szCs w:val="24"/>
        </w:rPr>
        <w:tab/>
        <w:t>Whitlock, P.</w:t>
      </w:r>
      <w:r w:rsidR="00494F6C">
        <w:rPr>
          <w:rFonts w:cs="Calibri"/>
          <w:sz w:val="24"/>
          <w:szCs w:val="24"/>
        </w:rPr>
        <w:t xml:space="preserve"> </w:t>
      </w:r>
      <w:r w:rsidRPr="00D412EE">
        <w:rPr>
          <w:rFonts w:cs="Calibri"/>
          <w:sz w:val="24"/>
          <w:szCs w:val="24"/>
        </w:rPr>
        <w:t>W.</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A novel process for optimizing musculoskeletal allograft tissue to improve safety, ultrastructural properties, and cell infiltration. </w:t>
      </w:r>
      <w:r w:rsidRPr="00D412EE">
        <w:rPr>
          <w:rFonts w:cs="Calibri"/>
          <w:i/>
          <w:iCs/>
          <w:sz w:val="24"/>
          <w:szCs w:val="24"/>
        </w:rPr>
        <w:t>Journal of Bone and Joint Surgery - Series A</w:t>
      </w:r>
      <w:r w:rsidRPr="00D412EE">
        <w:rPr>
          <w:rFonts w:cs="Calibri"/>
          <w:sz w:val="24"/>
          <w:szCs w:val="24"/>
        </w:rPr>
        <w:t xml:space="preserve">. </w:t>
      </w:r>
      <w:r w:rsidRPr="00D412EE">
        <w:rPr>
          <w:rFonts w:cs="Calibri"/>
          <w:b/>
          <w:bCs/>
          <w:sz w:val="24"/>
          <w:szCs w:val="24"/>
        </w:rPr>
        <w:t>94</w:t>
      </w:r>
      <w:r w:rsidRPr="00D412EE">
        <w:rPr>
          <w:rFonts w:cs="Calibri"/>
          <w:sz w:val="24"/>
          <w:szCs w:val="24"/>
        </w:rPr>
        <w:t xml:space="preserve"> (16), 1458–1467, </w:t>
      </w:r>
      <w:proofErr w:type="spellStart"/>
      <w:r w:rsidRPr="00D412EE">
        <w:rPr>
          <w:rFonts w:cs="Calibri"/>
          <w:sz w:val="24"/>
          <w:szCs w:val="24"/>
        </w:rPr>
        <w:t>doi</w:t>
      </w:r>
      <w:proofErr w:type="spellEnd"/>
      <w:r w:rsidRPr="00D412EE">
        <w:rPr>
          <w:rFonts w:cs="Calibri"/>
          <w:sz w:val="24"/>
          <w:szCs w:val="24"/>
        </w:rPr>
        <w:t>: 10.2106/JBJS.K.01397 (2012).</w:t>
      </w:r>
    </w:p>
    <w:p w14:paraId="669D01E9" w14:textId="27C0E86A"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19.</w:t>
      </w:r>
      <w:r w:rsidRPr="00D412EE">
        <w:rPr>
          <w:rFonts w:cs="Calibri"/>
          <w:sz w:val="24"/>
          <w:szCs w:val="24"/>
        </w:rPr>
        <w:tab/>
        <w:t>Schultz, G.</w:t>
      </w:r>
      <w:r w:rsidR="00494F6C">
        <w:rPr>
          <w:rFonts w:cs="Calibri"/>
          <w:sz w:val="24"/>
          <w:szCs w:val="24"/>
        </w:rPr>
        <w:t xml:space="preserve"> </w:t>
      </w:r>
      <w:r w:rsidRPr="00D412EE">
        <w:rPr>
          <w:rFonts w:cs="Calibri"/>
          <w:sz w:val="24"/>
          <w:szCs w:val="24"/>
        </w:rPr>
        <w:t>S., Davidson, J.</w:t>
      </w:r>
      <w:r w:rsidR="00494F6C">
        <w:rPr>
          <w:rFonts w:cs="Calibri"/>
          <w:sz w:val="24"/>
          <w:szCs w:val="24"/>
        </w:rPr>
        <w:t xml:space="preserve"> </w:t>
      </w:r>
      <w:r w:rsidRPr="00D412EE">
        <w:rPr>
          <w:rFonts w:cs="Calibri"/>
          <w:sz w:val="24"/>
          <w:szCs w:val="24"/>
        </w:rPr>
        <w:t xml:space="preserve">M., </w:t>
      </w:r>
      <w:proofErr w:type="spellStart"/>
      <w:r w:rsidRPr="00D412EE">
        <w:rPr>
          <w:rFonts w:cs="Calibri"/>
          <w:sz w:val="24"/>
          <w:szCs w:val="24"/>
        </w:rPr>
        <w:t>Kirsner</w:t>
      </w:r>
      <w:proofErr w:type="spellEnd"/>
      <w:r w:rsidRPr="00D412EE">
        <w:rPr>
          <w:rFonts w:cs="Calibri"/>
          <w:sz w:val="24"/>
          <w:szCs w:val="24"/>
        </w:rPr>
        <w:t>, R.</w:t>
      </w:r>
      <w:r w:rsidR="00494F6C">
        <w:rPr>
          <w:rFonts w:cs="Calibri"/>
          <w:sz w:val="24"/>
          <w:szCs w:val="24"/>
        </w:rPr>
        <w:t xml:space="preserve"> </w:t>
      </w:r>
      <w:r w:rsidRPr="00D412EE">
        <w:rPr>
          <w:rFonts w:cs="Calibri"/>
          <w:sz w:val="24"/>
          <w:szCs w:val="24"/>
        </w:rPr>
        <w:t>S., Herman, I.</w:t>
      </w:r>
      <w:r w:rsidR="00494F6C">
        <w:rPr>
          <w:rFonts w:cs="Calibri"/>
          <w:sz w:val="24"/>
          <w:szCs w:val="24"/>
        </w:rPr>
        <w:t xml:space="preserve"> </w:t>
      </w:r>
      <w:r w:rsidRPr="00D412EE">
        <w:rPr>
          <w:rFonts w:cs="Calibri"/>
          <w:sz w:val="24"/>
          <w:szCs w:val="24"/>
        </w:rPr>
        <w:t xml:space="preserve">M. Dynamic Reciprocity in the Wound Microenvironment. </w:t>
      </w:r>
      <w:r w:rsidRPr="00D412EE">
        <w:rPr>
          <w:rFonts w:cs="Calibri"/>
          <w:i/>
          <w:iCs/>
          <w:sz w:val="24"/>
          <w:szCs w:val="24"/>
        </w:rPr>
        <w:t>Wound Repair Regeneration</w:t>
      </w:r>
      <w:r w:rsidRPr="00D412EE">
        <w:rPr>
          <w:rFonts w:cs="Calibri"/>
          <w:sz w:val="24"/>
          <w:szCs w:val="24"/>
        </w:rPr>
        <w:t xml:space="preserve">. </w:t>
      </w:r>
      <w:r w:rsidRPr="00D412EE">
        <w:rPr>
          <w:rFonts w:cs="Calibri"/>
          <w:b/>
          <w:bCs/>
          <w:sz w:val="24"/>
          <w:szCs w:val="24"/>
        </w:rPr>
        <w:t>19</w:t>
      </w:r>
      <w:r w:rsidRPr="00D412EE">
        <w:rPr>
          <w:rFonts w:cs="Calibri"/>
          <w:sz w:val="24"/>
          <w:szCs w:val="24"/>
        </w:rPr>
        <w:t xml:space="preserve"> (2), 134–148, </w:t>
      </w:r>
      <w:proofErr w:type="spellStart"/>
      <w:r w:rsidRPr="00D412EE">
        <w:rPr>
          <w:rFonts w:cs="Calibri"/>
          <w:sz w:val="24"/>
          <w:szCs w:val="24"/>
        </w:rPr>
        <w:t>doi</w:t>
      </w:r>
      <w:proofErr w:type="spellEnd"/>
      <w:r w:rsidRPr="00D412EE">
        <w:rPr>
          <w:rFonts w:cs="Calibri"/>
          <w:sz w:val="24"/>
          <w:szCs w:val="24"/>
        </w:rPr>
        <w:t>: 10.1111/j.1524-475X.2011.00673.x.Dynamic (2012).</w:t>
      </w:r>
    </w:p>
    <w:p w14:paraId="305F362A" w14:textId="65A926D6"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20.</w:t>
      </w:r>
      <w:r w:rsidRPr="00D412EE">
        <w:rPr>
          <w:rFonts w:cs="Calibri"/>
          <w:sz w:val="24"/>
          <w:szCs w:val="24"/>
        </w:rPr>
        <w:tab/>
        <w:t>Benders, K.</w:t>
      </w:r>
      <w:r w:rsidR="00494F6C">
        <w:rPr>
          <w:rFonts w:cs="Calibri"/>
          <w:sz w:val="24"/>
          <w:szCs w:val="24"/>
        </w:rPr>
        <w:t xml:space="preserve"> </w:t>
      </w:r>
      <w:r w:rsidRPr="00D412EE">
        <w:rPr>
          <w:rFonts w:cs="Calibri"/>
          <w:sz w:val="24"/>
          <w:szCs w:val="24"/>
        </w:rPr>
        <w:t>E.</w:t>
      </w:r>
      <w:r w:rsidR="00494F6C">
        <w:rPr>
          <w:rFonts w:cs="Calibri"/>
          <w:sz w:val="24"/>
          <w:szCs w:val="24"/>
        </w:rPr>
        <w:t xml:space="preserve"> </w:t>
      </w:r>
      <w:r w:rsidRPr="00D412EE">
        <w:rPr>
          <w:rFonts w:cs="Calibri"/>
          <w:sz w:val="24"/>
          <w:szCs w:val="24"/>
        </w:rPr>
        <w:t xml:space="preserve">M., </w:t>
      </w:r>
      <w:r w:rsidR="00494F6C">
        <w:rPr>
          <w:rFonts w:cs="Calibri"/>
          <w:sz w:val="24"/>
          <w:szCs w:val="24"/>
        </w:rPr>
        <w:t xml:space="preserve">van </w:t>
      </w:r>
      <w:proofErr w:type="spellStart"/>
      <w:r w:rsidRPr="00D412EE">
        <w:rPr>
          <w:rFonts w:cs="Calibri"/>
          <w:sz w:val="24"/>
          <w:szCs w:val="24"/>
        </w:rPr>
        <w:t>Weeren</w:t>
      </w:r>
      <w:proofErr w:type="spellEnd"/>
      <w:r w:rsidRPr="00D412EE">
        <w:rPr>
          <w:rFonts w:cs="Calibri"/>
          <w:sz w:val="24"/>
          <w:szCs w:val="24"/>
        </w:rPr>
        <w:t>, P.</w:t>
      </w:r>
      <w:r w:rsidR="00494F6C">
        <w:rPr>
          <w:rFonts w:cs="Calibri"/>
          <w:sz w:val="24"/>
          <w:szCs w:val="24"/>
        </w:rPr>
        <w:t xml:space="preserve"> </w:t>
      </w:r>
      <w:r w:rsidRPr="00D412EE">
        <w:rPr>
          <w:rFonts w:cs="Calibri"/>
          <w:sz w:val="24"/>
          <w:szCs w:val="24"/>
        </w:rPr>
        <w:t xml:space="preserve">R., </w:t>
      </w:r>
      <w:proofErr w:type="spellStart"/>
      <w:r w:rsidRPr="00D412EE">
        <w:rPr>
          <w:rFonts w:cs="Calibri"/>
          <w:sz w:val="24"/>
          <w:szCs w:val="24"/>
        </w:rPr>
        <w:t>Badylak</w:t>
      </w:r>
      <w:proofErr w:type="spellEnd"/>
      <w:r w:rsidRPr="00D412EE">
        <w:rPr>
          <w:rFonts w:cs="Calibri"/>
          <w:sz w:val="24"/>
          <w:szCs w:val="24"/>
        </w:rPr>
        <w:t>, S.</w:t>
      </w:r>
      <w:r w:rsidR="00494F6C">
        <w:rPr>
          <w:rFonts w:cs="Calibri"/>
          <w:sz w:val="24"/>
          <w:szCs w:val="24"/>
        </w:rPr>
        <w:t xml:space="preserve"> </w:t>
      </w:r>
      <w:r w:rsidRPr="00D412EE">
        <w:rPr>
          <w:rFonts w:cs="Calibri"/>
          <w:sz w:val="24"/>
          <w:szCs w:val="24"/>
        </w:rPr>
        <w:t>F., Saris, D.</w:t>
      </w:r>
      <w:r w:rsidR="00494F6C">
        <w:rPr>
          <w:rFonts w:cs="Calibri"/>
          <w:sz w:val="24"/>
          <w:szCs w:val="24"/>
        </w:rPr>
        <w:t xml:space="preserve"> </w:t>
      </w:r>
      <w:r w:rsidRPr="00D412EE">
        <w:rPr>
          <w:rFonts w:cs="Calibri"/>
          <w:sz w:val="24"/>
          <w:szCs w:val="24"/>
        </w:rPr>
        <w:t>B.</w:t>
      </w:r>
      <w:r w:rsidR="00494F6C">
        <w:rPr>
          <w:rFonts w:cs="Calibri"/>
          <w:sz w:val="24"/>
          <w:szCs w:val="24"/>
        </w:rPr>
        <w:t xml:space="preserve"> </w:t>
      </w:r>
      <w:r w:rsidRPr="00D412EE">
        <w:rPr>
          <w:rFonts w:cs="Calibri"/>
          <w:sz w:val="24"/>
          <w:szCs w:val="24"/>
        </w:rPr>
        <w:t xml:space="preserve">F., </w:t>
      </w:r>
      <w:proofErr w:type="spellStart"/>
      <w:r w:rsidRPr="00D412EE">
        <w:rPr>
          <w:rFonts w:cs="Calibri"/>
          <w:sz w:val="24"/>
          <w:szCs w:val="24"/>
        </w:rPr>
        <w:t>Dhert</w:t>
      </w:r>
      <w:proofErr w:type="spellEnd"/>
      <w:r w:rsidRPr="00D412EE">
        <w:rPr>
          <w:rFonts w:cs="Calibri"/>
          <w:sz w:val="24"/>
          <w:szCs w:val="24"/>
        </w:rPr>
        <w:t>, W.</w:t>
      </w:r>
      <w:r w:rsidR="00494F6C">
        <w:rPr>
          <w:rFonts w:cs="Calibri"/>
          <w:sz w:val="24"/>
          <w:szCs w:val="24"/>
        </w:rPr>
        <w:t xml:space="preserve"> </w:t>
      </w:r>
      <w:r w:rsidRPr="00D412EE">
        <w:rPr>
          <w:rFonts w:cs="Calibri"/>
          <w:sz w:val="24"/>
          <w:szCs w:val="24"/>
        </w:rPr>
        <w:t>J.</w:t>
      </w:r>
      <w:r w:rsidR="00494F6C">
        <w:rPr>
          <w:rFonts w:cs="Calibri"/>
          <w:sz w:val="24"/>
          <w:szCs w:val="24"/>
        </w:rPr>
        <w:t xml:space="preserve"> </w:t>
      </w:r>
      <w:r w:rsidRPr="00D412EE">
        <w:rPr>
          <w:rFonts w:cs="Calibri"/>
          <w:sz w:val="24"/>
          <w:szCs w:val="24"/>
        </w:rPr>
        <w:t xml:space="preserve">A., </w:t>
      </w:r>
      <w:proofErr w:type="spellStart"/>
      <w:r w:rsidRPr="00D412EE">
        <w:rPr>
          <w:rFonts w:cs="Calibri"/>
          <w:sz w:val="24"/>
          <w:szCs w:val="24"/>
        </w:rPr>
        <w:t>Malda</w:t>
      </w:r>
      <w:proofErr w:type="spellEnd"/>
      <w:r w:rsidRPr="00D412EE">
        <w:rPr>
          <w:rFonts w:cs="Calibri"/>
          <w:sz w:val="24"/>
          <w:szCs w:val="24"/>
        </w:rPr>
        <w:t xml:space="preserve">, J. Extracellular matrix scaffolds for cartilage and bone regeneration. </w:t>
      </w:r>
      <w:r w:rsidRPr="00D412EE">
        <w:rPr>
          <w:rFonts w:cs="Calibri"/>
          <w:i/>
          <w:iCs/>
          <w:sz w:val="24"/>
          <w:szCs w:val="24"/>
        </w:rPr>
        <w:t>Trends in Biotechnology</w:t>
      </w:r>
      <w:r w:rsidRPr="00D412EE">
        <w:rPr>
          <w:rFonts w:cs="Calibri"/>
          <w:sz w:val="24"/>
          <w:szCs w:val="24"/>
        </w:rPr>
        <w:t xml:space="preserve">. </w:t>
      </w:r>
      <w:r w:rsidRPr="00D412EE">
        <w:rPr>
          <w:rFonts w:cs="Calibri"/>
          <w:b/>
          <w:bCs/>
          <w:sz w:val="24"/>
          <w:szCs w:val="24"/>
        </w:rPr>
        <w:t>31</w:t>
      </w:r>
      <w:r w:rsidRPr="00D412EE">
        <w:rPr>
          <w:rFonts w:cs="Calibri"/>
          <w:sz w:val="24"/>
          <w:szCs w:val="24"/>
        </w:rPr>
        <w:t xml:space="preserve"> (3), 169–176, </w:t>
      </w:r>
      <w:proofErr w:type="spellStart"/>
      <w:r w:rsidRPr="00D412EE">
        <w:rPr>
          <w:rFonts w:cs="Calibri"/>
          <w:sz w:val="24"/>
          <w:szCs w:val="24"/>
        </w:rPr>
        <w:t>doi</w:t>
      </w:r>
      <w:proofErr w:type="spellEnd"/>
      <w:r w:rsidRPr="00D412EE">
        <w:rPr>
          <w:rFonts w:cs="Calibri"/>
          <w:sz w:val="24"/>
          <w:szCs w:val="24"/>
        </w:rPr>
        <w:t>: 10.1016/j.tibtech.2012.12.004 (2013).</w:t>
      </w:r>
    </w:p>
    <w:p w14:paraId="4FADC006" w14:textId="77777777"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21.</w:t>
      </w:r>
      <w:r w:rsidRPr="00D412EE">
        <w:rPr>
          <w:rFonts w:cs="Calibri"/>
          <w:sz w:val="24"/>
          <w:szCs w:val="24"/>
        </w:rPr>
        <w:tab/>
        <w:t xml:space="preserve">Crapo, P., Gilbert, T., </w:t>
      </w:r>
      <w:proofErr w:type="spellStart"/>
      <w:r w:rsidRPr="00D412EE">
        <w:rPr>
          <w:rFonts w:cs="Calibri"/>
          <w:sz w:val="24"/>
          <w:szCs w:val="24"/>
        </w:rPr>
        <w:t>Badylak</w:t>
      </w:r>
      <w:proofErr w:type="spellEnd"/>
      <w:r w:rsidRPr="00D412EE">
        <w:rPr>
          <w:rFonts w:cs="Calibri"/>
          <w:sz w:val="24"/>
          <w:szCs w:val="24"/>
        </w:rPr>
        <w:t xml:space="preserve">, S. An overview of tissue and whole organ decellularization processes. </w:t>
      </w:r>
      <w:r w:rsidRPr="00D412EE">
        <w:rPr>
          <w:rFonts w:cs="Calibri"/>
          <w:i/>
          <w:iCs/>
          <w:sz w:val="24"/>
          <w:szCs w:val="24"/>
        </w:rPr>
        <w:t>Biomaterials</w:t>
      </w:r>
      <w:r w:rsidRPr="00D412EE">
        <w:rPr>
          <w:rFonts w:cs="Calibri"/>
          <w:sz w:val="24"/>
          <w:szCs w:val="24"/>
        </w:rPr>
        <w:t xml:space="preserve">. </w:t>
      </w:r>
      <w:r w:rsidRPr="00D412EE">
        <w:rPr>
          <w:rFonts w:cs="Calibri"/>
          <w:b/>
          <w:bCs/>
          <w:sz w:val="24"/>
          <w:szCs w:val="24"/>
        </w:rPr>
        <w:t>32</w:t>
      </w:r>
      <w:r w:rsidRPr="00D412EE">
        <w:rPr>
          <w:rFonts w:cs="Calibri"/>
          <w:sz w:val="24"/>
          <w:szCs w:val="24"/>
        </w:rPr>
        <w:t xml:space="preserve"> (12), 3233–3243, </w:t>
      </w:r>
      <w:proofErr w:type="spellStart"/>
      <w:r w:rsidRPr="00D412EE">
        <w:rPr>
          <w:rFonts w:cs="Calibri"/>
          <w:sz w:val="24"/>
          <w:szCs w:val="24"/>
        </w:rPr>
        <w:t>doi</w:t>
      </w:r>
      <w:proofErr w:type="spellEnd"/>
      <w:r w:rsidRPr="00D412EE">
        <w:rPr>
          <w:rFonts w:cs="Calibri"/>
          <w:sz w:val="24"/>
          <w:szCs w:val="24"/>
        </w:rPr>
        <w:t>: 10.1016/j.biomaterials.2011.</w:t>
      </w:r>
      <w:proofErr w:type="gramStart"/>
      <w:r w:rsidRPr="00D412EE">
        <w:rPr>
          <w:rFonts w:cs="Calibri"/>
          <w:sz w:val="24"/>
          <w:szCs w:val="24"/>
        </w:rPr>
        <w:t>01.057.An</w:t>
      </w:r>
      <w:proofErr w:type="gramEnd"/>
      <w:r w:rsidRPr="00D412EE">
        <w:rPr>
          <w:rFonts w:cs="Calibri"/>
          <w:sz w:val="24"/>
          <w:szCs w:val="24"/>
        </w:rPr>
        <w:t xml:space="preserve"> (2011).</w:t>
      </w:r>
    </w:p>
    <w:p w14:paraId="57AC8D0E" w14:textId="37BF4C4E" w:rsidR="0097254C" w:rsidRPr="00D412EE" w:rsidRDefault="0097254C" w:rsidP="00D412EE">
      <w:pPr>
        <w:autoSpaceDE w:val="0"/>
        <w:autoSpaceDN w:val="0"/>
        <w:adjustRightInd w:val="0"/>
        <w:spacing w:after="0" w:line="240" w:lineRule="auto"/>
        <w:jc w:val="both"/>
        <w:rPr>
          <w:rFonts w:cs="Calibri"/>
          <w:sz w:val="24"/>
          <w:szCs w:val="24"/>
        </w:rPr>
      </w:pPr>
      <w:r w:rsidRPr="00D412EE">
        <w:rPr>
          <w:rFonts w:cs="Calibri"/>
          <w:sz w:val="24"/>
          <w:szCs w:val="24"/>
        </w:rPr>
        <w:t>22.</w:t>
      </w:r>
      <w:r w:rsidRPr="00D412EE">
        <w:rPr>
          <w:rFonts w:cs="Calibri"/>
          <w:sz w:val="24"/>
          <w:szCs w:val="24"/>
        </w:rPr>
        <w:tab/>
        <w:t>Guan, Y.</w:t>
      </w:r>
      <w:r w:rsidR="00D412EE" w:rsidRPr="00D412EE">
        <w:rPr>
          <w:rFonts w:cs="Calibri"/>
          <w:i/>
          <w:sz w:val="24"/>
          <w:szCs w:val="24"/>
        </w:rPr>
        <w:t xml:space="preserve"> et al</w:t>
      </w:r>
      <w:r w:rsidR="00494F6C">
        <w:rPr>
          <w:rFonts w:cs="Calibri"/>
          <w:i/>
          <w:sz w:val="24"/>
          <w:szCs w:val="24"/>
        </w:rPr>
        <w:t>.</w:t>
      </w:r>
      <w:r w:rsidRPr="00D412EE">
        <w:rPr>
          <w:rFonts w:cs="Calibri"/>
          <w:sz w:val="24"/>
          <w:szCs w:val="24"/>
        </w:rPr>
        <w:t xml:space="preserve"> Porcine kidneys as a source of ECM scaffold for kidney regeneration. </w:t>
      </w:r>
      <w:r w:rsidRPr="00D412EE">
        <w:rPr>
          <w:rFonts w:cs="Calibri"/>
          <w:i/>
          <w:iCs/>
          <w:sz w:val="24"/>
          <w:szCs w:val="24"/>
        </w:rPr>
        <w:t>Materials Science and Engineering C</w:t>
      </w:r>
      <w:r w:rsidRPr="00D412EE">
        <w:rPr>
          <w:rFonts w:cs="Calibri"/>
          <w:sz w:val="24"/>
          <w:szCs w:val="24"/>
        </w:rPr>
        <w:t xml:space="preserve">. </w:t>
      </w:r>
      <w:r w:rsidRPr="00D412EE">
        <w:rPr>
          <w:rFonts w:cs="Calibri"/>
          <w:b/>
          <w:bCs/>
          <w:sz w:val="24"/>
          <w:szCs w:val="24"/>
        </w:rPr>
        <w:t>56</w:t>
      </w:r>
      <w:r w:rsidRPr="00D412EE">
        <w:rPr>
          <w:rFonts w:cs="Calibri"/>
          <w:sz w:val="24"/>
          <w:szCs w:val="24"/>
        </w:rPr>
        <w:t xml:space="preserve">, 451–456, </w:t>
      </w:r>
      <w:proofErr w:type="spellStart"/>
      <w:r w:rsidRPr="00D412EE">
        <w:rPr>
          <w:rFonts w:cs="Calibri"/>
          <w:sz w:val="24"/>
          <w:szCs w:val="24"/>
        </w:rPr>
        <w:t>doi</w:t>
      </w:r>
      <w:proofErr w:type="spellEnd"/>
      <w:r w:rsidRPr="00D412EE">
        <w:rPr>
          <w:rFonts w:cs="Calibri"/>
          <w:sz w:val="24"/>
          <w:szCs w:val="24"/>
        </w:rPr>
        <w:t>: 10.1016/j.m</w:t>
      </w:r>
      <w:r w:rsidR="00D412EE">
        <w:rPr>
          <w:rFonts w:cs="Calibri"/>
          <w:sz w:val="24"/>
          <w:szCs w:val="24"/>
        </w:rPr>
        <w:t>s.</w:t>
      </w:r>
      <w:r w:rsidRPr="00D412EE">
        <w:rPr>
          <w:rFonts w:cs="Calibri"/>
          <w:sz w:val="24"/>
          <w:szCs w:val="24"/>
        </w:rPr>
        <w:t>2015.07.007 (2015).</w:t>
      </w:r>
    </w:p>
    <w:p w14:paraId="11AC3AFD" w14:textId="365C0E9D" w:rsidR="0097254C" w:rsidRPr="00D412EE" w:rsidRDefault="0097254C" w:rsidP="00D412EE">
      <w:pPr>
        <w:autoSpaceDE w:val="0"/>
        <w:autoSpaceDN w:val="0"/>
        <w:adjustRightInd w:val="0"/>
        <w:spacing w:after="0" w:line="240" w:lineRule="auto"/>
        <w:jc w:val="both"/>
        <w:rPr>
          <w:rFonts w:cs="Calibri"/>
          <w:sz w:val="24"/>
        </w:rPr>
      </w:pPr>
      <w:r w:rsidRPr="00D412EE">
        <w:rPr>
          <w:rFonts w:cs="Calibri"/>
          <w:sz w:val="24"/>
          <w:szCs w:val="24"/>
        </w:rPr>
        <w:t>23.</w:t>
      </w:r>
      <w:r w:rsidRPr="00D412EE">
        <w:rPr>
          <w:rFonts w:cs="Calibri"/>
          <w:sz w:val="24"/>
          <w:szCs w:val="24"/>
        </w:rPr>
        <w:tab/>
        <w:t>Dean, R.</w:t>
      </w:r>
      <w:r w:rsidR="00494F6C">
        <w:rPr>
          <w:rFonts w:cs="Calibri"/>
          <w:sz w:val="24"/>
          <w:szCs w:val="24"/>
        </w:rPr>
        <w:t xml:space="preserve"> </w:t>
      </w:r>
      <w:r w:rsidRPr="00D412EE">
        <w:rPr>
          <w:rFonts w:cs="Calibri"/>
          <w:sz w:val="24"/>
          <w:szCs w:val="24"/>
        </w:rPr>
        <w:t xml:space="preserve">L. Kinetic studies with alkaline phosphatase in the presence and absence of inhibitors and divalent cations. </w:t>
      </w:r>
      <w:r w:rsidRPr="00D412EE">
        <w:rPr>
          <w:rFonts w:cs="Calibri"/>
          <w:i/>
          <w:iCs/>
          <w:sz w:val="24"/>
          <w:szCs w:val="24"/>
        </w:rPr>
        <w:t>Biochemistry and Molecular Biology Education</w:t>
      </w:r>
      <w:r w:rsidRPr="00D412EE">
        <w:rPr>
          <w:rFonts w:cs="Calibri"/>
          <w:sz w:val="24"/>
          <w:szCs w:val="24"/>
        </w:rPr>
        <w:t xml:space="preserve">. </w:t>
      </w:r>
      <w:r w:rsidRPr="00D412EE">
        <w:rPr>
          <w:rFonts w:cs="Calibri"/>
          <w:b/>
          <w:bCs/>
          <w:sz w:val="24"/>
          <w:szCs w:val="24"/>
        </w:rPr>
        <w:t>30</w:t>
      </w:r>
      <w:r w:rsidRPr="00D412EE">
        <w:rPr>
          <w:rFonts w:cs="Calibri"/>
          <w:sz w:val="24"/>
          <w:szCs w:val="24"/>
        </w:rPr>
        <w:t xml:space="preserve"> (6), 401–407, </w:t>
      </w:r>
      <w:proofErr w:type="spellStart"/>
      <w:r w:rsidRPr="00D412EE">
        <w:rPr>
          <w:rFonts w:cs="Calibri"/>
          <w:sz w:val="24"/>
          <w:szCs w:val="24"/>
        </w:rPr>
        <w:t>doi</w:t>
      </w:r>
      <w:proofErr w:type="spellEnd"/>
      <w:r w:rsidRPr="00D412EE">
        <w:rPr>
          <w:rFonts w:cs="Calibri"/>
          <w:sz w:val="24"/>
          <w:szCs w:val="24"/>
        </w:rPr>
        <w:t>: 10.1002/bmb.2002.494030060138 (2002).</w:t>
      </w:r>
    </w:p>
    <w:p w14:paraId="175FBAC7" w14:textId="77777777" w:rsidR="00A20A23" w:rsidRPr="00D412EE" w:rsidRDefault="00A20A23" w:rsidP="00D412EE">
      <w:pPr>
        <w:spacing w:after="0" w:line="240" w:lineRule="auto"/>
        <w:jc w:val="both"/>
        <w:rPr>
          <w:rFonts w:eastAsia="Times New Roman" w:cs="Calibri"/>
          <w:color w:val="7F7F7F"/>
          <w:sz w:val="24"/>
          <w:szCs w:val="24"/>
        </w:rPr>
      </w:pPr>
      <w:r w:rsidRPr="00D412EE">
        <w:rPr>
          <w:rFonts w:cs="Calibri"/>
          <w:sz w:val="24"/>
          <w:szCs w:val="24"/>
        </w:rPr>
        <w:fldChar w:fldCharType="end"/>
      </w:r>
    </w:p>
    <w:sectPr w:rsidR="00A20A23" w:rsidRPr="00D412EE" w:rsidSect="00D412EE">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A73"/>
    <w:multiLevelType w:val="multilevel"/>
    <w:tmpl w:val="71041F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CF95338"/>
    <w:multiLevelType w:val="multilevel"/>
    <w:tmpl w:val="939C2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7B31EE"/>
    <w:multiLevelType w:val="multilevel"/>
    <w:tmpl w:val="753C0F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CF434C"/>
    <w:multiLevelType w:val="hybridMultilevel"/>
    <w:tmpl w:val="FA702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40B6E"/>
    <w:multiLevelType w:val="multilevel"/>
    <w:tmpl w:val="5BDEE3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285994"/>
    <w:multiLevelType w:val="multilevel"/>
    <w:tmpl w:val="A3E2A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3B79B9"/>
    <w:multiLevelType w:val="multilevel"/>
    <w:tmpl w:val="F558E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AC3856"/>
    <w:multiLevelType w:val="multilevel"/>
    <w:tmpl w:val="E74AA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2"/>
    <w:lvlOverride w:ilvl="0">
      <w:lvl w:ilvl="0">
        <w:numFmt w:val="decimal"/>
        <w:lvlText w:val="%1."/>
        <w:lvlJc w:val="left"/>
      </w:lvl>
    </w:lvlOverride>
  </w:num>
  <w:num w:numId="4">
    <w:abstractNumId w:val="4"/>
  </w:num>
  <w:num w:numId="5">
    <w:abstractNumId w:val="6"/>
    <w:lvlOverride w:ilvl="0">
      <w:lvl w:ilvl="0">
        <w:numFmt w:val="decimal"/>
        <w:lvlText w:val="%1."/>
        <w:lvlJc w:val="left"/>
      </w:lvl>
    </w:lvlOverride>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EAD"/>
    <w:rsid w:val="00000675"/>
    <w:rsid w:val="00002E08"/>
    <w:rsid w:val="0006286A"/>
    <w:rsid w:val="00066086"/>
    <w:rsid w:val="00070E3F"/>
    <w:rsid w:val="00073635"/>
    <w:rsid w:val="00075028"/>
    <w:rsid w:val="00085B70"/>
    <w:rsid w:val="000A1925"/>
    <w:rsid w:val="000B1457"/>
    <w:rsid w:val="000C32A9"/>
    <w:rsid w:val="000E2901"/>
    <w:rsid w:val="000F3882"/>
    <w:rsid w:val="001827CF"/>
    <w:rsid w:val="00183069"/>
    <w:rsid w:val="00192411"/>
    <w:rsid w:val="0021671C"/>
    <w:rsid w:val="00235860"/>
    <w:rsid w:val="0024756A"/>
    <w:rsid w:val="00251931"/>
    <w:rsid w:val="0027084B"/>
    <w:rsid w:val="00282FA4"/>
    <w:rsid w:val="002B52E4"/>
    <w:rsid w:val="0033607A"/>
    <w:rsid w:val="00351ECD"/>
    <w:rsid w:val="00356B97"/>
    <w:rsid w:val="00371E91"/>
    <w:rsid w:val="00376CF5"/>
    <w:rsid w:val="00380141"/>
    <w:rsid w:val="003C1D97"/>
    <w:rsid w:val="00427A00"/>
    <w:rsid w:val="00455CF3"/>
    <w:rsid w:val="00460E7D"/>
    <w:rsid w:val="0048463E"/>
    <w:rsid w:val="00494F6C"/>
    <w:rsid w:val="00496F24"/>
    <w:rsid w:val="004C3227"/>
    <w:rsid w:val="004C355A"/>
    <w:rsid w:val="004F759A"/>
    <w:rsid w:val="00510957"/>
    <w:rsid w:val="00511B38"/>
    <w:rsid w:val="00574B12"/>
    <w:rsid w:val="0058078F"/>
    <w:rsid w:val="00583876"/>
    <w:rsid w:val="00591CC7"/>
    <w:rsid w:val="005B0E43"/>
    <w:rsid w:val="005F66D5"/>
    <w:rsid w:val="00601024"/>
    <w:rsid w:val="00615EAD"/>
    <w:rsid w:val="00650413"/>
    <w:rsid w:val="00660823"/>
    <w:rsid w:val="006A15FE"/>
    <w:rsid w:val="006B5152"/>
    <w:rsid w:val="006C023F"/>
    <w:rsid w:val="006C7CBF"/>
    <w:rsid w:val="006E666D"/>
    <w:rsid w:val="007076E2"/>
    <w:rsid w:val="00755280"/>
    <w:rsid w:val="007A06E2"/>
    <w:rsid w:val="007A5656"/>
    <w:rsid w:val="007C5F07"/>
    <w:rsid w:val="007F5EF1"/>
    <w:rsid w:val="007F6CEE"/>
    <w:rsid w:val="00805F5D"/>
    <w:rsid w:val="00864CBE"/>
    <w:rsid w:val="008701E5"/>
    <w:rsid w:val="00881D08"/>
    <w:rsid w:val="008A0809"/>
    <w:rsid w:val="008D7464"/>
    <w:rsid w:val="008E5295"/>
    <w:rsid w:val="008F460B"/>
    <w:rsid w:val="00920ACD"/>
    <w:rsid w:val="009405DF"/>
    <w:rsid w:val="00957CB6"/>
    <w:rsid w:val="0097254C"/>
    <w:rsid w:val="00973FAE"/>
    <w:rsid w:val="009751DF"/>
    <w:rsid w:val="00981044"/>
    <w:rsid w:val="00983CE7"/>
    <w:rsid w:val="009F01CA"/>
    <w:rsid w:val="009F4879"/>
    <w:rsid w:val="00A04AB4"/>
    <w:rsid w:val="00A20835"/>
    <w:rsid w:val="00A20A23"/>
    <w:rsid w:val="00A27C2B"/>
    <w:rsid w:val="00A4007F"/>
    <w:rsid w:val="00A46751"/>
    <w:rsid w:val="00A76B2F"/>
    <w:rsid w:val="00A77BDD"/>
    <w:rsid w:val="00A80BEC"/>
    <w:rsid w:val="00B01CB1"/>
    <w:rsid w:val="00B04DE8"/>
    <w:rsid w:val="00B14DC6"/>
    <w:rsid w:val="00B241B9"/>
    <w:rsid w:val="00B93687"/>
    <w:rsid w:val="00B969B0"/>
    <w:rsid w:val="00BA4343"/>
    <w:rsid w:val="00BF375F"/>
    <w:rsid w:val="00C143A5"/>
    <w:rsid w:val="00C148BB"/>
    <w:rsid w:val="00C265B8"/>
    <w:rsid w:val="00C304EE"/>
    <w:rsid w:val="00C33CF8"/>
    <w:rsid w:val="00C437E4"/>
    <w:rsid w:val="00C43E1B"/>
    <w:rsid w:val="00CB2B57"/>
    <w:rsid w:val="00CE08CD"/>
    <w:rsid w:val="00CE58ED"/>
    <w:rsid w:val="00D3275C"/>
    <w:rsid w:val="00D412EE"/>
    <w:rsid w:val="00D46344"/>
    <w:rsid w:val="00D52B77"/>
    <w:rsid w:val="00D5396E"/>
    <w:rsid w:val="00D95952"/>
    <w:rsid w:val="00D97E5C"/>
    <w:rsid w:val="00DD2301"/>
    <w:rsid w:val="00DF6517"/>
    <w:rsid w:val="00E37239"/>
    <w:rsid w:val="00E85267"/>
    <w:rsid w:val="00EB0CCD"/>
    <w:rsid w:val="00EB4C52"/>
    <w:rsid w:val="00F0297E"/>
    <w:rsid w:val="00F21CCD"/>
    <w:rsid w:val="00F74E11"/>
    <w:rsid w:val="00FC23E3"/>
    <w:rsid w:val="00FD5956"/>
    <w:rsid w:val="00FE0C70"/>
    <w:rsid w:val="00FE48EA"/>
    <w:rsid w:val="00FF1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09C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5EA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semiHidden/>
    <w:unhideWhenUsed/>
    <w:rsid w:val="00615EAD"/>
    <w:rPr>
      <w:color w:val="0000FF"/>
      <w:u w:val="single"/>
    </w:rPr>
  </w:style>
  <w:style w:type="paragraph" w:styleId="ListParagraph">
    <w:name w:val="List Paragraph"/>
    <w:basedOn w:val="Normal"/>
    <w:uiPriority w:val="34"/>
    <w:qFormat/>
    <w:rsid w:val="00615EAD"/>
    <w:pPr>
      <w:ind w:left="720"/>
      <w:contextualSpacing/>
    </w:pPr>
  </w:style>
  <w:style w:type="paragraph" w:styleId="BalloonText">
    <w:name w:val="Balloon Text"/>
    <w:basedOn w:val="Normal"/>
    <w:link w:val="BalloonTextChar"/>
    <w:uiPriority w:val="99"/>
    <w:semiHidden/>
    <w:unhideWhenUsed/>
    <w:rsid w:val="00251931"/>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251931"/>
    <w:rPr>
      <w:rFonts w:ascii="Lucida Grande" w:hAnsi="Lucida Grande" w:cs="Lucida Grande"/>
      <w:sz w:val="18"/>
      <w:szCs w:val="18"/>
    </w:rPr>
  </w:style>
  <w:style w:type="character" w:styleId="CommentReference">
    <w:name w:val="annotation reference"/>
    <w:uiPriority w:val="99"/>
    <w:semiHidden/>
    <w:unhideWhenUsed/>
    <w:rsid w:val="008A0809"/>
    <w:rPr>
      <w:sz w:val="18"/>
      <w:szCs w:val="18"/>
    </w:rPr>
  </w:style>
  <w:style w:type="paragraph" w:styleId="CommentText">
    <w:name w:val="annotation text"/>
    <w:basedOn w:val="Normal"/>
    <w:link w:val="CommentTextChar"/>
    <w:uiPriority w:val="99"/>
    <w:semiHidden/>
    <w:unhideWhenUsed/>
    <w:rsid w:val="008A0809"/>
    <w:pPr>
      <w:spacing w:line="240" w:lineRule="auto"/>
    </w:pPr>
    <w:rPr>
      <w:sz w:val="24"/>
      <w:szCs w:val="24"/>
    </w:rPr>
  </w:style>
  <w:style w:type="character" w:customStyle="1" w:styleId="CommentTextChar">
    <w:name w:val="Comment Text Char"/>
    <w:link w:val="CommentText"/>
    <w:uiPriority w:val="99"/>
    <w:semiHidden/>
    <w:rsid w:val="008A0809"/>
    <w:rPr>
      <w:sz w:val="24"/>
      <w:szCs w:val="24"/>
    </w:rPr>
  </w:style>
  <w:style w:type="paragraph" w:styleId="CommentSubject">
    <w:name w:val="annotation subject"/>
    <w:basedOn w:val="CommentText"/>
    <w:next w:val="CommentText"/>
    <w:link w:val="CommentSubjectChar"/>
    <w:uiPriority w:val="99"/>
    <w:semiHidden/>
    <w:unhideWhenUsed/>
    <w:rsid w:val="008A0809"/>
    <w:rPr>
      <w:b/>
      <w:bCs/>
      <w:sz w:val="20"/>
      <w:szCs w:val="20"/>
    </w:rPr>
  </w:style>
  <w:style w:type="character" w:customStyle="1" w:styleId="CommentSubjectChar">
    <w:name w:val="Comment Subject Char"/>
    <w:link w:val="CommentSubject"/>
    <w:uiPriority w:val="99"/>
    <w:semiHidden/>
    <w:rsid w:val="008A0809"/>
    <w:rPr>
      <w:b/>
      <w:bCs/>
      <w:sz w:val="20"/>
      <w:szCs w:val="20"/>
    </w:rPr>
  </w:style>
  <w:style w:type="character" w:styleId="LineNumber">
    <w:name w:val="line number"/>
    <w:basedOn w:val="DefaultParagraphFont"/>
    <w:uiPriority w:val="99"/>
    <w:semiHidden/>
    <w:unhideWhenUsed/>
    <w:rsid w:val="00A77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1927">
      <w:bodyDiv w:val="1"/>
      <w:marLeft w:val="0"/>
      <w:marRight w:val="0"/>
      <w:marTop w:val="0"/>
      <w:marBottom w:val="0"/>
      <w:divBdr>
        <w:top w:val="none" w:sz="0" w:space="0" w:color="auto"/>
        <w:left w:val="none" w:sz="0" w:space="0" w:color="auto"/>
        <w:bottom w:val="none" w:sz="0" w:space="0" w:color="auto"/>
        <w:right w:val="none" w:sz="0" w:space="0" w:color="auto"/>
      </w:divBdr>
    </w:div>
    <w:div w:id="757603753">
      <w:bodyDiv w:val="1"/>
      <w:marLeft w:val="0"/>
      <w:marRight w:val="0"/>
      <w:marTop w:val="0"/>
      <w:marBottom w:val="0"/>
      <w:divBdr>
        <w:top w:val="none" w:sz="0" w:space="0" w:color="auto"/>
        <w:left w:val="none" w:sz="0" w:space="0" w:color="auto"/>
        <w:bottom w:val="none" w:sz="0" w:space="0" w:color="auto"/>
        <w:right w:val="none" w:sz="0" w:space="0" w:color="auto"/>
      </w:divBdr>
    </w:div>
    <w:div w:id="174044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4B1D6-032B-4406-BA18-DF4FE9FA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13605</Words>
  <Characters>77555</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2018-08-07T18:54:00Z</dcterms:created>
  <dcterms:modified xsi:type="dcterms:W3CDTF">2018-08-07T18:54:00Z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39956a9a-ee2a-3c94-aaaf-09dc2900afcd</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http://www.zotero.org/styles/journal-of-visualized-experiments</vt:lpwstr>
  </property>
  <property fmtid="{D5CDD505-2E9C-101B-9397-08002B2CF9AE}" pid="18" name="Mendeley Recent Style Name 6_1">
    <vt:lpwstr>Journal of Visualized Experiments</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