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DD57B" w14:textId="0A4966C4" w:rsidR="000E323D" w:rsidRPr="00C73A6D" w:rsidRDefault="009F5611" w:rsidP="009428C9">
      <w:pPr>
        <w:rPr>
          <w:rFonts w:ascii="Calibri" w:hAnsi="Calibri"/>
          <w:sz w:val="30"/>
          <w:szCs w:val="30"/>
        </w:rPr>
      </w:pPr>
      <w:r w:rsidRPr="00C73A6D">
        <w:rPr>
          <w:rFonts w:ascii="Calibri" w:hAnsi="Calibri"/>
          <w:sz w:val="30"/>
          <w:szCs w:val="30"/>
        </w:rPr>
        <w:t>R</w:t>
      </w:r>
      <w:r w:rsidR="001129D1" w:rsidRPr="00C73A6D">
        <w:rPr>
          <w:rFonts w:ascii="Calibri" w:hAnsi="Calibri"/>
          <w:sz w:val="30"/>
          <w:szCs w:val="30"/>
        </w:rPr>
        <w:t xml:space="preserve">esponse </w:t>
      </w:r>
      <w:r w:rsidRPr="00C73A6D">
        <w:rPr>
          <w:rFonts w:ascii="Calibri" w:hAnsi="Calibri"/>
          <w:sz w:val="30"/>
          <w:szCs w:val="30"/>
        </w:rPr>
        <w:t>L</w:t>
      </w:r>
      <w:r w:rsidR="001129D1" w:rsidRPr="00C73A6D">
        <w:rPr>
          <w:rFonts w:ascii="Calibri" w:hAnsi="Calibri"/>
          <w:sz w:val="30"/>
          <w:szCs w:val="30"/>
        </w:rPr>
        <w:t>etter</w:t>
      </w:r>
    </w:p>
    <w:p w14:paraId="3A738ACD" w14:textId="77777777" w:rsidR="00CB108E" w:rsidRPr="00C73A6D" w:rsidRDefault="00CB108E" w:rsidP="00CB108E">
      <w:pPr>
        <w:spacing w:line="360" w:lineRule="auto"/>
        <w:rPr>
          <w:rFonts w:ascii="Calibri" w:hAnsi="Calibri"/>
          <w:kern w:val="0"/>
        </w:rPr>
      </w:pPr>
      <w:r w:rsidRPr="00C73A6D">
        <w:rPr>
          <w:rFonts w:ascii="Calibri" w:hAnsi="Calibri"/>
          <w:kern w:val="0"/>
        </w:rPr>
        <w:t>Dear editor,</w:t>
      </w:r>
    </w:p>
    <w:p w14:paraId="7DA0C05F" w14:textId="77777777" w:rsidR="00CB108E" w:rsidRPr="00C73A6D" w:rsidRDefault="00CB108E" w:rsidP="00CB108E">
      <w:pPr>
        <w:spacing w:line="360" w:lineRule="auto"/>
        <w:rPr>
          <w:rFonts w:ascii="Calibri" w:hAnsi="Calibri"/>
        </w:rPr>
      </w:pPr>
    </w:p>
    <w:p w14:paraId="1B00FDEA" w14:textId="77777777" w:rsidR="00CB108E" w:rsidRPr="00C73A6D" w:rsidRDefault="00CB108E" w:rsidP="00CB108E">
      <w:pPr>
        <w:spacing w:line="360" w:lineRule="auto"/>
        <w:rPr>
          <w:rFonts w:ascii="Calibri" w:hAnsi="Calibri"/>
        </w:rPr>
      </w:pPr>
      <w:r w:rsidRPr="00C73A6D">
        <w:rPr>
          <w:rFonts w:ascii="Calibri" w:hAnsi="Calibri"/>
          <w:kern w:val="0"/>
        </w:rPr>
        <w:t xml:space="preserve">We would like to thank you and the reviewers for </w:t>
      </w:r>
      <w:r w:rsidRPr="00C73A6D">
        <w:rPr>
          <w:rFonts w:ascii="Calibri" w:hAnsi="Calibri"/>
        </w:rPr>
        <w:t>your efforts in evaluating our manuscript</w:t>
      </w:r>
      <w:r w:rsidRPr="00C73A6D">
        <w:rPr>
          <w:rFonts w:ascii="Calibri" w:hAnsi="Calibri"/>
          <w:kern w:val="0"/>
        </w:rPr>
        <w:t xml:space="preserve"> entitled “Establishment of DR3 Overexpression Cell Line to Assess the Apoptotic Response to Anti-</w:t>
      </w:r>
      <w:proofErr w:type="gramStart"/>
      <w:r w:rsidRPr="00C73A6D">
        <w:rPr>
          <w:rFonts w:ascii="Calibri" w:hAnsi="Calibri"/>
          <w:kern w:val="0"/>
        </w:rPr>
        <w:t>mitotic</w:t>
      </w:r>
      <w:proofErr w:type="gramEnd"/>
      <w:r w:rsidRPr="00C73A6D">
        <w:rPr>
          <w:rFonts w:ascii="Calibri" w:hAnsi="Calibri"/>
          <w:kern w:val="0"/>
        </w:rPr>
        <w:t xml:space="preserve"> Therapeutics” (JOVE-58705)</w:t>
      </w:r>
      <w:r w:rsidRPr="00C73A6D">
        <w:rPr>
          <w:rFonts w:ascii="Calibri" w:hAnsi="Calibri"/>
        </w:rPr>
        <w:t xml:space="preserve">. </w:t>
      </w:r>
    </w:p>
    <w:p w14:paraId="1019C829" w14:textId="4C8D3C76" w:rsidR="00CB108E" w:rsidRPr="00C73A6D" w:rsidRDefault="00CB108E" w:rsidP="00CB108E">
      <w:pPr>
        <w:spacing w:line="360" w:lineRule="auto"/>
        <w:rPr>
          <w:rFonts w:ascii="Calibri" w:hAnsi="Calibri"/>
        </w:rPr>
      </w:pPr>
      <w:r w:rsidRPr="00C73A6D">
        <w:rPr>
          <w:rFonts w:ascii="Calibri" w:hAnsi="Calibri"/>
        </w:rPr>
        <w:t xml:space="preserve">We were grateful for the constructive comments by all the reviewers. Below please see additional data and the point-by-point response to </w:t>
      </w:r>
      <w:r w:rsidR="00266318" w:rsidRPr="00C73A6D">
        <w:rPr>
          <w:rFonts w:ascii="Calibri" w:hAnsi="Calibri"/>
        </w:rPr>
        <w:t xml:space="preserve">editorial and </w:t>
      </w:r>
      <w:r w:rsidRPr="00C73A6D">
        <w:rPr>
          <w:rFonts w:ascii="Calibri" w:hAnsi="Calibri"/>
        </w:rPr>
        <w:t>reviewers’ comments. We have also made changes in the manuscript accordingly and highlighted the major changes.</w:t>
      </w:r>
    </w:p>
    <w:p w14:paraId="482091AE" w14:textId="77777777" w:rsidR="00CB108E" w:rsidRPr="00C73A6D" w:rsidRDefault="00CB108E" w:rsidP="00CB108E">
      <w:pPr>
        <w:spacing w:line="360" w:lineRule="auto"/>
        <w:rPr>
          <w:rFonts w:ascii="Calibri" w:hAnsi="Calibri"/>
        </w:rPr>
      </w:pPr>
    </w:p>
    <w:p w14:paraId="24819050" w14:textId="77777777" w:rsidR="00CB108E" w:rsidRPr="00C73A6D" w:rsidRDefault="00CB108E" w:rsidP="00CB108E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 xml:space="preserve">We hope that you will find the revised manuscript acceptable for publication in </w:t>
      </w:r>
      <w:r w:rsidR="00C14AC9" w:rsidRPr="00C73A6D">
        <w:rPr>
          <w:rFonts w:ascii="Calibri" w:hAnsi="Calibri"/>
          <w:i/>
        </w:rPr>
        <w:t>JOVE</w:t>
      </w:r>
      <w:r w:rsidRPr="00C73A6D">
        <w:rPr>
          <w:rFonts w:ascii="Calibri" w:hAnsi="Calibri"/>
          <w:bCs/>
        </w:rPr>
        <w:t>.</w:t>
      </w:r>
    </w:p>
    <w:p w14:paraId="198A0736" w14:textId="77777777" w:rsidR="00CB108E" w:rsidRPr="00C73A6D" w:rsidRDefault="00CB108E" w:rsidP="00CB108E">
      <w:pPr>
        <w:spacing w:line="360" w:lineRule="auto"/>
        <w:rPr>
          <w:rFonts w:ascii="Calibri" w:hAnsi="Calibri"/>
        </w:rPr>
      </w:pPr>
    </w:p>
    <w:p w14:paraId="5F43544B" w14:textId="77777777" w:rsidR="00CB108E" w:rsidRPr="00C73A6D" w:rsidRDefault="00CB108E" w:rsidP="00CB108E">
      <w:pPr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>Sincerely yours,</w:t>
      </w:r>
    </w:p>
    <w:p w14:paraId="3505AB7F" w14:textId="77777777" w:rsidR="00CB108E" w:rsidRPr="00C73A6D" w:rsidRDefault="00CB108E" w:rsidP="00CB108E">
      <w:pPr>
        <w:spacing w:line="360" w:lineRule="auto"/>
        <w:rPr>
          <w:rFonts w:ascii="Calibri" w:hAnsi="Calibri"/>
          <w:bCs/>
        </w:rPr>
      </w:pPr>
    </w:p>
    <w:p w14:paraId="3590F058" w14:textId="61556749" w:rsidR="00CB108E" w:rsidRPr="00C73A6D" w:rsidRDefault="00C14AC9" w:rsidP="00CB108E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/>
          <w:bCs/>
        </w:rPr>
      </w:pPr>
      <w:proofErr w:type="spellStart"/>
      <w:r w:rsidRPr="00C73A6D">
        <w:rPr>
          <w:rFonts w:ascii="Calibri" w:hAnsi="Calibri"/>
          <w:bCs/>
        </w:rPr>
        <w:t>Gelin</w:t>
      </w:r>
      <w:proofErr w:type="spellEnd"/>
      <w:r w:rsidRPr="00C73A6D">
        <w:rPr>
          <w:rFonts w:ascii="Calibri" w:hAnsi="Calibri"/>
          <w:bCs/>
        </w:rPr>
        <w:t xml:space="preserve"> Wang</w:t>
      </w:r>
      <w:r w:rsidR="00CB108E" w:rsidRPr="00C73A6D">
        <w:rPr>
          <w:rFonts w:ascii="Calibri" w:hAnsi="Calibri"/>
          <w:bCs/>
        </w:rPr>
        <w:t xml:space="preserve">, </w:t>
      </w:r>
      <w:r w:rsidR="002D51DA" w:rsidRPr="00C73A6D">
        <w:rPr>
          <w:rFonts w:ascii="Calibri" w:hAnsi="Calibri"/>
          <w:bCs/>
        </w:rPr>
        <w:t>Principal Investigator</w:t>
      </w:r>
    </w:p>
    <w:p w14:paraId="14612535" w14:textId="77777777" w:rsidR="00C14AC9" w:rsidRPr="00C73A6D" w:rsidRDefault="00C14AC9" w:rsidP="00C14AC9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>School of Pharmaceutical Sciences</w:t>
      </w:r>
    </w:p>
    <w:p w14:paraId="6DDD0F6F" w14:textId="77777777" w:rsidR="00C14AC9" w:rsidRPr="00C73A6D" w:rsidRDefault="00C14AC9" w:rsidP="00C14AC9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 xml:space="preserve">Tsinghua University </w:t>
      </w:r>
    </w:p>
    <w:p w14:paraId="54A60378" w14:textId="77777777" w:rsidR="00C14AC9" w:rsidRPr="00C73A6D" w:rsidRDefault="00C14AC9" w:rsidP="00C14AC9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>Beijing 100084, China</w:t>
      </w:r>
    </w:p>
    <w:p w14:paraId="7FDFED07" w14:textId="77777777" w:rsidR="00C14AC9" w:rsidRPr="00C73A6D" w:rsidRDefault="00C14AC9" w:rsidP="00C14AC9">
      <w:pPr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>Tel: (86) 10-</w:t>
      </w:r>
      <w:r w:rsidR="000F10B9" w:rsidRPr="00C73A6D">
        <w:rPr>
          <w:rFonts w:ascii="Calibri" w:hAnsi="Calibri"/>
          <w:bCs/>
        </w:rPr>
        <w:t>62798919</w:t>
      </w:r>
    </w:p>
    <w:p w14:paraId="4C952EF6" w14:textId="77777777" w:rsidR="00C14AC9" w:rsidRPr="00C73A6D" w:rsidRDefault="00C14AC9" w:rsidP="00C14AC9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/>
          <w:bCs/>
        </w:rPr>
      </w:pPr>
      <w:r w:rsidRPr="00C73A6D">
        <w:rPr>
          <w:rFonts w:ascii="Calibri" w:hAnsi="Calibri"/>
          <w:bCs/>
        </w:rPr>
        <w:t xml:space="preserve">E-mail: </w:t>
      </w:r>
      <w:r w:rsidR="000F10B9" w:rsidRPr="00C73A6D">
        <w:rPr>
          <w:rFonts w:ascii="Calibri" w:hAnsi="Calibri"/>
          <w:bCs/>
        </w:rPr>
        <w:t>gelinwang@tsinghua.edu.cn</w:t>
      </w:r>
    </w:p>
    <w:p w14:paraId="1237724E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7428D321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5D388D0D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5D88137F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4860DEEE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47552A99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29501D21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017A43E6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4A8B77EA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63843009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6133C161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198E8699" w14:textId="77777777" w:rsidR="00CB108E" w:rsidRDefault="00CB108E" w:rsidP="00CB108E">
      <w:pPr>
        <w:rPr>
          <w:rFonts w:eastAsia="Calibri" w:cs="Times New Roman"/>
          <w:szCs w:val="21"/>
        </w:rPr>
      </w:pPr>
    </w:p>
    <w:p w14:paraId="0BCE65B1" w14:textId="77777777" w:rsidR="000F10B9" w:rsidRDefault="000F10B9" w:rsidP="00CB108E">
      <w:pPr>
        <w:spacing w:line="360" w:lineRule="auto"/>
        <w:rPr>
          <w:rFonts w:cs="Times New Roman"/>
        </w:rPr>
      </w:pPr>
    </w:p>
    <w:p w14:paraId="081FDD12" w14:textId="3134A0AD" w:rsidR="00CB108E" w:rsidRPr="00C73A6D" w:rsidRDefault="00CB108E" w:rsidP="00CB108E">
      <w:pPr>
        <w:spacing w:line="360" w:lineRule="auto"/>
        <w:rPr>
          <w:rFonts w:ascii="Calibri" w:hAnsi="Calibri" w:cs="Times New Roman"/>
        </w:rPr>
      </w:pPr>
      <w:r w:rsidRPr="00C73A6D">
        <w:rPr>
          <w:rFonts w:ascii="Calibri" w:hAnsi="Calibri" w:cs="Times New Roman"/>
        </w:rPr>
        <w:lastRenderedPageBreak/>
        <w:t>Below is the poin</w:t>
      </w:r>
      <w:r w:rsidR="007F6849" w:rsidRPr="00C73A6D">
        <w:rPr>
          <w:rFonts w:ascii="Calibri" w:hAnsi="Calibri" w:cs="Times New Roman"/>
        </w:rPr>
        <w:t>t-by-point response to editor’s and reviewer</w:t>
      </w:r>
      <w:r w:rsidRPr="00C73A6D">
        <w:rPr>
          <w:rFonts w:ascii="Calibri" w:hAnsi="Calibri" w:cs="Times New Roman"/>
        </w:rPr>
        <w:t>s</w:t>
      </w:r>
      <w:r w:rsidR="007F6849" w:rsidRPr="00C73A6D">
        <w:rPr>
          <w:rFonts w:ascii="Calibri" w:hAnsi="Calibri" w:cs="Times New Roman"/>
        </w:rPr>
        <w:t>’</w:t>
      </w:r>
      <w:r w:rsidRPr="00C73A6D">
        <w:rPr>
          <w:rFonts w:ascii="Calibri" w:hAnsi="Calibri" w:cs="Times New Roman"/>
        </w:rPr>
        <w:t xml:space="preserve"> comments.</w:t>
      </w:r>
    </w:p>
    <w:p w14:paraId="4B04E0B1" w14:textId="36AD3C18" w:rsidR="007F6849" w:rsidRPr="00C73A6D" w:rsidRDefault="00857144" w:rsidP="00CB108E">
      <w:pPr>
        <w:spacing w:line="360" w:lineRule="auto"/>
        <w:rPr>
          <w:rFonts w:ascii="Calibri" w:hAnsi="Calibri" w:cs="Times New Roman"/>
          <w:b/>
        </w:rPr>
      </w:pPr>
      <w:r w:rsidRPr="00C73A6D">
        <w:rPr>
          <w:rFonts w:ascii="Calibri" w:hAnsi="Calibri" w:cs="Times New Roman"/>
          <w:b/>
        </w:rPr>
        <w:t>Editorial Comments:</w:t>
      </w:r>
    </w:p>
    <w:p w14:paraId="21CC87F5" w14:textId="1A19DF6E" w:rsidR="00690641" w:rsidRPr="00690641" w:rsidRDefault="00E7308D" w:rsidP="00CB108E">
      <w:pPr>
        <w:spacing w:line="360" w:lineRule="auto"/>
        <w:rPr>
          <w:rFonts w:ascii="Calibri" w:hAnsi="Calibri"/>
        </w:rPr>
      </w:pPr>
      <w:r w:rsidRPr="00690641">
        <w:rPr>
          <w:rFonts w:ascii="Calibri" w:hAnsi="Calibri"/>
        </w:rPr>
        <w:t>We appreciate</w:t>
      </w:r>
      <w:r w:rsidR="00F36D57" w:rsidRPr="00690641">
        <w:rPr>
          <w:rFonts w:ascii="Calibri" w:hAnsi="Calibri"/>
        </w:rPr>
        <w:t xml:space="preserve"> the </w:t>
      </w:r>
      <w:r w:rsidR="003362F6" w:rsidRPr="00690641">
        <w:rPr>
          <w:rFonts w:ascii="Calibri" w:hAnsi="Calibri"/>
        </w:rPr>
        <w:t xml:space="preserve">editorial </w:t>
      </w:r>
      <w:r w:rsidRPr="00690641">
        <w:rPr>
          <w:rFonts w:ascii="Calibri" w:hAnsi="Calibri"/>
        </w:rPr>
        <w:t>comments</w:t>
      </w:r>
      <w:r w:rsidR="003362F6" w:rsidRPr="00690641">
        <w:rPr>
          <w:rFonts w:ascii="Calibri" w:hAnsi="Calibri"/>
        </w:rPr>
        <w:t xml:space="preserve">. </w:t>
      </w:r>
    </w:p>
    <w:p w14:paraId="1634C8A8" w14:textId="6D9D2F96" w:rsidR="00690641" w:rsidRPr="00690641" w:rsidRDefault="00690641" w:rsidP="00CB108E">
      <w:pPr>
        <w:spacing w:line="360" w:lineRule="auto"/>
        <w:rPr>
          <w:rFonts w:ascii="Calibri" w:hAnsi="Calibri"/>
        </w:rPr>
      </w:pPr>
      <w:r w:rsidRPr="00DE193B">
        <w:rPr>
          <w:rFonts w:ascii="Calibri" w:hAnsi="Calibri"/>
          <w:i/>
          <w:color w:val="002060"/>
        </w:rPr>
        <w:t>Textual Overlap:</w:t>
      </w:r>
      <w:r w:rsidRPr="00690641">
        <w:rPr>
          <w:rFonts w:ascii="Calibri" w:hAnsi="Calibri"/>
        </w:rPr>
        <w:t xml:space="preserve"> </w:t>
      </w:r>
      <w:r w:rsidR="003362F6" w:rsidRPr="00690641">
        <w:rPr>
          <w:rFonts w:ascii="Calibri" w:hAnsi="Calibri"/>
        </w:rPr>
        <w:t>We re-wrote the indicated text in red</w:t>
      </w:r>
      <w:r w:rsidR="003362F6" w:rsidRPr="00690641">
        <w:rPr>
          <w:rFonts w:ascii="Calibri" w:hAnsi="Calibri" w:hint="eastAsia"/>
        </w:rPr>
        <w:t xml:space="preserve">. </w:t>
      </w:r>
    </w:p>
    <w:p w14:paraId="29357F10" w14:textId="62FABA6E" w:rsidR="004B7347" w:rsidRDefault="00690641" w:rsidP="00690641">
      <w:pPr>
        <w:rPr>
          <w:rFonts w:ascii="Calibri" w:hAnsi="Calibri"/>
        </w:rPr>
      </w:pPr>
      <w:r w:rsidRPr="00DE193B">
        <w:rPr>
          <w:rFonts w:ascii="Calibri" w:hAnsi="Calibri"/>
          <w:i/>
          <w:color w:val="002060"/>
        </w:rPr>
        <w:t>Abstracts:</w:t>
      </w:r>
      <w:r w:rsidRPr="00690641">
        <w:rPr>
          <w:rFonts w:ascii="Calibri" w:hAnsi="Calibri"/>
        </w:rPr>
        <w:t xml:space="preserve"> </w:t>
      </w:r>
      <w:r w:rsidR="003362F6" w:rsidRPr="00690641">
        <w:rPr>
          <w:rFonts w:ascii="Calibri" w:hAnsi="Calibri" w:hint="eastAsia"/>
        </w:rPr>
        <w:t xml:space="preserve">The short abstract </w:t>
      </w:r>
      <w:r w:rsidRPr="00690641">
        <w:rPr>
          <w:rFonts w:ascii="Calibri" w:hAnsi="Calibri"/>
        </w:rPr>
        <w:t xml:space="preserve">was added before the long abstract as following: </w:t>
      </w:r>
      <w:r w:rsidR="00696F19">
        <w:rPr>
          <w:rFonts w:ascii="Calibri" w:hAnsi="Calibri"/>
        </w:rPr>
        <w:t xml:space="preserve">Cell </w:t>
      </w:r>
      <w:r w:rsidR="00696F19">
        <w:rPr>
          <w:rFonts w:ascii="Calibri" w:hAnsi="Calibri" w:hint="eastAsia"/>
        </w:rPr>
        <w:t>model</w:t>
      </w:r>
      <w:r w:rsidR="00696F19">
        <w:rPr>
          <w:rFonts w:ascii="Calibri" w:hAnsi="Calibri"/>
        </w:rPr>
        <w:t xml:space="preserve">s for gene overexpression are important tools for studying gene function. Picking single clones after retroviral infection is a direct way to generate </w:t>
      </w:r>
      <w:r w:rsidR="00696F19" w:rsidRPr="00A30B92">
        <w:rPr>
          <w:rFonts w:ascii="Calibri" w:hAnsi="Calibri"/>
        </w:rPr>
        <w:t>homogeneous</w:t>
      </w:r>
      <w:r w:rsidR="00696F19">
        <w:rPr>
          <w:rFonts w:ascii="Calibri" w:hAnsi="Calibri"/>
        </w:rPr>
        <w:t xml:space="preserve"> and pure stable cell lines. In this article, HT29-DR3 cell lines generated in this way </w:t>
      </w:r>
      <w:r w:rsidR="00696F19">
        <w:rPr>
          <w:rFonts w:ascii="Calibri" w:hAnsi="Calibri" w:hint="eastAsia"/>
        </w:rPr>
        <w:t>help</w:t>
      </w:r>
      <w:r w:rsidR="00696F19">
        <w:rPr>
          <w:rFonts w:ascii="Calibri" w:hAnsi="Calibri"/>
        </w:rPr>
        <w:t xml:space="preserve"> reveal the mechanisms by which DR3 contributes to anti-</w:t>
      </w:r>
      <w:proofErr w:type="spellStart"/>
      <w:r w:rsidR="00696F19">
        <w:rPr>
          <w:rFonts w:ascii="Calibri" w:hAnsi="Calibri"/>
        </w:rPr>
        <w:t>mitotics</w:t>
      </w:r>
      <w:proofErr w:type="spellEnd"/>
      <w:r w:rsidR="00696F19">
        <w:rPr>
          <w:rFonts w:ascii="Calibri" w:hAnsi="Calibri"/>
        </w:rPr>
        <w:t>-induced apoptosis.</w:t>
      </w:r>
    </w:p>
    <w:p w14:paraId="4705C63E" w14:textId="49B97285" w:rsidR="00690641" w:rsidRDefault="00DE193B" w:rsidP="00690641">
      <w:pP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</w:pPr>
      <w:r w:rsidRPr="00DE193B">
        <w:rPr>
          <w:rFonts w:ascii="Calibri" w:hAnsi="Calibri"/>
          <w:i/>
          <w:color w:val="002060"/>
        </w:rPr>
        <w:t>Protocol Language:</w:t>
      </w:r>
      <w:r>
        <w:rPr>
          <w:rFonts w:ascii="Calibri" w:hAnsi="Calibri"/>
        </w:rPr>
        <w:t xml:space="preserve"> we checked the language and wrote the protocol section </w:t>
      </w:r>
      <w:r w:rsidRPr="00F205A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in imperative tense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.</w:t>
      </w:r>
    </w:p>
    <w:p w14:paraId="6A6B3F1E" w14:textId="1FDDB5EE" w:rsidR="00DE193B" w:rsidRDefault="00DE193B" w:rsidP="00690641">
      <w:pP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 w:rsidRPr="00DE193B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Protocol Detail:</w:t>
      </w:r>
      <w:r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 xml:space="preserve"> </w:t>
      </w: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We added protocol details and split 3.4 to </w:t>
      </w:r>
      <w:r w:rsidR="003740A5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4 sub steps to depict the animal experiments.</w:t>
      </w:r>
    </w:p>
    <w:p w14:paraId="5AC3AD56" w14:textId="745920F2" w:rsidR="003740A5" w:rsidRDefault="003740A5" w:rsidP="00690641">
      <w:pP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 w:rsidRPr="003740A5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Protocol Highlight:</w:t>
      </w:r>
      <w:r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 xml:space="preserve"> </w:t>
      </w:r>
      <w:r w:rsidRPr="003740A5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We</w:t>
      </w: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highlighted about 2 pages of text that should be visualized</w:t>
      </w:r>
      <w:r w:rsidR="00EB6198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in yellow.</w:t>
      </w:r>
    </w:p>
    <w:p w14:paraId="5C0985A6" w14:textId="7BCF4DAB" w:rsidR="00EB6198" w:rsidRDefault="00EB6198" w:rsidP="00690641">
      <w:pP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 w:rsidRPr="00EB6198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Figures:</w:t>
      </w:r>
      <w:r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 xml:space="preserve"> </w:t>
      </w:r>
      <w:r w:rsidRPr="00EB6198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Figures</w:t>
      </w: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have been renewed as following:</w:t>
      </w:r>
    </w:p>
    <w:p w14:paraId="00F25F61" w14:textId="0E36A33A" w:rsidR="00630CA8" w:rsidRDefault="00630CA8" w:rsidP="00690641">
      <w:pP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Figure 2</w:t>
      </w:r>
    </w:p>
    <w:p w14:paraId="6D41BE83" w14:textId="004BEF14" w:rsidR="00630CA8" w:rsidRDefault="00907C52" w:rsidP="00630CA8">
      <w:pPr>
        <w:jc w:val="center"/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bookmarkStart w:id="0" w:name="_GoBack"/>
      <w:bookmarkEnd w:id="0"/>
      <w:r w:rsidRPr="00907C52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drawing>
          <wp:inline distT="0" distB="0" distL="0" distR="0" wp14:anchorId="05AE0DFF" wp14:editId="345ACA51">
            <wp:extent cx="2193744" cy="1676206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5806" cy="16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FAB4" w14:textId="0072BA57" w:rsidR="00630CA8" w:rsidRDefault="00190AD6" w:rsidP="00190AD6">
      <w:pPr>
        <w:jc w:val="left"/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Figure 3</w:t>
      </w:r>
    </w:p>
    <w:p w14:paraId="7CE88CE9" w14:textId="1FF86C6D" w:rsidR="00190AD6" w:rsidRDefault="009428C9" w:rsidP="007444F4">
      <w:pPr>
        <w:jc w:val="center"/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 w:rsidRPr="009428C9">
        <w:rPr>
          <w:rFonts w:ascii="Helvetica" w:eastAsia="Times New Roman" w:hAnsi="Helvetica" w:cs="Times New Roman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18645543" wp14:editId="4654309E">
            <wp:extent cx="2484392" cy="2369173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2061" cy="24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DB06" w14:textId="205E3CA2" w:rsidR="00EB6198" w:rsidRDefault="009428C9" w:rsidP="00690641">
      <w:pP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These data have not been </w:t>
      </w:r>
      <w:r w:rsidR="000764D6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published</w:t>
      </w: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.</w:t>
      </w:r>
    </w:p>
    <w:p w14:paraId="5AE39DD1" w14:textId="6BEF1CB1" w:rsidR="00EB6198" w:rsidRPr="00EB6198" w:rsidRDefault="00AB6601" w:rsidP="00690641">
      <w:pPr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</w:pPr>
      <w:r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 xml:space="preserve">Commercial Language: </w:t>
      </w:r>
      <w:r w:rsidR="004B7347" w:rsidRPr="00F205A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All commercial products </w:t>
      </w:r>
      <w:r w:rsidR="001D090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have been</w:t>
      </w:r>
      <w:r w:rsidR="004B7347" w:rsidRPr="00F205A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sufficiently referenced in the table of materials</w:t>
      </w:r>
      <w:r w:rsidR="004B7347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. We replaced the </w:t>
      </w:r>
      <w:r w:rsidR="004B7347" w:rsidRPr="00F205A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commercial sounding language</w:t>
      </w:r>
      <w:r w:rsidR="004B7347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with generic names.</w:t>
      </w:r>
    </w:p>
    <w:p w14:paraId="021DBBC7" w14:textId="77777777" w:rsidR="00DE193B" w:rsidRPr="005E3F6B" w:rsidRDefault="00DE193B" w:rsidP="00690641">
      <w:pPr>
        <w:rPr>
          <w:rFonts w:ascii="Calibri" w:hAnsi="Calibri"/>
        </w:rPr>
      </w:pPr>
    </w:p>
    <w:p w14:paraId="79A144FA" w14:textId="38F075BB" w:rsidR="00F36D57" w:rsidRPr="00F36D57" w:rsidRDefault="00E7308D" w:rsidP="00CB108E">
      <w:p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 xml:space="preserve"> </w:t>
      </w:r>
    </w:p>
    <w:p w14:paraId="2F962F64" w14:textId="77777777" w:rsidR="00060EF0" w:rsidRPr="00AF1916" w:rsidRDefault="00060EF0" w:rsidP="00060EF0">
      <w:pPr>
        <w:spacing w:line="360" w:lineRule="auto"/>
        <w:rPr>
          <w:rFonts w:cs="Times New Roman"/>
          <w:b/>
          <w:u w:val="single"/>
        </w:rPr>
      </w:pPr>
      <w:bookmarkStart w:id="1" w:name="OLE_LINK58"/>
      <w:r w:rsidRPr="00AF1916">
        <w:rPr>
          <w:rFonts w:cs="Times New Roman"/>
          <w:b/>
          <w:u w:val="single"/>
        </w:rPr>
        <w:t>Responses to Reviewer #1:</w:t>
      </w:r>
    </w:p>
    <w:bookmarkEnd w:id="1"/>
    <w:p w14:paraId="206D3FCB" w14:textId="77777777" w:rsidR="00060EF0" w:rsidRPr="009F5611" w:rsidRDefault="00060EF0" w:rsidP="00060EF0">
      <w:pPr>
        <w:widowControl/>
        <w:jc w:val="left"/>
        <w:rPr>
          <w:rFonts w:ascii="Helvetica" w:eastAsia="Times New Roman" w:hAnsi="Helvetica" w:cs="Times New Roman"/>
          <w:color w:val="002060"/>
          <w:kern w:val="0"/>
          <w:sz w:val="21"/>
          <w:szCs w:val="21"/>
        </w:rPr>
      </w:pPr>
      <w:r w:rsidRPr="00060EF0">
        <w:rPr>
          <w:rFonts w:ascii="Helvetica" w:eastAsia="Times New Roman" w:hAnsi="Helvetica" w:cs="Times New Roman"/>
          <w:b/>
          <w:bCs/>
          <w:color w:val="000000"/>
          <w:kern w:val="0"/>
          <w:sz w:val="21"/>
          <w:szCs w:val="21"/>
        </w:rPr>
        <w:t>Reviewer #1:</w:t>
      </w:r>
      <w:r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br/>
      </w:r>
      <w:r w:rsidRPr="009F5611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Minor Concerns: Although this looks like a promising study, the authors have just briefly provided their results and they have mostly regarded their figures. I would recommend them to emphasize their important results in the text, besides figures and tables. They should compare the efficacy of their method with a conventional one.</w:t>
      </w:r>
    </w:p>
    <w:p w14:paraId="1A350BBE" w14:textId="77777777" w:rsidR="00060EF0" w:rsidRDefault="00060EF0" w:rsidP="00060EF0">
      <w:pPr>
        <w:widowControl/>
        <w:jc w:val="left"/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</w:pPr>
    </w:p>
    <w:p w14:paraId="5A01248E" w14:textId="6304B560" w:rsidR="00A16351" w:rsidRDefault="009F5611" w:rsidP="00060EF0">
      <w:pPr>
        <w:widowControl/>
        <w:jc w:val="left"/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</w:pP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Thank</w:t>
      </w:r>
      <w:r w:rsidR="00E84B20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s</w:t>
      </w:r>
      <w:r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for the constructive suggestions, we elaborate </w:t>
      </w:r>
      <w:r w:rsidR="0016366C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the data in Results section.</w:t>
      </w:r>
      <w:r w:rsidR="00A16351" w:rsidRPr="00CE4D83">
        <w:rPr>
          <w:rFonts w:ascii="Helvetica" w:eastAsia="Times New Roman" w:hAnsi="Helvetica" w:cs="Times New Roman"/>
          <w:color w:val="FF0000"/>
          <w:kern w:val="0"/>
          <w:sz w:val="21"/>
          <w:szCs w:val="21"/>
        </w:rPr>
        <w:t xml:space="preserve"> </w:t>
      </w:r>
      <w:r w:rsidR="008151C0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As </w:t>
      </w:r>
      <w:r w:rsidR="0065275F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Figure 1</w:t>
      </w:r>
      <w:r w:rsidR="00012A9D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</w:t>
      </w:r>
      <w:r w:rsidR="0065275F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shows</w:t>
      </w:r>
      <w:r w:rsidR="00012A9D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, </w:t>
      </w:r>
      <w:r w:rsidR="005C088D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different </w:t>
      </w:r>
      <w:proofErr w:type="gramStart"/>
      <w:r w:rsidR="005C088D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clones</w:t>
      </w:r>
      <w:proofErr w:type="gramEnd"/>
      <w:r w:rsidR="005C088D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express variant levels of DR3 after infection, </w:t>
      </w:r>
      <w:r w:rsidR="003F2630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picking </w:t>
      </w:r>
      <w:r w:rsidR="00012A9D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single clones </w:t>
      </w:r>
      <w:r w:rsidR="003F2630">
        <w:rPr>
          <w:rFonts w:ascii="Helvetica" w:eastAsia="Times New Roman" w:hAnsi="Helvetica" w:cs="Times New Roman" w:hint="eastAsia"/>
          <w:color w:val="000000" w:themeColor="text1"/>
          <w:kern w:val="0"/>
          <w:sz w:val="21"/>
          <w:szCs w:val="21"/>
        </w:rPr>
        <w:t>ensure</w:t>
      </w:r>
      <w:r w:rsidR="003F2630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gene stability and homogeneity. In addition, pool of the cells probably could not reflect gene function significantly</w:t>
      </w:r>
      <w:r w:rsidR="00F56029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. </w:t>
      </w:r>
      <w:r w:rsidR="007160BB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By comparison</w:t>
      </w:r>
      <w:r w:rsidR="002D51DA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 xml:space="preserve"> with a conventional approach, such as limited dilution</w:t>
      </w:r>
      <w:r w:rsidR="00F56029">
        <w:rPr>
          <w:rFonts w:ascii="Helvetica" w:eastAsia="Times New Roman" w:hAnsi="Helvetica" w:cs="Times New Roman"/>
          <w:color w:val="000000" w:themeColor="text1"/>
          <w:kern w:val="0"/>
          <w:sz w:val="21"/>
          <w:szCs w:val="21"/>
        </w:rPr>
        <w:t>, this approach is simple and efficient.</w:t>
      </w:r>
    </w:p>
    <w:p w14:paraId="40CFE6BD" w14:textId="77777777" w:rsidR="007160BB" w:rsidRPr="00CE4D83" w:rsidRDefault="007160BB" w:rsidP="00060EF0">
      <w:pPr>
        <w:widowControl/>
        <w:jc w:val="left"/>
        <w:rPr>
          <w:rFonts w:ascii="Helvetica" w:eastAsia="Times New Roman" w:hAnsi="Helvetica" w:cs="Times New Roman"/>
          <w:color w:val="FF0000"/>
          <w:kern w:val="0"/>
          <w:sz w:val="21"/>
          <w:szCs w:val="21"/>
        </w:rPr>
      </w:pPr>
    </w:p>
    <w:p w14:paraId="03201B06" w14:textId="420A7A08" w:rsidR="00060EF0" w:rsidRPr="00AF1916" w:rsidRDefault="00060EF0" w:rsidP="00060EF0">
      <w:pPr>
        <w:spacing w:line="360" w:lineRule="auto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Responses to Reviewer #2</w:t>
      </w:r>
      <w:r w:rsidRPr="00AF1916">
        <w:rPr>
          <w:rFonts w:cs="Times New Roman"/>
          <w:b/>
          <w:u w:val="single"/>
        </w:rPr>
        <w:t>:</w:t>
      </w:r>
    </w:p>
    <w:p w14:paraId="5C09E842" w14:textId="77777777" w:rsidR="00060EF0" w:rsidRDefault="00060EF0" w:rsidP="00060EF0">
      <w:pPr>
        <w:widowControl/>
        <w:jc w:val="left"/>
        <w:rPr>
          <w:rFonts w:ascii="Helvetica" w:eastAsia="Times New Roman" w:hAnsi="Helvetica" w:cs="Times New Roman"/>
          <w:b/>
          <w:bCs/>
          <w:color w:val="000000"/>
          <w:kern w:val="0"/>
          <w:sz w:val="21"/>
          <w:szCs w:val="21"/>
        </w:rPr>
      </w:pPr>
    </w:p>
    <w:p w14:paraId="47ACD827" w14:textId="77777777" w:rsidR="00802B96" w:rsidRDefault="00060EF0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  <w:r w:rsidRPr="00060EF0">
        <w:rPr>
          <w:rFonts w:ascii="Helvetica" w:eastAsia="Times New Roman" w:hAnsi="Helvetica" w:cs="Times New Roman"/>
          <w:b/>
          <w:bCs/>
          <w:color w:val="000000"/>
          <w:kern w:val="0"/>
          <w:sz w:val="21"/>
          <w:szCs w:val="21"/>
        </w:rPr>
        <w:t>Reviewer #2:</w:t>
      </w:r>
      <w:r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br/>
      </w:r>
      <w:r w:rsidRPr="00E84B20">
        <w:rPr>
          <w:rFonts w:ascii="Helvetica" w:eastAsia="Times New Roman" w:hAnsi="Helvetica" w:cs="Times New Roman"/>
          <w:color w:val="002060"/>
          <w:kern w:val="0"/>
          <w:sz w:val="21"/>
          <w:szCs w:val="21"/>
        </w:rPr>
        <w:t>Manuscript Summary:</w:t>
      </w:r>
      <w:r w:rsidRPr="00E84B20">
        <w:rPr>
          <w:rFonts w:ascii="Helvetica" w:eastAsia="Times New Roman" w:hAnsi="Helvetica" w:cs="Times New Roman"/>
          <w:color w:val="002060"/>
          <w:kern w:val="0"/>
          <w:sz w:val="21"/>
          <w:szCs w:val="21"/>
        </w:rPr>
        <w:br/>
      </w:r>
      <w:r w:rsidRPr="00E84B20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The manuscript described a procedure on how to establish a stable cell line with DR3 overexpression. This cell line can then be used as a cell line model to study anti-mitotic drugs. Overall, the experimental procedures were clearly written and the reagents were also listed.</w:t>
      </w:r>
    </w:p>
    <w:p w14:paraId="43122DA5" w14:textId="77777777" w:rsidR="00802B96" w:rsidRDefault="00802B96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</w:p>
    <w:p w14:paraId="26F86111" w14:textId="1FF1EF98" w:rsidR="00060EF0" w:rsidRDefault="00802B96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  <w:r w:rsidRPr="00802B9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We are thankful for the comments from 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the reviewer</w:t>
      </w:r>
      <w:r w:rsidRPr="00802B9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.</w:t>
      </w:r>
      <w:r w:rsidR="00060EF0"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br/>
      </w:r>
      <w:r w:rsidR="00060EF0" w:rsidRPr="00060EF0"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  <w:br/>
      </w:r>
      <w:r w:rsidR="00060EF0" w:rsidRPr="00E84B20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Major Concerns:</w:t>
      </w:r>
      <w:r w:rsidR="00060EF0" w:rsidRPr="00E84B20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br/>
        <w:t>1) In the introduction, more references are required to better justify the importance of establishing DR3 overexpressed cell line.</w:t>
      </w:r>
    </w:p>
    <w:p w14:paraId="0BECD5DC" w14:textId="77777777" w:rsidR="00060EF0" w:rsidRDefault="00060EF0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</w:p>
    <w:p w14:paraId="1F0029F5" w14:textId="06E4AF68" w:rsidR="000A61FB" w:rsidRDefault="00E87A36" w:rsidP="00060EF0">
      <w:pPr>
        <w:widowControl/>
        <w:jc w:val="left"/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</w:pPr>
      <w:r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DR3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is a totally </w:t>
      </w:r>
      <w:r w:rsidR="00E518BD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novel </w:t>
      </w:r>
      <w:r w:rsidR="001B5632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molecule that </w:t>
      </w:r>
      <w:r w:rsidR="00B7014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discovered </w:t>
      </w:r>
      <w:r w:rsidR="00950883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to be </w:t>
      </w:r>
      <w:r w:rsidR="004756D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involved in </w:t>
      </w:r>
      <w:r w:rsidR="00E11652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anti-mitotic drugs induced apoptosis.</w:t>
      </w:r>
      <w:r w:rsidR="00950883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</w:t>
      </w:r>
      <w:r w:rsidR="00B7014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Gain-of function </w:t>
      </w:r>
      <w:r w:rsidR="0073443F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is </w:t>
      </w:r>
      <w:r w:rsidR="00B7014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classical and direct way to study gene function. Therefore, </w:t>
      </w:r>
      <w:r w:rsidR="00E11652"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overexpress</w:t>
      </w:r>
      <w:r w:rsidR="00B7014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ion</w:t>
      </w:r>
      <w:r w:rsidR="00E11652"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cell line</w:t>
      </w:r>
      <w:r w:rsidR="00E11652" w:rsidRPr="00E87A3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</w:t>
      </w:r>
      <w:r w:rsidR="00E11652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is the </w:t>
      </w:r>
      <w:r w:rsidR="000A61F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essential model to identify the</w:t>
      </w:r>
      <w:r w:rsidR="0073443F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molecular</w:t>
      </w:r>
      <w:r w:rsidR="000A61F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mechanism</w:t>
      </w:r>
      <w:r w:rsidR="00B7014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s</w:t>
      </w:r>
      <w:r w:rsidR="000A61F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of </w:t>
      </w:r>
      <w:r w:rsidR="000A61FB"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DR3</w:t>
      </w:r>
      <w:r w:rsidR="000A61F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</w:t>
      </w:r>
      <w:r w:rsidR="00B7014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mediated</w:t>
      </w:r>
      <w:r w:rsidR="000A61F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apoptosis</w:t>
      </w:r>
      <w:r w:rsidR="0073443F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after </w:t>
      </w:r>
      <w:r w:rsidR="002D51DA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treatment with </w:t>
      </w:r>
      <w:r w:rsidR="0073443F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anti-mitotic </w:t>
      </w:r>
      <w:r w:rsidR="00E5598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agents</w:t>
      </w:r>
      <w:r w:rsidR="000A61F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. </w:t>
      </w:r>
      <w:r w:rsidR="00802B96" w:rsidRPr="00E87A3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As </w:t>
      </w:r>
      <w:r w:rsidRPr="00E87A3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requested, we added references </w:t>
      </w:r>
      <w:r w:rsid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(</w:t>
      </w:r>
      <w:r w:rsidR="00A7111C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Reference </w:t>
      </w:r>
      <w:r w:rsidR="00C40CF5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10</w:t>
      </w:r>
      <w:r w:rsidR="00A7111C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-13</w:t>
      </w:r>
      <w:r w:rsid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) </w:t>
      </w:r>
      <w:r w:rsidRPr="00E87A3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to </w:t>
      </w:r>
      <w:r w:rsidR="0073443F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justify</w:t>
      </w:r>
      <w:r w:rsidRPr="00E87A3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the importance of </w:t>
      </w:r>
      <w:r w:rsidRPr="00060EF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establishing DR3 overexpressed cell line</w:t>
      </w:r>
      <w:r w:rsidRPr="00E87A36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.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</w:t>
      </w:r>
    </w:p>
    <w:p w14:paraId="17D50AC1" w14:textId="64566223" w:rsidR="00060EF0" w:rsidRDefault="00060EF0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  <w:r w:rsidRPr="00060EF0"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  <w:br/>
      </w:r>
      <w:r w:rsidRPr="00E84B20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2) Step 2.3, line 132, usually the semi dry transfer wouldn't need hours for a complete transfer. The authors claimed the transfer was performed at 400 mA for 2 hrs. The authors should double check the experimental condition to ensure the accuracy.</w:t>
      </w:r>
    </w:p>
    <w:p w14:paraId="1A4F7D5E" w14:textId="77777777" w:rsidR="00060EF0" w:rsidRDefault="00060EF0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</w:p>
    <w:p w14:paraId="4FBE919D" w14:textId="519DAF60" w:rsidR="00060EF0" w:rsidRPr="00060EF0" w:rsidRDefault="003C3EEB" w:rsidP="00060EF0">
      <w:pPr>
        <w:widowControl/>
        <w:jc w:val="left"/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</w:pPr>
      <w:r w:rsidRPr="003C3EEB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Step 2.3</w:t>
      </w:r>
      <w:r w:rsid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, </w:t>
      </w:r>
      <w:r w:rsid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To ensure sufficient transfer of protein of various sizes, </w:t>
      </w:r>
      <w:r w:rsid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we </w:t>
      </w:r>
      <w:r w:rsid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usually </w:t>
      </w:r>
      <w:r w:rsid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t</w:t>
      </w:r>
      <w:r w:rsidR="00443B04" w:rsidRP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ransfer the protein onto PVDF membrane by </w:t>
      </w:r>
      <w:r w:rsid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Wet</w:t>
      </w:r>
      <w:r w:rsidR="00443B04" w:rsidRP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Transfer at constant current of 400 mA for 2 h.</w:t>
      </w:r>
      <w:r w:rsidR="00443B04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</w:t>
      </w:r>
      <w:r w:rsidR="00060EF0" w:rsidRPr="00060EF0"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  <w:br/>
      </w:r>
      <w:r w:rsidR="00060EF0" w:rsidRPr="00060EF0">
        <w:rPr>
          <w:rFonts w:ascii="Helvetica" w:eastAsia="Times New Roman" w:hAnsi="Helvetica" w:cs="Times New Roman"/>
          <w:i/>
          <w:color w:val="000000"/>
          <w:kern w:val="0"/>
          <w:sz w:val="21"/>
          <w:szCs w:val="21"/>
        </w:rPr>
        <w:br/>
      </w:r>
      <w:r w:rsidR="00060EF0" w:rsidRPr="00950883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lastRenderedPageBreak/>
        <w:t>Minor Concerns:</w:t>
      </w:r>
      <w:r w:rsidR="00060EF0" w:rsidRPr="00950883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br/>
        <w:t>1) In the abstract, line 22, "picked up" should be replaced with "picked".</w:t>
      </w:r>
      <w:r w:rsidR="00060EF0" w:rsidRPr="00950883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br/>
        <w:t>2) In table 1, "</w:t>
      </w:r>
      <w:proofErr w:type="spellStart"/>
      <w:r w:rsidR="00060EF0" w:rsidRPr="00950883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invitrogene</w:t>
      </w:r>
      <w:proofErr w:type="spellEnd"/>
      <w:r w:rsidR="00060EF0" w:rsidRPr="00950883">
        <w:rPr>
          <w:rFonts w:ascii="Helvetica" w:eastAsia="Times New Roman" w:hAnsi="Helvetica" w:cs="Times New Roman"/>
          <w:i/>
          <w:color w:val="002060"/>
          <w:kern w:val="0"/>
          <w:sz w:val="21"/>
          <w:szCs w:val="21"/>
        </w:rPr>
        <w:t>" should be changed to "Invitrogen".</w:t>
      </w:r>
    </w:p>
    <w:p w14:paraId="001025F5" w14:textId="77777777" w:rsidR="00060EF0" w:rsidRDefault="00060EF0" w:rsidP="00060EF0">
      <w:pPr>
        <w:widowControl/>
        <w:jc w:val="left"/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</w:pPr>
    </w:p>
    <w:p w14:paraId="60FFB327" w14:textId="480EC084" w:rsidR="000A61FB" w:rsidRPr="00060EF0" w:rsidRDefault="00EA2A4D" w:rsidP="00060EF0">
      <w:pPr>
        <w:widowControl/>
        <w:jc w:val="left"/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</w:pP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We replaced “picked up” with “pick</w:t>
      </w:r>
      <w:r w:rsidR="005D3D37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ed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” in line 22</w:t>
      </w:r>
      <w:r w:rsid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,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and the </w:t>
      </w:r>
      <w:r w:rsidR="002326A0" w:rsidRP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"</w:t>
      </w:r>
      <w:proofErr w:type="spellStart"/>
      <w:r w:rsidR="002326A0" w:rsidRP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invitrogene</w:t>
      </w:r>
      <w:proofErr w:type="spellEnd"/>
      <w:r w:rsidR="002326A0" w:rsidRP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" </w:t>
      </w:r>
      <w:r w:rsidR="002326A0"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>with "Invitrogen"</w:t>
      </w:r>
      <w:r>
        <w:rPr>
          <w:rFonts w:ascii="Helvetica" w:eastAsia="Times New Roman" w:hAnsi="Helvetica" w:cs="Times New Roman"/>
          <w:color w:val="000000"/>
          <w:kern w:val="0"/>
          <w:sz w:val="21"/>
          <w:szCs w:val="21"/>
        </w:rPr>
        <w:t xml:space="preserve"> in table 1.</w:t>
      </w:r>
    </w:p>
    <w:p w14:paraId="49709DA2" w14:textId="77777777" w:rsidR="000F10B9" w:rsidRDefault="000F10B9" w:rsidP="00CB108E">
      <w:pPr>
        <w:spacing w:line="360" w:lineRule="auto"/>
        <w:rPr>
          <w:rFonts w:cs="Times New Roman"/>
        </w:rPr>
      </w:pPr>
    </w:p>
    <w:p w14:paraId="005C1C22" w14:textId="77777777" w:rsidR="00CB108E" w:rsidRPr="00E12CA7" w:rsidRDefault="00CB108E" w:rsidP="00CB108E">
      <w:pPr>
        <w:spacing w:line="360" w:lineRule="auto"/>
        <w:rPr>
          <w:rFonts w:cs="Times New Roman"/>
        </w:rPr>
      </w:pPr>
    </w:p>
    <w:p w14:paraId="68AFF461" w14:textId="77777777" w:rsidR="001129D1" w:rsidRDefault="001129D1"/>
    <w:sectPr w:rsidR="001129D1" w:rsidSect="00B10C8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D1"/>
    <w:rsid w:val="000020B4"/>
    <w:rsid w:val="00012A9D"/>
    <w:rsid w:val="00016CCA"/>
    <w:rsid w:val="00024F67"/>
    <w:rsid w:val="00031BE6"/>
    <w:rsid w:val="00041EFD"/>
    <w:rsid w:val="00056848"/>
    <w:rsid w:val="00060EF0"/>
    <w:rsid w:val="00061044"/>
    <w:rsid w:val="000623D2"/>
    <w:rsid w:val="00065867"/>
    <w:rsid w:val="000753E0"/>
    <w:rsid w:val="000764D6"/>
    <w:rsid w:val="00077636"/>
    <w:rsid w:val="00084DBA"/>
    <w:rsid w:val="000A61FB"/>
    <w:rsid w:val="000B14A9"/>
    <w:rsid w:val="000B2701"/>
    <w:rsid w:val="000B7789"/>
    <w:rsid w:val="000C285B"/>
    <w:rsid w:val="000E291C"/>
    <w:rsid w:val="000E323D"/>
    <w:rsid w:val="000E6349"/>
    <w:rsid w:val="000F10B9"/>
    <w:rsid w:val="000F2B97"/>
    <w:rsid w:val="000F454E"/>
    <w:rsid w:val="000F594E"/>
    <w:rsid w:val="001003D8"/>
    <w:rsid w:val="00110BAC"/>
    <w:rsid w:val="001129D1"/>
    <w:rsid w:val="00114E69"/>
    <w:rsid w:val="0011749F"/>
    <w:rsid w:val="00123F10"/>
    <w:rsid w:val="00126A6C"/>
    <w:rsid w:val="00141CD7"/>
    <w:rsid w:val="0014759E"/>
    <w:rsid w:val="0014773F"/>
    <w:rsid w:val="001537BE"/>
    <w:rsid w:val="0016366C"/>
    <w:rsid w:val="00165FD0"/>
    <w:rsid w:val="00171E60"/>
    <w:rsid w:val="00172BB7"/>
    <w:rsid w:val="001747D7"/>
    <w:rsid w:val="00180C36"/>
    <w:rsid w:val="00185467"/>
    <w:rsid w:val="00190AD6"/>
    <w:rsid w:val="00192BDB"/>
    <w:rsid w:val="001A671C"/>
    <w:rsid w:val="001B0238"/>
    <w:rsid w:val="001B5632"/>
    <w:rsid w:val="001C1FD2"/>
    <w:rsid w:val="001D090B"/>
    <w:rsid w:val="001E3B5A"/>
    <w:rsid w:val="001E712E"/>
    <w:rsid w:val="001F24E5"/>
    <w:rsid w:val="001F3972"/>
    <w:rsid w:val="00201CD1"/>
    <w:rsid w:val="00204637"/>
    <w:rsid w:val="00217414"/>
    <w:rsid w:val="00217BEC"/>
    <w:rsid w:val="0022264F"/>
    <w:rsid w:val="002258DD"/>
    <w:rsid w:val="00230CDA"/>
    <w:rsid w:val="002326A0"/>
    <w:rsid w:val="00247E01"/>
    <w:rsid w:val="00250FE7"/>
    <w:rsid w:val="00254DF3"/>
    <w:rsid w:val="0026472B"/>
    <w:rsid w:val="00265B56"/>
    <w:rsid w:val="00266318"/>
    <w:rsid w:val="002667CC"/>
    <w:rsid w:val="00270D48"/>
    <w:rsid w:val="002718F1"/>
    <w:rsid w:val="00272CC8"/>
    <w:rsid w:val="00274427"/>
    <w:rsid w:val="00274F80"/>
    <w:rsid w:val="00282603"/>
    <w:rsid w:val="0028296F"/>
    <w:rsid w:val="002848DE"/>
    <w:rsid w:val="00293442"/>
    <w:rsid w:val="002A7418"/>
    <w:rsid w:val="002B05E2"/>
    <w:rsid w:val="002B1A4F"/>
    <w:rsid w:val="002D44DE"/>
    <w:rsid w:val="002D51DA"/>
    <w:rsid w:val="002E4E5B"/>
    <w:rsid w:val="002E72AE"/>
    <w:rsid w:val="002F065B"/>
    <w:rsid w:val="002F3772"/>
    <w:rsid w:val="002F7D13"/>
    <w:rsid w:val="003021DD"/>
    <w:rsid w:val="003031CC"/>
    <w:rsid w:val="003072C5"/>
    <w:rsid w:val="00317041"/>
    <w:rsid w:val="003226CC"/>
    <w:rsid w:val="003362F6"/>
    <w:rsid w:val="0034107F"/>
    <w:rsid w:val="00342428"/>
    <w:rsid w:val="00360FB0"/>
    <w:rsid w:val="003714FF"/>
    <w:rsid w:val="003740A5"/>
    <w:rsid w:val="00381A6C"/>
    <w:rsid w:val="003834AD"/>
    <w:rsid w:val="003852D6"/>
    <w:rsid w:val="0039328E"/>
    <w:rsid w:val="003A4A46"/>
    <w:rsid w:val="003B5C85"/>
    <w:rsid w:val="003C1BE7"/>
    <w:rsid w:val="003C1DF6"/>
    <w:rsid w:val="003C3DDB"/>
    <w:rsid w:val="003C3EEB"/>
    <w:rsid w:val="003E087F"/>
    <w:rsid w:val="003E096A"/>
    <w:rsid w:val="003E3377"/>
    <w:rsid w:val="003F067E"/>
    <w:rsid w:val="003F0CAB"/>
    <w:rsid w:val="003F1AE1"/>
    <w:rsid w:val="003F2630"/>
    <w:rsid w:val="003F7145"/>
    <w:rsid w:val="00400ABE"/>
    <w:rsid w:val="00410561"/>
    <w:rsid w:val="00410C5D"/>
    <w:rsid w:val="00424B26"/>
    <w:rsid w:val="004252CC"/>
    <w:rsid w:val="00427DFC"/>
    <w:rsid w:val="00435923"/>
    <w:rsid w:val="00443B04"/>
    <w:rsid w:val="004466B9"/>
    <w:rsid w:val="00455EFF"/>
    <w:rsid w:val="00463264"/>
    <w:rsid w:val="00465338"/>
    <w:rsid w:val="00474023"/>
    <w:rsid w:val="004756D4"/>
    <w:rsid w:val="004774C6"/>
    <w:rsid w:val="00480486"/>
    <w:rsid w:val="00481B9E"/>
    <w:rsid w:val="004839F4"/>
    <w:rsid w:val="00485AEE"/>
    <w:rsid w:val="004876C7"/>
    <w:rsid w:val="004947F7"/>
    <w:rsid w:val="004A1E37"/>
    <w:rsid w:val="004A4434"/>
    <w:rsid w:val="004A6455"/>
    <w:rsid w:val="004A6710"/>
    <w:rsid w:val="004B2B1D"/>
    <w:rsid w:val="004B62BD"/>
    <w:rsid w:val="004B7347"/>
    <w:rsid w:val="004D38E5"/>
    <w:rsid w:val="004E7EA8"/>
    <w:rsid w:val="004F34B3"/>
    <w:rsid w:val="00511494"/>
    <w:rsid w:val="00513E60"/>
    <w:rsid w:val="0051518F"/>
    <w:rsid w:val="005305FC"/>
    <w:rsid w:val="00530AFC"/>
    <w:rsid w:val="00532086"/>
    <w:rsid w:val="0054198F"/>
    <w:rsid w:val="00557F0E"/>
    <w:rsid w:val="00560428"/>
    <w:rsid w:val="0056441D"/>
    <w:rsid w:val="00575BCE"/>
    <w:rsid w:val="00581FCF"/>
    <w:rsid w:val="0058773E"/>
    <w:rsid w:val="00592304"/>
    <w:rsid w:val="00597CB8"/>
    <w:rsid w:val="005A1AE3"/>
    <w:rsid w:val="005A338F"/>
    <w:rsid w:val="005B0CC9"/>
    <w:rsid w:val="005B12FB"/>
    <w:rsid w:val="005B4EAD"/>
    <w:rsid w:val="005B57A5"/>
    <w:rsid w:val="005C088D"/>
    <w:rsid w:val="005C1CAB"/>
    <w:rsid w:val="005D01E2"/>
    <w:rsid w:val="005D2ACB"/>
    <w:rsid w:val="005D3D37"/>
    <w:rsid w:val="005E0A98"/>
    <w:rsid w:val="005E0F66"/>
    <w:rsid w:val="005E1D3F"/>
    <w:rsid w:val="005E7A9D"/>
    <w:rsid w:val="005F072C"/>
    <w:rsid w:val="005F7213"/>
    <w:rsid w:val="00602886"/>
    <w:rsid w:val="00606351"/>
    <w:rsid w:val="0061104F"/>
    <w:rsid w:val="0061467F"/>
    <w:rsid w:val="00616C42"/>
    <w:rsid w:val="00630CA8"/>
    <w:rsid w:val="00634E2F"/>
    <w:rsid w:val="00636F2A"/>
    <w:rsid w:val="00647179"/>
    <w:rsid w:val="0065275F"/>
    <w:rsid w:val="00663258"/>
    <w:rsid w:val="006829C7"/>
    <w:rsid w:val="00683A30"/>
    <w:rsid w:val="00685B08"/>
    <w:rsid w:val="0068752D"/>
    <w:rsid w:val="00690641"/>
    <w:rsid w:val="006954EB"/>
    <w:rsid w:val="00696F19"/>
    <w:rsid w:val="006A21E3"/>
    <w:rsid w:val="006C1487"/>
    <w:rsid w:val="006C30E0"/>
    <w:rsid w:val="006C4840"/>
    <w:rsid w:val="006D0E75"/>
    <w:rsid w:val="006D2010"/>
    <w:rsid w:val="006D338D"/>
    <w:rsid w:val="006D4A2C"/>
    <w:rsid w:val="006E0B8C"/>
    <w:rsid w:val="006E3771"/>
    <w:rsid w:val="006E4171"/>
    <w:rsid w:val="006E4928"/>
    <w:rsid w:val="007030B7"/>
    <w:rsid w:val="00707293"/>
    <w:rsid w:val="007121DF"/>
    <w:rsid w:val="007160BB"/>
    <w:rsid w:val="007203B1"/>
    <w:rsid w:val="0073443F"/>
    <w:rsid w:val="007402D8"/>
    <w:rsid w:val="007444F4"/>
    <w:rsid w:val="007749D4"/>
    <w:rsid w:val="0077611D"/>
    <w:rsid w:val="00791D27"/>
    <w:rsid w:val="00793FEC"/>
    <w:rsid w:val="00795F29"/>
    <w:rsid w:val="007A3F43"/>
    <w:rsid w:val="007B2BCE"/>
    <w:rsid w:val="007C5E67"/>
    <w:rsid w:val="007C7A7C"/>
    <w:rsid w:val="007D4C04"/>
    <w:rsid w:val="007D60DE"/>
    <w:rsid w:val="007D7C83"/>
    <w:rsid w:val="007E10B9"/>
    <w:rsid w:val="007E1CAD"/>
    <w:rsid w:val="007F071B"/>
    <w:rsid w:val="007F0BFC"/>
    <w:rsid w:val="007F3C3A"/>
    <w:rsid w:val="007F6849"/>
    <w:rsid w:val="007F76B2"/>
    <w:rsid w:val="00800683"/>
    <w:rsid w:val="0080192D"/>
    <w:rsid w:val="008029BD"/>
    <w:rsid w:val="00802B96"/>
    <w:rsid w:val="008151C0"/>
    <w:rsid w:val="00821831"/>
    <w:rsid w:val="008378E3"/>
    <w:rsid w:val="00840612"/>
    <w:rsid w:val="008477EC"/>
    <w:rsid w:val="008526A9"/>
    <w:rsid w:val="00853461"/>
    <w:rsid w:val="00854C59"/>
    <w:rsid w:val="00857144"/>
    <w:rsid w:val="00857D64"/>
    <w:rsid w:val="0086152B"/>
    <w:rsid w:val="008779DF"/>
    <w:rsid w:val="0088247E"/>
    <w:rsid w:val="008B0A99"/>
    <w:rsid w:val="008C0719"/>
    <w:rsid w:val="008D7E1B"/>
    <w:rsid w:val="008E1980"/>
    <w:rsid w:val="008E2DFF"/>
    <w:rsid w:val="008E4D94"/>
    <w:rsid w:val="008E5709"/>
    <w:rsid w:val="008E6354"/>
    <w:rsid w:val="00907C52"/>
    <w:rsid w:val="00907E47"/>
    <w:rsid w:val="00915AF4"/>
    <w:rsid w:val="00917140"/>
    <w:rsid w:val="00925A24"/>
    <w:rsid w:val="0092686B"/>
    <w:rsid w:val="00936CF3"/>
    <w:rsid w:val="009428C9"/>
    <w:rsid w:val="00942F4D"/>
    <w:rsid w:val="00943AB1"/>
    <w:rsid w:val="00950883"/>
    <w:rsid w:val="00972E71"/>
    <w:rsid w:val="00991FC7"/>
    <w:rsid w:val="00997753"/>
    <w:rsid w:val="009A1ABE"/>
    <w:rsid w:val="009B0A60"/>
    <w:rsid w:val="009C04A4"/>
    <w:rsid w:val="009C476A"/>
    <w:rsid w:val="009C6ACF"/>
    <w:rsid w:val="009C7FBE"/>
    <w:rsid w:val="009F1126"/>
    <w:rsid w:val="009F5611"/>
    <w:rsid w:val="009F72C4"/>
    <w:rsid w:val="00A026E9"/>
    <w:rsid w:val="00A02F86"/>
    <w:rsid w:val="00A15B2A"/>
    <w:rsid w:val="00A16351"/>
    <w:rsid w:val="00A519FF"/>
    <w:rsid w:val="00A54732"/>
    <w:rsid w:val="00A6139F"/>
    <w:rsid w:val="00A62039"/>
    <w:rsid w:val="00A707A3"/>
    <w:rsid w:val="00A7111C"/>
    <w:rsid w:val="00A73964"/>
    <w:rsid w:val="00A74808"/>
    <w:rsid w:val="00A76E59"/>
    <w:rsid w:val="00A900AE"/>
    <w:rsid w:val="00A96A46"/>
    <w:rsid w:val="00AA522E"/>
    <w:rsid w:val="00AB1D6C"/>
    <w:rsid w:val="00AB6601"/>
    <w:rsid w:val="00AC2CF9"/>
    <w:rsid w:val="00AC767B"/>
    <w:rsid w:val="00AE1493"/>
    <w:rsid w:val="00B07199"/>
    <w:rsid w:val="00B10C84"/>
    <w:rsid w:val="00B116F7"/>
    <w:rsid w:val="00B15C7A"/>
    <w:rsid w:val="00B3167E"/>
    <w:rsid w:val="00B4050D"/>
    <w:rsid w:val="00B5477F"/>
    <w:rsid w:val="00B573E1"/>
    <w:rsid w:val="00B64D37"/>
    <w:rsid w:val="00B65D22"/>
    <w:rsid w:val="00B7014B"/>
    <w:rsid w:val="00B80B1F"/>
    <w:rsid w:val="00BA07D1"/>
    <w:rsid w:val="00BA1C3A"/>
    <w:rsid w:val="00BC257D"/>
    <w:rsid w:val="00BC28BB"/>
    <w:rsid w:val="00BC59FB"/>
    <w:rsid w:val="00BD6D94"/>
    <w:rsid w:val="00BE4811"/>
    <w:rsid w:val="00BF206E"/>
    <w:rsid w:val="00BF3F2D"/>
    <w:rsid w:val="00C03491"/>
    <w:rsid w:val="00C05717"/>
    <w:rsid w:val="00C13F46"/>
    <w:rsid w:val="00C14AC9"/>
    <w:rsid w:val="00C23A8E"/>
    <w:rsid w:val="00C316CC"/>
    <w:rsid w:val="00C40CF5"/>
    <w:rsid w:val="00C42D25"/>
    <w:rsid w:val="00C51654"/>
    <w:rsid w:val="00C5706E"/>
    <w:rsid w:val="00C66F6E"/>
    <w:rsid w:val="00C73A6D"/>
    <w:rsid w:val="00C81769"/>
    <w:rsid w:val="00C82308"/>
    <w:rsid w:val="00C90D32"/>
    <w:rsid w:val="00C93613"/>
    <w:rsid w:val="00C939F4"/>
    <w:rsid w:val="00CB108E"/>
    <w:rsid w:val="00CB140D"/>
    <w:rsid w:val="00CB38B8"/>
    <w:rsid w:val="00CB3B4F"/>
    <w:rsid w:val="00CB3E90"/>
    <w:rsid w:val="00CB7911"/>
    <w:rsid w:val="00CD6C47"/>
    <w:rsid w:val="00CE2AB6"/>
    <w:rsid w:val="00CE3D78"/>
    <w:rsid w:val="00CE4D83"/>
    <w:rsid w:val="00CE4EFC"/>
    <w:rsid w:val="00CF3727"/>
    <w:rsid w:val="00D02106"/>
    <w:rsid w:val="00D0398B"/>
    <w:rsid w:val="00D041C2"/>
    <w:rsid w:val="00D0550C"/>
    <w:rsid w:val="00D138A9"/>
    <w:rsid w:val="00D16E0A"/>
    <w:rsid w:val="00D2417B"/>
    <w:rsid w:val="00D2700F"/>
    <w:rsid w:val="00D31F44"/>
    <w:rsid w:val="00D34524"/>
    <w:rsid w:val="00D37B7F"/>
    <w:rsid w:val="00D543A7"/>
    <w:rsid w:val="00D54AB3"/>
    <w:rsid w:val="00D62949"/>
    <w:rsid w:val="00D64321"/>
    <w:rsid w:val="00D725D6"/>
    <w:rsid w:val="00D8091C"/>
    <w:rsid w:val="00D83E8E"/>
    <w:rsid w:val="00D959D6"/>
    <w:rsid w:val="00D95A8E"/>
    <w:rsid w:val="00DA010D"/>
    <w:rsid w:val="00DA32E4"/>
    <w:rsid w:val="00DA429A"/>
    <w:rsid w:val="00DA5920"/>
    <w:rsid w:val="00DA6E87"/>
    <w:rsid w:val="00DB55C3"/>
    <w:rsid w:val="00DB648A"/>
    <w:rsid w:val="00DD1F1B"/>
    <w:rsid w:val="00DD423C"/>
    <w:rsid w:val="00DD67E4"/>
    <w:rsid w:val="00DE193B"/>
    <w:rsid w:val="00DE70EC"/>
    <w:rsid w:val="00E04708"/>
    <w:rsid w:val="00E05062"/>
    <w:rsid w:val="00E11652"/>
    <w:rsid w:val="00E17ABB"/>
    <w:rsid w:val="00E209F0"/>
    <w:rsid w:val="00E21973"/>
    <w:rsid w:val="00E304D3"/>
    <w:rsid w:val="00E30F22"/>
    <w:rsid w:val="00E33D9D"/>
    <w:rsid w:val="00E3678D"/>
    <w:rsid w:val="00E376B0"/>
    <w:rsid w:val="00E518BD"/>
    <w:rsid w:val="00E55984"/>
    <w:rsid w:val="00E55F27"/>
    <w:rsid w:val="00E66C21"/>
    <w:rsid w:val="00E7076F"/>
    <w:rsid w:val="00E7308D"/>
    <w:rsid w:val="00E74B68"/>
    <w:rsid w:val="00E820F7"/>
    <w:rsid w:val="00E84B20"/>
    <w:rsid w:val="00E87A36"/>
    <w:rsid w:val="00E938D2"/>
    <w:rsid w:val="00E97AFB"/>
    <w:rsid w:val="00EA228E"/>
    <w:rsid w:val="00EA2A4D"/>
    <w:rsid w:val="00EA66F4"/>
    <w:rsid w:val="00EB6198"/>
    <w:rsid w:val="00EC0258"/>
    <w:rsid w:val="00EE13D0"/>
    <w:rsid w:val="00EE4996"/>
    <w:rsid w:val="00EF7B85"/>
    <w:rsid w:val="00F03BD3"/>
    <w:rsid w:val="00F042F4"/>
    <w:rsid w:val="00F24EC6"/>
    <w:rsid w:val="00F36D57"/>
    <w:rsid w:val="00F4139C"/>
    <w:rsid w:val="00F43D75"/>
    <w:rsid w:val="00F53375"/>
    <w:rsid w:val="00F56029"/>
    <w:rsid w:val="00F57D9F"/>
    <w:rsid w:val="00F63836"/>
    <w:rsid w:val="00F6701D"/>
    <w:rsid w:val="00F70565"/>
    <w:rsid w:val="00F73811"/>
    <w:rsid w:val="00F7623E"/>
    <w:rsid w:val="00F76546"/>
    <w:rsid w:val="00F820D3"/>
    <w:rsid w:val="00F8254E"/>
    <w:rsid w:val="00F91460"/>
    <w:rsid w:val="00F935A8"/>
    <w:rsid w:val="00FA327F"/>
    <w:rsid w:val="00FA7DC3"/>
    <w:rsid w:val="00FC1F88"/>
    <w:rsid w:val="00FD4B0F"/>
    <w:rsid w:val="00FD679A"/>
    <w:rsid w:val="00FD7DC5"/>
    <w:rsid w:val="00FE2C38"/>
    <w:rsid w:val="00FE321E"/>
    <w:rsid w:val="00FE3317"/>
    <w:rsid w:val="00FE459B"/>
    <w:rsid w:val="00FE4DD3"/>
    <w:rsid w:val="00FF58AD"/>
    <w:rsid w:val="00FF5BD2"/>
    <w:rsid w:val="00FF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4DA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DA"/>
    <w:rPr>
      <w:rFonts w:cs="Times New Roman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D51DA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983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669</Words>
  <Characters>3814</Characters>
  <Application>Microsoft Macintosh Word</Application>
  <DocSecurity>0</DocSecurity>
  <Lines>31</Lines>
  <Paragraphs>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8</cp:revision>
  <dcterms:created xsi:type="dcterms:W3CDTF">2018-08-14T01:58:00Z</dcterms:created>
  <dcterms:modified xsi:type="dcterms:W3CDTF">2018-08-14T08:37:00Z</dcterms:modified>
</cp:coreProperties>
</file>