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63548" w14:textId="77777777" w:rsidR="006305D7" w:rsidRPr="00DC459C" w:rsidRDefault="006305D7" w:rsidP="00DC459C">
      <w:pPr>
        <w:pStyle w:val="NormalWeb"/>
        <w:widowControl/>
        <w:spacing w:before="0" w:beforeAutospacing="0" w:after="0" w:afterAutospacing="0"/>
        <w:rPr>
          <w:color w:val="auto"/>
        </w:rPr>
      </w:pPr>
      <w:r w:rsidRPr="00DC459C">
        <w:rPr>
          <w:b/>
          <w:bCs/>
          <w:color w:val="auto"/>
        </w:rPr>
        <w:t>TITLE:</w:t>
      </w:r>
      <w:r w:rsidRPr="00DC459C">
        <w:rPr>
          <w:color w:val="auto"/>
        </w:rPr>
        <w:t xml:space="preserve"> </w:t>
      </w:r>
    </w:p>
    <w:p w14:paraId="1586F688" w14:textId="77777777" w:rsidR="007A4DD6" w:rsidRPr="00DC459C" w:rsidRDefault="00AC53E3" w:rsidP="00DC459C">
      <w:pPr>
        <w:widowControl/>
        <w:rPr>
          <w:color w:val="auto"/>
        </w:rPr>
      </w:pPr>
      <w:r w:rsidRPr="00DC459C">
        <w:rPr>
          <w:color w:val="auto"/>
        </w:rPr>
        <w:t>S</w:t>
      </w:r>
      <w:r w:rsidR="00B96441" w:rsidRPr="00DC459C">
        <w:rPr>
          <w:color w:val="auto"/>
        </w:rPr>
        <w:t>eparati</w:t>
      </w:r>
      <w:r w:rsidR="00AB08AC" w:rsidRPr="00DC459C">
        <w:rPr>
          <w:color w:val="auto"/>
        </w:rPr>
        <w:t xml:space="preserve">ng </w:t>
      </w:r>
      <w:r w:rsidR="00890DFC" w:rsidRPr="00DC459C">
        <w:rPr>
          <w:color w:val="auto"/>
        </w:rPr>
        <w:t>B</w:t>
      </w:r>
      <w:r w:rsidR="00AB08AC" w:rsidRPr="00DC459C">
        <w:rPr>
          <w:color w:val="auto"/>
        </w:rPr>
        <w:t xml:space="preserve">acteria by </w:t>
      </w:r>
      <w:r w:rsidR="00890DFC" w:rsidRPr="00DC459C">
        <w:rPr>
          <w:color w:val="auto"/>
        </w:rPr>
        <w:t>C</w:t>
      </w:r>
      <w:r w:rsidR="00AB08AC" w:rsidRPr="00DC459C">
        <w:rPr>
          <w:color w:val="auto"/>
        </w:rPr>
        <w:t xml:space="preserve">apsule </w:t>
      </w:r>
      <w:r w:rsidR="00890DFC" w:rsidRPr="00DC459C">
        <w:rPr>
          <w:color w:val="auto"/>
        </w:rPr>
        <w:t>A</w:t>
      </w:r>
      <w:r w:rsidR="00AB08AC" w:rsidRPr="00DC459C">
        <w:rPr>
          <w:color w:val="auto"/>
        </w:rPr>
        <w:t xml:space="preserve">mount </w:t>
      </w:r>
      <w:r w:rsidR="00890DFC" w:rsidRPr="00DC459C">
        <w:rPr>
          <w:color w:val="auto"/>
        </w:rPr>
        <w:t>U</w:t>
      </w:r>
      <w:r w:rsidR="00AB08AC" w:rsidRPr="00DC459C">
        <w:rPr>
          <w:color w:val="auto"/>
        </w:rPr>
        <w:t xml:space="preserve">sing </w:t>
      </w:r>
      <w:r w:rsidR="00B96441" w:rsidRPr="00DC459C">
        <w:rPr>
          <w:color w:val="auto"/>
        </w:rPr>
        <w:t xml:space="preserve">a </w:t>
      </w:r>
      <w:r w:rsidR="00890DFC" w:rsidRPr="00DC459C">
        <w:rPr>
          <w:color w:val="auto"/>
        </w:rPr>
        <w:t>D</w:t>
      </w:r>
      <w:r w:rsidRPr="00DC459C">
        <w:rPr>
          <w:color w:val="auto"/>
        </w:rPr>
        <w:t xml:space="preserve">iscontinuous </w:t>
      </w:r>
      <w:r w:rsidR="00890DFC" w:rsidRPr="00DC459C">
        <w:rPr>
          <w:color w:val="auto"/>
        </w:rPr>
        <w:t>D</w:t>
      </w:r>
      <w:r w:rsidR="00F54F9D" w:rsidRPr="00DC459C">
        <w:rPr>
          <w:color w:val="auto"/>
        </w:rPr>
        <w:t>ensity</w:t>
      </w:r>
      <w:r w:rsidRPr="00DC459C">
        <w:rPr>
          <w:color w:val="auto"/>
        </w:rPr>
        <w:t xml:space="preserve"> </w:t>
      </w:r>
      <w:r w:rsidR="00890DFC" w:rsidRPr="00DC459C">
        <w:rPr>
          <w:color w:val="auto"/>
        </w:rPr>
        <w:t>G</w:t>
      </w:r>
      <w:r w:rsidRPr="00DC459C">
        <w:rPr>
          <w:color w:val="auto"/>
        </w:rPr>
        <w:t>radient</w:t>
      </w:r>
      <w:r w:rsidR="00F21D04" w:rsidRPr="00DC459C">
        <w:rPr>
          <w:color w:val="auto"/>
        </w:rPr>
        <w:t xml:space="preserve"> </w:t>
      </w:r>
    </w:p>
    <w:p w14:paraId="75AC7E0B" w14:textId="77777777" w:rsidR="007A4DD6" w:rsidRPr="00DC459C" w:rsidRDefault="007A4DD6" w:rsidP="00DC459C">
      <w:pPr>
        <w:widowControl/>
        <w:rPr>
          <w:b/>
          <w:bCs/>
          <w:color w:val="auto"/>
        </w:rPr>
      </w:pPr>
    </w:p>
    <w:p w14:paraId="756C6680" w14:textId="5A292310" w:rsidR="006305D7" w:rsidRPr="00DC459C" w:rsidRDefault="006305D7" w:rsidP="00DC459C">
      <w:pPr>
        <w:widowControl/>
        <w:rPr>
          <w:color w:val="auto"/>
        </w:rPr>
      </w:pPr>
      <w:r w:rsidRPr="00DC459C">
        <w:rPr>
          <w:b/>
          <w:bCs/>
          <w:color w:val="auto"/>
        </w:rPr>
        <w:t>AUTHORS</w:t>
      </w:r>
      <w:r w:rsidR="000B662E" w:rsidRPr="00DC459C">
        <w:rPr>
          <w:b/>
          <w:bCs/>
          <w:color w:val="auto"/>
        </w:rPr>
        <w:t xml:space="preserve"> </w:t>
      </w:r>
      <w:r w:rsidR="00251DBB" w:rsidRPr="00DC459C">
        <w:rPr>
          <w:b/>
          <w:bCs/>
          <w:color w:val="auto"/>
        </w:rPr>
        <w:t>AND</w:t>
      </w:r>
      <w:r w:rsidR="000B662E" w:rsidRPr="00DC459C">
        <w:rPr>
          <w:b/>
          <w:bCs/>
          <w:color w:val="auto"/>
        </w:rPr>
        <w:t xml:space="preserve"> AFFILIATIONS</w:t>
      </w:r>
      <w:r w:rsidRPr="00DC459C">
        <w:rPr>
          <w:b/>
          <w:bCs/>
          <w:color w:val="auto"/>
        </w:rPr>
        <w:t xml:space="preserve">: </w:t>
      </w:r>
    </w:p>
    <w:p w14:paraId="5AA53C1A" w14:textId="77777777" w:rsidR="007A4DD6" w:rsidRPr="00DC459C" w:rsidRDefault="00090FD5" w:rsidP="00DC459C">
      <w:pPr>
        <w:widowControl/>
        <w:rPr>
          <w:color w:val="auto"/>
          <w:vertAlign w:val="superscript"/>
        </w:rPr>
      </w:pPr>
      <w:r w:rsidRPr="00DC459C">
        <w:rPr>
          <w:color w:val="auto"/>
        </w:rPr>
        <w:t>Theresa Feltwell</w:t>
      </w:r>
      <w:r w:rsidR="00AB08AC" w:rsidRPr="00DC459C">
        <w:rPr>
          <w:color w:val="auto"/>
          <w:vertAlign w:val="superscript"/>
        </w:rPr>
        <w:t>1</w:t>
      </w:r>
      <w:r w:rsidRPr="00DC459C">
        <w:rPr>
          <w:color w:val="auto"/>
        </w:rPr>
        <w:t xml:space="preserve">, Matthew </w:t>
      </w:r>
      <w:r w:rsidR="002D36A6" w:rsidRPr="00DC459C">
        <w:rPr>
          <w:color w:val="auto"/>
        </w:rPr>
        <w:t xml:space="preserve">J. </w:t>
      </w:r>
      <w:r w:rsidRPr="00DC459C">
        <w:rPr>
          <w:color w:val="auto"/>
        </w:rPr>
        <w:t>Dorman</w:t>
      </w:r>
      <w:r w:rsidR="00AB08AC" w:rsidRPr="00DC459C">
        <w:rPr>
          <w:color w:val="auto"/>
          <w:vertAlign w:val="superscript"/>
        </w:rPr>
        <w:t>1</w:t>
      </w:r>
      <w:r w:rsidRPr="00DC459C">
        <w:rPr>
          <w:color w:val="auto"/>
        </w:rPr>
        <w:t xml:space="preserve">, </w:t>
      </w:r>
      <w:r w:rsidR="00E61F70" w:rsidRPr="00DC459C">
        <w:rPr>
          <w:color w:val="auto"/>
        </w:rPr>
        <w:t>David A. Goulding</w:t>
      </w:r>
      <w:r w:rsidR="00E61F70" w:rsidRPr="00DC459C">
        <w:rPr>
          <w:color w:val="auto"/>
          <w:vertAlign w:val="superscript"/>
        </w:rPr>
        <w:t>1</w:t>
      </w:r>
      <w:r w:rsidR="00E61F70" w:rsidRPr="00DC459C">
        <w:rPr>
          <w:color w:val="auto"/>
        </w:rPr>
        <w:t xml:space="preserve">, </w:t>
      </w:r>
      <w:r w:rsidRPr="00DC459C">
        <w:rPr>
          <w:color w:val="auto"/>
        </w:rPr>
        <w:t>Julian Parkhill</w:t>
      </w:r>
      <w:r w:rsidR="00AB08AC" w:rsidRPr="00DC459C">
        <w:rPr>
          <w:color w:val="auto"/>
          <w:vertAlign w:val="superscript"/>
        </w:rPr>
        <w:t>1</w:t>
      </w:r>
      <w:r w:rsidRPr="00DC459C">
        <w:rPr>
          <w:color w:val="auto"/>
        </w:rPr>
        <w:t xml:space="preserve">, Francesca </w:t>
      </w:r>
      <w:r w:rsidR="00F03AC0" w:rsidRPr="00DC459C">
        <w:rPr>
          <w:color w:val="auto"/>
        </w:rPr>
        <w:t xml:space="preserve">L. </w:t>
      </w:r>
      <w:r w:rsidRPr="00DC459C">
        <w:rPr>
          <w:color w:val="auto"/>
        </w:rPr>
        <w:t>Short</w:t>
      </w:r>
      <w:r w:rsidR="00AB08AC" w:rsidRPr="00DC459C">
        <w:rPr>
          <w:color w:val="auto"/>
          <w:vertAlign w:val="superscript"/>
        </w:rPr>
        <w:t>1,2</w:t>
      </w:r>
    </w:p>
    <w:p w14:paraId="0FFF982D" w14:textId="77777777" w:rsidR="00AB08AC" w:rsidRPr="00DC459C" w:rsidRDefault="00AB08AC" w:rsidP="00DC459C">
      <w:pPr>
        <w:widowControl/>
        <w:rPr>
          <w:color w:val="auto"/>
          <w:vertAlign w:val="superscript"/>
        </w:rPr>
      </w:pPr>
    </w:p>
    <w:p w14:paraId="5B7DAAF2" w14:textId="69631A59" w:rsidR="0039437F" w:rsidRPr="00DC459C" w:rsidRDefault="00AB08AC" w:rsidP="00DC459C">
      <w:pPr>
        <w:widowControl/>
        <w:rPr>
          <w:color w:val="auto"/>
        </w:rPr>
      </w:pPr>
      <w:r w:rsidRPr="00DC459C">
        <w:rPr>
          <w:color w:val="auto"/>
          <w:vertAlign w:val="superscript"/>
        </w:rPr>
        <w:t>1</w:t>
      </w:r>
      <w:r w:rsidR="0039437F" w:rsidRPr="00DC459C">
        <w:rPr>
          <w:color w:val="auto"/>
        </w:rPr>
        <w:t xml:space="preserve">Wellcome Sanger Institute, </w:t>
      </w:r>
      <w:proofErr w:type="spellStart"/>
      <w:r w:rsidR="008D77BC" w:rsidRPr="00DC459C">
        <w:rPr>
          <w:color w:val="auto"/>
        </w:rPr>
        <w:t>Wellcome</w:t>
      </w:r>
      <w:proofErr w:type="spellEnd"/>
      <w:r w:rsidR="008D77BC" w:rsidRPr="00DC459C">
        <w:rPr>
          <w:color w:val="auto"/>
        </w:rPr>
        <w:t xml:space="preserve"> Genome Campus, </w:t>
      </w:r>
      <w:proofErr w:type="spellStart"/>
      <w:r w:rsidR="0039437F" w:rsidRPr="00DC459C">
        <w:rPr>
          <w:color w:val="auto"/>
        </w:rPr>
        <w:t>Hinxton</w:t>
      </w:r>
      <w:proofErr w:type="spellEnd"/>
      <w:r w:rsidR="0039437F" w:rsidRPr="00DC459C">
        <w:rPr>
          <w:color w:val="auto"/>
        </w:rPr>
        <w:t>, United Kingdom</w:t>
      </w:r>
    </w:p>
    <w:p w14:paraId="7F13F361" w14:textId="35E521C3" w:rsidR="00AB08AC" w:rsidRPr="00DC459C" w:rsidRDefault="00AB08AC" w:rsidP="00DC459C">
      <w:pPr>
        <w:widowControl/>
        <w:rPr>
          <w:color w:val="auto"/>
        </w:rPr>
      </w:pPr>
      <w:r w:rsidRPr="00DC459C">
        <w:rPr>
          <w:color w:val="auto"/>
          <w:vertAlign w:val="superscript"/>
        </w:rPr>
        <w:t>2</w:t>
      </w:r>
      <w:r w:rsidRPr="00DC459C">
        <w:rPr>
          <w:color w:val="auto"/>
        </w:rPr>
        <w:t>Department of Medicine, University of Cambridge, Cambridge, United Kingdom</w:t>
      </w:r>
    </w:p>
    <w:p w14:paraId="3B6CDEE7" w14:textId="77777777" w:rsidR="00AB08AC" w:rsidRPr="00DC459C" w:rsidRDefault="00AB08AC" w:rsidP="00DC459C">
      <w:pPr>
        <w:widowControl/>
        <w:rPr>
          <w:color w:val="auto"/>
        </w:rPr>
      </w:pPr>
    </w:p>
    <w:p w14:paraId="5AB017C3" w14:textId="77777777" w:rsidR="002C43DA" w:rsidRPr="00DC459C" w:rsidRDefault="002C43DA" w:rsidP="00DC459C">
      <w:pPr>
        <w:widowControl/>
        <w:rPr>
          <w:b/>
          <w:color w:val="auto"/>
        </w:rPr>
      </w:pPr>
      <w:r w:rsidRPr="00DC459C">
        <w:rPr>
          <w:b/>
          <w:color w:val="auto"/>
        </w:rPr>
        <w:t>Corresponding Author:</w:t>
      </w:r>
    </w:p>
    <w:p w14:paraId="308C777F" w14:textId="77777777" w:rsidR="002C43DA" w:rsidRPr="00DC459C" w:rsidRDefault="002C43DA" w:rsidP="00DC459C">
      <w:pPr>
        <w:widowControl/>
        <w:rPr>
          <w:color w:val="auto"/>
        </w:rPr>
      </w:pPr>
      <w:r w:rsidRPr="00DC459C">
        <w:rPr>
          <w:color w:val="auto"/>
        </w:rPr>
        <w:t xml:space="preserve">Francesca L. </w:t>
      </w:r>
      <w:r w:rsidR="009D4161" w:rsidRPr="00DC459C">
        <w:rPr>
          <w:color w:val="auto"/>
        </w:rPr>
        <w:t>Short</w:t>
      </w:r>
      <w:r w:rsidR="00890DFC" w:rsidRPr="00DC459C">
        <w:rPr>
          <w:color w:val="auto"/>
        </w:rPr>
        <w:t xml:space="preserve"> </w:t>
      </w:r>
      <w:r w:rsidR="00890DFC" w:rsidRPr="00DC459C">
        <w:rPr>
          <w:color w:val="auto"/>
        </w:rPr>
        <w:tab/>
        <w:t>(fs13@sanger.ac.uk)</w:t>
      </w:r>
    </w:p>
    <w:p w14:paraId="49EA502B" w14:textId="77777777" w:rsidR="002C43DA" w:rsidRPr="00DC459C" w:rsidRDefault="002C43DA" w:rsidP="00DC459C">
      <w:pPr>
        <w:widowControl/>
        <w:rPr>
          <w:color w:val="auto"/>
        </w:rPr>
      </w:pPr>
    </w:p>
    <w:p w14:paraId="3D125A90" w14:textId="1049636E" w:rsidR="002C43DA" w:rsidRPr="00DC459C" w:rsidRDefault="002C43DA" w:rsidP="00DC459C">
      <w:pPr>
        <w:widowControl/>
        <w:rPr>
          <w:b/>
          <w:color w:val="auto"/>
        </w:rPr>
      </w:pPr>
      <w:r w:rsidRPr="00DC459C">
        <w:rPr>
          <w:b/>
          <w:color w:val="auto"/>
        </w:rPr>
        <w:t xml:space="preserve">Email </w:t>
      </w:r>
      <w:r w:rsidR="00223A40" w:rsidRPr="00DC459C">
        <w:rPr>
          <w:b/>
          <w:color w:val="auto"/>
        </w:rPr>
        <w:t>A</w:t>
      </w:r>
      <w:r w:rsidRPr="00DC459C">
        <w:rPr>
          <w:b/>
          <w:color w:val="auto"/>
        </w:rPr>
        <w:t>ddresse</w:t>
      </w:r>
      <w:r w:rsidR="00C56F2C" w:rsidRPr="00DC459C">
        <w:rPr>
          <w:b/>
          <w:color w:val="auto"/>
        </w:rPr>
        <w:t>s</w:t>
      </w:r>
      <w:r w:rsidRPr="00DC459C">
        <w:rPr>
          <w:b/>
          <w:color w:val="auto"/>
        </w:rPr>
        <w:t xml:space="preserve"> of Co-authors</w:t>
      </w:r>
      <w:r w:rsidR="00223A40" w:rsidRPr="00DC459C">
        <w:rPr>
          <w:b/>
          <w:color w:val="auto"/>
        </w:rPr>
        <w:t>:</w:t>
      </w:r>
    </w:p>
    <w:p w14:paraId="04291118" w14:textId="77777777" w:rsidR="002C43DA" w:rsidRPr="00DC459C" w:rsidRDefault="002C43DA" w:rsidP="00DC459C">
      <w:pPr>
        <w:widowControl/>
        <w:rPr>
          <w:color w:val="auto"/>
        </w:rPr>
      </w:pPr>
      <w:r w:rsidRPr="00DC459C">
        <w:rPr>
          <w:color w:val="auto"/>
        </w:rPr>
        <w:t xml:space="preserve">Theresa </w:t>
      </w:r>
      <w:proofErr w:type="spellStart"/>
      <w:r w:rsidRPr="00DC459C">
        <w:rPr>
          <w:color w:val="auto"/>
        </w:rPr>
        <w:t>Feltwell</w:t>
      </w:r>
      <w:proofErr w:type="spellEnd"/>
      <w:r w:rsidRPr="00DC459C">
        <w:rPr>
          <w:color w:val="auto"/>
        </w:rPr>
        <w:t xml:space="preserve"> </w:t>
      </w:r>
      <w:r w:rsidRPr="00DC459C">
        <w:rPr>
          <w:color w:val="auto"/>
        </w:rPr>
        <w:tab/>
        <w:t>(Theresa.feltwell@sanger.ac.uk)</w:t>
      </w:r>
    </w:p>
    <w:p w14:paraId="368183D6" w14:textId="77777777" w:rsidR="00D04A95" w:rsidRPr="00DC459C" w:rsidRDefault="002C43DA" w:rsidP="00DC459C">
      <w:pPr>
        <w:widowControl/>
        <w:rPr>
          <w:color w:val="auto"/>
        </w:rPr>
      </w:pPr>
      <w:r w:rsidRPr="00DC459C">
        <w:rPr>
          <w:color w:val="auto"/>
        </w:rPr>
        <w:t>Matthew J. Dorman</w:t>
      </w:r>
      <w:r w:rsidRPr="00DC459C">
        <w:rPr>
          <w:color w:val="auto"/>
        </w:rPr>
        <w:tab/>
        <w:t>(md25@sanger.ac.uk)</w:t>
      </w:r>
    </w:p>
    <w:p w14:paraId="21AB7279" w14:textId="77777777" w:rsidR="002C43DA" w:rsidRPr="00DC459C" w:rsidRDefault="002C43DA" w:rsidP="00DC459C">
      <w:pPr>
        <w:widowControl/>
        <w:rPr>
          <w:color w:val="auto"/>
        </w:rPr>
      </w:pPr>
      <w:r w:rsidRPr="00DC459C">
        <w:rPr>
          <w:color w:val="auto"/>
        </w:rPr>
        <w:t>David A. Goulding</w:t>
      </w:r>
      <w:r w:rsidRPr="00DC459C">
        <w:rPr>
          <w:color w:val="auto"/>
        </w:rPr>
        <w:tab/>
        <w:t>(dag@sanger.ac.uk)</w:t>
      </w:r>
    </w:p>
    <w:p w14:paraId="49535B9B" w14:textId="77777777" w:rsidR="002C43DA" w:rsidRPr="00DC459C" w:rsidRDefault="002C43DA" w:rsidP="00DC459C">
      <w:pPr>
        <w:widowControl/>
        <w:rPr>
          <w:color w:val="auto"/>
        </w:rPr>
      </w:pPr>
      <w:r w:rsidRPr="00DC459C">
        <w:rPr>
          <w:color w:val="auto"/>
        </w:rPr>
        <w:t>Julian Parkhill</w:t>
      </w:r>
      <w:r w:rsidRPr="00DC459C">
        <w:rPr>
          <w:color w:val="auto"/>
        </w:rPr>
        <w:tab/>
      </w:r>
      <w:r w:rsidRPr="00DC459C">
        <w:rPr>
          <w:color w:val="auto"/>
        </w:rPr>
        <w:tab/>
        <w:t>(parkhill@sanger.ac.uk)</w:t>
      </w:r>
    </w:p>
    <w:p w14:paraId="1DEE265F" w14:textId="77777777" w:rsidR="002C43DA" w:rsidRPr="00DC459C" w:rsidRDefault="002C43DA" w:rsidP="00DC459C">
      <w:pPr>
        <w:widowControl/>
        <w:rPr>
          <w:color w:val="auto"/>
        </w:rPr>
      </w:pPr>
    </w:p>
    <w:p w14:paraId="5442D4EA" w14:textId="77777777" w:rsidR="006305D7" w:rsidRPr="00DC459C" w:rsidRDefault="006305D7" w:rsidP="00DC459C">
      <w:pPr>
        <w:pStyle w:val="NormalWeb"/>
        <w:widowControl/>
        <w:spacing w:before="0" w:beforeAutospacing="0" w:after="0" w:afterAutospacing="0"/>
        <w:rPr>
          <w:color w:val="auto"/>
        </w:rPr>
      </w:pPr>
      <w:r w:rsidRPr="00DC459C">
        <w:rPr>
          <w:b/>
          <w:bCs/>
          <w:color w:val="auto"/>
        </w:rPr>
        <w:t>KEYWORDS:</w:t>
      </w:r>
      <w:r w:rsidRPr="00DC459C">
        <w:rPr>
          <w:color w:val="auto"/>
        </w:rPr>
        <w:t xml:space="preserve"> </w:t>
      </w:r>
    </w:p>
    <w:p w14:paraId="22EEFD03" w14:textId="4772CEED" w:rsidR="007A4DD6" w:rsidRPr="00DC459C" w:rsidRDefault="006F7B7B" w:rsidP="00DC459C">
      <w:pPr>
        <w:widowControl/>
        <w:rPr>
          <w:color w:val="auto"/>
        </w:rPr>
      </w:pPr>
      <w:bookmarkStart w:id="0" w:name="_GoBack"/>
      <w:bookmarkEnd w:id="0"/>
      <w:r>
        <w:rPr>
          <w:color w:val="auto"/>
        </w:rPr>
        <w:t>D</w:t>
      </w:r>
      <w:r w:rsidR="00D42A53" w:rsidRPr="00DC459C">
        <w:rPr>
          <w:color w:val="auto"/>
        </w:rPr>
        <w:t>iscontinuous</w:t>
      </w:r>
      <w:r w:rsidR="00090FD5" w:rsidRPr="00DC459C">
        <w:rPr>
          <w:color w:val="auto"/>
        </w:rPr>
        <w:t xml:space="preserve"> </w:t>
      </w:r>
      <w:r w:rsidR="00782714" w:rsidRPr="00DC459C">
        <w:rPr>
          <w:color w:val="auto"/>
        </w:rPr>
        <w:t xml:space="preserve">density </w:t>
      </w:r>
      <w:r w:rsidR="0039437F" w:rsidRPr="00DC459C">
        <w:rPr>
          <w:color w:val="auto"/>
        </w:rPr>
        <w:t>gradient</w:t>
      </w:r>
      <w:r w:rsidR="00090FD5" w:rsidRPr="00DC459C">
        <w:rPr>
          <w:color w:val="auto"/>
        </w:rPr>
        <w:t xml:space="preserve">, </w:t>
      </w:r>
      <w:r w:rsidR="00782714" w:rsidRPr="00DC459C">
        <w:rPr>
          <w:color w:val="auto"/>
        </w:rPr>
        <w:t>capsule</w:t>
      </w:r>
      <w:r w:rsidR="00090FD5" w:rsidRPr="00DC459C">
        <w:rPr>
          <w:color w:val="auto"/>
        </w:rPr>
        <w:t xml:space="preserve">, </w:t>
      </w:r>
      <w:proofErr w:type="spellStart"/>
      <w:r w:rsidR="00090FD5" w:rsidRPr="00DC459C">
        <w:rPr>
          <w:color w:val="auto"/>
        </w:rPr>
        <w:t>TraDIS</w:t>
      </w:r>
      <w:proofErr w:type="spellEnd"/>
      <w:r w:rsidR="00F21D04" w:rsidRPr="00DC459C">
        <w:rPr>
          <w:color w:val="auto"/>
        </w:rPr>
        <w:t xml:space="preserve">, </w:t>
      </w:r>
      <w:proofErr w:type="spellStart"/>
      <w:r w:rsidR="00F21D04" w:rsidRPr="00DC459C">
        <w:rPr>
          <w:color w:val="auto"/>
        </w:rPr>
        <w:t>hypermucoidy</w:t>
      </w:r>
      <w:proofErr w:type="spellEnd"/>
      <w:r w:rsidR="00AB08AC" w:rsidRPr="00DC459C">
        <w:rPr>
          <w:color w:val="auto"/>
        </w:rPr>
        <w:t xml:space="preserve">, </w:t>
      </w:r>
      <w:r w:rsidR="00AB08AC" w:rsidRPr="00DC459C">
        <w:rPr>
          <w:i/>
          <w:color w:val="auto"/>
        </w:rPr>
        <w:t>Klebsiella</w:t>
      </w:r>
    </w:p>
    <w:p w14:paraId="456D1410" w14:textId="77777777" w:rsidR="006305D7" w:rsidRPr="00DC459C" w:rsidRDefault="006305D7" w:rsidP="00DC459C">
      <w:pPr>
        <w:pStyle w:val="NormalWeb"/>
        <w:widowControl/>
        <w:spacing w:before="0" w:beforeAutospacing="0" w:after="0" w:afterAutospacing="0"/>
        <w:rPr>
          <w:color w:val="auto"/>
        </w:rPr>
      </w:pPr>
    </w:p>
    <w:p w14:paraId="04A77798" w14:textId="77777777" w:rsidR="006305D7" w:rsidRPr="00DC459C" w:rsidRDefault="006305D7" w:rsidP="00DC459C">
      <w:pPr>
        <w:widowControl/>
        <w:rPr>
          <w:color w:val="auto"/>
        </w:rPr>
      </w:pPr>
      <w:r w:rsidRPr="00DC459C">
        <w:rPr>
          <w:b/>
          <w:bCs/>
          <w:color w:val="auto"/>
        </w:rPr>
        <w:t>S</w:t>
      </w:r>
      <w:r w:rsidR="00917A8F" w:rsidRPr="00DC459C">
        <w:rPr>
          <w:b/>
          <w:bCs/>
          <w:color w:val="auto"/>
        </w:rPr>
        <w:t>UMMARY</w:t>
      </w:r>
      <w:r w:rsidRPr="00DC459C">
        <w:rPr>
          <w:b/>
          <w:bCs/>
          <w:color w:val="auto"/>
        </w:rPr>
        <w:t>:</w:t>
      </w:r>
      <w:r w:rsidRPr="00DC459C">
        <w:rPr>
          <w:color w:val="auto"/>
        </w:rPr>
        <w:t xml:space="preserve"> </w:t>
      </w:r>
    </w:p>
    <w:p w14:paraId="4BDD9D99" w14:textId="77777777" w:rsidR="00B23F7D" w:rsidRPr="00DC459C" w:rsidRDefault="00B23F7D" w:rsidP="00DC459C">
      <w:pPr>
        <w:widowControl/>
        <w:rPr>
          <w:color w:val="auto"/>
        </w:rPr>
      </w:pPr>
      <w:r w:rsidRPr="00DC459C">
        <w:rPr>
          <w:color w:val="auto"/>
        </w:rPr>
        <w:t xml:space="preserve">We demonstrate the use of discontinuous density gradients to separate bacterial populations based on capsule production. This method is used to compare capsule amount between cultures, isolate mutants with a specific capsule phenotype, or to identify capsule regulators. Described here is the optimization and running of the assay. </w:t>
      </w:r>
    </w:p>
    <w:p w14:paraId="0FF3D538" w14:textId="77777777" w:rsidR="00B23F7D" w:rsidRPr="00DC459C" w:rsidRDefault="00B23F7D" w:rsidP="00DC459C">
      <w:pPr>
        <w:widowControl/>
        <w:rPr>
          <w:color w:val="auto"/>
        </w:rPr>
      </w:pPr>
    </w:p>
    <w:p w14:paraId="0B5166AD" w14:textId="6DB63E12" w:rsidR="006305D7" w:rsidRPr="00DC459C" w:rsidRDefault="006305D7" w:rsidP="00DC459C">
      <w:pPr>
        <w:widowControl/>
        <w:rPr>
          <w:color w:val="auto"/>
        </w:rPr>
      </w:pPr>
      <w:r w:rsidRPr="00DC459C">
        <w:rPr>
          <w:b/>
          <w:bCs/>
          <w:color w:val="auto"/>
        </w:rPr>
        <w:t>ABSTRACT:</w:t>
      </w:r>
      <w:r w:rsidRPr="00DC459C">
        <w:rPr>
          <w:color w:val="auto"/>
        </w:rPr>
        <w:t xml:space="preserve"> </w:t>
      </w:r>
    </w:p>
    <w:p w14:paraId="4CDCBAB0" w14:textId="4DD0B5ED" w:rsidR="00917A8F" w:rsidRPr="00DC459C" w:rsidRDefault="00917A8F" w:rsidP="00DC459C">
      <w:pPr>
        <w:widowControl/>
        <w:rPr>
          <w:color w:val="auto"/>
        </w:rPr>
      </w:pPr>
      <w:r w:rsidRPr="00DC459C">
        <w:rPr>
          <w:color w:val="auto"/>
        </w:rPr>
        <w:t xml:space="preserve">Capsule is a key virulence factor in many bacterial species, mediating immune evasion and resistance to various physical stresses. While many methods are available to quantify and compare capsule production between different strains or mutants, there is no widely used method for sorting bacteria based on how much capsule they produce. We have developed a method to separate bacteria by capsule amount, using a discontinuous </w:t>
      </w:r>
      <w:r w:rsidR="00D42A53" w:rsidRPr="00DC459C">
        <w:rPr>
          <w:color w:val="auto"/>
        </w:rPr>
        <w:t xml:space="preserve">density </w:t>
      </w:r>
      <w:r w:rsidRPr="00DC459C">
        <w:rPr>
          <w:color w:val="auto"/>
        </w:rPr>
        <w:t xml:space="preserve">gradient. This method </w:t>
      </w:r>
      <w:r w:rsidR="00D42A53" w:rsidRPr="00DC459C">
        <w:rPr>
          <w:color w:val="auto"/>
        </w:rPr>
        <w:t>is</w:t>
      </w:r>
      <w:r w:rsidRPr="00DC459C">
        <w:rPr>
          <w:color w:val="auto"/>
        </w:rPr>
        <w:t xml:space="preserve"> used to </w:t>
      </w:r>
      <w:r w:rsidR="00A1010B" w:rsidRPr="00DC459C">
        <w:rPr>
          <w:color w:val="auto"/>
        </w:rPr>
        <w:t xml:space="preserve">compare capsule amounts </w:t>
      </w:r>
      <w:r w:rsidRPr="00DC459C">
        <w:rPr>
          <w:color w:val="auto"/>
        </w:rPr>
        <w:t>semi-quantitatively between cultures, to isolate mutants with altered capsule production, and to purify capsulated bacteria fr</w:t>
      </w:r>
      <w:r w:rsidR="00D42A53" w:rsidRPr="00DC459C">
        <w:rPr>
          <w:color w:val="auto"/>
        </w:rPr>
        <w:t xml:space="preserve">om complex samples. </w:t>
      </w:r>
      <w:r w:rsidR="00657B38" w:rsidRPr="00DC459C">
        <w:rPr>
          <w:color w:val="auto"/>
        </w:rPr>
        <w:t xml:space="preserve">This method can also be coupled with transposon-insertion sequencing to identify genes involved in capsule regulation. </w:t>
      </w:r>
      <w:r w:rsidR="009331F6" w:rsidRPr="00DC459C">
        <w:rPr>
          <w:color w:val="auto"/>
        </w:rPr>
        <w:t>Here,</w:t>
      </w:r>
      <w:r w:rsidR="00AB08AC" w:rsidRPr="00DC459C">
        <w:rPr>
          <w:color w:val="auto"/>
        </w:rPr>
        <w:t xml:space="preserve"> </w:t>
      </w:r>
      <w:r w:rsidR="00D42A53" w:rsidRPr="00DC459C">
        <w:rPr>
          <w:color w:val="auto"/>
        </w:rPr>
        <w:t>the method</w:t>
      </w:r>
      <w:r w:rsidR="00AB08AC" w:rsidRPr="00DC459C">
        <w:rPr>
          <w:color w:val="auto"/>
        </w:rPr>
        <w:t xml:space="preserve"> </w:t>
      </w:r>
      <w:r w:rsidR="00D42A53" w:rsidRPr="00DC459C">
        <w:rPr>
          <w:color w:val="auto"/>
        </w:rPr>
        <w:t xml:space="preserve">is </w:t>
      </w:r>
      <w:r w:rsidR="00AB08AC" w:rsidRPr="00DC459C">
        <w:rPr>
          <w:color w:val="auto"/>
        </w:rPr>
        <w:t>demonstrate</w:t>
      </w:r>
      <w:r w:rsidR="00E31945" w:rsidRPr="00DC459C">
        <w:rPr>
          <w:color w:val="auto"/>
        </w:rPr>
        <w:t>d</w:t>
      </w:r>
      <w:r w:rsidR="00AB08AC" w:rsidRPr="00DC459C">
        <w:rPr>
          <w:color w:val="auto"/>
        </w:rPr>
        <w:t xml:space="preserve"> in detail</w:t>
      </w:r>
      <w:r w:rsidR="00A1010B" w:rsidRPr="00DC459C">
        <w:rPr>
          <w:color w:val="auto"/>
        </w:rPr>
        <w:t>,</w:t>
      </w:r>
      <w:r w:rsidR="00AB08AC" w:rsidRPr="00DC459C">
        <w:rPr>
          <w:color w:val="auto"/>
        </w:rPr>
        <w:t xml:space="preserve"> including how to optimi</w:t>
      </w:r>
      <w:r w:rsidR="00884108" w:rsidRPr="00DC459C">
        <w:rPr>
          <w:color w:val="auto"/>
        </w:rPr>
        <w:t>z</w:t>
      </w:r>
      <w:r w:rsidR="00AB08AC" w:rsidRPr="00DC459C">
        <w:rPr>
          <w:color w:val="auto"/>
        </w:rPr>
        <w:t>e the gradient conditions for a new bacterial species or strain, and how to construct and run the density gradient</w:t>
      </w:r>
      <w:r w:rsidRPr="00DC459C">
        <w:rPr>
          <w:color w:val="auto"/>
        </w:rPr>
        <w:t>.</w:t>
      </w:r>
    </w:p>
    <w:p w14:paraId="4AF2C27C" w14:textId="77777777" w:rsidR="00DB5662" w:rsidRPr="00DC459C" w:rsidRDefault="00DB5662" w:rsidP="00DC459C">
      <w:pPr>
        <w:widowControl/>
        <w:rPr>
          <w:color w:val="auto"/>
        </w:rPr>
      </w:pPr>
    </w:p>
    <w:p w14:paraId="5E1BF300" w14:textId="77777777" w:rsidR="006305D7" w:rsidRPr="00DC459C" w:rsidRDefault="006305D7" w:rsidP="00DC459C">
      <w:pPr>
        <w:widowControl/>
        <w:rPr>
          <w:color w:val="auto"/>
        </w:rPr>
      </w:pPr>
      <w:r w:rsidRPr="00DC459C">
        <w:rPr>
          <w:b/>
          <w:color w:val="auto"/>
        </w:rPr>
        <w:t>INTRODUCTION</w:t>
      </w:r>
      <w:r w:rsidRPr="00DC459C">
        <w:rPr>
          <w:b/>
          <w:bCs/>
          <w:color w:val="auto"/>
        </w:rPr>
        <w:t>:</w:t>
      </w:r>
      <w:r w:rsidRPr="00DC459C">
        <w:rPr>
          <w:color w:val="auto"/>
        </w:rPr>
        <w:t xml:space="preserve"> </w:t>
      </w:r>
    </w:p>
    <w:p w14:paraId="71462CAD" w14:textId="7B1F24FA" w:rsidR="00FF3E3B" w:rsidRPr="00DC459C" w:rsidRDefault="00FF3E3B" w:rsidP="00DC459C">
      <w:pPr>
        <w:widowControl/>
        <w:rPr>
          <w:color w:val="auto"/>
        </w:rPr>
      </w:pPr>
      <w:r w:rsidRPr="00DC459C">
        <w:rPr>
          <w:color w:val="auto"/>
        </w:rPr>
        <w:t xml:space="preserve">Many bacterial species produce a polysaccharide capsule, which protects the bacterial cell from various physical </w:t>
      </w:r>
      <w:r w:rsidR="00331402" w:rsidRPr="00DC459C">
        <w:rPr>
          <w:color w:val="auto"/>
        </w:rPr>
        <w:t>stresses</w:t>
      </w:r>
      <w:r w:rsidRPr="00DC459C">
        <w:rPr>
          <w:color w:val="auto"/>
        </w:rPr>
        <w:t xml:space="preserve"> and from recognition</w:t>
      </w:r>
      <w:r w:rsidR="00A45F54" w:rsidRPr="00DC459C">
        <w:rPr>
          <w:color w:val="auto"/>
        </w:rPr>
        <w:t xml:space="preserve"> and killing</w:t>
      </w:r>
      <w:r w:rsidRPr="00DC459C">
        <w:rPr>
          <w:color w:val="auto"/>
        </w:rPr>
        <w:t xml:space="preserve"> by the immune system. In </w:t>
      </w:r>
      <w:r w:rsidRPr="00DC459C">
        <w:rPr>
          <w:i/>
          <w:color w:val="auto"/>
        </w:rPr>
        <w:t>Klebsiella pneumoniae</w:t>
      </w:r>
      <w:r w:rsidRPr="00DC459C">
        <w:rPr>
          <w:color w:val="auto"/>
        </w:rPr>
        <w:t xml:space="preserve">, capsule </w:t>
      </w:r>
      <w:r w:rsidR="00A45F54" w:rsidRPr="00DC459C">
        <w:rPr>
          <w:color w:val="auto"/>
        </w:rPr>
        <w:t>production is an absolute requirement for infection</w:t>
      </w:r>
      <w:r w:rsidR="00690383" w:rsidRPr="00DC459C">
        <w:rPr>
          <w:color w:val="auto"/>
        </w:rPr>
        <w:fldChar w:fldCharType="begin" w:fldLock="1"/>
      </w:r>
      <w:r w:rsidR="00690383" w:rsidRPr="00DC459C">
        <w:rPr>
          <w:color w:val="auto"/>
        </w:rPr>
        <w:instrText>ADDIN CSL_CITATION { "citationItems" : [ { "id" : "ITEM-1", "itemData" : { "ISBN" : "0019-9567 (Print)", "ISSN" : "00199567", "PMID" : "9916058", "abstract" : "Most Klebsiella pneumoniae clinical isolates are fully encapsulated and adhere in vitro to intestinal cell lines with an aggregative pattern. In this study, the influence of the capsule on interactions with epithelial cells was investigated by creating an isogenic mutant defective in the synthesis of the capsule. Determination of the uronic acid content of bacterial extracts confirmed that the mutant did not produce capsular polysaccharides whereas, with the wild-type strain, the level of encapsulation was growth phase dependent and reached a maximum during the lag and early log phases. Assays performed with different epithelial cell lines, Int-407, A-549, and HEp-2, showed that the capsule-defective mutant demonstrated greater adhesion than did the wild-type strain and that the aggregative pattern was maintained, indicating that the capsule was not related to the adhesion phenotype. In contrast, when the mucus-producing HT-29-MTX cells were used, the encapsulated wild-type strain adhered more strongly than did the capsule-defective mutant. No invasion properties were observed with any of the capsular phenotypes or cell lines used. The K. pneumoniae adhesin CF29K was detected by Western blot analysis and enzyme-linked immunosorbent assay on the surface of transconjugants obtained after transfer of a conjugative plasmid harboring the CF29K-encoding genes into both the wild-type and the capsule-defective strains. The amounts of adhesin detected were greater in the capsule-defective background strain than in the wild-type encapsulated strain and were associated with an increase in the level of adhesion to Caco-2 cells. Moreover, RNA slot blot experiments showed that transcription of the adhesin-encoding gene was markedly increased in the capsule-defective mutant compared to the wild-type encapsulated background. These results suggest (i) that the capsule plays an active role during the initial steps of the pathogenesis by interacting with mucus-producing cells but is subsequently not required for the adhesin-related interaction with the epithelial cell surface and (ii) that the expression of the adhesin is modulated by the presence of a capsule at a transcriptional level.", "author" : [ { "dropping-particle" : "", "family" : "Favre-Bonte", "given" : "Sabine", "non-dropping-particle" : "", "parse-names" : false, "suffix" : "" }, { "dropping-particle" : "", "family" : "Joly", "given" : "Bernard", "non-dropping-particle" : "", "parse-names" : false, "suffix" : "" }, { "dropping-particle" : "", "family" : "Forestier", "given" : "Christiane", "non-dropping-particle" : "", "parse-names" : false, "suffix" : "" } ], "container-title" : "Infection and Immunity", "id" : "ITEM-1", "issue" : "2", "issued" : { "date-parts" : [ [ "1999" ] ] }, "page" : "554-561", "title" : "Consequences of reduction of Klebsiella pneumoniae capsule expression on interactions of this bacterium with epithelial cells", "type" : "article-journal", "volume" : "67" }, "uris" : [ "http://www.mendeley.com/documents/?uuid=db3c41e3-446a-40c0-9a00-b9b2dac7a6db" ] }, { "id" : "ITEM-2", "itemData" : { "DOI" : "10.1128/mBio.00775-15.Editor", "author" : [ { "dropping-particle" : "", "family" : "Bachman", "given" : "Michael a", "non-dropping-particle" : "", "parse-names" : false, "suffix" : "" }, { "dropping-particle" : "", "family" : "Breen", "given" : "Paul", "non-dropping-particle" : "", "parse-names" : false, "suffix" : "" }, { "dropping-particle" : "", "family" : "Deornellas", "given" : "Valerie", "non-dropping-particle" : "", "parse-names" : false, "suffix" : "" }, { "dropping-particle" : "", "family" : "Mu", "given" : "Qiao", "non-dropping-particle" : "", "parse-names" : false, "suffix" : "" }, { "dropping-particle" : "", "family" : "Zhao", "given" : "Lili", "non-dropping-particle" : "", "parse-names" : false, "suffix" : "" }, { "dropping-particle" : "", "family" : "Wu", "given" : "Weisheng", "non-dropping-particle" : "", "parse-names" : false, "suffix" : "" }, { "dropping-particle" : "", "family" : "Cavalcoli", "given" : "James D", "non-dropping-particle" : "", "parse-names" : false, "suffix" : "" } ], "container-title" : "mBio", "id" : "ITEM-2", "issue" : "3", "issued" : { "date-parts" : [ [ "2015" ] ] }, "page" : "1-9", "title" : "Genome-Wide Identification of", "type" : "article-journal", "volume" : "6" }, "uris" : [ "http://www.mendeley.com/documents/?uuid=a21f781e-93b7-4cd1-9ef0-ec4296118809" ] } ], "mendeley" : { "formattedCitation" : "&lt;sup&gt;1, 2&lt;/sup&gt;", "plainTextFormattedCitation" : "1, 2", "previouslyFormattedCitation" : "&lt;sup&gt;1, 2&lt;/sup&gt;"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1,2</w:t>
      </w:r>
      <w:r w:rsidR="00690383" w:rsidRPr="00DC459C">
        <w:rPr>
          <w:color w:val="auto"/>
        </w:rPr>
        <w:fldChar w:fldCharType="end"/>
      </w:r>
      <w:r w:rsidR="00A45F54" w:rsidRPr="00DC459C">
        <w:rPr>
          <w:color w:val="auto"/>
        </w:rPr>
        <w:t xml:space="preserve">. </w:t>
      </w:r>
      <w:r w:rsidR="00A45F54" w:rsidRPr="00DC459C">
        <w:rPr>
          <w:i/>
          <w:color w:val="auto"/>
        </w:rPr>
        <w:t xml:space="preserve">K. pneumoniae </w:t>
      </w:r>
      <w:r w:rsidR="00A45F54" w:rsidRPr="00DC459C">
        <w:rPr>
          <w:color w:val="auto"/>
        </w:rPr>
        <w:lastRenderedPageBreak/>
        <w:t>capsule mediates resistance to antimicrobial peptides, resistance to complement-mediated killing, prevention of phagocytosis, and suppression of the innate immune response</w:t>
      </w:r>
      <w:r w:rsidR="00690383" w:rsidRPr="00DC459C">
        <w:rPr>
          <w:color w:val="auto"/>
        </w:rPr>
        <w:fldChar w:fldCharType="begin" w:fldLock="1"/>
      </w:r>
      <w:r w:rsidR="00690383" w:rsidRPr="00DC459C">
        <w:rPr>
          <w:color w:val="auto"/>
        </w:rPr>
        <w:instrText>ADDIN CSL_CITATION { "citationItems" : [ { "id" : "ITEM-1", "itemData" : { "DOI" : "10.1128/MMBR.00078-15", "ISSN" : "1098-5557", "PMID" : "27307579", "abstract" : "Klebsiella pneumoniae causes a wide range of infections, including pneumonias, urinary tract infections, bacteremias, and liver abscesses. Historically, K. pneumoniae has caused serious infection primarily in immunocompromised individuals, but the recent emergence and spread of hypervirulent strains have broadened the number of people susceptible to infections to include those who are healthy and immunosufficient. Furthermore, K. pneumoniae strains have become increasingly resistant to antibiotics, rendering infection by these strains very challenging to treat. The emergence of hypervirulent and antibiotic-resistant strains has driven a number of recent studies. Work has described the worldwide spread of one drug-resistant strain and a host defense axis, interleukin-17 (IL-17), that is important for controlling infection. Four factors, capsule, lipopolysaccharide, fimbriae, and siderophores, have been well studied and are important for virulence in at least one infection model. Several other factors have been less well characterized but are also important in at least one infection model. However, there is a significant amount of heterogeneity in K. pneumoniae strains, and not every factor plays the same critical role in all virulent Klebsiella strains. Recent studies have identified additional K. pneumoniae virulence factors and led to more insights about factors important for the growth of this pathogen at a variety of tissue sites. Many of these genes encode proteins that function in metabolism and the regulation of transcription. However, much work is left to be done in characterizing these newly discovered factors, understanding how infections differ between healthy and immunocompromised patients, and identifying attractive bacterial or host targets for treating these infections.", "author" : [ { "dropping-particle" : "", "family" : "Paczosa", "given" : "Michelle K", "non-dropping-particle" : "", "parse-names" : false, "suffix" : "" }, { "dropping-particle" : "", "family" : "Mecsas", "given" : "Joan", "non-dropping-particle" : "", "parse-names" : false, "suffix" : "" } ], "container-title" : "Microbiology and molecular biology reviews : MMBR", "id" : "ITEM-1", "issue" : "3", "issued" : { "date-parts" : [ [ "2016" ] ] }, "page" : "629-61", "title" : "Klebsiella pneumoniae: Going on the Offense with a Strong Defense.", "type" : "article-journal", "volume" : "80" }, "uris" : [ "http://www.mendeley.com/documents/?uuid=09dabf5d-33cd-40ba-bb8a-87ff7408f183" ] } ], "mendeley" : { "formattedCitation" : "&lt;sup&gt;3&lt;/sup&gt;", "plainTextFormattedCitation" : "3", "previouslyFormattedCitation" : "&lt;sup&gt;3&lt;/sup&gt;"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3</w:t>
      </w:r>
      <w:r w:rsidR="00690383" w:rsidRPr="00DC459C">
        <w:rPr>
          <w:color w:val="auto"/>
        </w:rPr>
        <w:fldChar w:fldCharType="end"/>
      </w:r>
      <w:r w:rsidR="00A45F54" w:rsidRPr="00DC459C">
        <w:rPr>
          <w:color w:val="auto"/>
        </w:rPr>
        <w:t>. Excess capsule production is associated with increased virulence and community-acquired (rather than nosocomial) infections</w:t>
      </w:r>
      <w:r w:rsidR="00690383" w:rsidRPr="00DC459C">
        <w:rPr>
          <w:color w:val="auto"/>
        </w:rPr>
        <w:fldChar w:fldCharType="begin" w:fldLock="1"/>
      </w:r>
      <w:r w:rsidR="00690383" w:rsidRPr="00DC459C">
        <w:rPr>
          <w:color w:val="auto"/>
        </w:rPr>
        <w:instrText>ADDIN CSL_CITATION { "citationItems" : [ { "id" : "ITEM-1", "itemData" : { "DOI" : "10.4161/viru.22718", "ISSN" : "2150-5594", "author" : [ { "dropping-particle" : "", "family" : "Shon", "given" : "Alyssa S.", "non-dropping-particle" : "", "parse-names" : false, "suffix" : "" }, { "dropping-particle" : "", "family" : "Bajwa", "given" : "Rajinder P.S.", "non-dropping-particle" : "", "parse-names" : false, "suffix" : "" }, { "dropping-particle" : "", "family" : "Russo", "given" : "Thomas a.", "non-dropping-particle" : "", "parse-names" : false, "suffix" : "" } ], "container-title" : "Virulence", "id" : "ITEM-1", "issue" : "2", "issued" : { "date-parts" : [ [ "2014" ] ] }, "page" : "107-118", "title" : "Hypervirulent (hypermucoviscous) Klebsiella pneumoniae", "type" : "article-journal", "volume" : "4" }, "uris" : [ "http://www.mendeley.com/documents/?uuid=488cb905-3c0a-4eea-97ab-d77619913508" ] } ], "mendeley" : { "formattedCitation" : "&lt;sup&gt;4&lt;/sup&gt;", "plainTextFormattedCitation" : "4", "previouslyFormattedCitation" : "&lt;sup&gt;4&lt;/sup&gt;"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4</w:t>
      </w:r>
      <w:r w:rsidR="00690383" w:rsidRPr="00DC459C">
        <w:rPr>
          <w:color w:val="auto"/>
        </w:rPr>
        <w:fldChar w:fldCharType="end"/>
      </w:r>
      <w:r w:rsidR="00A45F54" w:rsidRPr="00DC459C">
        <w:rPr>
          <w:color w:val="auto"/>
        </w:rPr>
        <w:t>.</w:t>
      </w:r>
    </w:p>
    <w:p w14:paraId="2C2CD558" w14:textId="77777777" w:rsidR="001C1F68" w:rsidRPr="00DC459C" w:rsidRDefault="001C1F68" w:rsidP="00DC459C">
      <w:pPr>
        <w:widowControl/>
        <w:rPr>
          <w:color w:val="auto"/>
        </w:rPr>
      </w:pPr>
    </w:p>
    <w:p w14:paraId="4F016B68" w14:textId="0D0543EE" w:rsidR="0062012C" w:rsidRPr="00DC459C" w:rsidRDefault="00917A8F" w:rsidP="00DC459C">
      <w:pPr>
        <w:widowControl/>
        <w:rPr>
          <w:color w:val="auto"/>
        </w:rPr>
      </w:pPr>
      <w:r w:rsidRPr="00DC459C">
        <w:rPr>
          <w:color w:val="auto"/>
        </w:rPr>
        <w:t>A range of q</w:t>
      </w:r>
      <w:r w:rsidR="00A45F54" w:rsidRPr="00DC459C">
        <w:rPr>
          <w:color w:val="auto"/>
        </w:rPr>
        <w:t xml:space="preserve">uantitative and qualitative tests are available to investigate capsule production. </w:t>
      </w:r>
      <w:r w:rsidR="0062012C" w:rsidRPr="00DC459C">
        <w:rPr>
          <w:color w:val="auto"/>
        </w:rPr>
        <w:t xml:space="preserve">For </w:t>
      </w:r>
      <w:r w:rsidR="0062012C" w:rsidRPr="00DC459C">
        <w:rPr>
          <w:i/>
          <w:color w:val="auto"/>
        </w:rPr>
        <w:t>Klebsiella</w:t>
      </w:r>
      <w:r w:rsidR="0062012C" w:rsidRPr="00DC459C">
        <w:rPr>
          <w:color w:val="auto"/>
        </w:rPr>
        <w:t xml:space="preserve"> species, these include the string test</w:t>
      </w:r>
      <w:r w:rsidR="00690383" w:rsidRPr="00DC459C">
        <w:rPr>
          <w:color w:val="auto"/>
        </w:rPr>
        <w:fldChar w:fldCharType="begin" w:fldLock="1"/>
      </w:r>
      <w:r w:rsidR="00690383" w:rsidRPr="00DC459C">
        <w:rPr>
          <w:color w:val="auto"/>
        </w:rPr>
        <w:instrText>ADDIN CSL_CITATION { "citationItems" : [ { "id" : "ITEM-1", "itemData" : { "DOI" : "10.1084/jem.20030857", "ISBN" : "0022-1007 (Print)\\r0022-1007 (Linking)", "ISSN" : "0022-1007", "PMID" : "14993253", "abstract" : "Primary Klebsiella pneumoniae liver abscess complicated with metastatic meningitis or endophthalmitis is a globally emerging infectious disease. Its pathogenic mechanism remains unclear. The bacterial virulence factors were explored by comparing clinical isolates. Differences in mucoviscosity were observed between strains that caused primary liver abscess (invasive) and those that did not (noninvasive). Hypermucoviscosity correlated with a high serum resistance and was more prevalent in invasive strains (52/53 vs. 9/52; P &lt; 0.0001). Transposon mutagenesis identified candidate virulence genes. A novel 1.2-kb locus, magA, which encoded a 43-kD outer membrane protein, was significantly more prevalent in invasive strains (52/53 vs. 14/52; P &lt; 0.0001). The wild-type strain produced a mucoviscous exopolysaccharide web, actively proliferated in nonimmune human serum, resisted phagocytosis, and caused liver microabscess and meningitis in mice. However, magA- mutants lost the exopolysaccharide web and became extremely serum sensitive, phagocytosis susceptible, and avirulent to mice. Virulence was restored by complementation using a magA-containing plasmid. We conclude that magA fits molecular Koch's postulates as a virulence gene. Thus, this locus can be used as a marker for the rapid diagnosis and for tracing the source of this emerging infectious disease.", "author" : [ { "dropping-particle" : "", "family" : "Fang", "given" : "Chi-Tai", "non-dropping-particle" : "", "parse-names" : false, "suffix" : "" }, { "dropping-particle" : "", "family" : "Chuang", "given" : "Yi-Ping", "non-dropping-particle" : "", "parse-names" : false, "suffix" : "" }, { "dropping-particle" : "", "family" : "Shun", "given" : "Chia-Tung", "non-dropping-particle" : "", "parse-names" : false, "suffix" : "" }, { "dropping-particle" : "", "family" : "Chang", "given" : "Shan-Chwen", "non-dropping-particle" : "", "parse-names" : false, "suffix" : "" }, { "dropping-particle" : "", "family" : "Wang", "given" : "Jin-Town", "non-dropping-particle" : "", "parse-names" : false, "suffix" : "" } ], "container-title" : "The Journal of Experimental Medicine", "id" : "ITEM-1", "issue" : "5", "issued" : { "date-parts" : [ [ "2004" ] ] }, "page" : "697-705", "title" : "A Novel Virulence Gene in &lt;i&gt;Klebsiella pneumoniae&lt;/i&gt; Strains Causing Primary Liver Abscess and Septic Metastatic Complications", "type" : "article-journal", "volume" : "199" }, "uris" : [ "http://www.mendeley.com/documents/?uuid=fef7c53b-b2b8-4581-a48a-d2206551703d" ] } ], "mendeley" : { "formattedCitation" : "&lt;sup&gt;5&lt;/sup&gt;", "plainTextFormattedCitation" : "5", "previouslyFormattedCitation" : "&lt;sup&gt;5&lt;/sup&gt;"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5</w:t>
      </w:r>
      <w:r w:rsidR="00690383" w:rsidRPr="00DC459C">
        <w:rPr>
          <w:color w:val="auto"/>
        </w:rPr>
        <w:fldChar w:fldCharType="end"/>
      </w:r>
      <w:r w:rsidR="0062012C" w:rsidRPr="00DC459C">
        <w:rPr>
          <w:color w:val="auto"/>
        </w:rPr>
        <w:t xml:space="preserve">, in which a toothpick touched to a colony is pulled upwards and the length of the string produced measured, and the </w:t>
      </w:r>
      <w:proofErr w:type="spellStart"/>
      <w:r w:rsidR="0044582A" w:rsidRPr="00DC459C">
        <w:rPr>
          <w:color w:val="auto"/>
        </w:rPr>
        <w:t>mucoviscosity</w:t>
      </w:r>
      <w:proofErr w:type="spellEnd"/>
      <w:r w:rsidR="0044582A" w:rsidRPr="00DC459C">
        <w:rPr>
          <w:color w:val="auto"/>
        </w:rPr>
        <w:t xml:space="preserve"> assay</w:t>
      </w:r>
      <w:r w:rsidR="00690383" w:rsidRPr="00DC459C">
        <w:rPr>
          <w:color w:val="auto"/>
        </w:rPr>
        <w:fldChar w:fldCharType="begin" w:fldLock="1"/>
      </w:r>
      <w:r w:rsidR="00690383" w:rsidRPr="00DC459C">
        <w:rPr>
          <w:color w:val="auto"/>
        </w:rPr>
        <w:instrText>ADDIN CSL_CITATION { "citationItems" : [ { "id" : "ITEM-1", "itemData" : { "DOI" : "10.1128/JB.185.3.788-800.2003", "ISSN" : "0021-9193, 1098-5530", "abstract" : "The rmpA2 gene, which encodes an activator for capsular polysaccharide (CPS) synthesis, was isolated from a 200-kb virulence plasmid of Klebsiella pneumoniae CG43. Based on the sequence homology with LuxR at the carboxyl-terminal DNA-binding motif, we hypothesized that RmpA2 exerts its effect by activating the expression of cps genes that are responsible for CPS biosynthesis. Two luxAB transcriptional fusions, each containing a putative promoter region of the K. pneumoniae K2 cps genes, were constructed and were found to be activated in the presence of multicopy rmpA2. The activation is likely due to direct binding of RmpA2 to the cps gene promoter through its C-terminal DNA binding motif. Moreover, the loss of colony mucoidy in a K. pneumoniae strain deficient in RcsB, a regulator for cps gene expression, could be recovered by complementing the strain with a multicopy plasmid carrying rmpA2. The CPS production in Lon protease-deficient K. pneumoniae significantly increased, and the effect was accompanied by an increase of RmpA2 stability. The expression of the rmpA2 gene was negatively autoregulated and could be activated when the organism was grown in M9 minimal medium. An IS3 element located upstream of the rmpA2 was required for the full activation of the rmpA2 promoter. In summary, our results suggest that the enhancement of K2 CPS synthesis in K. pneumoniae CG43 by RmpA2 can be attributed to its transcriptional activation of K2 cps genes, and the expression level of rmpA2 is autoregulated and under the control of Lon protease.", "author" : [ { "dropping-particle" : "", "family" : "Lai", "given" : "Yi-Chyi", "non-dropping-particle" : "", "parse-names" : false, "suffix" : "" }, { "dropping-particle" : "", "family" : "Peng", "given" : "Hwei-Ling", "non-dropping-particle" : "", "parse-names" : false, "suffix" : "" }, { "dropping-particle" : "", "family" : "Chang", "given" : "Hwan-You", "non-dropping-particle" : "", "parse-names" : false, "suffix" : "" } ], "container-title" : "Journal of Bacteriology", "id" : "ITEM-1", "issue" : "3", "issued" : { "date-parts" : [ [ "2003", "2" ] ] }, "language" : "en", "page" : "788-800", "title" : "RmpA2, an Activator of Capsule Biosynthesis in Klebsiella pneumoniae CG43, Regulates K2 cps Gene Expression at the Transcriptional Level", "type" : "article-journal", "volume" : "185" }, "uris" : [ "http://www.mendeley.com/documents/?uuid=1ff6010b-d569-4196-a56b-6d78665c571c" ] } ], "mendeley" : { "formattedCitation" : "&lt;sup&gt;6&lt;/sup&gt;", "plainTextFormattedCitation" : "6", "previouslyFormattedCitation" : "&lt;sup&gt;6&lt;/sup&gt;"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6</w:t>
      </w:r>
      <w:r w:rsidR="00690383" w:rsidRPr="00DC459C">
        <w:rPr>
          <w:color w:val="auto"/>
        </w:rPr>
        <w:fldChar w:fldCharType="end"/>
      </w:r>
      <w:r w:rsidR="0062012C" w:rsidRPr="00DC459C">
        <w:rPr>
          <w:color w:val="auto"/>
        </w:rPr>
        <w:t>, which involves the slow centrifugation of a culture followed by measuring the optical density of the supernatant.</w:t>
      </w:r>
      <w:r w:rsidR="00776C87" w:rsidRPr="00DC459C">
        <w:rPr>
          <w:color w:val="auto"/>
        </w:rPr>
        <w:t xml:space="preserve"> These methods are simple and quick, but lack sensitivity when used on classical </w:t>
      </w:r>
      <w:r w:rsidR="00776C87" w:rsidRPr="00DC459C">
        <w:rPr>
          <w:i/>
          <w:color w:val="auto"/>
        </w:rPr>
        <w:t>Klebsiella</w:t>
      </w:r>
      <w:r w:rsidR="00776C87" w:rsidRPr="00DC459C">
        <w:rPr>
          <w:color w:val="auto"/>
        </w:rPr>
        <w:t xml:space="preserve"> strains rather than capsule overproducing strains.</w:t>
      </w:r>
      <w:r w:rsidR="0062012C" w:rsidRPr="00DC459C">
        <w:rPr>
          <w:color w:val="auto"/>
        </w:rPr>
        <w:t xml:space="preserve"> </w:t>
      </w:r>
      <w:r w:rsidR="00331402" w:rsidRPr="00DC459C">
        <w:rPr>
          <w:color w:val="auto"/>
        </w:rPr>
        <w:t>Another meth</w:t>
      </w:r>
      <w:r w:rsidR="00B374A7" w:rsidRPr="00DC459C">
        <w:rPr>
          <w:color w:val="auto"/>
        </w:rPr>
        <w:t>od of capsule quantification is</w:t>
      </w:r>
      <w:r w:rsidR="00331402" w:rsidRPr="00DC459C">
        <w:rPr>
          <w:color w:val="auto"/>
        </w:rPr>
        <w:t xml:space="preserve"> </w:t>
      </w:r>
      <w:r w:rsidR="009D4161" w:rsidRPr="00DC459C">
        <w:rPr>
          <w:color w:val="auto"/>
        </w:rPr>
        <w:t xml:space="preserve">the </w:t>
      </w:r>
      <w:proofErr w:type="spellStart"/>
      <w:r w:rsidR="00331402" w:rsidRPr="00DC459C">
        <w:rPr>
          <w:color w:val="auto"/>
        </w:rPr>
        <w:t>uronic</w:t>
      </w:r>
      <w:proofErr w:type="spellEnd"/>
      <w:r w:rsidR="00331402" w:rsidRPr="00DC459C">
        <w:rPr>
          <w:color w:val="auto"/>
        </w:rPr>
        <w:t xml:space="preserve"> acid assay</w:t>
      </w:r>
      <w:r w:rsidR="00776C87" w:rsidRPr="00DC459C">
        <w:rPr>
          <w:color w:val="auto"/>
        </w:rPr>
        <w:t>, which is technically challenging and requires the use of concentrated sulfuric acid</w:t>
      </w:r>
      <w:r w:rsidR="00690383" w:rsidRPr="00DC459C">
        <w:rPr>
          <w:color w:val="auto"/>
        </w:rPr>
        <w:fldChar w:fldCharType="begin" w:fldLock="1"/>
      </w:r>
      <w:r w:rsidR="00690383" w:rsidRPr="00DC459C">
        <w:rPr>
          <w:color w:val="auto"/>
        </w:rPr>
        <w:instrText>ADDIN CSL_CITATION { "citationItems" : [ { "id" : "ITEM-1", "itemData" : { "ISBN" : "0019-9567 (Print)", "ISSN" : "00199567", "PMID" : "9916058", "abstract" : "Most Klebsiella pneumoniae clinical isolates are fully encapsulated and adhere in vitro to intestinal cell lines with an aggregative pattern. In this study, the influence of the capsule on interactions with epithelial cells was investigated by creating an isogenic mutant defective in the synthesis of the capsule. Determination of the uronic acid content of bacterial extracts confirmed that the mutant did not produce capsular polysaccharides whereas, with the wild-type strain, the level of encapsulation was growth phase dependent and reached a maximum during the lag and early log phases. Assays performed with different epithelial cell lines, Int-407, A-549, and HEp-2, showed that the capsule-defective mutant demonstrated greater adhesion than did the wild-type strain and that the aggregative pattern was maintained, indicating that the capsule was not related to the adhesion phenotype. In contrast, when the mucus-producing HT-29-MTX cells were used, the encapsulated wild-type strain adhered more strongly than did the capsule-defective mutant. No invasion properties were observed with any of the capsular phenotypes or cell lines used. The K. pneumoniae adhesin CF29K was detected by Western blot analysis and enzyme-linked immunosorbent assay on the surface of transconjugants obtained after transfer of a conjugative plasmid harboring the CF29K-encoding genes into both the wild-type and the capsule-defective strains. The amounts of adhesin detected were greater in the capsule-defective background strain than in the wild-type encapsulated strain and were associated with an increase in the level of adhesion to Caco-2 cells. Moreover, RNA slot blot experiments showed that transcription of the adhesin-encoding gene was markedly increased in the capsule-defective mutant compared to the wild-type encapsulated background. These results suggest (i) that the capsule plays an active role during the initial steps of the pathogenesis by interacting with mucus-producing cells but is subsequently not required for the adhesin-related interaction with the epithelial cell surface and (ii) that the expression of the adhesin is modulated by the presence of a capsule at a transcriptional level.", "author" : [ { "dropping-particle" : "", "family" : "Favre-Bonte", "given" : "Sabine", "non-dropping-particle" : "", "parse-names" : false, "suffix" : "" }, { "dropping-particle" : "", "family" : "Joly", "given" : "Bernard", "non-dropping-particle" : "", "parse-names" : false, "suffix" : "" }, { "dropping-particle" : "", "family" : "Forestier", "given" : "Christiane", "non-dropping-particle" : "", "parse-names" : false, "suffix" : "" } ], "container-title" : "Infection and Immunity", "id" : "ITEM-1", "issue" : "2", "issued" : { "date-parts" : [ [ "1999" ] ] }, "page" : "554-561", "title" : "Consequences of reduction of Klebsiella pneumoniae capsule expression on interactions of this bacterium with epithelial cells", "type" : "article-journal", "volume" : "67" }, "uris" : [ "http://www.mendeley.com/documents/?uuid=db3c41e3-446a-40c0-9a00-b9b2dac7a6db" ] } ], "mendeley" : { "formattedCitation" : "&lt;sup&gt;1&lt;/sup&gt;", "plainTextFormattedCitation" : "1", "previouslyFormattedCitation" : "&lt;sup&gt;1&lt;/sup&gt;"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1</w:t>
      </w:r>
      <w:r w:rsidR="00690383" w:rsidRPr="00DC459C">
        <w:rPr>
          <w:color w:val="auto"/>
        </w:rPr>
        <w:fldChar w:fldCharType="end"/>
      </w:r>
      <w:r w:rsidR="0062012C" w:rsidRPr="00DC459C">
        <w:rPr>
          <w:color w:val="auto"/>
        </w:rPr>
        <w:t xml:space="preserve">. Finally, capsule </w:t>
      </w:r>
      <w:r w:rsidR="00331402" w:rsidRPr="00DC459C">
        <w:rPr>
          <w:color w:val="auto"/>
        </w:rPr>
        <w:t>is</w:t>
      </w:r>
      <w:r w:rsidR="0062012C" w:rsidRPr="00DC459C">
        <w:rPr>
          <w:color w:val="auto"/>
        </w:rPr>
        <w:t xml:space="preserve"> </w:t>
      </w:r>
      <w:r w:rsidR="00331402" w:rsidRPr="00DC459C">
        <w:rPr>
          <w:color w:val="auto"/>
        </w:rPr>
        <w:t xml:space="preserve">visible </w:t>
      </w:r>
      <w:r w:rsidR="002E50E0" w:rsidRPr="00DC459C">
        <w:rPr>
          <w:color w:val="auto"/>
        </w:rPr>
        <w:t xml:space="preserve">directly by </w:t>
      </w:r>
      <w:r w:rsidR="00E61F70" w:rsidRPr="00DC459C">
        <w:rPr>
          <w:color w:val="auto"/>
        </w:rPr>
        <w:t>microscopy</w:t>
      </w:r>
      <w:r w:rsidR="007307C8" w:rsidRPr="00DC459C">
        <w:rPr>
          <w:color w:val="auto"/>
        </w:rPr>
        <w:t xml:space="preserve"> (</w:t>
      </w:r>
      <w:r w:rsidR="00DC459C" w:rsidRPr="00DC459C">
        <w:rPr>
          <w:b/>
          <w:color w:val="auto"/>
        </w:rPr>
        <w:t>Figure 1A</w:t>
      </w:r>
      <w:r w:rsidR="007307C8" w:rsidRPr="00DC459C">
        <w:rPr>
          <w:color w:val="auto"/>
        </w:rPr>
        <w:t>)</w:t>
      </w:r>
      <w:r w:rsidR="002E50E0" w:rsidRPr="00DC459C">
        <w:rPr>
          <w:color w:val="auto"/>
        </w:rPr>
        <w:t xml:space="preserve">. </w:t>
      </w:r>
      <w:r w:rsidR="00776C87" w:rsidRPr="00DC459C">
        <w:rPr>
          <w:color w:val="auto"/>
        </w:rPr>
        <w:t xml:space="preserve">Of these methods, only microscopy allows the user to observe different capsulation states within a single population, and none of these methods </w:t>
      </w:r>
      <w:r w:rsidR="00B374A7" w:rsidRPr="00DC459C">
        <w:rPr>
          <w:color w:val="auto"/>
        </w:rPr>
        <w:t>enables</w:t>
      </w:r>
      <w:r w:rsidR="00776C87" w:rsidRPr="00DC459C">
        <w:rPr>
          <w:color w:val="auto"/>
        </w:rPr>
        <w:t xml:space="preserve"> the physical separation of capsulated and non-capsulated bacteria.</w:t>
      </w:r>
    </w:p>
    <w:p w14:paraId="048257D7" w14:textId="77777777" w:rsidR="002E50E0" w:rsidRPr="00DC459C" w:rsidRDefault="002E50E0" w:rsidP="00DC459C">
      <w:pPr>
        <w:widowControl/>
        <w:rPr>
          <w:color w:val="auto"/>
        </w:rPr>
      </w:pPr>
    </w:p>
    <w:p w14:paraId="17708B87" w14:textId="28150227" w:rsidR="00FB31C9" w:rsidRPr="00DC459C" w:rsidRDefault="001C1F68" w:rsidP="00DC459C">
      <w:pPr>
        <w:widowControl/>
        <w:rPr>
          <w:color w:val="auto"/>
        </w:rPr>
      </w:pPr>
      <w:r w:rsidRPr="00DC459C">
        <w:rPr>
          <w:color w:val="auto"/>
        </w:rPr>
        <w:t xml:space="preserve">Density-based separations </w:t>
      </w:r>
      <w:r w:rsidR="00D8121C" w:rsidRPr="00DC459C">
        <w:rPr>
          <w:color w:val="auto"/>
        </w:rPr>
        <w:t xml:space="preserve">by gradient centrifugation </w:t>
      </w:r>
      <w:r w:rsidR="0083436E" w:rsidRPr="00DC459C">
        <w:rPr>
          <w:color w:val="auto"/>
        </w:rPr>
        <w:t>a</w:t>
      </w:r>
      <w:r w:rsidR="00D8121C" w:rsidRPr="00DC459C">
        <w:rPr>
          <w:color w:val="auto"/>
        </w:rPr>
        <w:t>re routinely used in cell biology to purify different eukaryotic cell</w:t>
      </w:r>
      <w:r w:rsidR="00787037" w:rsidRPr="00DC459C">
        <w:rPr>
          <w:color w:val="auto"/>
        </w:rPr>
        <w:t xml:space="preserve"> types</w:t>
      </w:r>
      <w:r w:rsidR="00690383" w:rsidRPr="00DC459C">
        <w:rPr>
          <w:color w:val="auto"/>
        </w:rPr>
        <w:fldChar w:fldCharType="begin" w:fldLock="1"/>
      </w:r>
      <w:r w:rsidR="00690383" w:rsidRPr="00DC459C">
        <w:rPr>
          <w:color w:val="auto"/>
        </w:rPr>
        <w:instrText>ADDIN CSL_CITATION { "citationItems" : [ { "id" : "ITEM-1", "itemData" : { "DOI" : "10.3791/51554", "ISBN" : "1940-087X (Electronic)\r1940-087X (Linking)", "ISSN" : "1940-087X", "PMID" : "25226391", "abstract" : "Human macrophages are involved in a plethora of pathologic processes ranging from infectious diseases to cancer. Thus they pose a valuable tool to understand the underlying mechanisms of these diseases. We therefore present a straightforward protocol for the isolation of human monocytes from buffy coats, followed by a differentiation procedure which results in high macrophage yields. The technique relies mostly on commonly available lab equipment and thus provides a cost and time effective way to obtain large quantities of human macrophages. Briefly, buffy coats from healthy blood donors are subjected to a double density gradient centrifugation to harvest monocytes from the peripheral blood. These monocytes are then cultured in fluorinated ethylene propylene (FEP) Teflon-coated cell culture bags in the presence of macrophage colony-stimulating factor (M-CSF). The differentiated macrophages can be easily harvested and used for subsequent studies and functional assays. Important methods for quality control and validation of the isolation and differentiation steps will be highlighted within the protocol. In summary, the protocol described here enables scientists to routinely and reproducibly isolate human macrophages without the need for cost intensive tools. Furthermore, disease models can be studied in a syngeneic human system circumventing the use of murine macrophages.", "author" : [ { "dropping-particle" : "", "family" : "Menck", "given" : "Kerstin", "non-dropping-particle" : "", "parse-names" : false, "suffix" : "" }, { "dropping-particle" : "", "family" : "Behme", "given" : "Daniel", "non-dropping-particle" : "", "parse-names" : false, "suffix" : "" }, { "dropping-particle" : "", "family" : "Pantke", "given" : "Mathias", "non-dropping-particle" : "", "parse-names" : false, "suffix" : "" }, { "dropping-particle" : "", "family" : "Reiling", "given" : "Norbert", "non-dropping-particle" : "", "parse-names" : false, "suffix" : "" }, { "dropping-particle" : "", "family" : "Binder", "given" : "Claudia", "non-dropping-particle" : "", "parse-names" : false, "suffix" : "" }, { "dropping-particle" : "", "family" : "Pukrop", "given" : "Tobias", "non-dropping-particle" : "", "parse-names" : false, "suffix" : "" }, { "dropping-particle" : "", "family" : "Klemm", "given" : "Florian", "non-dropping-particle" : "", "parse-names" : false, "suffix" : "" } ], "container-title" : "Journal of Visualized Experiments", "id" : "ITEM-1", "issue" : "91", "issued" : { "date-parts" : [ [ "2014" ] ] }, "page" : "1-10", "title" : "Isolation of Human Monocytes by Double Gradient Centrifugation and Their Differentiation to Macrophages in Teflon-coated Cell Culture Bags", "type" : "article-journal" }, "uris" : [ "http://www.mendeley.com/documents/?uuid=0d966302-42c0-41de-8738-a90948d52371" ] } ], "mendeley" : { "formattedCitation" : "&lt;sup&gt;7&lt;/sup&gt;", "plainTextFormattedCitation" : "7", "previouslyFormattedCitation" : "&lt;sup&gt;7&lt;/sup&gt;"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7</w:t>
      </w:r>
      <w:r w:rsidR="00690383" w:rsidRPr="00DC459C">
        <w:rPr>
          <w:color w:val="auto"/>
        </w:rPr>
        <w:fldChar w:fldCharType="end"/>
      </w:r>
      <w:r w:rsidR="00D8121C" w:rsidRPr="00DC459C">
        <w:rPr>
          <w:color w:val="auto"/>
        </w:rPr>
        <w:t xml:space="preserve">, but are rarely used in microbiological research. </w:t>
      </w:r>
      <w:r w:rsidR="0044582A" w:rsidRPr="00DC459C">
        <w:rPr>
          <w:color w:val="auto"/>
        </w:rPr>
        <w:t xml:space="preserve">The </w:t>
      </w:r>
      <w:proofErr w:type="spellStart"/>
      <w:r w:rsidR="0044582A" w:rsidRPr="00DC459C">
        <w:rPr>
          <w:color w:val="auto"/>
        </w:rPr>
        <w:t>mucoviscosity</w:t>
      </w:r>
      <w:proofErr w:type="spellEnd"/>
      <w:r w:rsidR="0044582A" w:rsidRPr="00DC459C">
        <w:rPr>
          <w:color w:val="auto"/>
        </w:rPr>
        <w:t xml:space="preserve"> assay for </w:t>
      </w:r>
      <w:r w:rsidR="000D1BE9" w:rsidRPr="00DC459C">
        <w:rPr>
          <w:i/>
          <w:color w:val="auto"/>
        </w:rPr>
        <w:t>Klebsiella</w:t>
      </w:r>
      <w:r w:rsidR="000D1BE9" w:rsidRPr="00DC459C">
        <w:rPr>
          <w:color w:val="auto"/>
        </w:rPr>
        <w:t xml:space="preserve"> is based on the observation that highly capsulated bacteria take more time to pellet by centrifugation,</w:t>
      </w:r>
      <w:r w:rsidR="0044582A" w:rsidRPr="00DC459C">
        <w:rPr>
          <w:color w:val="auto"/>
        </w:rPr>
        <w:t xml:space="preserve"> and we reasoned that this may be due to reduced overall density of</w:t>
      </w:r>
      <w:r w:rsidR="000D1BE9" w:rsidRPr="00DC459C">
        <w:rPr>
          <w:color w:val="auto"/>
        </w:rPr>
        <w:t xml:space="preserve"> capsulated cells</w:t>
      </w:r>
      <w:r w:rsidR="0044582A" w:rsidRPr="00DC459C">
        <w:rPr>
          <w:color w:val="auto"/>
        </w:rPr>
        <w:t xml:space="preserve">. </w:t>
      </w:r>
      <w:r w:rsidR="00331402" w:rsidRPr="00DC459C">
        <w:rPr>
          <w:color w:val="auto"/>
        </w:rPr>
        <w:t xml:space="preserve">The method shown here was developed </w:t>
      </w:r>
      <w:r w:rsidR="0044582A" w:rsidRPr="00DC459C">
        <w:rPr>
          <w:color w:val="auto"/>
        </w:rPr>
        <w:t xml:space="preserve">to separate </w:t>
      </w:r>
      <w:r w:rsidR="00492E4A" w:rsidRPr="00DC459C">
        <w:rPr>
          <w:i/>
          <w:color w:val="auto"/>
        </w:rPr>
        <w:t xml:space="preserve">K. pneumoniae </w:t>
      </w:r>
      <w:r w:rsidR="00492E4A" w:rsidRPr="00DC459C">
        <w:rPr>
          <w:color w:val="auto"/>
        </w:rPr>
        <w:t xml:space="preserve">populations </w:t>
      </w:r>
      <w:r w:rsidR="006238EC" w:rsidRPr="00DC459C">
        <w:rPr>
          <w:color w:val="auto"/>
        </w:rPr>
        <w:t xml:space="preserve">physically </w:t>
      </w:r>
      <w:r w:rsidR="00492E4A" w:rsidRPr="00DC459C">
        <w:rPr>
          <w:color w:val="auto"/>
        </w:rPr>
        <w:t>b</w:t>
      </w:r>
      <w:r w:rsidR="000D1BE9" w:rsidRPr="00DC459C">
        <w:rPr>
          <w:color w:val="auto"/>
        </w:rPr>
        <w:t>y</w:t>
      </w:r>
      <w:r w:rsidR="00492E4A" w:rsidRPr="00DC459C">
        <w:rPr>
          <w:color w:val="auto"/>
        </w:rPr>
        <w:t xml:space="preserve"> capsule amount</w:t>
      </w:r>
      <w:r w:rsidR="0044582A" w:rsidRPr="00DC459C">
        <w:rPr>
          <w:color w:val="auto"/>
        </w:rPr>
        <w:t>, using density gradient centrifugation</w:t>
      </w:r>
      <w:r w:rsidR="00072601" w:rsidRPr="00DC459C">
        <w:rPr>
          <w:color w:val="auto"/>
        </w:rPr>
        <w:t xml:space="preserve"> (</w:t>
      </w:r>
      <w:r w:rsidR="00DC459C" w:rsidRPr="00DC459C">
        <w:rPr>
          <w:b/>
          <w:color w:val="auto"/>
        </w:rPr>
        <w:t>Figure 1</w:t>
      </w:r>
      <w:r w:rsidR="00072601" w:rsidRPr="00DC459C">
        <w:rPr>
          <w:color w:val="auto"/>
        </w:rPr>
        <w:t>)</w:t>
      </w:r>
      <w:r w:rsidR="00331402" w:rsidRPr="00DC459C">
        <w:rPr>
          <w:color w:val="auto"/>
        </w:rPr>
        <w:t xml:space="preserve">. This method was </w:t>
      </w:r>
      <w:r w:rsidR="00492E4A" w:rsidRPr="00DC459C">
        <w:rPr>
          <w:color w:val="auto"/>
        </w:rPr>
        <w:t xml:space="preserve">applied successfully to </w:t>
      </w:r>
      <w:r w:rsidR="00492E4A" w:rsidRPr="00DC459C">
        <w:rPr>
          <w:i/>
          <w:color w:val="auto"/>
        </w:rPr>
        <w:t xml:space="preserve">Streptococcus </w:t>
      </w:r>
      <w:r w:rsidR="00025E22" w:rsidRPr="00DC459C">
        <w:rPr>
          <w:i/>
          <w:color w:val="auto"/>
        </w:rPr>
        <w:t>pneumonia</w:t>
      </w:r>
      <w:r w:rsidR="00E31945" w:rsidRPr="00DC459C">
        <w:rPr>
          <w:i/>
          <w:color w:val="auto"/>
        </w:rPr>
        <w:t>e</w:t>
      </w:r>
      <w:r w:rsidR="00492E4A" w:rsidRPr="00DC459C">
        <w:rPr>
          <w:color w:val="auto"/>
        </w:rPr>
        <w:t xml:space="preserve">, </w:t>
      </w:r>
      <w:r w:rsidR="00B84D07" w:rsidRPr="00DC459C">
        <w:rPr>
          <w:color w:val="auto"/>
        </w:rPr>
        <w:t xml:space="preserve">indicating that it is applicable to </w:t>
      </w:r>
      <w:r w:rsidR="00492E4A" w:rsidRPr="00DC459C">
        <w:rPr>
          <w:color w:val="auto"/>
        </w:rPr>
        <w:t xml:space="preserve">other bacterial species. </w:t>
      </w:r>
      <w:r w:rsidR="00B374A7" w:rsidRPr="00DC459C">
        <w:rPr>
          <w:color w:val="auto"/>
        </w:rPr>
        <w:t>D</w:t>
      </w:r>
      <w:r w:rsidR="00504A7D" w:rsidRPr="00DC459C">
        <w:rPr>
          <w:color w:val="auto"/>
        </w:rPr>
        <w:t>ensity-gradient separation of a saturated transposon mutant library coupled with transposon-insertion sequencing (density-</w:t>
      </w:r>
      <w:proofErr w:type="spellStart"/>
      <w:r w:rsidR="00504A7D" w:rsidRPr="00DC459C">
        <w:rPr>
          <w:color w:val="auto"/>
        </w:rPr>
        <w:t>TraDISort</w:t>
      </w:r>
      <w:proofErr w:type="spellEnd"/>
      <w:r w:rsidR="00504A7D" w:rsidRPr="00DC459C">
        <w:rPr>
          <w:color w:val="auto"/>
        </w:rPr>
        <w:t>)</w:t>
      </w:r>
      <w:r w:rsidR="00331402" w:rsidRPr="00DC459C">
        <w:rPr>
          <w:color w:val="auto"/>
        </w:rPr>
        <w:t xml:space="preserve"> </w:t>
      </w:r>
      <w:r w:rsidR="00E31945" w:rsidRPr="00DC459C">
        <w:rPr>
          <w:color w:val="auto"/>
        </w:rPr>
        <w:t>has been</w:t>
      </w:r>
      <w:r w:rsidR="00331402" w:rsidRPr="00DC459C">
        <w:rPr>
          <w:color w:val="auto"/>
        </w:rPr>
        <w:t xml:space="preserve"> used</w:t>
      </w:r>
      <w:r w:rsidR="00504A7D" w:rsidRPr="00DC459C">
        <w:rPr>
          <w:color w:val="auto"/>
        </w:rPr>
        <w:t xml:space="preserve"> to identify genes involved in </w:t>
      </w:r>
      <w:r w:rsidR="00884108" w:rsidRPr="00DC459C">
        <w:rPr>
          <w:color w:val="auto"/>
        </w:rPr>
        <w:t xml:space="preserve">the </w:t>
      </w:r>
      <w:r w:rsidR="00504A7D" w:rsidRPr="00DC459C">
        <w:rPr>
          <w:color w:val="auto"/>
        </w:rPr>
        <w:t>capsule production and regulation</w:t>
      </w:r>
      <w:r w:rsidR="00690383" w:rsidRPr="00DC459C">
        <w:rPr>
          <w:color w:val="auto"/>
        </w:rPr>
        <w:fldChar w:fldCharType="begin" w:fldLock="1"/>
      </w:r>
      <w:r w:rsidR="00690383" w:rsidRPr="00DC459C">
        <w:rPr>
          <w:color w:val="auto"/>
        </w:rPr>
        <w:instrText>ADDIN CSL_CITATION { "citationItems" : [ { "id" : "ITEM-1", "itemData" : { "ISBN" : "8128565710", "author" : [ { "dropping-particle" : "", "family" : "Bauer", "given" : "Carl", "non-dropping-particle" : "", "parse-names" : false, "suffix" : "" } ], "id" : "ITEM-1", "issued" : { "date-parts" : [ [ "2015" ] ] }, "title" : "Microbiology DNA Binding Properties of a cGMP Binding CRP Homolog That Controls Development of Metabolically Dormant Cysts of Rhodospirillum centenum DNA Binding Properties of a cGMP Binding CRP Homolog That Controls Development of Metabolically Dormant C", "type" : "book" }, "uris" : [ "http://www.mendeley.com/documents/?uuid=26015992-3cf3-4343-8f31-4a13eb5227ce" ] } ], "mendeley" : { "formattedCitation" : "&lt;sup&gt;8&lt;/sup&gt;", "plainTextFormattedCitation" : "8", "previouslyFormattedCitation" : "&lt;sup&gt;8&lt;/sup&gt;" }, "properties" : {  }, "schema" : "https://github.com/citation-style-language/schema/raw/master/csl-citation.json" }</w:instrText>
      </w:r>
      <w:r w:rsidR="00690383" w:rsidRPr="00DC459C">
        <w:rPr>
          <w:color w:val="auto"/>
        </w:rPr>
        <w:fldChar w:fldCharType="separate"/>
      </w:r>
      <w:r w:rsidR="00690383" w:rsidRPr="00DC459C">
        <w:rPr>
          <w:color w:val="auto"/>
          <w:vertAlign w:val="superscript"/>
        </w:rPr>
        <w:t>8</w:t>
      </w:r>
      <w:r w:rsidR="00690383" w:rsidRPr="00DC459C">
        <w:rPr>
          <w:color w:val="auto"/>
        </w:rPr>
        <w:fldChar w:fldCharType="end"/>
      </w:r>
      <w:r w:rsidR="00504A7D" w:rsidRPr="00DC459C">
        <w:rPr>
          <w:color w:val="auto"/>
        </w:rPr>
        <w:t xml:space="preserve">. </w:t>
      </w:r>
      <w:r w:rsidR="006238EC" w:rsidRPr="00DC459C">
        <w:rPr>
          <w:color w:val="auto"/>
        </w:rPr>
        <w:t>Similarly</w:t>
      </w:r>
      <w:r w:rsidR="00AC2B0F" w:rsidRPr="00DC459C">
        <w:rPr>
          <w:color w:val="auto"/>
        </w:rPr>
        <w:t>,</w:t>
      </w:r>
      <w:r w:rsidR="006238EC" w:rsidRPr="00DC459C">
        <w:rPr>
          <w:color w:val="auto"/>
        </w:rPr>
        <w:t xml:space="preserve"> </w:t>
      </w:r>
      <w:r w:rsidR="00504A7D" w:rsidRPr="00DC459C">
        <w:rPr>
          <w:color w:val="auto"/>
        </w:rPr>
        <w:t xml:space="preserve">this method </w:t>
      </w:r>
      <w:r w:rsidR="00331402" w:rsidRPr="00DC459C">
        <w:rPr>
          <w:color w:val="auto"/>
        </w:rPr>
        <w:t xml:space="preserve">was used </w:t>
      </w:r>
      <w:r w:rsidR="00690383" w:rsidRPr="00DC459C">
        <w:rPr>
          <w:color w:val="auto"/>
        </w:rPr>
        <w:t>in conjunction with</w:t>
      </w:r>
      <w:r w:rsidR="00504A7D" w:rsidRPr="00DC459C">
        <w:rPr>
          <w:color w:val="auto"/>
        </w:rPr>
        <w:t xml:space="preserve"> random-prime </w:t>
      </w:r>
      <w:r w:rsidR="00E43B5C" w:rsidRPr="00DC459C">
        <w:rPr>
          <w:color w:val="auto"/>
        </w:rPr>
        <w:t>polymerase chain reaction (</w:t>
      </w:r>
      <w:r w:rsidR="00504A7D" w:rsidRPr="00DC459C">
        <w:rPr>
          <w:color w:val="auto"/>
        </w:rPr>
        <w:t>PCR</w:t>
      </w:r>
      <w:r w:rsidR="00E43B5C" w:rsidRPr="00DC459C">
        <w:rPr>
          <w:color w:val="auto"/>
        </w:rPr>
        <w:t>)</w:t>
      </w:r>
      <w:r w:rsidR="00504A7D" w:rsidRPr="00DC459C">
        <w:rPr>
          <w:color w:val="auto"/>
        </w:rPr>
        <w:t xml:space="preserve"> of individual colonies to isolate non-capsulated </w:t>
      </w:r>
      <w:r w:rsidR="00504A7D" w:rsidRPr="00DC459C">
        <w:rPr>
          <w:i/>
          <w:color w:val="auto"/>
        </w:rPr>
        <w:t>K. pneumoniae</w:t>
      </w:r>
      <w:r w:rsidR="00504A7D" w:rsidRPr="00DC459C">
        <w:rPr>
          <w:color w:val="auto"/>
        </w:rPr>
        <w:t xml:space="preserve"> mutants. </w:t>
      </w:r>
      <w:r w:rsidR="00331402" w:rsidRPr="00DC459C">
        <w:rPr>
          <w:color w:val="auto"/>
        </w:rPr>
        <w:t>This method can</w:t>
      </w:r>
      <w:r w:rsidR="00E31945" w:rsidRPr="00DC459C">
        <w:rPr>
          <w:color w:val="auto"/>
        </w:rPr>
        <w:t xml:space="preserve"> also</w:t>
      </w:r>
      <w:r w:rsidR="00331402" w:rsidRPr="00DC459C">
        <w:rPr>
          <w:color w:val="auto"/>
        </w:rPr>
        <w:t xml:space="preserve"> </w:t>
      </w:r>
      <w:r w:rsidR="00FB31C9" w:rsidRPr="00DC459C">
        <w:rPr>
          <w:color w:val="auto"/>
        </w:rPr>
        <w:t xml:space="preserve">be used </w:t>
      </w:r>
      <w:r w:rsidR="00C77C77" w:rsidRPr="00DC459C">
        <w:rPr>
          <w:color w:val="auto"/>
        </w:rPr>
        <w:t>for rapid comparisons of</w:t>
      </w:r>
      <w:r w:rsidR="00FB31C9" w:rsidRPr="00DC459C">
        <w:rPr>
          <w:color w:val="auto"/>
        </w:rPr>
        <w:t xml:space="preserve"> capsule production between different populations and conditions, or to purify capsulated bacteria from complex samples</w:t>
      </w:r>
      <w:r w:rsidR="00112771" w:rsidRPr="00DC459C">
        <w:rPr>
          <w:color w:val="auto"/>
        </w:rPr>
        <w:t xml:space="preserve"> (</w:t>
      </w:r>
      <w:r w:rsidR="00DC459C" w:rsidRPr="00DC459C">
        <w:rPr>
          <w:b/>
          <w:color w:val="auto"/>
        </w:rPr>
        <w:t>Figure 1B</w:t>
      </w:r>
      <w:r w:rsidR="00112771" w:rsidRPr="00DC459C">
        <w:rPr>
          <w:color w:val="auto"/>
        </w:rPr>
        <w:t>)</w:t>
      </w:r>
      <w:r w:rsidR="00FB31C9" w:rsidRPr="00DC459C">
        <w:rPr>
          <w:color w:val="auto"/>
        </w:rPr>
        <w:t xml:space="preserve">. Finally, there is the option to assay other </w:t>
      </w:r>
      <w:r w:rsidR="0044582A" w:rsidRPr="00DC459C">
        <w:rPr>
          <w:color w:val="auto"/>
        </w:rPr>
        <w:t xml:space="preserve">phenotypes that affect density, </w:t>
      </w:r>
      <w:r w:rsidR="00FB31C9" w:rsidRPr="00DC459C">
        <w:rPr>
          <w:color w:val="auto"/>
        </w:rPr>
        <w:t>such as cell size or aggregation.</w:t>
      </w:r>
    </w:p>
    <w:p w14:paraId="53A58B44" w14:textId="77777777" w:rsidR="00FB31C9" w:rsidRPr="00DC459C" w:rsidRDefault="00FB31C9" w:rsidP="00DC459C">
      <w:pPr>
        <w:widowControl/>
        <w:rPr>
          <w:color w:val="auto"/>
        </w:rPr>
      </w:pPr>
    </w:p>
    <w:p w14:paraId="10DC85A6" w14:textId="46A1634B" w:rsidR="00937A65" w:rsidRPr="00DC459C" w:rsidRDefault="00E31945" w:rsidP="00DC459C">
      <w:pPr>
        <w:widowControl/>
        <w:rPr>
          <w:color w:val="auto"/>
        </w:rPr>
      </w:pPr>
      <w:r w:rsidRPr="00DC459C">
        <w:rPr>
          <w:color w:val="auto"/>
        </w:rPr>
        <w:t xml:space="preserve">This </w:t>
      </w:r>
      <w:r w:rsidR="00620301" w:rsidRPr="00DC459C">
        <w:rPr>
          <w:color w:val="auto"/>
        </w:rPr>
        <w:t>manuscript</w:t>
      </w:r>
      <w:r w:rsidR="00B23F7D" w:rsidRPr="00DC459C">
        <w:rPr>
          <w:color w:val="auto"/>
        </w:rPr>
        <w:t xml:space="preserve"> demonstrates</w:t>
      </w:r>
      <w:r w:rsidRPr="00DC459C">
        <w:rPr>
          <w:color w:val="auto"/>
        </w:rPr>
        <w:t xml:space="preserve"> how to optimize t</w:t>
      </w:r>
      <w:r w:rsidR="00937A65" w:rsidRPr="00DC459C">
        <w:rPr>
          <w:color w:val="auto"/>
        </w:rPr>
        <w:t>he procedure</w:t>
      </w:r>
      <w:r w:rsidRPr="00DC459C">
        <w:rPr>
          <w:color w:val="auto"/>
        </w:rPr>
        <w:t xml:space="preserve"> for a new bacterial species or </w:t>
      </w:r>
      <w:r w:rsidR="00890DFC" w:rsidRPr="00DC459C">
        <w:rPr>
          <w:color w:val="auto"/>
        </w:rPr>
        <w:t>strain and</w:t>
      </w:r>
      <w:r w:rsidRPr="00DC459C">
        <w:rPr>
          <w:color w:val="auto"/>
        </w:rPr>
        <w:t xml:space="preserve"> demonstrates the construction and running of a discontinuous density gradient to separate hyper-capsulated, capsulated and non-capsulated bacteria.</w:t>
      </w:r>
    </w:p>
    <w:p w14:paraId="76FFF1E4" w14:textId="77777777" w:rsidR="00766F6C" w:rsidRPr="00DC459C" w:rsidRDefault="00766F6C" w:rsidP="00DC459C">
      <w:pPr>
        <w:widowControl/>
        <w:rPr>
          <w:b/>
          <w:color w:val="auto"/>
        </w:rPr>
      </w:pPr>
    </w:p>
    <w:p w14:paraId="2C0138D9" w14:textId="055910F0" w:rsidR="00BF4877" w:rsidRPr="00DC459C" w:rsidRDefault="006305D7" w:rsidP="00DC459C">
      <w:pPr>
        <w:widowControl/>
        <w:rPr>
          <w:b/>
          <w:color w:val="auto"/>
        </w:rPr>
      </w:pPr>
      <w:r w:rsidRPr="00DC459C">
        <w:rPr>
          <w:b/>
          <w:color w:val="auto"/>
        </w:rPr>
        <w:t>PROTOCOL:</w:t>
      </w:r>
      <w:r w:rsidR="00B23F7D" w:rsidRPr="00DC459C" w:rsidDel="00B23F7D">
        <w:rPr>
          <w:color w:val="auto"/>
        </w:rPr>
        <w:t xml:space="preserve"> </w:t>
      </w:r>
    </w:p>
    <w:p w14:paraId="1AC3937F" w14:textId="77777777" w:rsidR="00D27D5D" w:rsidRPr="00DC459C" w:rsidRDefault="00D27D5D" w:rsidP="00DC459C">
      <w:pPr>
        <w:widowControl/>
        <w:rPr>
          <w:color w:val="auto"/>
        </w:rPr>
      </w:pPr>
    </w:p>
    <w:p w14:paraId="6F843171" w14:textId="6E6E5BC5" w:rsidR="007301B7" w:rsidRPr="00DC459C" w:rsidRDefault="00A36A78" w:rsidP="00DC459C">
      <w:pPr>
        <w:widowControl/>
        <w:rPr>
          <w:color w:val="auto"/>
        </w:rPr>
      </w:pPr>
      <w:r w:rsidRPr="00DC459C">
        <w:rPr>
          <w:color w:val="auto"/>
        </w:rPr>
        <w:t>N</w:t>
      </w:r>
      <w:r w:rsidR="00B23F7D" w:rsidRPr="00DC459C">
        <w:rPr>
          <w:color w:val="auto"/>
        </w:rPr>
        <w:t>ote</w:t>
      </w:r>
      <w:r w:rsidRPr="00DC459C">
        <w:rPr>
          <w:color w:val="auto"/>
        </w:rPr>
        <w:t xml:space="preserve">: </w:t>
      </w:r>
      <w:r w:rsidR="007301B7" w:rsidRPr="00DC459C">
        <w:rPr>
          <w:color w:val="auto"/>
        </w:rPr>
        <w:t xml:space="preserve">Ensure </w:t>
      </w:r>
      <w:r w:rsidR="009D4161" w:rsidRPr="00DC459C">
        <w:rPr>
          <w:color w:val="auto"/>
        </w:rPr>
        <w:t>that</w:t>
      </w:r>
      <w:r w:rsidR="007301B7" w:rsidRPr="00DC459C">
        <w:rPr>
          <w:color w:val="auto"/>
        </w:rPr>
        <w:t xml:space="preserve"> any risk assessments applicable to </w:t>
      </w:r>
      <w:r w:rsidRPr="00DC459C">
        <w:rPr>
          <w:color w:val="auto"/>
        </w:rPr>
        <w:t>the</w:t>
      </w:r>
      <w:r w:rsidR="007301B7" w:rsidRPr="00DC459C">
        <w:rPr>
          <w:color w:val="auto"/>
        </w:rPr>
        <w:t xml:space="preserve"> bacteria</w:t>
      </w:r>
      <w:r w:rsidR="00E31945" w:rsidRPr="00DC459C">
        <w:rPr>
          <w:color w:val="auto"/>
        </w:rPr>
        <w:t>l</w:t>
      </w:r>
      <w:r w:rsidR="007301B7" w:rsidRPr="00DC459C">
        <w:rPr>
          <w:color w:val="auto"/>
        </w:rPr>
        <w:t xml:space="preserve"> strains </w:t>
      </w:r>
      <w:r w:rsidR="00B23F7D" w:rsidRPr="00DC459C">
        <w:rPr>
          <w:color w:val="auto"/>
        </w:rPr>
        <w:t xml:space="preserve">are adhered to </w:t>
      </w:r>
      <w:r w:rsidR="007301B7" w:rsidRPr="00DC459C">
        <w:rPr>
          <w:color w:val="auto"/>
        </w:rPr>
        <w:t xml:space="preserve">when culturing and </w:t>
      </w:r>
      <w:r w:rsidR="00D27D5D" w:rsidRPr="00DC459C">
        <w:rPr>
          <w:color w:val="auto"/>
        </w:rPr>
        <w:t>handling samples</w:t>
      </w:r>
      <w:r w:rsidR="00E31945" w:rsidRPr="00DC459C">
        <w:rPr>
          <w:color w:val="auto"/>
        </w:rPr>
        <w:t>.</w:t>
      </w:r>
      <w:r w:rsidR="00890DFC" w:rsidRPr="00DC459C">
        <w:rPr>
          <w:color w:val="auto"/>
        </w:rPr>
        <w:t xml:space="preserve"> </w:t>
      </w:r>
      <w:r w:rsidR="007301B7" w:rsidRPr="00DC459C">
        <w:rPr>
          <w:color w:val="auto"/>
        </w:rPr>
        <w:t xml:space="preserve">Be aware that </w:t>
      </w:r>
      <w:r w:rsidR="00E31945" w:rsidRPr="00DC459C">
        <w:rPr>
          <w:color w:val="auto"/>
        </w:rPr>
        <w:t>setting up</w:t>
      </w:r>
      <w:r w:rsidR="007301B7" w:rsidRPr="00DC459C">
        <w:rPr>
          <w:color w:val="auto"/>
        </w:rPr>
        <w:t xml:space="preserve"> too ma</w:t>
      </w:r>
      <w:r w:rsidR="00143A3F" w:rsidRPr="00DC459C">
        <w:rPr>
          <w:color w:val="auto"/>
        </w:rPr>
        <w:t>n</w:t>
      </w:r>
      <w:r w:rsidR="007301B7" w:rsidRPr="00DC459C">
        <w:rPr>
          <w:color w:val="auto"/>
        </w:rPr>
        <w:t xml:space="preserve">y gradients at one time can lead to </w:t>
      </w:r>
      <w:r w:rsidR="007301B7" w:rsidRPr="00DC459C">
        <w:rPr>
          <w:bCs/>
          <w:color w:val="auto"/>
          <w:shd w:val="clear" w:color="auto" w:fill="FFFFFF"/>
        </w:rPr>
        <w:t xml:space="preserve">musculoskeletal disorders due to </w:t>
      </w:r>
      <w:r w:rsidR="00143A3F" w:rsidRPr="00DC459C">
        <w:rPr>
          <w:bCs/>
          <w:color w:val="auto"/>
          <w:shd w:val="clear" w:color="auto" w:fill="FFFFFF"/>
        </w:rPr>
        <w:t xml:space="preserve">the </w:t>
      </w:r>
      <w:r w:rsidR="00E31945" w:rsidRPr="00DC459C">
        <w:rPr>
          <w:bCs/>
          <w:color w:val="auto"/>
          <w:shd w:val="clear" w:color="auto" w:fill="FFFFFF"/>
        </w:rPr>
        <w:t xml:space="preserve">pressure on joints from </w:t>
      </w:r>
      <w:r w:rsidR="007301B7" w:rsidRPr="00DC459C">
        <w:rPr>
          <w:bCs/>
          <w:color w:val="auto"/>
          <w:shd w:val="clear" w:color="auto" w:fill="FFFFFF"/>
        </w:rPr>
        <w:t xml:space="preserve">the slow pipetting involved. </w:t>
      </w:r>
      <w:r w:rsidR="00B23F7D" w:rsidRPr="00DC459C">
        <w:rPr>
          <w:bCs/>
          <w:color w:val="auto"/>
          <w:shd w:val="clear" w:color="auto" w:fill="FFFFFF"/>
        </w:rPr>
        <w:t>P</w:t>
      </w:r>
      <w:r w:rsidR="007301B7" w:rsidRPr="00DC459C">
        <w:rPr>
          <w:bCs/>
          <w:color w:val="auto"/>
          <w:shd w:val="clear" w:color="auto" w:fill="FFFFFF"/>
        </w:rPr>
        <w:t>lan work and take precautions to avoid injury.</w:t>
      </w:r>
    </w:p>
    <w:p w14:paraId="3D69AEFE" w14:textId="77777777" w:rsidR="007301B7" w:rsidRPr="00DC459C" w:rsidRDefault="007301B7" w:rsidP="00DC459C">
      <w:pPr>
        <w:widowControl/>
        <w:rPr>
          <w:color w:val="auto"/>
        </w:rPr>
      </w:pPr>
    </w:p>
    <w:p w14:paraId="1A6B1254" w14:textId="5B881CB8" w:rsidR="00153985" w:rsidRPr="00DC459C" w:rsidRDefault="00153985" w:rsidP="00DC459C">
      <w:pPr>
        <w:widowControl/>
        <w:rPr>
          <w:b/>
          <w:color w:val="auto"/>
        </w:rPr>
      </w:pPr>
      <w:r w:rsidRPr="00DC459C">
        <w:rPr>
          <w:b/>
          <w:color w:val="auto"/>
          <w:highlight w:val="yellow"/>
        </w:rPr>
        <w:lastRenderedPageBreak/>
        <w:t>1. Prepar</w:t>
      </w:r>
      <w:r w:rsidR="00D27D5D" w:rsidRPr="00DC459C">
        <w:rPr>
          <w:b/>
          <w:color w:val="auto"/>
          <w:highlight w:val="yellow"/>
        </w:rPr>
        <w:t>ation of</w:t>
      </w:r>
      <w:r w:rsidRPr="00DC459C">
        <w:rPr>
          <w:b/>
          <w:color w:val="auto"/>
          <w:highlight w:val="yellow"/>
        </w:rPr>
        <w:t xml:space="preserve"> </w:t>
      </w:r>
      <w:r w:rsidR="00D27D5D" w:rsidRPr="00DC459C">
        <w:rPr>
          <w:b/>
          <w:color w:val="auto"/>
          <w:highlight w:val="yellow"/>
        </w:rPr>
        <w:t>B</w:t>
      </w:r>
      <w:r w:rsidR="00326D1F" w:rsidRPr="00DC459C">
        <w:rPr>
          <w:b/>
          <w:color w:val="auto"/>
          <w:highlight w:val="yellow"/>
        </w:rPr>
        <w:t xml:space="preserve">acterial </w:t>
      </w:r>
      <w:r w:rsidR="00D27D5D" w:rsidRPr="00DC459C">
        <w:rPr>
          <w:b/>
          <w:color w:val="auto"/>
          <w:highlight w:val="yellow"/>
        </w:rPr>
        <w:t>S</w:t>
      </w:r>
      <w:r w:rsidRPr="00DC459C">
        <w:rPr>
          <w:b/>
          <w:color w:val="auto"/>
          <w:highlight w:val="yellow"/>
        </w:rPr>
        <w:t>trains</w:t>
      </w:r>
      <w:r w:rsidR="00B84D07" w:rsidRPr="00DC459C">
        <w:rPr>
          <w:b/>
          <w:color w:val="auto"/>
          <w:highlight w:val="yellow"/>
        </w:rPr>
        <w:t xml:space="preserve"> or </w:t>
      </w:r>
      <w:r w:rsidR="00D27D5D" w:rsidRPr="00DC459C">
        <w:rPr>
          <w:b/>
          <w:color w:val="auto"/>
          <w:highlight w:val="yellow"/>
        </w:rPr>
        <w:t>M</w:t>
      </w:r>
      <w:r w:rsidR="00B84D07" w:rsidRPr="00DC459C">
        <w:rPr>
          <w:b/>
          <w:color w:val="auto"/>
          <w:highlight w:val="yellow"/>
        </w:rPr>
        <w:t xml:space="preserve">utant </w:t>
      </w:r>
      <w:r w:rsidR="00D27D5D" w:rsidRPr="00DC459C">
        <w:rPr>
          <w:b/>
          <w:color w:val="auto"/>
          <w:highlight w:val="yellow"/>
        </w:rPr>
        <w:t>L</w:t>
      </w:r>
      <w:r w:rsidR="00B84D07" w:rsidRPr="00DC459C">
        <w:rPr>
          <w:b/>
          <w:color w:val="auto"/>
          <w:highlight w:val="yellow"/>
        </w:rPr>
        <w:t>ibraries</w:t>
      </w:r>
    </w:p>
    <w:p w14:paraId="18AAE201" w14:textId="77777777" w:rsidR="00890DFC" w:rsidRPr="00DC459C" w:rsidRDefault="00890DFC" w:rsidP="00DC459C">
      <w:pPr>
        <w:widowControl/>
        <w:rPr>
          <w:color w:val="auto"/>
        </w:rPr>
      </w:pPr>
    </w:p>
    <w:p w14:paraId="6EAD10C2" w14:textId="457E4484" w:rsidR="00987F8A" w:rsidRPr="00DC459C" w:rsidRDefault="00B95CF1" w:rsidP="00DC459C">
      <w:pPr>
        <w:widowControl/>
        <w:rPr>
          <w:color w:val="auto"/>
        </w:rPr>
      </w:pPr>
      <w:r w:rsidRPr="00DC459C">
        <w:rPr>
          <w:color w:val="auto"/>
        </w:rPr>
        <w:t>1.1</w:t>
      </w:r>
      <w:r w:rsidR="00717DD9" w:rsidRPr="00DC459C">
        <w:rPr>
          <w:color w:val="auto"/>
        </w:rPr>
        <w:t>.</w:t>
      </w:r>
      <w:r w:rsidRPr="00DC459C">
        <w:rPr>
          <w:color w:val="auto"/>
        </w:rPr>
        <w:tab/>
        <w:t xml:space="preserve">Streak out the strains </w:t>
      </w:r>
      <w:r w:rsidR="009D4161" w:rsidRPr="00DC459C">
        <w:rPr>
          <w:color w:val="auto"/>
        </w:rPr>
        <w:t>to be tested</w:t>
      </w:r>
      <w:r w:rsidRPr="00DC459C">
        <w:rPr>
          <w:color w:val="auto"/>
        </w:rPr>
        <w:t xml:space="preserve"> </w:t>
      </w:r>
      <w:r w:rsidR="00326D1F" w:rsidRPr="00DC459C">
        <w:rPr>
          <w:color w:val="auto"/>
        </w:rPr>
        <w:t>on appropriate agar plates</w:t>
      </w:r>
      <w:r w:rsidR="005876FE" w:rsidRPr="00DC459C">
        <w:rPr>
          <w:color w:val="auto"/>
        </w:rPr>
        <w:t>.</w:t>
      </w:r>
      <w:r w:rsidR="003A0E81" w:rsidRPr="00DC459C">
        <w:rPr>
          <w:color w:val="auto"/>
        </w:rPr>
        <w:t xml:space="preserve"> </w:t>
      </w:r>
      <w:r w:rsidR="00B23F7D" w:rsidRPr="00DC459C">
        <w:rPr>
          <w:color w:val="auto"/>
        </w:rPr>
        <w:t>T</w:t>
      </w:r>
      <w:r w:rsidR="00890DFC" w:rsidRPr="00DC459C">
        <w:rPr>
          <w:color w:val="auto"/>
        </w:rPr>
        <w:t>hese a</w:t>
      </w:r>
      <w:r w:rsidR="00B23F7D" w:rsidRPr="00DC459C">
        <w:rPr>
          <w:color w:val="auto"/>
        </w:rPr>
        <w:t>re</w:t>
      </w:r>
      <w:r w:rsidR="00890DFC" w:rsidRPr="00DC459C">
        <w:rPr>
          <w:color w:val="auto"/>
        </w:rPr>
        <w:t xml:space="preserve"> </w:t>
      </w:r>
      <w:r w:rsidR="003A0E81" w:rsidRPr="00DC459C">
        <w:rPr>
          <w:color w:val="auto"/>
        </w:rPr>
        <w:t>stock plates for the experiment</w:t>
      </w:r>
      <w:r w:rsidR="00E31945" w:rsidRPr="00DC459C">
        <w:rPr>
          <w:color w:val="auto"/>
        </w:rPr>
        <w:t>.</w:t>
      </w:r>
    </w:p>
    <w:p w14:paraId="0068DEDD" w14:textId="77777777" w:rsidR="00326D1F" w:rsidRPr="00DC459C" w:rsidRDefault="00326D1F" w:rsidP="00DC459C">
      <w:pPr>
        <w:widowControl/>
        <w:rPr>
          <w:color w:val="auto"/>
        </w:rPr>
      </w:pPr>
    </w:p>
    <w:p w14:paraId="2553E512" w14:textId="552D9275" w:rsidR="00987F8A" w:rsidRPr="00DC459C" w:rsidRDefault="00153985" w:rsidP="00DC459C">
      <w:pPr>
        <w:widowControl/>
        <w:rPr>
          <w:color w:val="auto"/>
        </w:rPr>
      </w:pPr>
      <w:r w:rsidRPr="00DC459C">
        <w:rPr>
          <w:color w:val="auto"/>
        </w:rPr>
        <w:t>1.1.1</w:t>
      </w:r>
      <w:r w:rsidR="00717DD9" w:rsidRPr="00DC459C">
        <w:rPr>
          <w:color w:val="auto"/>
        </w:rPr>
        <w:t>.</w:t>
      </w:r>
      <w:r w:rsidRPr="00DC459C">
        <w:rPr>
          <w:color w:val="auto"/>
        </w:rPr>
        <w:tab/>
        <w:t xml:space="preserve">Incubate </w:t>
      </w:r>
      <w:r w:rsidR="00326D1F" w:rsidRPr="00DC459C">
        <w:rPr>
          <w:color w:val="auto"/>
        </w:rPr>
        <w:t xml:space="preserve">the plates </w:t>
      </w:r>
      <w:r w:rsidRPr="00DC459C">
        <w:rPr>
          <w:color w:val="auto"/>
        </w:rPr>
        <w:t xml:space="preserve">overnight at the </w:t>
      </w:r>
      <w:r w:rsidR="00326D1F" w:rsidRPr="00DC459C">
        <w:rPr>
          <w:color w:val="auto"/>
        </w:rPr>
        <w:t>desired</w:t>
      </w:r>
      <w:r w:rsidRPr="00DC459C">
        <w:rPr>
          <w:color w:val="auto"/>
        </w:rPr>
        <w:t xml:space="preserve"> temperature to achieve single colonies.</w:t>
      </w:r>
      <w:r w:rsidR="00C60B5B">
        <w:rPr>
          <w:color w:val="auto"/>
        </w:rPr>
        <w:t xml:space="preserve"> </w:t>
      </w:r>
      <w:r w:rsidR="00987F8A" w:rsidRPr="00DC459C">
        <w:rPr>
          <w:color w:val="auto"/>
        </w:rPr>
        <w:t>For this experiment</w:t>
      </w:r>
      <w:r w:rsidR="00987F8A" w:rsidRPr="00DC459C">
        <w:rPr>
          <w:i/>
          <w:color w:val="auto"/>
        </w:rPr>
        <w:t>,</w:t>
      </w:r>
      <w:r w:rsidR="00C00961" w:rsidRPr="00DC459C">
        <w:rPr>
          <w:i/>
          <w:color w:val="auto"/>
        </w:rPr>
        <w:t xml:space="preserve"> </w:t>
      </w:r>
      <w:r w:rsidR="00C00961" w:rsidRPr="00DC459C">
        <w:rPr>
          <w:color w:val="auto"/>
        </w:rPr>
        <w:t>culture</w:t>
      </w:r>
      <w:r w:rsidR="00C749D5" w:rsidRPr="00DC459C">
        <w:rPr>
          <w:i/>
          <w:color w:val="auto"/>
        </w:rPr>
        <w:t xml:space="preserve"> K.</w:t>
      </w:r>
      <w:r w:rsidR="00987F8A" w:rsidRPr="00DC459C">
        <w:rPr>
          <w:i/>
          <w:color w:val="auto"/>
        </w:rPr>
        <w:t xml:space="preserve"> </w:t>
      </w:r>
      <w:r w:rsidR="00E31945" w:rsidRPr="00DC459C">
        <w:rPr>
          <w:i/>
          <w:color w:val="auto"/>
        </w:rPr>
        <w:t>p</w:t>
      </w:r>
      <w:r w:rsidR="00987F8A" w:rsidRPr="00DC459C">
        <w:rPr>
          <w:i/>
          <w:color w:val="auto"/>
        </w:rPr>
        <w:t>neumoniae</w:t>
      </w:r>
      <w:r w:rsidR="00987F8A" w:rsidRPr="00DC459C">
        <w:rPr>
          <w:color w:val="auto"/>
        </w:rPr>
        <w:t xml:space="preserve"> (</w:t>
      </w:r>
      <w:r w:rsidR="0085548B" w:rsidRPr="00DC459C">
        <w:rPr>
          <w:color w:val="auto"/>
        </w:rPr>
        <w:t>NTUH-K2044 and ATCC43816 strains</w:t>
      </w:r>
      <w:r w:rsidR="00987F8A" w:rsidRPr="00DC459C">
        <w:rPr>
          <w:color w:val="auto"/>
        </w:rPr>
        <w:t xml:space="preserve">) on </w:t>
      </w:r>
      <w:r w:rsidR="000A0E4D" w:rsidRPr="000A0E4D">
        <w:rPr>
          <w:color w:val="auto"/>
        </w:rPr>
        <w:t xml:space="preserve">Luria broth </w:t>
      </w:r>
      <w:r w:rsidR="000A0E4D">
        <w:rPr>
          <w:color w:val="auto"/>
        </w:rPr>
        <w:t>(</w:t>
      </w:r>
      <w:r w:rsidR="00987F8A" w:rsidRPr="00DC459C">
        <w:rPr>
          <w:color w:val="auto"/>
        </w:rPr>
        <w:t>LB</w:t>
      </w:r>
      <w:r w:rsidR="000A0E4D">
        <w:rPr>
          <w:color w:val="auto"/>
        </w:rPr>
        <w:t>)</w:t>
      </w:r>
      <w:r w:rsidR="00987F8A" w:rsidRPr="00DC459C">
        <w:rPr>
          <w:color w:val="auto"/>
        </w:rPr>
        <w:t xml:space="preserve"> agar at 37</w:t>
      </w:r>
      <w:r w:rsidR="00EC778F" w:rsidRPr="00DC459C">
        <w:rPr>
          <w:color w:val="auto"/>
        </w:rPr>
        <w:t xml:space="preserve"> </w:t>
      </w:r>
      <w:r w:rsidR="0072520D" w:rsidRPr="00DC459C">
        <w:rPr>
          <w:color w:val="auto"/>
        </w:rPr>
        <w:t>°</w:t>
      </w:r>
      <w:r w:rsidR="00EC778F" w:rsidRPr="00DC459C">
        <w:rPr>
          <w:color w:val="auto"/>
        </w:rPr>
        <w:t>C</w:t>
      </w:r>
      <w:r w:rsidR="00C749D5" w:rsidRPr="00DC459C">
        <w:rPr>
          <w:color w:val="auto"/>
        </w:rPr>
        <w:t xml:space="preserve">, and </w:t>
      </w:r>
      <w:r w:rsidR="00C749D5" w:rsidRPr="00DC459C">
        <w:rPr>
          <w:i/>
          <w:color w:val="auto"/>
        </w:rPr>
        <w:t>S.</w:t>
      </w:r>
      <w:r w:rsidR="007E23CC" w:rsidRPr="00DC459C">
        <w:rPr>
          <w:i/>
          <w:color w:val="auto"/>
        </w:rPr>
        <w:t xml:space="preserve"> pneumoniae</w:t>
      </w:r>
      <w:r w:rsidR="007E23CC" w:rsidRPr="00DC459C">
        <w:rPr>
          <w:color w:val="auto"/>
        </w:rPr>
        <w:t xml:space="preserve"> (23F wild type and 23F</w:t>
      </w:r>
      <w:r w:rsidR="00E31945" w:rsidRPr="00DC459C">
        <w:rPr>
          <w:color w:val="auto"/>
        </w:rPr>
        <w:t xml:space="preserve"> ∆</w:t>
      </w:r>
      <w:r w:rsidR="00E31945" w:rsidRPr="00DC459C">
        <w:rPr>
          <w:i/>
          <w:color w:val="auto"/>
        </w:rPr>
        <w:t>cps</w:t>
      </w:r>
      <w:r w:rsidR="00987F8A" w:rsidRPr="00DC459C">
        <w:rPr>
          <w:color w:val="auto"/>
        </w:rPr>
        <w:t xml:space="preserve">) on blood agar in a </w:t>
      </w:r>
      <w:r w:rsidR="007E23CC" w:rsidRPr="00DC459C">
        <w:rPr>
          <w:color w:val="auto"/>
        </w:rPr>
        <w:t>humidified candle jar</w:t>
      </w:r>
      <w:r w:rsidR="007301B7" w:rsidRPr="00DC459C">
        <w:rPr>
          <w:color w:val="auto"/>
        </w:rPr>
        <w:t xml:space="preserve"> at 37</w:t>
      </w:r>
      <w:r w:rsidR="00EC778F" w:rsidRPr="00DC459C">
        <w:rPr>
          <w:color w:val="auto"/>
        </w:rPr>
        <w:t xml:space="preserve"> </w:t>
      </w:r>
      <w:r w:rsidR="005B1B7E" w:rsidRPr="00DC459C">
        <w:rPr>
          <w:color w:val="auto"/>
        </w:rPr>
        <w:t>°</w:t>
      </w:r>
      <w:r w:rsidR="00EC778F" w:rsidRPr="00DC459C">
        <w:rPr>
          <w:color w:val="auto"/>
        </w:rPr>
        <w:t>C</w:t>
      </w:r>
      <w:r w:rsidR="00987F8A" w:rsidRPr="00DC459C">
        <w:rPr>
          <w:color w:val="auto"/>
        </w:rPr>
        <w:t>.</w:t>
      </w:r>
    </w:p>
    <w:p w14:paraId="1E87AD0C" w14:textId="77777777" w:rsidR="00987F8A" w:rsidRPr="00DC459C" w:rsidRDefault="00987F8A" w:rsidP="00DC459C">
      <w:pPr>
        <w:widowControl/>
        <w:rPr>
          <w:color w:val="auto"/>
        </w:rPr>
      </w:pPr>
    </w:p>
    <w:p w14:paraId="5606601A" w14:textId="244860D9" w:rsidR="008A1CDB" w:rsidRPr="00DC459C" w:rsidRDefault="00153985" w:rsidP="00DC459C">
      <w:pPr>
        <w:widowControl/>
        <w:rPr>
          <w:color w:val="auto"/>
        </w:rPr>
      </w:pPr>
      <w:r w:rsidRPr="00DC459C">
        <w:rPr>
          <w:color w:val="auto"/>
          <w:highlight w:val="yellow"/>
        </w:rPr>
        <w:t>1.2</w:t>
      </w:r>
      <w:r w:rsidR="00717DD9" w:rsidRPr="00DC459C">
        <w:rPr>
          <w:color w:val="auto"/>
          <w:highlight w:val="yellow"/>
        </w:rPr>
        <w:t>.</w:t>
      </w:r>
      <w:r w:rsidRPr="00DC459C">
        <w:rPr>
          <w:color w:val="auto"/>
          <w:highlight w:val="yellow"/>
        </w:rPr>
        <w:tab/>
        <w:t>Pick a single colony</w:t>
      </w:r>
      <w:r w:rsidR="003A0E81" w:rsidRPr="00DC459C">
        <w:rPr>
          <w:color w:val="auto"/>
          <w:highlight w:val="yellow"/>
        </w:rPr>
        <w:t xml:space="preserve"> from a stock plate</w:t>
      </w:r>
      <w:r w:rsidR="00B23F7D" w:rsidRPr="00DC459C">
        <w:rPr>
          <w:color w:val="auto"/>
          <w:highlight w:val="yellow"/>
        </w:rPr>
        <w:t xml:space="preserve"> (step 1.1)</w:t>
      </w:r>
      <w:r w:rsidRPr="00DC459C">
        <w:rPr>
          <w:color w:val="auto"/>
          <w:highlight w:val="yellow"/>
        </w:rPr>
        <w:t xml:space="preserve"> </w:t>
      </w:r>
      <w:r w:rsidR="00326D1F" w:rsidRPr="00DC459C">
        <w:rPr>
          <w:color w:val="auto"/>
          <w:highlight w:val="yellow"/>
        </w:rPr>
        <w:t>to inoculate</w:t>
      </w:r>
      <w:r w:rsidRPr="00DC459C">
        <w:rPr>
          <w:color w:val="auto"/>
          <w:highlight w:val="yellow"/>
        </w:rPr>
        <w:t xml:space="preserve"> </w:t>
      </w:r>
      <w:r w:rsidR="00BE0D2F" w:rsidRPr="00DC459C">
        <w:rPr>
          <w:color w:val="auto"/>
          <w:highlight w:val="yellow"/>
        </w:rPr>
        <w:t xml:space="preserve">10 </w:t>
      </w:r>
      <w:r w:rsidRPr="00DC459C">
        <w:rPr>
          <w:color w:val="auto"/>
          <w:highlight w:val="yellow"/>
        </w:rPr>
        <w:t>m</w:t>
      </w:r>
      <w:r w:rsidR="00143A3F" w:rsidRPr="00DC459C">
        <w:rPr>
          <w:color w:val="auto"/>
          <w:highlight w:val="yellow"/>
        </w:rPr>
        <w:t>L</w:t>
      </w:r>
      <w:r w:rsidRPr="00DC459C">
        <w:rPr>
          <w:color w:val="auto"/>
          <w:highlight w:val="yellow"/>
        </w:rPr>
        <w:t xml:space="preserve"> of appropriate broth</w:t>
      </w:r>
      <w:r w:rsidR="00987F8A" w:rsidRPr="00DC459C">
        <w:rPr>
          <w:color w:val="auto"/>
          <w:highlight w:val="yellow"/>
        </w:rPr>
        <w:t xml:space="preserve"> using a sterile loop or cocktail stick.</w:t>
      </w:r>
      <w:r w:rsidR="00B84D07" w:rsidRPr="00DC459C">
        <w:rPr>
          <w:color w:val="auto"/>
          <w:highlight w:val="yellow"/>
        </w:rPr>
        <w:t xml:space="preserve"> </w:t>
      </w:r>
      <w:r w:rsidR="00987F8A" w:rsidRPr="00DC459C">
        <w:rPr>
          <w:color w:val="auto"/>
          <w:highlight w:val="yellow"/>
        </w:rPr>
        <w:t>F</w:t>
      </w:r>
      <w:r w:rsidR="00B84D07" w:rsidRPr="00DC459C">
        <w:rPr>
          <w:color w:val="auto"/>
          <w:highlight w:val="yellow"/>
        </w:rPr>
        <w:t>or screening of random mutant libraries, inoculate</w:t>
      </w:r>
      <w:r w:rsidR="00987F8A" w:rsidRPr="00DC459C">
        <w:rPr>
          <w:color w:val="auto"/>
          <w:highlight w:val="yellow"/>
        </w:rPr>
        <w:t xml:space="preserve"> the</w:t>
      </w:r>
      <w:r w:rsidR="00B84D07" w:rsidRPr="00DC459C">
        <w:rPr>
          <w:color w:val="auto"/>
          <w:highlight w:val="yellow"/>
        </w:rPr>
        <w:t xml:space="preserve"> broth with</w:t>
      </w:r>
      <w:r w:rsidR="00E31945" w:rsidRPr="00DC459C">
        <w:rPr>
          <w:color w:val="auto"/>
          <w:highlight w:val="yellow"/>
        </w:rPr>
        <w:t xml:space="preserve"> </w:t>
      </w:r>
      <w:r w:rsidR="00987F8A" w:rsidRPr="00DC459C">
        <w:rPr>
          <w:color w:val="auto"/>
          <w:highlight w:val="yellow"/>
        </w:rPr>
        <w:t>1</w:t>
      </w:r>
      <w:r w:rsidR="00E31945" w:rsidRPr="00DC459C">
        <w:rPr>
          <w:color w:val="auto"/>
          <w:highlight w:val="yellow"/>
        </w:rPr>
        <w:t>0</w:t>
      </w:r>
      <w:r w:rsidR="009D4161" w:rsidRPr="00DC459C">
        <w:rPr>
          <w:color w:val="auto"/>
          <w:highlight w:val="yellow"/>
        </w:rPr>
        <w:t xml:space="preserve"> </w:t>
      </w:r>
      <w:r w:rsidR="00DC459C">
        <w:rPr>
          <w:color w:val="auto"/>
          <w:highlight w:val="yellow"/>
        </w:rPr>
        <w:t>µL</w:t>
      </w:r>
      <w:r w:rsidR="00E31945" w:rsidRPr="00DC459C">
        <w:rPr>
          <w:color w:val="auto"/>
          <w:highlight w:val="yellow"/>
        </w:rPr>
        <w:t xml:space="preserve"> </w:t>
      </w:r>
      <w:r w:rsidR="00987F8A" w:rsidRPr="00DC459C">
        <w:rPr>
          <w:color w:val="auto"/>
          <w:highlight w:val="yellow"/>
        </w:rPr>
        <w:t xml:space="preserve">of </w:t>
      </w:r>
      <w:r w:rsidR="00B23F7D" w:rsidRPr="00DC459C">
        <w:rPr>
          <w:color w:val="auto"/>
          <w:highlight w:val="yellow"/>
        </w:rPr>
        <w:t>the random mutant library stock (</w:t>
      </w:r>
      <w:proofErr w:type="spellStart"/>
      <w:r w:rsidR="00B23F7D" w:rsidRPr="00DC459C">
        <w:rPr>
          <w:color w:val="auto"/>
          <w:highlight w:val="yellow"/>
        </w:rPr>
        <w:t>TraDIS</w:t>
      </w:r>
      <w:proofErr w:type="spellEnd"/>
      <w:r w:rsidR="00B23F7D" w:rsidRPr="00DC459C">
        <w:rPr>
          <w:color w:val="auto"/>
          <w:highlight w:val="yellow"/>
        </w:rPr>
        <w:t xml:space="preserve"> Library)</w:t>
      </w:r>
      <w:r w:rsidR="00CD6657" w:rsidRPr="008A66AA">
        <w:rPr>
          <w:color w:val="auto"/>
          <w:highlight w:val="yellow"/>
        </w:rPr>
        <w:t>.</w:t>
      </w:r>
    </w:p>
    <w:p w14:paraId="7A008B72" w14:textId="77777777" w:rsidR="00326D1F" w:rsidRPr="00DC459C" w:rsidRDefault="00326D1F" w:rsidP="00DC459C">
      <w:pPr>
        <w:widowControl/>
        <w:rPr>
          <w:color w:val="auto"/>
        </w:rPr>
      </w:pPr>
    </w:p>
    <w:p w14:paraId="01F28A35" w14:textId="59F82DBF" w:rsidR="00326D1F" w:rsidRPr="00DC459C" w:rsidRDefault="00153985" w:rsidP="00DC459C">
      <w:pPr>
        <w:widowControl/>
        <w:rPr>
          <w:color w:val="auto"/>
        </w:rPr>
      </w:pPr>
      <w:r w:rsidRPr="00DC459C">
        <w:rPr>
          <w:color w:val="auto"/>
          <w:highlight w:val="yellow"/>
        </w:rPr>
        <w:t>1.2.1</w:t>
      </w:r>
      <w:r w:rsidR="00717DD9" w:rsidRPr="00DC459C">
        <w:rPr>
          <w:color w:val="auto"/>
          <w:highlight w:val="yellow"/>
        </w:rPr>
        <w:t>.</w:t>
      </w:r>
      <w:r w:rsidRPr="00DC459C">
        <w:rPr>
          <w:color w:val="auto"/>
          <w:highlight w:val="yellow"/>
        </w:rPr>
        <w:tab/>
        <w:t xml:space="preserve">Incubate </w:t>
      </w:r>
      <w:r w:rsidR="00CD6657" w:rsidRPr="00DC459C">
        <w:rPr>
          <w:i/>
          <w:color w:val="auto"/>
          <w:highlight w:val="yellow"/>
        </w:rPr>
        <w:t>K. pneumoniae</w:t>
      </w:r>
      <w:r w:rsidR="00CD6657" w:rsidRPr="00DC459C">
        <w:rPr>
          <w:color w:val="auto"/>
          <w:highlight w:val="yellow"/>
        </w:rPr>
        <w:t xml:space="preserve"> strains </w:t>
      </w:r>
      <w:r w:rsidR="00614226" w:rsidRPr="00DC459C">
        <w:rPr>
          <w:color w:val="auto"/>
          <w:highlight w:val="yellow"/>
        </w:rPr>
        <w:t xml:space="preserve">in </w:t>
      </w:r>
      <w:r w:rsidR="00CD6657" w:rsidRPr="00DC459C">
        <w:rPr>
          <w:color w:val="auto"/>
          <w:highlight w:val="yellow"/>
        </w:rPr>
        <w:t xml:space="preserve">low salt LB media at 37 </w:t>
      </w:r>
      <w:r w:rsidR="005B1B7E" w:rsidRPr="00DC459C">
        <w:rPr>
          <w:color w:val="auto"/>
          <w:highlight w:val="yellow"/>
        </w:rPr>
        <w:t>°C</w:t>
      </w:r>
      <w:r w:rsidR="00CD6657" w:rsidRPr="00DC459C">
        <w:rPr>
          <w:color w:val="auto"/>
          <w:highlight w:val="yellow"/>
        </w:rPr>
        <w:t xml:space="preserve"> with shaking, and </w:t>
      </w:r>
      <w:r w:rsidR="00CD6657" w:rsidRPr="00DC459C">
        <w:rPr>
          <w:i/>
          <w:color w:val="auto"/>
          <w:highlight w:val="yellow"/>
        </w:rPr>
        <w:t>S. pneumoniae</w:t>
      </w:r>
      <w:r w:rsidR="00CD6657" w:rsidRPr="00DC459C">
        <w:rPr>
          <w:color w:val="auto"/>
          <w:highlight w:val="yellow"/>
        </w:rPr>
        <w:t xml:space="preserve"> strains in </w:t>
      </w:r>
      <w:r w:rsidR="00B403F8" w:rsidRPr="00DC459C">
        <w:rPr>
          <w:color w:val="auto"/>
          <w:highlight w:val="yellow"/>
        </w:rPr>
        <w:t xml:space="preserve">brain heart infusion </w:t>
      </w:r>
      <w:r w:rsidR="00C2629B" w:rsidRPr="00DC459C">
        <w:rPr>
          <w:color w:val="auto"/>
          <w:highlight w:val="yellow"/>
        </w:rPr>
        <w:t>(</w:t>
      </w:r>
      <w:r w:rsidR="00CD6657" w:rsidRPr="00DC459C">
        <w:rPr>
          <w:color w:val="auto"/>
          <w:highlight w:val="yellow"/>
        </w:rPr>
        <w:t>BHI</w:t>
      </w:r>
      <w:r w:rsidR="00C2629B" w:rsidRPr="00DC459C">
        <w:rPr>
          <w:color w:val="auto"/>
          <w:highlight w:val="yellow"/>
        </w:rPr>
        <w:t>)</w:t>
      </w:r>
      <w:r w:rsidR="00CD6657" w:rsidRPr="00DC459C">
        <w:rPr>
          <w:color w:val="auto"/>
          <w:highlight w:val="yellow"/>
        </w:rPr>
        <w:t xml:space="preserve"> media, statically at 37 </w:t>
      </w:r>
      <w:r w:rsidR="005B1B7E" w:rsidRPr="00DC459C">
        <w:rPr>
          <w:color w:val="auto"/>
          <w:highlight w:val="yellow"/>
        </w:rPr>
        <w:t>°C</w:t>
      </w:r>
      <w:r w:rsidR="00CD6657" w:rsidRPr="00DC459C">
        <w:rPr>
          <w:color w:val="auto"/>
          <w:highlight w:val="yellow"/>
        </w:rPr>
        <w:t>.</w:t>
      </w:r>
    </w:p>
    <w:p w14:paraId="50ACB50C" w14:textId="77777777" w:rsidR="00BF4877" w:rsidRPr="00DC459C" w:rsidRDefault="00BF4877" w:rsidP="00DC459C">
      <w:pPr>
        <w:widowControl/>
        <w:rPr>
          <w:color w:val="auto"/>
        </w:rPr>
      </w:pPr>
    </w:p>
    <w:p w14:paraId="0CAA6422" w14:textId="6F37DE85" w:rsidR="008A1CDB" w:rsidRPr="00DC459C" w:rsidRDefault="00326D1F" w:rsidP="00DC459C">
      <w:pPr>
        <w:widowControl/>
        <w:rPr>
          <w:color w:val="auto"/>
        </w:rPr>
      </w:pPr>
      <w:r w:rsidRPr="00DC459C">
        <w:rPr>
          <w:color w:val="auto"/>
          <w:highlight w:val="yellow"/>
        </w:rPr>
        <w:t>1.2.2</w:t>
      </w:r>
      <w:r w:rsidR="00717DD9" w:rsidRPr="00DC459C">
        <w:rPr>
          <w:color w:val="auto"/>
          <w:highlight w:val="yellow"/>
        </w:rPr>
        <w:t>.</w:t>
      </w:r>
      <w:r w:rsidRPr="00DC459C">
        <w:rPr>
          <w:color w:val="auto"/>
          <w:highlight w:val="yellow"/>
        </w:rPr>
        <w:tab/>
      </w:r>
      <w:r w:rsidR="00A8192C" w:rsidRPr="00DC459C">
        <w:rPr>
          <w:color w:val="auto"/>
          <w:highlight w:val="yellow"/>
        </w:rPr>
        <w:t>Transfer the overnight culture to a 15</w:t>
      </w:r>
      <w:r w:rsidR="009D4161" w:rsidRPr="00DC459C">
        <w:rPr>
          <w:color w:val="auto"/>
          <w:highlight w:val="yellow"/>
        </w:rPr>
        <w:t xml:space="preserve"> </w:t>
      </w:r>
      <w:r w:rsidR="00A8192C" w:rsidRPr="00DC459C">
        <w:rPr>
          <w:color w:val="auto"/>
          <w:highlight w:val="yellow"/>
        </w:rPr>
        <w:t>m</w:t>
      </w:r>
      <w:r w:rsidR="002456DF" w:rsidRPr="00DC459C">
        <w:rPr>
          <w:color w:val="auto"/>
          <w:highlight w:val="yellow"/>
        </w:rPr>
        <w:t>L</w:t>
      </w:r>
      <w:r w:rsidR="00A8192C" w:rsidRPr="00DC459C">
        <w:rPr>
          <w:color w:val="auto"/>
          <w:highlight w:val="yellow"/>
        </w:rPr>
        <w:t xml:space="preserve"> tube and centrifuge in a </w:t>
      </w:r>
      <w:r w:rsidR="009D4161" w:rsidRPr="00DC459C">
        <w:rPr>
          <w:color w:val="auto"/>
          <w:highlight w:val="yellow"/>
        </w:rPr>
        <w:t>bench-</w:t>
      </w:r>
      <w:r w:rsidR="006C31FE" w:rsidRPr="00DC459C">
        <w:rPr>
          <w:color w:val="auto"/>
          <w:highlight w:val="yellow"/>
        </w:rPr>
        <w:t>top</w:t>
      </w:r>
      <w:r w:rsidR="00A8192C" w:rsidRPr="00DC459C">
        <w:rPr>
          <w:color w:val="auto"/>
          <w:highlight w:val="yellow"/>
        </w:rPr>
        <w:t xml:space="preserve"> centrifuge </w:t>
      </w:r>
      <w:r w:rsidR="00DE5A9B" w:rsidRPr="00DC459C">
        <w:rPr>
          <w:color w:val="auto"/>
          <w:highlight w:val="yellow"/>
        </w:rPr>
        <w:t xml:space="preserve">for 10 min at </w:t>
      </w:r>
      <w:r w:rsidR="00C749D5" w:rsidRPr="00DC459C">
        <w:rPr>
          <w:color w:val="auto"/>
          <w:highlight w:val="yellow"/>
        </w:rPr>
        <w:t>3</w:t>
      </w:r>
      <w:r w:rsidR="009D4161" w:rsidRPr="00DC459C">
        <w:rPr>
          <w:color w:val="auto"/>
          <w:highlight w:val="yellow"/>
        </w:rPr>
        <w:t>,</w:t>
      </w:r>
      <w:r w:rsidR="002B65DF" w:rsidRPr="00DC459C">
        <w:rPr>
          <w:color w:val="auto"/>
          <w:highlight w:val="yellow"/>
        </w:rPr>
        <w:t>200</w:t>
      </w:r>
      <w:r w:rsidR="00C749D5" w:rsidRPr="00DC459C">
        <w:rPr>
          <w:color w:val="auto"/>
          <w:highlight w:val="yellow"/>
        </w:rPr>
        <w:t xml:space="preserve"> x g</w:t>
      </w:r>
      <w:r w:rsidR="006C31FE" w:rsidRPr="00DC459C">
        <w:rPr>
          <w:color w:val="auto"/>
          <w:highlight w:val="yellow"/>
        </w:rPr>
        <w:t xml:space="preserve"> in swing out buckets with 15</w:t>
      </w:r>
      <w:r w:rsidR="009D4161" w:rsidRPr="00DC459C">
        <w:rPr>
          <w:color w:val="auto"/>
          <w:highlight w:val="yellow"/>
        </w:rPr>
        <w:t xml:space="preserve"> </w:t>
      </w:r>
      <w:r w:rsidR="006C31FE" w:rsidRPr="00DC459C">
        <w:rPr>
          <w:color w:val="auto"/>
          <w:highlight w:val="yellow"/>
        </w:rPr>
        <w:t>m</w:t>
      </w:r>
      <w:r w:rsidR="005B386B" w:rsidRPr="00DC459C">
        <w:rPr>
          <w:color w:val="auto"/>
          <w:highlight w:val="yellow"/>
        </w:rPr>
        <w:t>L</w:t>
      </w:r>
      <w:r w:rsidR="006C31FE" w:rsidRPr="00DC459C">
        <w:rPr>
          <w:color w:val="auto"/>
          <w:highlight w:val="yellow"/>
        </w:rPr>
        <w:t xml:space="preserve"> tube inse</w:t>
      </w:r>
      <w:r w:rsidR="00ED57F0" w:rsidRPr="00DC459C">
        <w:rPr>
          <w:color w:val="auto"/>
          <w:highlight w:val="yellow"/>
        </w:rPr>
        <w:t>r</w:t>
      </w:r>
      <w:r w:rsidR="006C31FE" w:rsidRPr="00DC459C">
        <w:rPr>
          <w:color w:val="auto"/>
          <w:highlight w:val="yellow"/>
        </w:rPr>
        <w:t>ts and aerosol tight lids</w:t>
      </w:r>
      <w:r w:rsidR="008A1CDB" w:rsidRPr="00DC459C">
        <w:rPr>
          <w:color w:val="auto"/>
          <w:highlight w:val="yellow"/>
        </w:rPr>
        <w:t>.</w:t>
      </w:r>
      <w:r w:rsidR="008A1CDB" w:rsidRPr="00DC459C">
        <w:rPr>
          <w:color w:val="auto"/>
        </w:rPr>
        <w:t xml:space="preserve"> </w:t>
      </w:r>
    </w:p>
    <w:p w14:paraId="7FD01D80" w14:textId="77777777" w:rsidR="008A1CDB" w:rsidRPr="00DC459C" w:rsidRDefault="008A1CDB" w:rsidP="00DC459C">
      <w:pPr>
        <w:widowControl/>
        <w:rPr>
          <w:color w:val="auto"/>
        </w:rPr>
      </w:pPr>
    </w:p>
    <w:p w14:paraId="339CA467" w14:textId="75293ACA" w:rsidR="008A1CDB" w:rsidRPr="00DC459C" w:rsidRDefault="00BF4877" w:rsidP="00DC459C">
      <w:pPr>
        <w:widowControl/>
        <w:rPr>
          <w:color w:val="auto"/>
        </w:rPr>
      </w:pPr>
      <w:r w:rsidRPr="004F5905">
        <w:rPr>
          <w:color w:val="auto"/>
          <w:highlight w:val="yellow"/>
        </w:rPr>
        <w:t>1.2.3</w:t>
      </w:r>
      <w:r w:rsidR="00717DD9" w:rsidRPr="004F5905">
        <w:rPr>
          <w:color w:val="auto"/>
          <w:highlight w:val="yellow"/>
        </w:rPr>
        <w:t>.</w:t>
      </w:r>
      <w:r w:rsidR="00A8192C" w:rsidRPr="004F5905">
        <w:rPr>
          <w:color w:val="auto"/>
          <w:highlight w:val="yellow"/>
        </w:rPr>
        <w:tab/>
        <w:t xml:space="preserve">Discard the supernatant and resuspend the pellet in </w:t>
      </w:r>
      <w:r w:rsidR="00BE0D2F" w:rsidRPr="004F5905">
        <w:rPr>
          <w:color w:val="auto"/>
          <w:highlight w:val="yellow"/>
        </w:rPr>
        <w:t>2</w:t>
      </w:r>
      <w:r w:rsidR="009D4161" w:rsidRPr="004F5905">
        <w:rPr>
          <w:color w:val="auto"/>
          <w:highlight w:val="yellow"/>
        </w:rPr>
        <w:t xml:space="preserve"> </w:t>
      </w:r>
      <w:r w:rsidR="00ED57F0" w:rsidRPr="004F5905">
        <w:rPr>
          <w:color w:val="auto"/>
          <w:highlight w:val="yellow"/>
        </w:rPr>
        <w:t>m</w:t>
      </w:r>
      <w:r w:rsidR="00143A3F" w:rsidRPr="004F5905">
        <w:rPr>
          <w:color w:val="auto"/>
          <w:highlight w:val="yellow"/>
        </w:rPr>
        <w:t>L</w:t>
      </w:r>
      <w:r w:rsidR="00A8192C" w:rsidRPr="004F5905">
        <w:rPr>
          <w:color w:val="auto"/>
          <w:highlight w:val="yellow"/>
        </w:rPr>
        <w:t xml:space="preserve"> of 1x </w:t>
      </w:r>
      <w:r w:rsidR="001E69C6" w:rsidRPr="004F5905">
        <w:rPr>
          <w:color w:val="auto"/>
          <w:highlight w:val="yellow"/>
        </w:rPr>
        <w:t xml:space="preserve">phosphate-buffered saline </w:t>
      </w:r>
      <w:r w:rsidR="007643E0" w:rsidRPr="004F5905">
        <w:rPr>
          <w:color w:val="auto"/>
          <w:highlight w:val="yellow"/>
        </w:rPr>
        <w:t>(</w:t>
      </w:r>
      <w:r w:rsidR="00A8192C" w:rsidRPr="004F5905">
        <w:rPr>
          <w:color w:val="auto"/>
          <w:highlight w:val="yellow"/>
        </w:rPr>
        <w:t>PBS</w:t>
      </w:r>
      <w:r w:rsidR="007643E0" w:rsidRPr="004F5905">
        <w:rPr>
          <w:color w:val="auto"/>
          <w:highlight w:val="yellow"/>
        </w:rPr>
        <w:t>)</w:t>
      </w:r>
      <w:r w:rsidR="003001FC" w:rsidRPr="004F5905">
        <w:rPr>
          <w:color w:val="auto"/>
          <w:highlight w:val="yellow"/>
        </w:rPr>
        <w:t>.</w:t>
      </w:r>
      <w:r w:rsidR="003001FC" w:rsidRPr="00DC459C">
        <w:rPr>
          <w:color w:val="auto"/>
        </w:rPr>
        <w:t xml:space="preserve"> </w:t>
      </w:r>
    </w:p>
    <w:p w14:paraId="1B5BCC1A" w14:textId="77777777" w:rsidR="008A1CDB" w:rsidRPr="00DC459C" w:rsidRDefault="008A1CDB" w:rsidP="00DC459C">
      <w:pPr>
        <w:widowControl/>
        <w:rPr>
          <w:color w:val="auto"/>
        </w:rPr>
      </w:pPr>
    </w:p>
    <w:p w14:paraId="2BB1BC44" w14:textId="28A28899" w:rsidR="00ED57F0" w:rsidRPr="00DC459C" w:rsidRDefault="00B23F7D" w:rsidP="00DC459C">
      <w:pPr>
        <w:widowControl/>
        <w:rPr>
          <w:color w:val="auto"/>
        </w:rPr>
      </w:pPr>
      <w:r w:rsidRPr="00DC459C">
        <w:rPr>
          <w:color w:val="auto"/>
        </w:rPr>
        <w:t>Note</w:t>
      </w:r>
      <w:r w:rsidR="0095704F" w:rsidRPr="00DC459C">
        <w:rPr>
          <w:color w:val="auto"/>
        </w:rPr>
        <w:t>:</w:t>
      </w:r>
      <w:r w:rsidRPr="00DC459C">
        <w:rPr>
          <w:color w:val="auto"/>
        </w:rPr>
        <w:t xml:space="preserve"> </w:t>
      </w:r>
      <w:r w:rsidR="00B314DA" w:rsidRPr="00DC459C">
        <w:rPr>
          <w:color w:val="auto"/>
        </w:rPr>
        <w:t xml:space="preserve">Dispose of supernatant </w:t>
      </w:r>
      <w:r w:rsidR="00B314DA" w:rsidRPr="00DC459C">
        <w:rPr>
          <w:i/>
          <w:color w:val="auto"/>
        </w:rPr>
        <w:t>via</w:t>
      </w:r>
      <w:r w:rsidR="00B314DA" w:rsidRPr="00DC459C">
        <w:rPr>
          <w:color w:val="auto"/>
        </w:rPr>
        <w:t xml:space="preserve"> the appropriate liquid biological waste route in the laboratory.</w:t>
      </w:r>
      <w:r w:rsidR="00B314DA">
        <w:rPr>
          <w:color w:val="auto"/>
        </w:rPr>
        <w:t xml:space="preserve"> </w:t>
      </w:r>
      <w:r w:rsidR="008F5047" w:rsidRPr="00DC459C">
        <w:rPr>
          <w:color w:val="auto"/>
        </w:rPr>
        <w:t>The purpose of the centrifugation and resuspension steps (1.2.2 and 1.2.3) is to concentrate the bacteria for easy visualization on the gradient. Bacterial cultures can be loaded directly onto the gradient if preferred.</w:t>
      </w:r>
      <w:r w:rsidR="003D42F2" w:rsidRPr="00DC459C">
        <w:rPr>
          <w:color w:val="auto"/>
        </w:rPr>
        <w:t xml:space="preserve"> </w:t>
      </w:r>
      <w:r w:rsidR="00620301" w:rsidRPr="00DC459C">
        <w:rPr>
          <w:color w:val="auto"/>
        </w:rPr>
        <w:t>Heavily capsulated</w:t>
      </w:r>
      <w:r w:rsidR="003001FC" w:rsidRPr="00DC459C">
        <w:rPr>
          <w:color w:val="auto"/>
        </w:rPr>
        <w:t xml:space="preserve"> strains </w:t>
      </w:r>
      <w:r w:rsidR="00ED57F0" w:rsidRPr="00DC459C">
        <w:rPr>
          <w:color w:val="auto"/>
        </w:rPr>
        <w:t xml:space="preserve">may not </w:t>
      </w:r>
      <w:r w:rsidRPr="00DC459C">
        <w:rPr>
          <w:color w:val="auto"/>
        </w:rPr>
        <w:t>form</w:t>
      </w:r>
      <w:r w:rsidR="00ED57F0" w:rsidRPr="00DC459C">
        <w:rPr>
          <w:color w:val="auto"/>
        </w:rPr>
        <w:t xml:space="preserve"> a tight pellet. </w:t>
      </w:r>
      <w:r w:rsidR="00CD6657" w:rsidRPr="00DC459C">
        <w:rPr>
          <w:color w:val="auto"/>
        </w:rPr>
        <w:t>If this occurs,</w:t>
      </w:r>
      <w:r w:rsidR="00ED57F0" w:rsidRPr="00DC459C">
        <w:rPr>
          <w:color w:val="auto"/>
        </w:rPr>
        <w:t xml:space="preserve"> remove as much supernatant as possible</w:t>
      </w:r>
      <w:r w:rsidR="00BE0D2F" w:rsidRPr="00DC459C">
        <w:rPr>
          <w:color w:val="auto"/>
        </w:rPr>
        <w:t xml:space="preserve"> without removing any bacterial cells</w:t>
      </w:r>
      <w:r w:rsidR="00ED57F0" w:rsidRPr="00DC459C">
        <w:rPr>
          <w:color w:val="auto"/>
        </w:rPr>
        <w:t>, add 1x PBS to a final volume of 5</w:t>
      </w:r>
      <w:r w:rsidR="009D4161" w:rsidRPr="00DC459C">
        <w:rPr>
          <w:color w:val="auto"/>
        </w:rPr>
        <w:t xml:space="preserve"> </w:t>
      </w:r>
      <w:r w:rsidR="00ED57F0" w:rsidRPr="00DC459C">
        <w:rPr>
          <w:color w:val="auto"/>
        </w:rPr>
        <w:t>m</w:t>
      </w:r>
      <w:r w:rsidR="003D42F2" w:rsidRPr="00DC459C">
        <w:rPr>
          <w:color w:val="auto"/>
        </w:rPr>
        <w:t>L</w:t>
      </w:r>
      <w:r w:rsidR="00ED57F0" w:rsidRPr="00DC459C">
        <w:rPr>
          <w:color w:val="auto"/>
        </w:rPr>
        <w:t xml:space="preserve"> and resuspend the pellet. C</w:t>
      </w:r>
      <w:r w:rsidR="003001FC" w:rsidRPr="00DC459C">
        <w:rPr>
          <w:color w:val="auto"/>
        </w:rPr>
        <w:t>ontinue the protocol</w:t>
      </w:r>
      <w:r w:rsidR="00BF4877" w:rsidRPr="00DC459C">
        <w:rPr>
          <w:color w:val="auto"/>
        </w:rPr>
        <w:t xml:space="preserve"> with step 1.2.</w:t>
      </w:r>
      <w:r w:rsidR="007C63C8" w:rsidRPr="00DC459C">
        <w:rPr>
          <w:color w:val="auto"/>
        </w:rPr>
        <w:t>5</w:t>
      </w:r>
      <w:r w:rsidR="00BF4877" w:rsidRPr="00DC459C">
        <w:rPr>
          <w:color w:val="auto"/>
        </w:rPr>
        <w:t>.</w:t>
      </w:r>
    </w:p>
    <w:p w14:paraId="5C9046BB" w14:textId="77777777" w:rsidR="008A1CDB" w:rsidRPr="00DC459C" w:rsidRDefault="008A1CDB" w:rsidP="00DC459C">
      <w:pPr>
        <w:widowControl/>
        <w:rPr>
          <w:color w:val="auto"/>
        </w:rPr>
      </w:pPr>
    </w:p>
    <w:p w14:paraId="25F65F75" w14:textId="4B93DE87" w:rsidR="008A1CDB" w:rsidRPr="00DC459C" w:rsidRDefault="008A1CDB" w:rsidP="00DC459C">
      <w:pPr>
        <w:widowControl/>
        <w:rPr>
          <w:i/>
          <w:color w:val="auto"/>
        </w:rPr>
      </w:pPr>
      <w:r w:rsidRPr="00DC459C">
        <w:rPr>
          <w:color w:val="auto"/>
        </w:rPr>
        <w:t>1.2.</w:t>
      </w:r>
      <w:r w:rsidR="00DD42AF" w:rsidRPr="00DC459C">
        <w:rPr>
          <w:color w:val="auto"/>
        </w:rPr>
        <w:t>4</w:t>
      </w:r>
      <w:r w:rsidR="00C7265A" w:rsidRPr="00DC459C">
        <w:rPr>
          <w:color w:val="auto"/>
        </w:rPr>
        <w:t>.</w:t>
      </w:r>
      <w:r w:rsidRPr="00DC459C">
        <w:rPr>
          <w:color w:val="auto"/>
        </w:rPr>
        <w:t xml:space="preserve"> </w:t>
      </w:r>
      <w:r w:rsidR="003001FC" w:rsidRPr="00DC459C">
        <w:rPr>
          <w:color w:val="auto"/>
        </w:rPr>
        <w:t>For non-</w:t>
      </w:r>
      <w:r w:rsidR="009D4161" w:rsidRPr="00DC459C">
        <w:rPr>
          <w:color w:val="auto"/>
        </w:rPr>
        <w:t xml:space="preserve">mucoid </w:t>
      </w:r>
      <w:r w:rsidR="003001FC" w:rsidRPr="00DC459C">
        <w:rPr>
          <w:color w:val="auto"/>
        </w:rPr>
        <w:t>strains</w:t>
      </w:r>
      <w:r w:rsidR="00717DD9" w:rsidRPr="00DC459C">
        <w:rPr>
          <w:color w:val="auto"/>
        </w:rPr>
        <w:t>,</w:t>
      </w:r>
      <w:r w:rsidR="003001FC" w:rsidRPr="00DC459C">
        <w:rPr>
          <w:color w:val="auto"/>
        </w:rPr>
        <w:t xml:space="preserve"> go to step 2.</w:t>
      </w:r>
      <w:r w:rsidR="003001FC" w:rsidRPr="00DC459C">
        <w:rPr>
          <w:i/>
          <w:color w:val="auto"/>
        </w:rPr>
        <w:t xml:space="preserve"> </w:t>
      </w:r>
    </w:p>
    <w:p w14:paraId="6D4B6065" w14:textId="77777777" w:rsidR="00BF4877" w:rsidRPr="00DC459C" w:rsidRDefault="00BF4877" w:rsidP="00DC459C">
      <w:pPr>
        <w:widowControl/>
        <w:rPr>
          <w:color w:val="auto"/>
        </w:rPr>
      </w:pPr>
    </w:p>
    <w:p w14:paraId="7FBDE24C" w14:textId="423C2285" w:rsidR="00A8192C" w:rsidRPr="00DC459C" w:rsidRDefault="00BF4877" w:rsidP="00DC459C">
      <w:pPr>
        <w:widowControl/>
        <w:rPr>
          <w:color w:val="auto"/>
        </w:rPr>
      </w:pPr>
      <w:r w:rsidRPr="00DC459C">
        <w:rPr>
          <w:color w:val="auto"/>
          <w:highlight w:val="yellow"/>
        </w:rPr>
        <w:t>1.2.</w:t>
      </w:r>
      <w:r w:rsidR="00DD42AF" w:rsidRPr="00DC459C">
        <w:rPr>
          <w:color w:val="auto"/>
          <w:highlight w:val="yellow"/>
        </w:rPr>
        <w:t>5</w:t>
      </w:r>
      <w:r w:rsidR="00C7265A" w:rsidRPr="00DC459C">
        <w:rPr>
          <w:color w:val="auto"/>
          <w:highlight w:val="yellow"/>
        </w:rPr>
        <w:t>.</w:t>
      </w:r>
      <w:r w:rsidR="00A8192C" w:rsidRPr="00DC459C">
        <w:rPr>
          <w:color w:val="auto"/>
          <w:highlight w:val="yellow"/>
        </w:rPr>
        <w:t xml:space="preserve"> Centrifuge</w:t>
      </w:r>
      <w:r w:rsidR="00ED57F0" w:rsidRPr="00DC459C">
        <w:rPr>
          <w:color w:val="auto"/>
          <w:highlight w:val="yellow"/>
        </w:rPr>
        <w:t xml:space="preserve"> the tubes as described in </w:t>
      </w:r>
      <w:r w:rsidR="00C7265A" w:rsidRPr="00DC459C">
        <w:rPr>
          <w:color w:val="auto"/>
          <w:highlight w:val="yellow"/>
        </w:rPr>
        <w:t xml:space="preserve">step </w:t>
      </w:r>
      <w:r w:rsidR="00ED57F0" w:rsidRPr="00DC459C">
        <w:rPr>
          <w:color w:val="auto"/>
          <w:highlight w:val="yellow"/>
        </w:rPr>
        <w:t>1.2.2</w:t>
      </w:r>
      <w:r w:rsidR="00C7265A" w:rsidRPr="00DC459C">
        <w:rPr>
          <w:color w:val="auto"/>
          <w:highlight w:val="yellow"/>
        </w:rPr>
        <w:t>.</w:t>
      </w:r>
    </w:p>
    <w:p w14:paraId="329F751F" w14:textId="77777777" w:rsidR="00A8192C" w:rsidRPr="00DC459C" w:rsidRDefault="00A8192C" w:rsidP="00DC459C">
      <w:pPr>
        <w:widowControl/>
        <w:rPr>
          <w:color w:val="auto"/>
        </w:rPr>
      </w:pPr>
    </w:p>
    <w:p w14:paraId="2A5CF550" w14:textId="074F8D5E" w:rsidR="00242A98" w:rsidRPr="00DC459C" w:rsidRDefault="00BF4877" w:rsidP="00DC459C">
      <w:pPr>
        <w:widowControl/>
        <w:rPr>
          <w:color w:val="auto"/>
        </w:rPr>
      </w:pPr>
      <w:r w:rsidRPr="00DC459C">
        <w:rPr>
          <w:color w:val="auto"/>
          <w:highlight w:val="yellow"/>
        </w:rPr>
        <w:t>1.2.</w:t>
      </w:r>
      <w:r w:rsidR="00DD42AF" w:rsidRPr="00DC459C">
        <w:rPr>
          <w:color w:val="auto"/>
          <w:highlight w:val="yellow"/>
        </w:rPr>
        <w:t>6</w:t>
      </w:r>
      <w:r w:rsidR="008E7274" w:rsidRPr="00DC459C">
        <w:rPr>
          <w:color w:val="auto"/>
          <w:highlight w:val="yellow"/>
        </w:rPr>
        <w:t>.</w:t>
      </w:r>
      <w:r w:rsidR="00A8192C" w:rsidRPr="00DC459C">
        <w:rPr>
          <w:color w:val="auto"/>
          <w:highlight w:val="yellow"/>
        </w:rPr>
        <w:t xml:space="preserve"> Discard the supernatan</w:t>
      </w:r>
      <w:r w:rsidR="000A787A" w:rsidRPr="00DC459C">
        <w:rPr>
          <w:color w:val="auto"/>
          <w:highlight w:val="yellow"/>
        </w:rPr>
        <w:t>t and resuspend the pellet in</w:t>
      </w:r>
      <w:r w:rsidR="00DE5A9B" w:rsidRPr="00DC459C">
        <w:rPr>
          <w:color w:val="auto"/>
          <w:highlight w:val="yellow"/>
        </w:rPr>
        <w:t xml:space="preserve"> </w:t>
      </w:r>
      <w:r w:rsidR="007929BC" w:rsidRPr="00DC459C">
        <w:rPr>
          <w:color w:val="auto"/>
          <w:highlight w:val="yellow"/>
        </w:rPr>
        <w:t>2</w:t>
      </w:r>
      <w:r w:rsidR="009D4161" w:rsidRPr="00DC459C">
        <w:rPr>
          <w:color w:val="auto"/>
          <w:highlight w:val="yellow"/>
        </w:rPr>
        <w:t xml:space="preserve"> </w:t>
      </w:r>
      <w:r w:rsidR="00DE5A9B" w:rsidRPr="00DC459C">
        <w:rPr>
          <w:color w:val="auto"/>
          <w:highlight w:val="yellow"/>
        </w:rPr>
        <w:t>m</w:t>
      </w:r>
      <w:r w:rsidR="008E7274" w:rsidRPr="00DC459C">
        <w:rPr>
          <w:color w:val="auto"/>
          <w:highlight w:val="yellow"/>
        </w:rPr>
        <w:t xml:space="preserve">L </w:t>
      </w:r>
      <w:r w:rsidR="00DE5A9B" w:rsidRPr="00DC459C">
        <w:rPr>
          <w:color w:val="auto"/>
          <w:highlight w:val="yellow"/>
        </w:rPr>
        <w:t>of</w:t>
      </w:r>
      <w:r w:rsidR="000A787A" w:rsidRPr="00DC459C">
        <w:rPr>
          <w:color w:val="auto"/>
          <w:highlight w:val="yellow"/>
        </w:rPr>
        <w:t xml:space="preserve"> </w:t>
      </w:r>
      <w:r w:rsidR="00A8192C" w:rsidRPr="00DC459C">
        <w:rPr>
          <w:color w:val="auto"/>
          <w:highlight w:val="yellow"/>
        </w:rPr>
        <w:t>1x PBS</w:t>
      </w:r>
      <w:r w:rsidR="00ED57F0" w:rsidRPr="00DC459C">
        <w:rPr>
          <w:color w:val="auto"/>
          <w:highlight w:val="yellow"/>
        </w:rPr>
        <w:t xml:space="preserve">. </w:t>
      </w:r>
      <w:r w:rsidR="00D75662" w:rsidRPr="00DC459C">
        <w:rPr>
          <w:color w:val="auto"/>
          <w:highlight w:val="yellow"/>
        </w:rPr>
        <w:t>Cells are now ready to use.</w:t>
      </w:r>
    </w:p>
    <w:p w14:paraId="4B3BC9BD" w14:textId="77777777" w:rsidR="00242A98" w:rsidRPr="00DC459C" w:rsidRDefault="00242A98" w:rsidP="00DC459C">
      <w:pPr>
        <w:widowControl/>
        <w:rPr>
          <w:color w:val="auto"/>
        </w:rPr>
      </w:pPr>
    </w:p>
    <w:p w14:paraId="4FB74308" w14:textId="298BC084" w:rsidR="00326D1F" w:rsidRPr="00DC459C" w:rsidRDefault="00242A98" w:rsidP="00DC459C">
      <w:pPr>
        <w:widowControl/>
        <w:rPr>
          <w:color w:val="auto"/>
        </w:rPr>
      </w:pPr>
      <w:r w:rsidRPr="00DC459C">
        <w:rPr>
          <w:color w:val="auto"/>
        </w:rPr>
        <w:t xml:space="preserve">Note: </w:t>
      </w:r>
      <w:r w:rsidR="00ED57F0" w:rsidRPr="00DC459C">
        <w:rPr>
          <w:color w:val="auto"/>
        </w:rPr>
        <w:t xml:space="preserve">The </w:t>
      </w:r>
      <w:r w:rsidR="00CD6657" w:rsidRPr="00DC459C">
        <w:rPr>
          <w:color w:val="auto"/>
        </w:rPr>
        <w:t xml:space="preserve">density of the bacterial cell suspension </w:t>
      </w:r>
      <w:r w:rsidR="00ED57F0" w:rsidRPr="00DC459C">
        <w:rPr>
          <w:color w:val="auto"/>
        </w:rPr>
        <w:t xml:space="preserve">is not </w:t>
      </w:r>
      <w:r w:rsidR="008A1CDB" w:rsidRPr="00DC459C">
        <w:rPr>
          <w:color w:val="auto"/>
        </w:rPr>
        <w:t>critical but</w:t>
      </w:r>
      <w:r w:rsidR="00BE0D2F" w:rsidRPr="00DC459C">
        <w:rPr>
          <w:color w:val="auto"/>
        </w:rPr>
        <w:t xml:space="preserve"> needs to be </w:t>
      </w:r>
      <w:proofErr w:type="gramStart"/>
      <w:r w:rsidR="00BE0D2F" w:rsidRPr="00DC459C">
        <w:rPr>
          <w:color w:val="auto"/>
        </w:rPr>
        <w:t>sufficient</w:t>
      </w:r>
      <w:proofErr w:type="gramEnd"/>
      <w:r w:rsidR="00BE0D2F" w:rsidRPr="00DC459C">
        <w:rPr>
          <w:color w:val="auto"/>
        </w:rPr>
        <w:t xml:space="preserve"> for visualization </w:t>
      </w:r>
      <w:r w:rsidR="00ED57F0" w:rsidRPr="00DC459C">
        <w:rPr>
          <w:color w:val="auto"/>
        </w:rPr>
        <w:t xml:space="preserve">in the gradient. </w:t>
      </w:r>
      <w:r w:rsidRPr="00DC459C">
        <w:rPr>
          <w:color w:val="auto"/>
        </w:rPr>
        <w:t>A</w:t>
      </w:r>
      <w:r w:rsidR="00ED57F0" w:rsidRPr="00DC459C">
        <w:rPr>
          <w:color w:val="auto"/>
        </w:rPr>
        <w:t xml:space="preserve"> minimum OD</w:t>
      </w:r>
      <w:r w:rsidR="00ED57F0" w:rsidRPr="00DC459C">
        <w:rPr>
          <w:color w:val="auto"/>
          <w:vertAlign w:val="subscript"/>
        </w:rPr>
        <w:t>600</w:t>
      </w:r>
      <w:r w:rsidR="00ED57F0" w:rsidRPr="00DC459C">
        <w:rPr>
          <w:color w:val="auto"/>
        </w:rPr>
        <w:t xml:space="preserve"> </w:t>
      </w:r>
      <w:r w:rsidR="00A67E89">
        <w:rPr>
          <w:color w:val="auto"/>
        </w:rPr>
        <w:t xml:space="preserve">(optical density at 600 nm) </w:t>
      </w:r>
      <w:r w:rsidR="00BE0D2F" w:rsidRPr="00DC459C">
        <w:rPr>
          <w:color w:val="auto"/>
        </w:rPr>
        <w:t>of 4</w:t>
      </w:r>
      <w:r w:rsidRPr="00DC459C">
        <w:rPr>
          <w:color w:val="auto"/>
        </w:rPr>
        <w:t xml:space="preserve"> is suggested</w:t>
      </w:r>
      <w:r w:rsidR="00BE0D2F" w:rsidRPr="00DC459C">
        <w:rPr>
          <w:color w:val="auto"/>
        </w:rPr>
        <w:t>.</w:t>
      </w:r>
      <w:r w:rsidR="00ED57F0" w:rsidRPr="00DC459C">
        <w:rPr>
          <w:color w:val="auto"/>
        </w:rPr>
        <w:t xml:space="preserve"> </w:t>
      </w:r>
    </w:p>
    <w:p w14:paraId="270A0625" w14:textId="77777777" w:rsidR="005E0FAC" w:rsidRPr="00DC459C" w:rsidRDefault="005E0FAC" w:rsidP="00DC459C">
      <w:pPr>
        <w:widowControl/>
        <w:rPr>
          <w:color w:val="auto"/>
        </w:rPr>
      </w:pPr>
    </w:p>
    <w:p w14:paraId="6712B4C9" w14:textId="11698FD7" w:rsidR="00153985" w:rsidRPr="00DC459C" w:rsidRDefault="00153985" w:rsidP="00DC459C">
      <w:pPr>
        <w:widowControl/>
        <w:rPr>
          <w:b/>
          <w:color w:val="auto"/>
          <w:highlight w:val="yellow"/>
        </w:rPr>
      </w:pPr>
      <w:r w:rsidRPr="00DC459C">
        <w:rPr>
          <w:b/>
          <w:color w:val="auto"/>
          <w:highlight w:val="yellow"/>
        </w:rPr>
        <w:t>2. Prep</w:t>
      </w:r>
      <w:r w:rsidR="00362F51" w:rsidRPr="00DC459C">
        <w:rPr>
          <w:b/>
          <w:color w:val="auto"/>
          <w:highlight w:val="yellow"/>
        </w:rPr>
        <w:t>aration of</w:t>
      </w:r>
      <w:r w:rsidRPr="00DC459C">
        <w:rPr>
          <w:b/>
          <w:color w:val="auto"/>
          <w:highlight w:val="yellow"/>
        </w:rPr>
        <w:t xml:space="preserve"> </w:t>
      </w:r>
      <w:r w:rsidR="005B5711" w:rsidRPr="00DC459C">
        <w:rPr>
          <w:b/>
          <w:color w:val="auto"/>
          <w:highlight w:val="yellow"/>
        </w:rPr>
        <w:t>Gradient Dilutions and Mini-gradient Test</w:t>
      </w:r>
    </w:p>
    <w:p w14:paraId="1BCC4390" w14:textId="77777777" w:rsidR="00856146" w:rsidRPr="00DC459C" w:rsidRDefault="00856146" w:rsidP="00DC459C">
      <w:pPr>
        <w:widowControl/>
        <w:rPr>
          <w:b/>
          <w:color w:val="auto"/>
        </w:rPr>
      </w:pPr>
    </w:p>
    <w:p w14:paraId="53AE828C" w14:textId="0BF53058" w:rsidR="003F35AE" w:rsidRPr="00DC459C" w:rsidRDefault="003F35AE" w:rsidP="00DC459C">
      <w:pPr>
        <w:widowControl/>
        <w:rPr>
          <w:color w:val="auto"/>
        </w:rPr>
      </w:pPr>
      <w:r w:rsidRPr="00EF6E2E">
        <w:rPr>
          <w:color w:val="auto"/>
          <w:highlight w:val="yellow"/>
        </w:rPr>
        <w:t>2.1. Prepar</w:t>
      </w:r>
      <w:r w:rsidR="00562EF6" w:rsidRPr="00EF6E2E">
        <w:rPr>
          <w:color w:val="auto"/>
          <w:highlight w:val="yellow"/>
        </w:rPr>
        <w:t>e</w:t>
      </w:r>
      <w:r w:rsidRPr="00EF6E2E">
        <w:rPr>
          <w:color w:val="auto"/>
          <w:highlight w:val="yellow"/>
        </w:rPr>
        <w:t xml:space="preserve"> gradient dilutions</w:t>
      </w:r>
      <w:r w:rsidR="00562EF6" w:rsidRPr="00EF6E2E">
        <w:rPr>
          <w:color w:val="auto"/>
          <w:highlight w:val="yellow"/>
        </w:rPr>
        <w:t>.</w:t>
      </w:r>
    </w:p>
    <w:p w14:paraId="68D3148A" w14:textId="77777777" w:rsidR="008A1CDB" w:rsidRPr="00DC459C" w:rsidRDefault="008A1CDB" w:rsidP="00DC459C">
      <w:pPr>
        <w:widowControl/>
        <w:rPr>
          <w:color w:val="auto"/>
        </w:rPr>
      </w:pPr>
    </w:p>
    <w:p w14:paraId="04C7F09E" w14:textId="2C30DD73" w:rsidR="00FB6360" w:rsidRPr="00DC459C" w:rsidRDefault="0074668B" w:rsidP="00DC459C">
      <w:pPr>
        <w:widowControl/>
        <w:rPr>
          <w:color w:val="auto"/>
        </w:rPr>
      </w:pPr>
      <w:r w:rsidRPr="00DC459C">
        <w:rPr>
          <w:color w:val="auto"/>
        </w:rPr>
        <w:lastRenderedPageBreak/>
        <w:t>Note</w:t>
      </w:r>
      <w:r w:rsidR="00FB6360" w:rsidRPr="00DC459C">
        <w:rPr>
          <w:color w:val="auto"/>
        </w:rPr>
        <w:t>:</w:t>
      </w:r>
      <w:r w:rsidRPr="00DC459C">
        <w:rPr>
          <w:color w:val="auto"/>
        </w:rPr>
        <w:t xml:space="preserve"> E</w:t>
      </w:r>
      <w:r w:rsidR="00E628EA" w:rsidRPr="00DC459C">
        <w:rPr>
          <w:color w:val="auto"/>
        </w:rPr>
        <w:t>xact concentrations</w:t>
      </w:r>
      <w:r w:rsidR="00B50C33" w:rsidRPr="00DC459C">
        <w:rPr>
          <w:color w:val="auto"/>
        </w:rPr>
        <w:t xml:space="preserve"> of </w:t>
      </w:r>
      <w:bookmarkStart w:id="1" w:name="_Hlk524353335"/>
      <w:r w:rsidR="00C518B6">
        <w:rPr>
          <w:color w:val="auto"/>
        </w:rPr>
        <w:t xml:space="preserve">density gradient medium </w:t>
      </w:r>
      <w:bookmarkEnd w:id="1"/>
      <w:r w:rsidR="00C518B6">
        <w:rPr>
          <w:color w:val="auto"/>
        </w:rPr>
        <w:t>(</w:t>
      </w:r>
      <w:r w:rsidR="00C518B6" w:rsidRPr="006A060E">
        <w:rPr>
          <w:i/>
          <w:color w:val="auto"/>
        </w:rPr>
        <w:t>e.g.</w:t>
      </w:r>
      <w:r w:rsidR="00C518B6">
        <w:rPr>
          <w:color w:val="auto"/>
        </w:rPr>
        <w:t xml:space="preserve">, </w:t>
      </w:r>
      <w:proofErr w:type="spellStart"/>
      <w:r w:rsidR="00FB6360" w:rsidRPr="00DC459C">
        <w:rPr>
          <w:color w:val="auto"/>
        </w:rPr>
        <w:t>Percoll</w:t>
      </w:r>
      <w:proofErr w:type="spellEnd"/>
      <w:r w:rsidR="00C518B6">
        <w:rPr>
          <w:color w:val="auto"/>
        </w:rPr>
        <w:t>)</w:t>
      </w:r>
      <w:r w:rsidR="00F65A3E" w:rsidRPr="00DC459C">
        <w:rPr>
          <w:color w:val="auto"/>
        </w:rPr>
        <w:t xml:space="preserve"> </w:t>
      </w:r>
      <w:r w:rsidR="00E628EA" w:rsidRPr="00DC459C">
        <w:rPr>
          <w:color w:val="auto"/>
        </w:rPr>
        <w:t>needed</w:t>
      </w:r>
      <w:r w:rsidR="0077194E" w:rsidRPr="00DC459C">
        <w:rPr>
          <w:color w:val="auto"/>
        </w:rPr>
        <w:t xml:space="preserve"> in </w:t>
      </w:r>
      <w:r w:rsidR="00242A98" w:rsidRPr="00DC459C">
        <w:rPr>
          <w:color w:val="auto"/>
        </w:rPr>
        <w:t xml:space="preserve">the </w:t>
      </w:r>
      <w:r w:rsidR="0077194E" w:rsidRPr="00DC459C">
        <w:rPr>
          <w:color w:val="auto"/>
        </w:rPr>
        <w:t>density gradients</w:t>
      </w:r>
      <w:r w:rsidR="00E628EA" w:rsidRPr="00DC459C">
        <w:rPr>
          <w:color w:val="auto"/>
        </w:rPr>
        <w:t xml:space="preserve"> to achieve good separation will differ </w:t>
      </w:r>
      <w:r w:rsidR="00F26F8F" w:rsidRPr="00DC459C">
        <w:rPr>
          <w:color w:val="auto"/>
        </w:rPr>
        <w:t>depending on the bacterial strain and growth conditions used</w:t>
      </w:r>
      <w:r w:rsidRPr="00DC459C">
        <w:rPr>
          <w:color w:val="auto"/>
        </w:rPr>
        <w:t>.</w:t>
      </w:r>
      <w:r w:rsidR="00DD42AF" w:rsidRPr="00DC459C">
        <w:rPr>
          <w:color w:val="auto"/>
        </w:rPr>
        <w:t xml:space="preserve"> </w:t>
      </w:r>
      <w:r w:rsidR="00FB6360" w:rsidRPr="00DC459C">
        <w:rPr>
          <w:color w:val="auto"/>
        </w:rPr>
        <w:t xml:space="preserve">Mini-gradient tests are performed first, to identify the </w:t>
      </w:r>
      <w:r w:rsidR="00F93AB0" w:rsidRPr="00DC459C">
        <w:rPr>
          <w:color w:val="auto"/>
        </w:rPr>
        <w:t>concentrations that will give the best separation</w:t>
      </w:r>
      <w:r w:rsidR="00E628EA" w:rsidRPr="00DC459C">
        <w:rPr>
          <w:color w:val="auto"/>
        </w:rPr>
        <w:t xml:space="preserve">. </w:t>
      </w:r>
      <w:r w:rsidR="00FB6360" w:rsidRPr="00DC459C">
        <w:rPr>
          <w:color w:val="auto"/>
        </w:rPr>
        <w:t>These</w:t>
      </w:r>
      <w:r w:rsidR="005B3A18" w:rsidRPr="00DC459C">
        <w:rPr>
          <w:color w:val="auto"/>
        </w:rPr>
        <w:t xml:space="preserve"> </w:t>
      </w:r>
      <w:r w:rsidR="00BE0D2F" w:rsidRPr="00DC459C">
        <w:rPr>
          <w:color w:val="auto"/>
        </w:rPr>
        <w:t>comprise</w:t>
      </w:r>
      <w:r w:rsidR="005B3A18" w:rsidRPr="00DC459C">
        <w:rPr>
          <w:color w:val="auto"/>
        </w:rPr>
        <w:t xml:space="preserve"> </w:t>
      </w:r>
      <w:r w:rsidR="00FB6360" w:rsidRPr="00DC459C">
        <w:rPr>
          <w:color w:val="auto"/>
        </w:rPr>
        <w:t xml:space="preserve">500 </w:t>
      </w:r>
      <w:r w:rsidR="00DC459C">
        <w:rPr>
          <w:color w:val="auto"/>
        </w:rPr>
        <w:t>µL</w:t>
      </w:r>
      <w:r w:rsidR="005B3A18" w:rsidRPr="00DC459C">
        <w:rPr>
          <w:color w:val="auto"/>
        </w:rPr>
        <w:t xml:space="preserve"> of</w:t>
      </w:r>
      <w:r w:rsidR="003F379D" w:rsidRPr="00DC459C">
        <w:rPr>
          <w:color w:val="auto"/>
        </w:rPr>
        <w:t xml:space="preserve"> a </w:t>
      </w:r>
      <w:r w:rsidR="005B3A18" w:rsidRPr="00DC459C">
        <w:rPr>
          <w:color w:val="auto"/>
        </w:rPr>
        <w:t xml:space="preserve">single </w:t>
      </w:r>
      <w:r w:rsidR="00DE5A9B" w:rsidRPr="00DC459C">
        <w:rPr>
          <w:color w:val="auto"/>
        </w:rPr>
        <w:t xml:space="preserve">dilution </w:t>
      </w:r>
      <w:r w:rsidR="005B3A18" w:rsidRPr="00DC459C">
        <w:rPr>
          <w:color w:val="auto"/>
        </w:rPr>
        <w:t>in a 2</w:t>
      </w:r>
      <w:r w:rsidR="001D1357" w:rsidRPr="00DC459C">
        <w:rPr>
          <w:color w:val="auto"/>
        </w:rPr>
        <w:t xml:space="preserve"> </w:t>
      </w:r>
      <w:r w:rsidR="00EF054B" w:rsidRPr="00DC459C">
        <w:rPr>
          <w:color w:val="auto"/>
        </w:rPr>
        <w:t>mL</w:t>
      </w:r>
      <w:r w:rsidR="005B3A18" w:rsidRPr="00DC459C">
        <w:rPr>
          <w:color w:val="auto"/>
        </w:rPr>
        <w:t xml:space="preserve"> tube.</w:t>
      </w:r>
      <w:r w:rsidR="003F379D" w:rsidRPr="00DC459C">
        <w:rPr>
          <w:color w:val="auto"/>
        </w:rPr>
        <w:t xml:space="preserve"> If bacteria will be extracted from the gradient and </w:t>
      </w:r>
      <w:proofErr w:type="spellStart"/>
      <w:r w:rsidR="003F379D" w:rsidRPr="00DC459C">
        <w:rPr>
          <w:color w:val="auto"/>
        </w:rPr>
        <w:t>subcultured</w:t>
      </w:r>
      <w:proofErr w:type="spellEnd"/>
      <w:r w:rsidR="003F379D" w:rsidRPr="00DC459C">
        <w:rPr>
          <w:color w:val="auto"/>
        </w:rPr>
        <w:t xml:space="preserve"> for downstream applications, these steps should be performed under aseptic conditions.</w:t>
      </w:r>
    </w:p>
    <w:p w14:paraId="675E676B" w14:textId="77777777" w:rsidR="008A1CDB" w:rsidRPr="00DC459C" w:rsidRDefault="008A1CDB" w:rsidP="00DC459C">
      <w:pPr>
        <w:widowControl/>
        <w:rPr>
          <w:b/>
          <w:color w:val="auto"/>
        </w:rPr>
      </w:pPr>
    </w:p>
    <w:p w14:paraId="24B70F3B" w14:textId="1B6FE3B1" w:rsidR="00BE0D2F" w:rsidRPr="00DC459C" w:rsidRDefault="005B3A18" w:rsidP="00DC459C">
      <w:pPr>
        <w:widowControl/>
        <w:rPr>
          <w:color w:val="auto"/>
        </w:rPr>
      </w:pPr>
      <w:r w:rsidRPr="00DC459C">
        <w:rPr>
          <w:color w:val="auto"/>
          <w:highlight w:val="yellow"/>
        </w:rPr>
        <w:t>2.1</w:t>
      </w:r>
      <w:r w:rsidR="00242A98" w:rsidRPr="00DC459C">
        <w:rPr>
          <w:color w:val="auto"/>
          <w:highlight w:val="yellow"/>
        </w:rPr>
        <w:t>.1.</w:t>
      </w:r>
      <w:r w:rsidR="00326D1F" w:rsidRPr="00DC459C">
        <w:rPr>
          <w:color w:val="auto"/>
          <w:highlight w:val="yellow"/>
        </w:rPr>
        <w:tab/>
      </w:r>
      <w:r w:rsidR="0003270D" w:rsidRPr="00DC459C">
        <w:rPr>
          <w:color w:val="auto"/>
          <w:highlight w:val="yellow"/>
        </w:rPr>
        <w:t xml:space="preserve">Combine </w:t>
      </w:r>
      <w:r w:rsidR="008F0909" w:rsidRPr="008F0909">
        <w:rPr>
          <w:color w:val="auto"/>
          <w:highlight w:val="yellow"/>
        </w:rPr>
        <w:t xml:space="preserve">density gradient medium </w:t>
      </w:r>
      <w:r w:rsidRPr="00DC459C">
        <w:rPr>
          <w:color w:val="auto"/>
          <w:highlight w:val="yellow"/>
        </w:rPr>
        <w:t>with</w:t>
      </w:r>
      <w:r w:rsidR="0003270D" w:rsidRPr="00DC459C">
        <w:rPr>
          <w:color w:val="auto"/>
          <w:highlight w:val="yellow"/>
        </w:rPr>
        <w:t xml:space="preserve"> </w:t>
      </w:r>
      <w:r w:rsidR="007F3728" w:rsidRPr="00DC459C">
        <w:rPr>
          <w:color w:val="auto"/>
          <w:highlight w:val="yellow"/>
        </w:rPr>
        <w:t xml:space="preserve">1x PBS to make </w:t>
      </w:r>
      <w:r w:rsidR="00FB6360" w:rsidRPr="00DC459C">
        <w:rPr>
          <w:color w:val="auto"/>
          <w:highlight w:val="yellow"/>
        </w:rPr>
        <w:t>the densit</w:t>
      </w:r>
      <w:r w:rsidR="009E124C" w:rsidRPr="00DC459C">
        <w:rPr>
          <w:color w:val="auto"/>
          <w:highlight w:val="yellow"/>
        </w:rPr>
        <w:t>y</w:t>
      </w:r>
      <w:r w:rsidR="00FB6360" w:rsidRPr="00DC459C">
        <w:rPr>
          <w:color w:val="auto"/>
          <w:highlight w:val="yellow"/>
        </w:rPr>
        <w:t xml:space="preserve"> gradient </w:t>
      </w:r>
      <w:r w:rsidR="00326D1F" w:rsidRPr="00DC459C">
        <w:rPr>
          <w:color w:val="auto"/>
          <w:highlight w:val="yellow"/>
        </w:rPr>
        <w:t>dilutions</w:t>
      </w:r>
      <w:r w:rsidR="00FB6360" w:rsidRPr="00DC459C">
        <w:rPr>
          <w:color w:val="auto"/>
          <w:highlight w:val="yellow"/>
        </w:rPr>
        <w:t>. Make dilutions</w:t>
      </w:r>
      <w:r w:rsidR="00326D1F" w:rsidRPr="00DC459C">
        <w:rPr>
          <w:color w:val="auto"/>
          <w:highlight w:val="yellow"/>
        </w:rPr>
        <w:t xml:space="preserve"> of 20%, 30%, 40%, 50%, 60%, 70%</w:t>
      </w:r>
      <w:r w:rsidR="001C7BE9" w:rsidRPr="00DC459C">
        <w:rPr>
          <w:color w:val="auto"/>
          <w:highlight w:val="yellow"/>
        </w:rPr>
        <w:t>,</w:t>
      </w:r>
      <w:r w:rsidR="0003270D" w:rsidRPr="00DC459C">
        <w:rPr>
          <w:color w:val="auto"/>
          <w:highlight w:val="yellow"/>
        </w:rPr>
        <w:t xml:space="preserve"> and</w:t>
      </w:r>
      <w:r w:rsidR="00326D1F" w:rsidRPr="00DC459C">
        <w:rPr>
          <w:color w:val="auto"/>
          <w:highlight w:val="yellow"/>
        </w:rPr>
        <w:t xml:space="preserve"> 80%</w:t>
      </w:r>
      <w:r w:rsidR="0085548B" w:rsidRPr="00DC459C">
        <w:rPr>
          <w:color w:val="auto"/>
          <w:highlight w:val="yellow"/>
        </w:rPr>
        <w:t xml:space="preserve"> </w:t>
      </w:r>
      <w:r w:rsidR="003F35AE" w:rsidRPr="00DC459C">
        <w:rPr>
          <w:color w:val="auto"/>
          <w:highlight w:val="yellow"/>
        </w:rPr>
        <w:t>(</w:t>
      </w:r>
      <w:r w:rsidR="003F35AE" w:rsidRPr="00B145C0">
        <w:rPr>
          <w:i/>
          <w:color w:val="auto"/>
          <w:highlight w:val="yellow"/>
        </w:rPr>
        <w:t>e.g.</w:t>
      </w:r>
      <w:r w:rsidR="001F5201">
        <w:rPr>
          <w:i/>
          <w:color w:val="auto"/>
          <w:highlight w:val="yellow"/>
        </w:rPr>
        <w:t>,</w:t>
      </w:r>
      <w:r w:rsidR="003F35AE" w:rsidRPr="00DC459C">
        <w:rPr>
          <w:color w:val="auto"/>
          <w:highlight w:val="yellow"/>
        </w:rPr>
        <w:t xml:space="preserve"> 2 </w:t>
      </w:r>
      <w:r w:rsidR="00DC459C">
        <w:rPr>
          <w:color w:val="auto"/>
          <w:highlight w:val="yellow"/>
        </w:rPr>
        <w:t>mL</w:t>
      </w:r>
      <w:r w:rsidR="003F35AE" w:rsidRPr="00DC459C">
        <w:rPr>
          <w:color w:val="auto"/>
          <w:highlight w:val="yellow"/>
        </w:rPr>
        <w:t xml:space="preserve"> of </w:t>
      </w:r>
      <w:r w:rsidR="009D704F" w:rsidRPr="008F0909">
        <w:rPr>
          <w:color w:val="auto"/>
          <w:highlight w:val="yellow"/>
        </w:rPr>
        <w:t xml:space="preserve">density gradient medium </w:t>
      </w:r>
      <w:r w:rsidR="003F35AE" w:rsidRPr="00DC459C">
        <w:rPr>
          <w:color w:val="auto"/>
          <w:highlight w:val="yellow"/>
        </w:rPr>
        <w:t xml:space="preserve">plus 8 </w:t>
      </w:r>
      <w:r w:rsidR="00EF054B" w:rsidRPr="00DC459C">
        <w:rPr>
          <w:color w:val="auto"/>
          <w:highlight w:val="yellow"/>
        </w:rPr>
        <w:t>mL</w:t>
      </w:r>
      <w:r w:rsidR="003F35AE" w:rsidRPr="00DC459C">
        <w:rPr>
          <w:color w:val="auto"/>
          <w:highlight w:val="yellow"/>
        </w:rPr>
        <w:t xml:space="preserve"> of 1x PBS = 10 </w:t>
      </w:r>
      <w:r w:rsidR="00EF054B" w:rsidRPr="00DC459C">
        <w:rPr>
          <w:color w:val="auto"/>
          <w:highlight w:val="yellow"/>
        </w:rPr>
        <w:t>mL</w:t>
      </w:r>
      <w:r w:rsidR="003F35AE" w:rsidRPr="00DC459C">
        <w:rPr>
          <w:color w:val="auto"/>
          <w:highlight w:val="yellow"/>
        </w:rPr>
        <w:t xml:space="preserve"> </w:t>
      </w:r>
      <w:r w:rsidR="00C00DA6">
        <w:rPr>
          <w:color w:val="auto"/>
          <w:highlight w:val="yellow"/>
        </w:rPr>
        <w:t>of</w:t>
      </w:r>
      <w:r w:rsidR="003F35AE" w:rsidRPr="00DC459C">
        <w:rPr>
          <w:color w:val="auto"/>
          <w:highlight w:val="yellow"/>
        </w:rPr>
        <w:t xml:space="preserve"> 20% </w:t>
      </w:r>
      <w:r w:rsidR="009D704F" w:rsidRPr="008F0909">
        <w:rPr>
          <w:color w:val="auto"/>
          <w:highlight w:val="yellow"/>
        </w:rPr>
        <w:t>density gradient medium</w:t>
      </w:r>
      <w:r w:rsidR="003F35AE" w:rsidRPr="00DC459C">
        <w:rPr>
          <w:color w:val="auto"/>
          <w:highlight w:val="yellow"/>
        </w:rPr>
        <w:t>)</w:t>
      </w:r>
      <w:r w:rsidR="009A7D07">
        <w:rPr>
          <w:color w:val="auto"/>
          <w:highlight w:val="yellow"/>
        </w:rPr>
        <w:t>.</w:t>
      </w:r>
    </w:p>
    <w:p w14:paraId="1DD0173D" w14:textId="77777777" w:rsidR="007F3728" w:rsidRPr="00DC459C" w:rsidRDefault="007F3728" w:rsidP="00DC459C">
      <w:pPr>
        <w:widowControl/>
        <w:rPr>
          <w:color w:val="auto"/>
        </w:rPr>
      </w:pPr>
    </w:p>
    <w:p w14:paraId="5318399A" w14:textId="1E077CDF" w:rsidR="007F3728" w:rsidRPr="00DC459C" w:rsidRDefault="007F3728" w:rsidP="00DC459C">
      <w:pPr>
        <w:widowControl/>
        <w:rPr>
          <w:color w:val="auto"/>
        </w:rPr>
      </w:pPr>
      <w:r w:rsidRPr="00DC459C">
        <w:rPr>
          <w:color w:val="auto"/>
          <w:highlight w:val="yellow"/>
        </w:rPr>
        <w:t>2.1.2</w:t>
      </w:r>
      <w:r w:rsidR="00D70824">
        <w:rPr>
          <w:color w:val="auto"/>
          <w:highlight w:val="yellow"/>
        </w:rPr>
        <w:t>.</w:t>
      </w:r>
      <w:r w:rsidRPr="00DC459C">
        <w:rPr>
          <w:color w:val="auto"/>
          <w:highlight w:val="yellow"/>
        </w:rPr>
        <w:tab/>
      </w:r>
      <w:r w:rsidR="00E61F70" w:rsidRPr="00DC459C">
        <w:rPr>
          <w:color w:val="auto"/>
          <w:highlight w:val="yellow"/>
        </w:rPr>
        <w:t>A</w:t>
      </w:r>
      <w:r w:rsidRPr="00DC459C">
        <w:rPr>
          <w:color w:val="auto"/>
          <w:highlight w:val="yellow"/>
        </w:rPr>
        <w:t>liquot 500</w:t>
      </w:r>
      <w:r w:rsidR="00EC5F9E" w:rsidRPr="00DC459C">
        <w:rPr>
          <w:color w:val="auto"/>
          <w:highlight w:val="yellow"/>
        </w:rPr>
        <w:t xml:space="preserve"> </w:t>
      </w:r>
      <w:proofErr w:type="spellStart"/>
      <w:r w:rsidR="00EC5F9E" w:rsidRPr="00DC459C">
        <w:rPr>
          <w:color w:val="auto"/>
          <w:highlight w:val="yellow"/>
        </w:rPr>
        <w:t>μ</w:t>
      </w:r>
      <w:r w:rsidR="00EF054B" w:rsidRPr="00DC459C">
        <w:rPr>
          <w:color w:val="auto"/>
          <w:highlight w:val="yellow"/>
        </w:rPr>
        <w:t>L</w:t>
      </w:r>
      <w:proofErr w:type="spellEnd"/>
      <w:r w:rsidRPr="00DC459C">
        <w:rPr>
          <w:color w:val="auto"/>
          <w:highlight w:val="yellow"/>
        </w:rPr>
        <w:t xml:space="preserve"> </w:t>
      </w:r>
      <w:r w:rsidR="005B3A18" w:rsidRPr="00DC459C">
        <w:rPr>
          <w:color w:val="auto"/>
          <w:highlight w:val="yellow"/>
        </w:rPr>
        <w:t>of</w:t>
      </w:r>
      <w:r w:rsidR="00E61F70" w:rsidRPr="00DC459C">
        <w:rPr>
          <w:color w:val="auto"/>
          <w:highlight w:val="yellow"/>
        </w:rPr>
        <w:t xml:space="preserve"> </w:t>
      </w:r>
      <w:r w:rsidR="000A787A" w:rsidRPr="00DC459C">
        <w:rPr>
          <w:color w:val="auto"/>
          <w:highlight w:val="yellow"/>
        </w:rPr>
        <w:t xml:space="preserve">the </w:t>
      </w:r>
      <w:r w:rsidR="005B3A18" w:rsidRPr="00DC459C">
        <w:rPr>
          <w:color w:val="auto"/>
          <w:highlight w:val="yellow"/>
        </w:rPr>
        <w:t xml:space="preserve">20% </w:t>
      </w:r>
      <w:r w:rsidR="000A787A" w:rsidRPr="00DC459C">
        <w:rPr>
          <w:color w:val="auto"/>
          <w:highlight w:val="yellow"/>
        </w:rPr>
        <w:t xml:space="preserve">gradient </w:t>
      </w:r>
      <w:r w:rsidR="00E61F70" w:rsidRPr="00DC459C">
        <w:rPr>
          <w:color w:val="auto"/>
          <w:highlight w:val="yellow"/>
        </w:rPr>
        <w:t>dilution</w:t>
      </w:r>
      <w:r w:rsidR="005B3A18" w:rsidRPr="00DC459C">
        <w:rPr>
          <w:color w:val="auto"/>
          <w:highlight w:val="yellow"/>
        </w:rPr>
        <w:t xml:space="preserve"> into a</w:t>
      </w:r>
      <w:r w:rsidR="00E61F70" w:rsidRPr="00DC459C">
        <w:rPr>
          <w:color w:val="auto"/>
          <w:highlight w:val="yellow"/>
        </w:rPr>
        <w:t xml:space="preserve"> </w:t>
      </w:r>
      <w:r w:rsidRPr="00DC459C">
        <w:rPr>
          <w:color w:val="auto"/>
          <w:highlight w:val="yellow"/>
        </w:rPr>
        <w:t>2</w:t>
      </w:r>
      <w:r w:rsidR="006238EC" w:rsidRPr="00DC459C">
        <w:rPr>
          <w:color w:val="auto"/>
          <w:highlight w:val="yellow"/>
        </w:rPr>
        <w:t xml:space="preserve"> </w:t>
      </w:r>
      <w:r w:rsidR="00EF054B" w:rsidRPr="00DC459C">
        <w:rPr>
          <w:color w:val="auto"/>
          <w:highlight w:val="yellow"/>
        </w:rPr>
        <w:t>mL</w:t>
      </w:r>
      <w:r w:rsidRPr="00DC459C">
        <w:rPr>
          <w:color w:val="auto"/>
          <w:highlight w:val="yellow"/>
        </w:rPr>
        <w:t xml:space="preserve"> tube</w:t>
      </w:r>
      <w:r w:rsidR="00C749D5" w:rsidRPr="00DC459C">
        <w:rPr>
          <w:color w:val="auto"/>
          <w:highlight w:val="yellow"/>
        </w:rPr>
        <w:t xml:space="preserve"> f</w:t>
      </w:r>
      <w:r w:rsidR="005B3A18" w:rsidRPr="00DC459C">
        <w:rPr>
          <w:color w:val="auto"/>
          <w:highlight w:val="yellow"/>
        </w:rPr>
        <w:t xml:space="preserve">or </w:t>
      </w:r>
      <w:r w:rsidR="00BE0D2F" w:rsidRPr="00DC459C">
        <w:rPr>
          <w:color w:val="auto"/>
          <w:highlight w:val="yellow"/>
        </w:rPr>
        <w:t>e</w:t>
      </w:r>
      <w:r w:rsidR="005B3A18" w:rsidRPr="00DC459C">
        <w:rPr>
          <w:color w:val="auto"/>
          <w:highlight w:val="yellow"/>
        </w:rPr>
        <w:t xml:space="preserve">ach strain </w:t>
      </w:r>
      <w:r w:rsidR="001B307D" w:rsidRPr="00DC459C">
        <w:rPr>
          <w:color w:val="auto"/>
          <w:highlight w:val="yellow"/>
        </w:rPr>
        <w:t>to be tested (</w:t>
      </w:r>
      <w:r w:rsidR="00DC459C" w:rsidRPr="00DC459C">
        <w:rPr>
          <w:i/>
          <w:color w:val="auto"/>
          <w:highlight w:val="yellow"/>
        </w:rPr>
        <w:t>e.g.,</w:t>
      </w:r>
      <w:r w:rsidR="005B3A18" w:rsidRPr="00DC459C">
        <w:rPr>
          <w:color w:val="auto"/>
          <w:highlight w:val="yellow"/>
        </w:rPr>
        <w:t xml:space="preserve"> 4 strains</w:t>
      </w:r>
      <w:r w:rsidR="001B307D" w:rsidRPr="00DC459C">
        <w:rPr>
          <w:color w:val="auto"/>
          <w:highlight w:val="yellow"/>
        </w:rPr>
        <w:t xml:space="preserve"> =</w:t>
      </w:r>
      <w:r w:rsidR="005B3A18" w:rsidRPr="00DC459C">
        <w:rPr>
          <w:color w:val="auto"/>
          <w:highlight w:val="yellow"/>
        </w:rPr>
        <w:t xml:space="preserve"> 4 tubes</w:t>
      </w:r>
      <w:r w:rsidR="000E7309" w:rsidRPr="00DC459C">
        <w:rPr>
          <w:color w:val="auto"/>
          <w:highlight w:val="yellow"/>
        </w:rPr>
        <w:t xml:space="preserve"> containing 500</w:t>
      </w:r>
      <w:r w:rsidR="00BE0D2F" w:rsidRPr="00DC459C">
        <w:rPr>
          <w:color w:val="auto"/>
          <w:highlight w:val="yellow"/>
        </w:rPr>
        <w:t xml:space="preserve"> </w:t>
      </w:r>
      <w:proofErr w:type="spellStart"/>
      <w:r w:rsidR="000E7309" w:rsidRPr="00DC459C">
        <w:rPr>
          <w:color w:val="auto"/>
          <w:highlight w:val="yellow"/>
        </w:rPr>
        <w:t>μ</w:t>
      </w:r>
      <w:r w:rsidR="0022375C">
        <w:rPr>
          <w:color w:val="auto"/>
          <w:highlight w:val="yellow"/>
        </w:rPr>
        <w:t>L</w:t>
      </w:r>
      <w:proofErr w:type="spellEnd"/>
      <w:r w:rsidR="000E7309" w:rsidRPr="00DC459C">
        <w:rPr>
          <w:color w:val="auto"/>
          <w:highlight w:val="yellow"/>
        </w:rPr>
        <w:t xml:space="preserve"> </w:t>
      </w:r>
      <w:r w:rsidR="00492918">
        <w:rPr>
          <w:color w:val="auto"/>
          <w:highlight w:val="yellow"/>
        </w:rPr>
        <w:t xml:space="preserve">of </w:t>
      </w:r>
      <w:r w:rsidR="000E7309" w:rsidRPr="00DC459C">
        <w:rPr>
          <w:color w:val="auto"/>
          <w:highlight w:val="yellow"/>
        </w:rPr>
        <w:t xml:space="preserve">20% </w:t>
      </w:r>
      <w:r w:rsidR="000A787A" w:rsidRPr="00DC459C">
        <w:rPr>
          <w:color w:val="auto"/>
          <w:highlight w:val="yellow"/>
        </w:rPr>
        <w:t xml:space="preserve">gradient </w:t>
      </w:r>
      <w:r w:rsidR="000E7309" w:rsidRPr="00DC459C">
        <w:rPr>
          <w:color w:val="auto"/>
          <w:highlight w:val="yellow"/>
        </w:rPr>
        <w:t>dilution)</w:t>
      </w:r>
      <w:r w:rsidR="00AA1F29">
        <w:rPr>
          <w:color w:val="auto"/>
          <w:highlight w:val="yellow"/>
        </w:rPr>
        <w:t>.</w:t>
      </w:r>
    </w:p>
    <w:p w14:paraId="6366BCDC" w14:textId="77777777" w:rsidR="000E7309" w:rsidRPr="00DC459C" w:rsidRDefault="000E7309" w:rsidP="00DC459C">
      <w:pPr>
        <w:widowControl/>
        <w:rPr>
          <w:color w:val="auto"/>
        </w:rPr>
      </w:pPr>
    </w:p>
    <w:p w14:paraId="77681DAF" w14:textId="7B67CEC3" w:rsidR="007F3728" w:rsidRPr="00DC459C" w:rsidRDefault="007F3728" w:rsidP="00DC459C">
      <w:pPr>
        <w:widowControl/>
        <w:rPr>
          <w:color w:val="auto"/>
        </w:rPr>
      </w:pPr>
      <w:r w:rsidRPr="00DC459C">
        <w:rPr>
          <w:color w:val="auto"/>
          <w:highlight w:val="yellow"/>
        </w:rPr>
        <w:t>2.1.3</w:t>
      </w:r>
      <w:r w:rsidR="00D5522E">
        <w:rPr>
          <w:color w:val="auto"/>
          <w:highlight w:val="yellow"/>
        </w:rPr>
        <w:t>.</w:t>
      </w:r>
      <w:r w:rsidRPr="00DC459C">
        <w:rPr>
          <w:color w:val="auto"/>
          <w:highlight w:val="yellow"/>
        </w:rPr>
        <w:tab/>
        <w:t xml:space="preserve">Repeat step 2.1.2 </w:t>
      </w:r>
      <w:r w:rsidR="000E7309" w:rsidRPr="00DC459C">
        <w:rPr>
          <w:color w:val="auto"/>
          <w:highlight w:val="yellow"/>
        </w:rPr>
        <w:t xml:space="preserve">for the rest of the </w:t>
      </w:r>
      <w:r w:rsidR="000A787A" w:rsidRPr="00DC459C">
        <w:rPr>
          <w:color w:val="auto"/>
          <w:highlight w:val="yellow"/>
        </w:rPr>
        <w:t xml:space="preserve">gradient </w:t>
      </w:r>
      <w:r w:rsidR="000E7309" w:rsidRPr="00DC459C">
        <w:rPr>
          <w:color w:val="auto"/>
          <w:highlight w:val="yellow"/>
        </w:rPr>
        <w:t>dilutions.</w:t>
      </w:r>
      <w:r w:rsidR="000E7309" w:rsidRPr="00DC459C">
        <w:rPr>
          <w:color w:val="auto"/>
        </w:rPr>
        <w:t xml:space="preserve"> </w:t>
      </w:r>
    </w:p>
    <w:p w14:paraId="7047B3A3" w14:textId="77777777" w:rsidR="00362F51" w:rsidRPr="00DC459C" w:rsidRDefault="00362F51" w:rsidP="00DC459C">
      <w:pPr>
        <w:widowControl/>
        <w:rPr>
          <w:color w:val="auto"/>
        </w:rPr>
      </w:pPr>
    </w:p>
    <w:p w14:paraId="09C3782B" w14:textId="6B7F02D6" w:rsidR="000E7309" w:rsidRPr="00B3425B" w:rsidRDefault="00242A98" w:rsidP="00DC459C">
      <w:pPr>
        <w:widowControl/>
        <w:rPr>
          <w:color w:val="auto"/>
        </w:rPr>
      </w:pPr>
      <w:r w:rsidRPr="00B3425B">
        <w:rPr>
          <w:color w:val="auto"/>
          <w:highlight w:val="yellow"/>
        </w:rPr>
        <w:t xml:space="preserve">2.2. </w:t>
      </w:r>
      <w:r w:rsidR="00B85199" w:rsidRPr="00B3425B">
        <w:rPr>
          <w:color w:val="auto"/>
          <w:highlight w:val="yellow"/>
        </w:rPr>
        <w:t>Apply bacteria to</w:t>
      </w:r>
      <w:r w:rsidR="00CE7A65" w:rsidRPr="00B3425B">
        <w:rPr>
          <w:color w:val="auto"/>
          <w:highlight w:val="yellow"/>
        </w:rPr>
        <w:t xml:space="preserve"> the gradient</w:t>
      </w:r>
      <w:r w:rsidR="009F74BB" w:rsidRPr="00B3425B">
        <w:rPr>
          <w:color w:val="auto"/>
          <w:highlight w:val="yellow"/>
        </w:rPr>
        <w:t>.</w:t>
      </w:r>
    </w:p>
    <w:p w14:paraId="2AE5B827" w14:textId="77777777" w:rsidR="008A1CDB" w:rsidRPr="00DC459C" w:rsidRDefault="008A1CDB" w:rsidP="00DC459C">
      <w:pPr>
        <w:widowControl/>
        <w:rPr>
          <w:b/>
          <w:color w:val="auto"/>
        </w:rPr>
      </w:pPr>
    </w:p>
    <w:p w14:paraId="49D6824A" w14:textId="6CE68288" w:rsidR="00A14E82" w:rsidRPr="00DC459C" w:rsidRDefault="000E7309" w:rsidP="00DC459C">
      <w:pPr>
        <w:widowControl/>
        <w:rPr>
          <w:color w:val="auto"/>
          <w:highlight w:val="yellow"/>
        </w:rPr>
      </w:pPr>
      <w:r w:rsidRPr="00DC459C">
        <w:rPr>
          <w:color w:val="auto"/>
          <w:highlight w:val="yellow"/>
        </w:rPr>
        <w:t>2.2</w:t>
      </w:r>
      <w:r w:rsidR="00A14E82" w:rsidRPr="00DC459C">
        <w:rPr>
          <w:color w:val="auto"/>
          <w:highlight w:val="yellow"/>
        </w:rPr>
        <w:t xml:space="preserve">.1. </w:t>
      </w:r>
      <w:r w:rsidR="00812788" w:rsidRPr="00DC459C">
        <w:rPr>
          <w:color w:val="auto"/>
          <w:highlight w:val="yellow"/>
        </w:rPr>
        <w:t>A</w:t>
      </w:r>
      <w:r w:rsidR="00143A3F" w:rsidRPr="00DC459C">
        <w:rPr>
          <w:color w:val="auto"/>
          <w:highlight w:val="yellow"/>
        </w:rPr>
        <w:t xml:space="preserve">pply </w:t>
      </w:r>
      <w:r w:rsidRPr="00DC459C">
        <w:rPr>
          <w:color w:val="auto"/>
          <w:highlight w:val="yellow"/>
        </w:rPr>
        <w:t>1</w:t>
      </w:r>
      <w:r w:rsidR="00362F51" w:rsidRPr="00DC459C">
        <w:rPr>
          <w:color w:val="auto"/>
          <w:highlight w:val="yellow"/>
        </w:rPr>
        <w:t>00</w:t>
      </w:r>
      <w:r w:rsidR="00EC5F9E" w:rsidRPr="00DC459C">
        <w:rPr>
          <w:color w:val="auto"/>
          <w:highlight w:val="yellow"/>
        </w:rPr>
        <w:t xml:space="preserve"> </w:t>
      </w:r>
      <w:proofErr w:type="spellStart"/>
      <w:r w:rsidR="00EC5F9E" w:rsidRPr="00DC459C">
        <w:rPr>
          <w:color w:val="auto"/>
          <w:highlight w:val="yellow"/>
        </w:rPr>
        <w:t>μ</w:t>
      </w:r>
      <w:r w:rsidR="0020436D">
        <w:rPr>
          <w:color w:val="auto"/>
          <w:highlight w:val="yellow"/>
        </w:rPr>
        <w:t>L</w:t>
      </w:r>
      <w:proofErr w:type="spellEnd"/>
      <w:r w:rsidR="00EC5F9E" w:rsidRPr="00DC459C">
        <w:rPr>
          <w:color w:val="auto"/>
          <w:highlight w:val="yellow"/>
        </w:rPr>
        <w:t xml:space="preserve"> </w:t>
      </w:r>
      <w:r w:rsidR="00362F51" w:rsidRPr="00DC459C">
        <w:rPr>
          <w:color w:val="auto"/>
          <w:highlight w:val="yellow"/>
        </w:rPr>
        <w:t>of bacterial</w:t>
      </w:r>
      <w:r w:rsidRPr="00DC459C">
        <w:rPr>
          <w:color w:val="auto"/>
          <w:highlight w:val="yellow"/>
        </w:rPr>
        <w:t xml:space="preserve"> cells prepared in steps 1.</w:t>
      </w:r>
      <w:r w:rsidR="001B307D" w:rsidRPr="00DC459C">
        <w:rPr>
          <w:color w:val="auto"/>
          <w:highlight w:val="yellow"/>
        </w:rPr>
        <w:t>2.3 and 1.2.</w:t>
      </w:r>
      <w:r w:rsidR="00812788" w:rsidRPr="00DC459C">
        <w:rPr>
          <w:color w:val="auto"/>
          <w:highlight w:val="yellow"/>
        </w:rPr>
        <w:t>6</w:t>
      </w:r>
      <w:r w:rsidR="001B307D" w:rsidRPr="00DC459C">
        <w:rPr>
          <w:color w:val="auto"/>
          <w:highlight w:val="yellow"/>
        </w:rPr>
        <w:t xml:space="preserve"> </w:t>
      </w:r>
      <w:r w:rsidRPr="00DC459C">
        <w:rPr>
          <w:color w:val="auto"/>
          <w:highlight w:val="yellow"/>
        </w:rPr>
        <w:t xml:space="preserve">to the top of </w:t>
      </w:r>
      <w:r w:rsidR="00B85199" w:rsidRPr="00DC459C">
        <w:rPr>
          <w:color w:val="auto"/>
          <w:highlight w:val="yellow"/>
        </w:rPr>
        <w:t xml:space="preserve">each gradient dilution </w:t>
      </w:r>
      <w:r w:rsidR="00143A3F" w:rsidRPr="00DC459C">
        <w:rPr>
          <w:color w:val="auto"/>
          <w:highlight w:val="yellow"/>
        </w:rPr>
        <w:t>follow</w:t>
      </w:r>
      <w:r w:rsidR="00812788" w:rsidRPr="00DC459C">
        <w:rPr>
          <w:color w:val="auto"/>
          <w:highlight w:val="yellow"/>
        </w:rPr>
        <w:t>ing</w:t>
      </w:r>
      <w:r w:rsidR="00143A3F" w:rsidRPr="00DC459C">
        <w:rPr>
          <w:color w:val="auto"/>
          <w:highlight w:val="yellow"/>
        </w:rPr>
        <w:t xml:space="preserve"> the steps below. </w:t>
      </w:r>
    </w:p>
    <w:p w14:paraId="45512DB8" w14:textId="77777777" w:rsidR="00A14E82" w:rsidRPr="00DC459C" w:rsidRDefault="00A14E82" w:rsidP="00DC459C">
      <w:pPr>
        <w:widowControl/>
        <w:rPr>
          <w:color w:val="auto"/>
          <w:highlight w:val="yellow"/>
        </w:rPr>
      </w:pPr>
    </w:p>
    <w:p w14:paraId="5653C7B4" w14:textId="01B147DC" w:rsidR="00A14E82" w:rsidRPr="00DC459C" w:rsidRDefault="00A14E82" w:rsidP="00DC459C">
      <w:pPr>
        <w:widowControl/>
        <w:rPr>
          <w:color w:val="auto"/>
          <w:highlight w:val="yellow"/>
        </w:rPr>
      </w:pPr>
      <w:r w:rsidRPr="00DC459C">
        <w:rPr>
          <w:color w:val="auto"/>
          <w:highlight w:val="yellow"/>
        </w:rPr>
        <w:t>2.2.1.1</w:t>
      </w:r>
      <w:r w:rsidR="00EF6E2E">
        <w:rPr>
          <w:color w:val="auto"/>
          <w:highlight w:val="yellow"/>
        </w:rPr>
        <w:t>.</w:t>
      </w:r>
      <w:r w:rsidRPr="00DC459C">
        <w:rPr>
          <w:color w:val="auto"/>
          <w:highlight w:val="yellow"/>
        </w:rPr>
        <w:t xml:space="preserve"> T</w:t>
      </w:r>
      <w:r w:rsidR="00B85199" w:rsidRPr="00DC459C">
        <w:rPr>
          <w:color w:val="auto"/>
          <w:highlight w:val="yellow"/>
        </w:rPr>
        <w:t xml:space="preserve">ake up 100 </w:t>
      </w:r>
      <w:r w:rsidR="00DC459C">
        <w:rPr>
          <w:color w:val="auto"/>
          <w:highlight w:val="yellow"/>
        </w:rPr>
        <w:t>µL</w:t>
      </w:r>
      <w:r w:rsidR="00B85199" w:rsidRPr="00DC459C">
        <w:rPr>
          <w:color w:val="auto"/>
          <w:highlight w:val="yellow"/>
        </w:rPr>
        <w:t xml:space="preserve"> </w:t>
      </w:r>
      <w:r w:rsidR="009D4161" w:rsidRPr="00DC459C">
        <w:rPr>
          <w:color w:val="auto"/>
          <w:highlight w:val="yellow"/>
        </w:rPr>
        <w:t xml:space="preserve">of </w:t>
      </w:r>
      <w:r w:rsidR="00B85199" w:rsidRPr="00DC459C">
        <w:rPr>
          <w:color w:val="auto"/>
          <w:highlight w:val="yellow"/>
        </w:rPr>
        <w:t xml:space="preserve">cells using a 200 </w:t>
      </w:r>
      <w:r w:rsidR="00DC459C">
        <w:rPr>
          <w:color w:val="auto"/>
          <w:highlight w:val="yellow"/>
        </w:rPr>
        <w:t>µL</w:t>
      </w:r>
      <w:r w:rsidR="00B85199" w:rsidRPr="00DC459C">
        <w:rPr>
          <w:color w:val="auto"/>
          <w:highlight w:val="yellow"/>
        </w:rPr>
        <w:t xml:space="preserve"> </w:t>
      </w:r>
      <w:r w:rsidR="00242A98" w:rsidRPr="00DC459C">
        <w:rPr>
          <w:color w:val="auto"/>
          <w:highlight w:val="yellow"/>
        </w:rPr>
        <w:t>pipette and</w:t>
      </w:r>
      <w:r w:rsidR="00B85199" w:rsidRPr="00DC459C">
        <w:rPr>
          <w:color w:val="auto"/>
          <w:highlight w:val="yellow"/>
        </w:rPr>
        <w:t xml:space="preserve"> p</w:t>
      </w:r>
      <w:r w:rsidR="00432169" w:rsidRPr="00DC459C">
        <w:rPr>
          <w:color w:val="auto"/>
          <w:highlight w:val="yellow"/>
        </w:rPr>
        <w:t>lace the pipette tip</w:t>
      </w:r>
      <w:r w:rsidR="003F35AE" w:rsidRPr="00DC459C">
        <w:rPr>
          <w:color w:val="auto"/>
          <w:highlight w:val="yellow"/>
        </w:rPr>
        <w:t xml:space="preserve"> on the side of the tube</w:t>
      </w:r>
      <w:r w:rsidR="00432169" w:rsidRPr="00DC459C">
        <w:rPr>
          <w:color w:val="auto"/>
          <w:highlight w:val="yellow"/>
        </w:rPr>
        <w:t xml:space="preserve"> just below the meniscus </w:t>
      </w:r>
      <w:r w:rsidR="003F35AE" w:rsidRPr="00DC459C">
        <w:rPr>
          <w:color w:val="auto"/>
          <w:highlight w:val="yellow"/>
        </w:rPr>
        <w:t xml:space="preserve">of the </w:t>
      </w:r>
      <w:r w:rsidR="00325AF6" w:rsidRPr="00DC459C">
        <w:rPr>
          <w:color w:val="auto"/>
          <w:highlight w:val="yellow"/>
        </w:rPr>
        <w:t>mini-gradient</w:t>
      </w:r>
      <w:r w:rsidR="00432169" w:rsidRPr="00DC459C">
        <w:rPr>
          <w:color w:val="auto"/>
          <w:highlight w:val="yellow"/>
        </w:rPr>
        <w:t xml:space="preserve">. </w:t>
      </w:r>
    </w:p>
    <w:p w14:paraId="672138C1" w14:textId="77777777" w:rsidR="00A14E82" w:rsidRPr="00DC459C" w:rsidRDefault="00A14E82" w:rsidP="00DC459C">
      <w:pPr>
        <w:widowControl/>
        <w:rPr>
          <w:color w:val="auto"/>
          <w:highlight w:val="yellow"/>
        </w:rPr>
      </w:pPr>
    </w:p>
    <w:p w14:paraId="008B2154" w14:textId="350BEE34" w:rsidR="00B50C33" w:rsidRPr="00DC459C" w:rsidRDefault="00A14E82" w:rsidP="00DC459C">
      <w:pPr>
        <w:widowControl/>
        <w:rPr>
          <w:color w:val="auto"/>
        </w:rPr>
      </w:pPr>
      <w:r w:rsidRPr="00DC459C">
        <w:rPr>
          <w:color w:val="auto"/>
          <w:highlight w:val="yellow"/>
        </w:rPr>
        <w:t xml:space="preserve">2.2.1.2. </w:t>
      </w:r>
      <w:r w:rsidR="00483B9F" w:rsidRPr="00DC459C">
        <w:rPr>
          <w:color w:val="auto"/>
          <w:highlight w:val="yellow"/>
        </w:rPr>
        <w:t>A</w:t>
      </w:r>
      <w:r w:rsidR="00B85199" w:rsidRPr="00DC459C">
        <w:rPr>
          <w:color w:val="auto"/>
          <w:highlight w:val="yellow"/>
        </w:rPr>
        <w:t>spirate</w:t>
      </w:r>
      <w:r w:rsidR="00432169" w:rsidRPr="00DC459C">
        <w:rPr>
          <w:color w:val="auto"/>
          <w:highlight w:val="yellow"/>
        </w:rPr>
        <w:t xml:space="preserve"> the bacterial cells </w:t>
      </w:r>
      <w:r w:rsidR="00B85199" w:rsidRPr="00DC459C">
        <w:rPr>
          <w:color w:val="auto"/>
          <w:highlight w:val="yellow"/>
        </w:rPr>
        <w:t>on</w:t>
      </w:r>
      <w:r w:rsidR="00483B9F" w:rsidRPr="00DC459C">
        <w:rPr>
          <w:color w:val="auto"/>
          <w:highlight w:val="yellow"/>
        </w:rPr>
        <w:t xml:space="preserve">to the gradient </w:t>
      </w:r>
      <w:r w:rsidR="00432169" w:rsidRPr="00DC459C">
        <w:rPr>
          <w:color w:val="auto"/>
          <w:highlight w:val="yellow"/>
        </w:rPr>
        <w:t xml:space="preserve">extremely slowly so that they form a layer on the top of the </w:t>
      </w:r>
      <w:r w:rsidR="001B307D" w:rsidRPr="00DC459C">
        <w:rPr>
          <w:color w:val="auto"/>
          <w:highlight w:val="yellow"/>
        </w:rPr>
        <w:t>gradient</w:t>
      </w:r>
      <w:r w:rsidR="00325AF6" w:rsidRPr="00DC459C">
        <w:rPr>
          <w:color w:val="auto"/>
          <w:highlight w:val="yellow"/>
        </w:rPr>
        <w:t>, without any mixing of</w:t>
      </w:r>
      <w:r w:rsidRPr="00DC459C">
        <w:rPr>
          <w:color w:val="auto"/>
          <w:highlight w:val="yellow"/>
        </w:rPr>
        <w:t xml:space="preserve"> the</w:t>
      </w:r>
      <w:r w:rsidR="00F27132" w:rsidRPr="00DC459C">
        <w:rPr>
          <w:color w:val="auto"/>
          <w:highlight w:val="yellow"/>
        </w:rPr>
        <w:t xml:space="preserve"> interface.</w:t>
      </w:r>
      <w:r w:rsidR="00483B9F" w:rsidRPr="00DC459C">
        <w:rPr>
          <w:color w:val="auto"/>
          <w:highlight w:val="yellow"/>
        </w:rPr>
        <w:t xml:space="preserve"> </w:t>
      </w:r>
    </w:p>
    <w:p w14:paraId="748A457D" w14:textId="77777777" w:rsidR="008A1CDB" w:rsidRPr="00DC459C" w:rsidRDefault="008A1CDB" w:rsidP="00DC459C">
      <w:pPr>
        <w:widowControl/>
        <w:rPr>
          <w:color w:val="auto"/>
        </w:rPr>
      </w:pPr>
    </w:p>
    <w:p w14:paraId="136732FE" w14:textId="12A3EE4D" w:rsidR="00E704F5" w:rsidRPr="00DC459C" w:rsidRDefault="00E704F5" w:rsidP="00DC459C">
      <w:pPr>
        <w:widowControl/>
        <w:rPr>
          <w:color w:val="auto"/>
        </w:rPr>
      </w:pPr>
      <w:r w:rsidRPr="00DC459C">
        <w:rPr>
          <w:color w:val="auto"/>
          <w:highlight w:val="yellow"/>
        </w:rPr>
        <w:t>2.2.</w:t>
      </w:r>
      <w:r w:rsidR="00A14E82" w:rsidRPr="00DC459C">
        <w:rPr>
          <w:color w:val="auto"/>
          <w:highlight w:val="yellow"/>
        </w:rPr>
        <w:t>1.3.</w:t>
      </w:r>
      <w:r w:rsidR="00DC459C">
        <w:rPr>
          <w:color w:val="auto"/>
          <w:highlight w:val="yellow"/>
        </w:rPr>
        <w:t xml:space="preserve"> </w:t>
      </w:r>
      <w:r w:rsidRPr="00DC459C">
        <w:rPr>
          <w:color w:val="auto"/>
          <w:highlight w:val="yellow"/>
        </w:rPr>
        <w:t>Repeat step</w:t>
      </w:r>
      <w:r w:rsidR="00A745EB">
        <w:rPr>
          <w:color w:val="auto"/>
          <w:highlight w:val="yellow"/>
        </w:rPr>
        <w:t>s</w:t>
      </w:r>
      <w:r w:rsidRPr="00DC459C">
        <w:rPr>
          <w:color w:val="auto"/>
          <w:highlight w:val="yellow"/>
        </w:rPr>
        <w:t xml:space="preserve"> 2.2</w:t>
      </w:r>
      <w:r w:rsidR="00A14E82" w:rsidRPr="00DC459C">
        <w:rPr>
          <w:color w:val="auto"/>
          <w:highlight w:val="yellow"/>
        </w:rPr>
        <w:t>.1</w:t>
      </w:r>
      <w:r w:rsidR="00A745EB">
        <w:rPr>
          <w:color w:val="auto"/>
          <w:highlight w:val="yellow"/>
        </w:rPr>
        <w:t>.1-2.2.1.2</w:t>
      </w:r>
      <w:r w:rsidRPr="00DC459C">
        <w:rPr>
          <w:color w:val="auto"/>
          <w:highlight w:val="yellow"/>
        </w:rPr>
        <w:t xml:space="preserve"> </w:t>
      </w:r>
      <w:r w:rsidR="008F1BE1" w:rsidRPr="00DC459C">
        <w:rPr>
          <w:color w:val="auto"/>
          <w:highlight w:val="yellow"/>
        </w:rPr>
        <w:t>for all strains</w:t>
      </w:r>
      <w:r w:rsidR="00B50C33" w:rsidRPr="00DC459C">
        <w:rPr>
          <w:color w:val="auto"/>
          <w:highlight w:val="yellow"/>
        </w:rPr>
        <w:t xml:space="preserve"> </w:t>
      </w:r>
      <w:r w:rsidR="008F1BE1" w:rsidRPr="00DC459C">
        <w:rPr>
          <w:color w:val="auto"/>
          <w:highlight w:val="yellow"/>
        </w:rPr>
        <w:t>to be tested</w:t>
      </w:r>
      <w:r w:rsidR="00F93AB0" w:rsidRPr="008A66AA">
        <w:rPr>
          <w:color w:val="auto"/>
          <w:highlight w:val="yellow"/>
        </w:rPr>
        <w:t>.</w:t>
      </w:r>
      <w:r w:rsidRPr="00DC459C">
        <w:rPr>
          <w:color w:val="auto"/>
        </w:rPr>
        <w:t xml:space="preserve"> </w:t>
      </w:r>
    </w:p>
    <w:p w14:paraId="791BF6BD" w14:textId="77777777" w:rsidR="000A787A" w:rsidRPr="00DC459C" w:rsidRDefault="000A787A" w:rsidP="00DC459C">
      <w:pPr>
        <w:widowControl/>
        <w:rPr>
          <w:color w:val="auto"/>
        </w:rPr>
      </w:pPr>
    </w:p>
    <w:p w14:paraId="40D5A0E7" w14:textId="08AAF133" w:rsidR="00F27132" w:rsidRPr="00DC459C" w:rsidRDefault="00E704F5" w:rsidP="00DC459C">
      <w:pPr>
        <w:widowControl/>
        <w:rPr>
          <w:color w:val="auto"/>
        </w:rPr>
      </w:pPr>
      <w:r w:rsidRPr="00DC459C">
        <w:rPr>
          <w:color w:val="auto"/>
          <w:highlight w:val="yellow"/>
        </w:rPr>
        <w:t>2.2.2</w:t>
      </w:r>
      <w:r w:rsidR="00EB1CB0">
        <w:rPr>
          <w:color w:val="auto"/>
          <w:highlight w:val="yellow"/>
        </w:rPr>
        <w:t>.</w:t>
      </w:r>
      <w:r w:rsidR="00F27132" w:rsidRPr="00DC459C">
        <w:rPr>
          <w:color w:val="auto"/>
          <w:highlight w:val="yellow"/>
        </w:rPr>
        <w:t xml:space="preserve"> </w:t>
      </w:r>
      <w:r w:rsidR="00F27132" w:rsidRPr="00DC459C">
        <w:rPr>
          <w:color w:val="auto"/>
          <w:highlight w:val="yellow"/>
        </w:rPr>
        <w:tab/>
      </w:r>
      <w:r w:rsidR="00A14E82" w:rsidRPr="00DC459C">
        <w:rPr>
          <w:color w:val="auto"/>
          <w:highlight w:val="yellow"/>
        </w:rPr>
        <w:t>Using a fixed angle rotor with an aerosol tight lid, c</w:t>
      </w:r>
      <w:r w:rsidR="00F27132" w:rsidRPr="00DC459C">
        <w:rPr>
          <w:color w:val="auto"/>
          <w:highlight w:val="yellow"/>
        </w:rPr>
        <w:t>entrifuge the</w:t>
      </w:r>
      <w:r w:rsidR="003B1056" w:rsidRPr="00DC459C">
        <w:rPr>
          <w:color w:val="auto"/>
          <w:highlight w:val="yellow"/>
        </w:rPr>
        <w:t xml:space="preserve"> prepared</w:t>
      </w:r>
      <w:r w:rsidR="00F27132" w:rsidRPr="00DC459C">
        <w:rPr>
          <w:color w:val="auto"/>
          <w:highlight w:val="yellow"/>
        </w:rPr>
        <w:t xml:space="preserve"> tubes in a</w:t>
      </w:r>
      <w:r w:rsidR="009E1E22" w:rsidRPr="00DC459C">
        <w:rPr>
          <w:color w:val="auto"/>
          <w:highlight w:val="yellow"/>
        </w:rPr>
        <w:t xml:space="preserve"> </w:t>
      </w:r>
      <w:r w:rsidR="00F27132" w:rsidRPr="00DC459C">
        <w:rPr>
          <w:color w:val="auto"/>
          <w:highlight w:val="yellow"/>
        </w:rPr>
        <w:t>microcentrifuge</w:t>
      </w:r>
      <w:r w:rsidR="007222F9" w:rsidRPr="00DC459C">
        <w:rPr>
          <w:color w:val="auto"/>
          <w:highlight w:val="yellow"/>
        </w:rPr>
        <w:t xml:space="preserve"> </w:t>
      </w:r>
      <w:r w:rsidR="00F27132" w:rsidRPr="00DC459C">
        <w:rPr>
          <w:color w:val="auto"/>
          <w:highlight w:val="yellow"/>
        </w:rPr>
        <w:t>for 10 min</w:t>
      </w:r>
      <w:r w:rsidR="00A14E82" w:rsidRPr="00DC459C">
        <w:rPr>
          <w:color w:val="auto"/>
          <w:highlight w:val="yellow"/>
        </w:rPr>
        <w:t xml:space="preserve"> </w:t>
      </w:r>
      <w:r w:rsidR="00F27132" w:rsidRPr="00DC459C">
        <w:rPr>
          <w:color w:val="auto"/>
          <w:highlight w:val="yellow"/>
        </w:rPr>
        <w:t>at 8</w:t>
      </w:r>
      <w:r w:rsidR="00EC5F9E" w:rsidRPr="00DC459C">
        <w:rPr>
          <w:color w:val="auto"/>
          <w:highlight w:val="yellow"/>
        </w:rPr>
        <w:t>,</w:t>
      </w:r>
      <w:r w:rsidR="00F27132" w:rsidRPr="00DC459C">
        <w:rPr>
          <w:color w:val="auto"/>
          <w:highlight w:val="yellow"/>
        </w:rPr>
        <w:t xml:space="preserve">000 </w:t>
      </w:r>
      <w:r w:rsidR="00F27132" w:rsidRPr="00EB1CB0">
        <w:rPr>
          <w:color w:val="auto"/>
          <w:highlight w:val="yellow"/>
        </w:rPr>
        <w:t>x g</w:t>
      </w:r>
      <w:r w:rsidR="00EC5F9E" w:rsidRPr="004737BB">
        <w:rPr>
          <w:color w:val="auto"/>
          <w:highlight w:val="yellow"/>
        </w:rPr>
        <w:t>.</w:t>
      </w:r>
      <w:r w:rsidR="009E1E22" w:rsidRPr="00DC459C">
        <w:rPr>
          <w:color w:val="auto"/>
        </w:rPr>
        <w:t xml:space="preserve"> </w:t>
      </w:r>
    </w:p>
    <w:p w14:paraId="5E8A9BA7" w14:textId="77777777" w:rsidR="00A14E82" w:rsidRPr="00DC459C" w:rsidRDefault="00A14E82" w:rsidP="00DC459C">
      <w:pPr>
        <w:widowControl/>
        <w:rPr>
          <w:color w:val="auto"/>
        </w:rPr>
      </w:pPr>
    </w:p>
    <w:p w14:paraId="0682386D" w14:textId="68544581" w:rsidR="00A14E82" w:rsidRPr="00DC459C" w:rsidRDefault="009E1E22" w:rsidP="00DC459C">
      <w:pPr>
        <w:widowControl/>
        <w:rPr>
          <w:color w:val="auto"/>
          <w:highlight w:val="yellow"/>
        </w:rPr>
      </w:pPr>
      <w:r w:rsidRPr="00DC459C">
        <w:rPr>
          <w:color w:val="auto"/>
          <w:highlight w:val="yellow"/>
        </w:rPr>
        <w:t>2.2.</w:t>
      </w:r>
      <w:r w:rsidR="00E704F5" w:rsidRPr="00DC459C">
        <w:rPr>
          <w:color w:val="auto"/>
          <w:highlight w:val="yellow"/>
        </w:rPr>
        <w:t>3</w:t>
      </w:r>
      <w:r w:rsidR="004E6EF4">
        <w:rPr>
          <w:color w:val="auto"/>
          <w:highlight w:val="yellow"/>
        </w:rPr>
        <w:t>.</w:t>
      </w:r>
      <w:r w:rsidR="00F27132" w:rsidRPr="00DC459C">
        <w:rPr>
          <w:color w:val="auto"/>
          <w:highlight w:val="yellow"/>
        </w:rPr>
        <w:tab/>
      </w:r>
      <w:r w:rsidRPr="00DC459C">
        <w:rPr>
          <w:color w:val="auto"/>
          <w:highlight w:val="yellow"/>
        </w:rPr>
        <w:t>After centrifugation</w:t>
      </w:r>
      <w:r w:rsidR="007222F9" w:rsidRPr="00DC459C">
        <w:rPr>
          <w:color w:val="auto"/>
          <w:highlight w:val="yellow"/>
        </w:rPr>
        <w:t>,</w:t>
      </w:r>
      <w:r w:rsidRPr="00DC459C">
        <w:rPr>
          <w:color w:val="auto"/>
          <w:highlight w:val="yellow"/>
        </w:rPr>
        <w:t xml:space="preserve"> t</w:t>
      </w:r>
      <w:r w:rsidR="00EB7448" w:rsidRPr="00DC459C">
        <w:rPr>
          <w:color w:val="auto"/>
          <w:highlight w:val="yellow"/>
        </w:rPr>
        <w:t xml:space="preserve">ransfer </w:t>
      </w:r>
      <w:r w:rsidR="00F27132" w:rsidRPr="00DC459C">
        <w:rPr>
          <w:color w:val="auto"/>
          <w:highlight w:val="yellow"/>
        </w:rPr>
        <w:t xml:space="preserve">the tubes to a rack </w:t>
      </w:r>
      <w:r w:rsidRPr="00DC459C">
        <w:rPr>
          <w:color w:val="auto"/>
          <w:highlight w:val="yellow"/>
        </w:rPr>
        <w:t xml:space="preserve">to </w:t>
      </w:r>
      <w:r w:rsidR="00E704F5" w:rsidRPr="00DC459C">
        <w:rPr>
          <w:color w:val="auto"/>
          <w:highlight w:val="yellow"/>
        </w:rPr>
        <w:t>visualize</w:t>
      </w:r>
      <w:r w:rsidR="00B84D07" w:rsidRPr="00DC459C">
        <w:rPr>
          <w:color w:val="auto"/>
          <w:highlight w:val="yellow"/>
        </w:rPr>
        <w:t xml:space="preserve"> the minimum </w:t>
      </w:r>
      <w:r w:rsidR="007222F9" w:rsidRPr="00DC459C">
        <w:rPr>
          <w:color w:val="auto"/>
          <w:highlight w:val="yellow"/>
        </w:rPr>
        <w:t>gradient</w:t>
      </w:r>
      <w:r w:rsidR="00B84D07" w:rsidRPr="00DC459C">
        <w:rPr>
          <w:color w:val="auto"/>
          <w:highlight w:val="yellow"/>
        </w:rPr>
        <w:t xml:space="preserve"> </w:t>
      </w:r>
      <w:r w:rsidR="00E704F5" w:rsidRPr="00DC459C">
        <w:rPr>
          <w:color w:val="auto"/>
          <w:highlight w:val="yellow"/>
        </w:rPr>
        <w:t xml:space="preserve">dilution </w:t>
      </w:r>
      <w:r w:rsidR="00B84D07" w:rsidRPr="00DC459C">
        <w:rPr>
          <w:color w:val="auto"/>
          <w:highlight w:val="yellow"/>
        </w:rPr>
        <w:t xml:space="preserve">required to retain cells just above the </w:t>
      </w:r>
      <w:r w:rsidR="007222F9" w:rsidRPr="00DC459C">
        <w:rPr>
          <w:color w:val="auto"/>
          <w:highlight w:val="yellow"/>
        </w:rPr>
        <w:t>gradient</w:t>
      </w:r>
      <w:r w:rsidR="00B84D07" w:rsidRPr="00DC459C">
        <w:rPr>
          <w:color w:val="auto"/>
          <w:highlight w:val="yellow"/>
        </w:rPr>
        <w:t xml:space="preserve"> layer following centrifugation.</w:t>
      </w:r>
    </w:p>
    <w:p w14:paraId="4CBB7082" w14:textId="77777777" w:rsidR="00A14E82" w:rsidRPr="00DC459C" w:rsidRDefault="00A14E82" w:rsidP="00DC459C">
      <w:pPr>
        <w:widowControl/>
        <w:rPr>
          <w:color w:val="auto"/>
        </w:rPr>
      </w:pPr>
    </w:p>
    <w:p w14:paraId="4DD80CEF" w14:textId="629A54B5" w:rsidR="00A14E82" w:rsidRPr="00DC459C" w:rsidRDefault="00A14E82" w:rsidP="00DC459C">
      <w:pPr>
        <w:widowControl/>
        <w:rPr>
          <w:color w:val="auto"/>
        </w:rPr>
      </w:pPr>
      <w:r w:rsidRPr="00C42369">
        <w:rPr>
          <w:color w:val="auto"/>
          <w:highlight w:val="yellow"/>
        </w:rPr>
        <w:t>2.2.4.</w:t>
      </w:r>
      <w:r w:rsidR="00DC459C" w:rsidRPr="00C42369">
        <w:rPr>
          <w:color w:val="auto"/>
          <w:highlight w:val="yellow"/>
        </w:rPr>
        <w:t xml:space="preserve"> </w:t>
      </w:r>
      <w:r w:rsidR="007222F9" w:rsidRPr="00C42369">
        <w:rPr>
          <w:color w:val="auto"/>
          <w:highlight w:val="yellow"/>
        </w:rPr>
        <w:t>If the results are not clear</w:t>
      </w:r>
      <w:r w:rsidRPr="00C42369">
        <w:rPr>
          <w:color w:val="auto"/>
          <w:highlight w:val="yellow"/>
        </w:rPr>
        <w:t xml:space="preserve">, </w:t>
      </w:r>
      <w:r w:rsidR="007222F9" w:rsidRPr="00C42369">
        <w:rPr>
          <w:color w:val="auto"/>
          <w:highlight w:val="yellow"/>
        </w:rPr>
        <w:t xml:space="preserve">repeat </w:t>
      </w:r>
      <w:r w:rsidR="00B84D07" w:rsidRPr="00C42369">
        <w:rPr>
          <w:color w:val="auto"/>
          <w:highlight w:val="yellow"/>
        </w:rPr>
        <w:t>the mini-gradient te</w:t>
      </w:r>
      <w:r w:rsidR="007222F9" w:rsidRPr="00C42369">
        <w:rPr>
          <w:color w:val="auto"/>
          <w:highlight w:val="yellow"/>
        </w:rPr>
        <w:t xml:space="preserve">st with increments of 5% </w:t>
      </w:r>
      <w:r w:rsidR="00E0496F" w:rsidRPr="00C42369">
        <w:rPr>
          <w:color w:val="auto"/>
          <w:highlight w:val="yellow"/>
        </w:rPr>
        <w:t>d</w:t>
      </w:r>
      <w:r w:rsidR="00E139B7" w:rsidRPr="00C42369">
        <w:rPr>
          <w:color w:val="auto"/>
          <w:highlight w:val="yellow"/>
        </w:rPr>
        <w:t>ensity gradient medium</w:t>
      </w:r>
      <w:r w:rsidR="00325AF6" w:rsidRPr="00C42369">
        <w:rPr>
          <w:color w:val="auto"/>
          <w:highlight w:val="yellow"/>
        </w:rPr>
        <w:t xml:space="preserve"> </w:t>
      </w:r>
      <w:r w:rsidR="003B1056" w:rsidRPr="00C42369">
        <w:rPr>
          <w:color w:val="auto"/>
          <w:highlight w:val="yellow"/>
        </w:rPr>
        <w:t>dilutions</w:t>
      </w:r>
      <w:r w:rsidR="00B84D07" w:rsidRPr="00C42369">
        <w:rPr>
          <w:color w:val="auto"/>
          <w:highlight w:val="yellow"/>
        </w:rPr>
        <w:t xml:space="preserve"> </w:t>
      </w:r>
      <w:r w:rsidR="00483B9F" w:rsidRPr="00C42369">
        <w:rPr>
          <w:color w:val="auto"/>
          <w:highlight w:val="yellow"/>
        </w:rPr>
        <w:t>above and below</w:t>
      </w:r>
      <w:r w:rsidR="00B84D07" w:rsidRPr="00C42369">
        <w:rPr>
          <w:color w:val="auto"/>
          <w:highlight w:val="yellow"/>
        </w:rPr>
        <w:t xml:space="preserve"> the concentration</w:t>
      </w:r>
      <w:r w:rsidR="007222F9" w:rsidRPr="00C42369">
        <w:rPr>
          <w:color w:val="auto"/>
          <w:highlight w:val="yellow"/>
        </w:rPr>
        <w:t>s defined in step 2.1</w:t>
      </w:r>
      <w:r w:rsidR="00412565" w:rsidRPr="00C42369">
        <w:rPr>
          <w:color w:val="auto"/>
          <w:highlight w:val="yellow"/>
        </w:rPr>
        <w:t>.1</w:t>
      </w:r>
      <w:r w:rsidR="007222F9" w:rsidRPr="00C42369">
        <w:rPr>
          <w:color w:val="auto"/>
          <w:highlight w:val="yellow"/>
        </w:rPr>
        <w:t xml:space="preserve"> (</w:t>
      </w:r>
      <w:r w:rsidR="007222F9" w:rsidRPr="00C42369">
        <w:rPr>
          <w:i/>
          <w:color w:val="auto"/>
          <w:highlight w:val="yellow"/>
        </w:rPr>
        <w:t>e.g.</w:t>
      </w:r>
      <w:r w:rsidR="00DF70FD" w:rsidRPr="00C42369">
        <w:rPr>
          <w:i/>
          <w:color w:val="auto"/>
          <w:highlight w:val="yellow"/>
        </w:rPr>
        <w:t>,</w:t>
      </w:r>
      <w:r w:rsidR="007222F9" w:rsidRPr="00C42369">
        <w:rPr>
          <w:color w:val="auto"/>
          <w:highlight w:val="yellow"/>
        </w:rPr>
        <w:t xml:space="preserve"> 25% and 35% dilutions should be tested if the result at 30% is ambiguous)</w:t>
      </w:r>
      <w:r w:rsidR="00B50C33" w:rsidRPr="00C42369">
        <w:rPr>
          <w:color w:val="auto"/>
          <w:highlight w:val="yellow"/>
        </w:rPr>
        <w:t>.</w:t>
      </w:r>
      <w:r w:rsidR="001F7EC3" w:rsidRPr="00DC459C">
        <w:rPr>
          <w:color w:val="auto"/>
        </w:rPr>
        <w:t xml:space="preserve"> </w:t>
      </w:r>
    </w:p>
    <w:p w14:paraId="74750144" w14:textId="77777777" w:rsidR="00A14E82" w:rsidRPr="00DC459C" w:rsidRDefault="00A14E82" w:rsidP="00DC459C">
      <w:pPr>
        <w:widowControl/>
        <w:rPr>
          <w:color w:val="auto"/>
        </w:rPr>
      </w:pPr>
    </w:p>
    <w:p w14:paraId="47BE82BE" w14:textId="1EE04832" w:rsidR="00B84D07" w:rsidRPr="00DC459C" w:rsidRDefault="00A14E82" w:rsidP="00DC459C">
      <w:pPr>
        <w:widowControl/>
        <w:rPr>
          <w:color w:val="auto"/>
        </w:rPr>
      </w:pPr>
      <w:r w:rsidRPr="00DC459C">
        <w:rPr>
          <w:color w:val="auto"/>
        </w:rPr>
        <w:t xml:space="preserve">Note: </w:t>
      </w:r>
      <w:r w:rsidR="001F7EC3" w:rsidRPr="00DC459C">
        <w:rPr>
          <w:color w:val="auto"/>
        </w:rPr>
        <w:t xml:space="preserve">See </w:t>
      </w:r>
      <w:r w:rsidR="00DC459C" w:rsidRPr="00DC459C">
        <w:rPr>
          <w:b/>
          <w:color w:val="auto"/>
        </w:rPr>
        <w:t>Figure 2A</w:t>
      </w:r>
      <w:r w:rsidR="001F7EC3" w:rsidRPr="00DC459C">
        <w:rPr>
          <w:color w:val="auto"/>
        </w:rPr>
        <w:t xml:space="preserve"> for typical results at a single </w:t>
      </w:r>
      <w:r w:rsidR="00E0496F">
        <w:rPr>
          <w:color w:val="auto"/>
        </w:rPr>
        <w:t>d</w:t>
      </w:r>
      <w:r w:rsidR="00E139B7">
        <w:rPr>
          <w:color w:val="auto"/>
        </w:rPr>
        <w:t>ensity gradient medium</w:t>
      </w:r>
      <w:r w:rsidR="001F7EC3" w:rsidRPr="00DC459C">
        <w:rPr>
          <w:color w:val="auto"/>
        </w:rPr>
        <w:t xml:space="preserve"> dilution.</w:t>
      </w:r>
    </w:p>
    <w:p w14:paraId="72AA825F" w14:textId="77777777" w:rsidR="00F27132" w:rsidRPr="00DC459C" w:rsidRDefault="00F27132" w:rsidP="00DC459C">
      <w:pPr>
        <w:widowControl/>
        <w:rPr>
          <w:color w:val="auto"/>
        </w:rPr>
      </w:pPr>
    </w:p>
    <w:p w14:paraId="12585E11" w14:textId="5CC25632" w:rsidR="00A14E82" w:rsidRPr="00DC459C" w:rsidRDefault="007222F9" w:rsidP="00DC459C">
      <w:pPr>
        <w:widowControl/>
        <w:rPr>
          <w:color w:val="auto"/>
          <w:highlight w:val="yellow"/>
        </w:rPr>
      </w:pPr>
      <w:r w:rsidRPr="00DC459C">
        <w:rPr>
          <w:color w:val="auto"/>
          <w:highlight w:val="yellow"/>
        </w:rPr>
        <w:t>2.2.</w:t>
      </w:r>
      <w:r w:rsidR="00964D3F" w:rsidRPr="00DC459C">
        <w:rPr>
          <w:color w:val="auto"/>
          <w:highlight w:val="yellow"/>
        </w:rPr>
        <w:t>5</w:t>
      </w:r>
      <w:r w:rsidR="0054461D">
        <w:rPr>
          <w:color w:val="auto"/>
          <w:highlight w:val="yellow"/>
        </w:rPr>
        <w:t>.</w:t>
      </w:r>
      <w:r w:rsidR="00F27132" w:rsidRPr="00DC459C">
        <w:rPr>
          <w:color w:val="auto"/>
          <w:highlight w:val="yellow"/>
        </w:rPr>
        <w:tab/>
      </w:r>
      <w:r w:rsidR="00483B9F" w:rsidRPr="00DC459C">
        <w:rPr>
          <w:color w:val="auto"/>
          <w:highlight w:val="yellow"/>
        </w:rPr>
        <w:t xml:space="preserve">Use the results </w:t>
      </w:r>
      <w:r w:rsidR="00546B6A" w:rsidRPr="00DC459C">
        <w:rPr>
          <w:color w:val="auto"/>
          <w:highlight w:val="yellow"/>
        </w:rPr>
        <w:t>from</w:t>
      </w:r>
      <w:r w:rsidR="00B50C33" w:rsidRPr="00DC459C">
        <w:rPr>
          <w:color w:val="auto"/>
          <w:highlight w:val="yellow"/>
        </w:rPr>
        <w:t xml:space="preserve"> steps 2.2</w:t>
      </w:r>
      <w:r w:rsidR="00546B6A" w:rsidRPr="00DC459C">
        <w:rPr>
          <w:color w:val="auto"/>
          <w:highlight w:val="yellow"/>
        </w:rPr>
        <w:t>.3</w:t>
      </w:r>
      <w:r w:rsidR="00B97EE9">
        <w:rPr>
          <w:color w:val="auto"/>
          <w:highlight w:val="yellow"/>
        </w:rPr>
        <w:t>-</w:t>
      </w:r>
      <w:r w:rsidR="00B50C33" w:rsidRPr="00DC459C">
        <w:rPr>
          <w:color w:val="auto"/>
          <w:highlight w:val="yellow"/>
        </w:rPr>
        <w:t>2.2.</w:t>
      </w:r>
      <w:r w:rsidR="00546B6A" w:rsidRPr="00DC459C">
        <w:rPr>
          <w:color w:val="auto"/>
          <w:highlight w:val="yellow"/>
        </w:rPr>
        <w:t>4</w:t>
      </w:r>
      <w:r w:rsidR="00B84D07" w:rsidRPr="00DC459C">
        <w:rPr>
          <w:color w:val="auto"/>
          <w:highlight w:val="yellow"/>
        </w:rPr>
        <w:t xml:space="preserve"> to determine the </w:t>
      </w:r>
      <w:r w:rsidR="00E61F70" w:rsidRPr="00DC459C">
        <w:rPr>
          <w:color w:val="auto"/>
          <w:highlight w:val="yellow"/>
        </w:rPr>
        <w:t>ideal</w:t>
      </w:r>
      <w:r w:rsidR="00B84D07" w:rsidRPr="00DC459C">
        <w:rPr>
          <w:color w:val="auto"/>
          <w:highlight w:val="yellow"/>
        </w:rPr>
        <w:t xml:space="preserve"> </w:t>
      </w:r>
      <w:r w:rsidR="003F35AE" w:rsidRPr="00DC459C">
        <w:rPr>
          <w:color w:val="auto"/>
          <w:highlight w:val="yellow"/>
        </w:rPr>
        <w:t>gradient dilutions</w:t>
      </w:r>
      <w:r w:rsidR="00DC459C">
        <w:rPr>
          <w:color w:val="auto"/>
          <w:highlight w:val="yellow"/>
        </w:rPr>
        <w:t xml:space="preserve"> </w:t>
      </w:r>
      <w:r w:rsidR="00B84D07" w:rsidRPr="00DC459C">
        <w:rPr>
          <w:color w:val="auto"/>
          <w:highlight w:val="yellow"/>
        </w:rPr>
        <w:t>to use to separate cells</w:t>
      </w:r>
      <w:r w:rsidR="001D1357" w:rsidRPr="00DC459C">
        <w:rPr>
          <w:color w:val="auto"/>
          <w:highlight w:val="yellow"/>
        </w:rPr>
        <w:t xml:space="preserve"> in</w:t>
      </w:r>
      <w:r w:rsidR="001F7EC3" w:rsidRPr="00DC459C">
        <w:rPr>
          <w:color w:val="auto"/>
          <w:highlight w:val="yellow"/>
        </w:rPr>
        <w:t xml:space="preserve"> larger-scale discontinuous gradients</w:t>
      </w:r>
      <w:r w:rsidR="00B84D07" w:rsidRPr="00DC459C">
        <w:rPr>
          <w:color w:val="auto"/>
          <w:highlight w:val="yellow"/>
        </w:rPr>
        <w:t>.</w:t>
      </w:r>
      <w:r w:rsidRPr="00DC459C">
        <w:rPr>
          <w:color w:val="auto"/>
          <w:highlight w:val="yellow"/>
        </w:rPr>
        <w:t xml:space="preserve"> </w:t>
      </w:r>
    </w:p>
    <w:p w14:paraId="631D66D9" w14:textId="77777777" w:rsidR="00A14E82" w:rsidRPr="00DC459C" w:rsidRDefault="00A14E82" w:rsidP="00DC459C">
      <w:pPr>
        <w:widowControl/>
        <w:rPr>
          <w:color w:val="auto"/>
          <w:highlight w:val="yellow"/>
        </w:rPr>
      </w:pPr>
    </w:p>
    <w:p w14:paraId="0E94B32F" w14:textId="4E2A010A" w:rsidR="00F27132" w:rsidRPr="001C24BD" w:rsidRDefault="001C24BD" w:rsidP="00DC459C">
      <w:pPr>
        <w:widowControl/>
        <w:rPr>
          <w:b/>
          <w:color w:val="auto"/>
        </w:rPr>
      </w:pPr>
      <w:r w:rsidRPr="0054461D">
        <w:rPr>
          <w:b/>
          <w:color w:val="auto"/>
          <w:highlight w:val="yellow"/>
        </w:rPr>
        <w:lastRenderedPageBreak/>
        <w:t xml:space="preserve">3. </w:t>
      </w:r>
      <w:r w:rsidR="00F27132" w:rsidRPr="0054461D">
        <w:rPr>
          <w:b/>
          <w:color w:val="auto"/>
          <w:highlight w:val="yellow"/>
        </w:rPr>
        <w:t>Prepar</w:t>
      </w:r>
      <w:r w:rsidR="00964D3F" w:rsidRPr="0054461D">
        <w:rPr>
          <w:b/>
          <w:color w:val="auto"/>
          <w:highlight w:val="yellow"/>
        </w:rPr>
        <w:t xml:space="preserve">ation </w:t>
      </w:r>
      <w:r w:rsidRPr="0054461D">
        <w:rPr>
          <w:b/>
          <w:color w:val="auto"/>
          <w:highlight w:val="yellow"/>
        </w:rPr>
        <w:t>of Cells for the Main Experiment</w:t>
      </w:r>
    </w:p>
    <w:p w14:paraId="79AAD2CF" w14:textId="77777777" w:rsidR="008A1CDB" w:rsidRPr="00DC459C" w:rsidRDefault="008A1CDB" w:rsidP="00DC459C">
      <w:pPr>
        <w:widowControl/>
        <w:rPr>
          <w:b/>
          <w:color w:val="auto"/>
        </w:rPr>
      </w:pPr>
    </w:p>
    <w:p w14:paraId="29664D01" w14:textId="2A1C9417" w:rsidR="008F1BE1" w:rsidRPr="00DC459C" w:rsidRDefault="00F27132" w:rsidP="00DC459C">
      <w:pPr>
        <w:widowControl/>
        <w:rPr>
          <w:color w:val="auto"/>
        </w:rPr>
      </w:pPr>
      <w:r w:rsidRPr="00DC459C">
        <w:rPr>
          <w:color w:val="auto"/>
          <w:highlight w:val="yellow"/>
        </w:rPr>
        <w:t>3.1</w:t>
      </w:r>
      <w:r w:rsidR="0054461D">
        <w:rPr>
          <w:color w:val="auto"/>
          <w:highlight w:val="yellow"/>
        </w:rPr>
        <w:t>.</w:t>
      </w:r>
      <w:r w:rsidR="00412565" w:rsidRPr="00DC459C">
        <w:rPr>
          <w:color w:val="auto"/>
          <w:highlight w:val="yellow"/>
        </w:rPr>
        <w:tab/>
      </w:r>
      <w:r w:rsidR="00ED4F8C" w:rsidRPr="00DC459C">
        <w:rPr>
          <w:color w:val="auto"/>
          <w:highlight w:val="yellow"/>
        </w:rPr>
        <w:t xml:space="preserve">Prepare fresh overnight cultures </w:t>
      </w:r>
      <w:r w:rsidR="008F1BE1" w:rsidRPr="00DC459C">
        <w:rPr>
          <w:color w:val="auto"/>
          <w:highlight w:val="yellow"/>
        </w:rPr>
        <w:t>by inoculating 10</w:t>
      </w:r>
      <w:r w:rsidR="009D4161" w:rsidRPr="00DC459C">
        <w:rPr>
          <w:color w:val="auto"/>
          <w:highlight w:val="yellow"/>
        </w:rPr>
        <w:t xml:space="preserve"> </w:t>
      </w:r>
      <w:r w:rsidR="00EF054B" w:rsidRPr="00DC459C">
        <w:rPr>
          <w:color w:val="auto"/>
          <w:highlight w:val="yellow"/>
        </w:rPr>
        <w:t>mL</w:t>
      </w:r>
      <w:r w:rsidR="008F1BE1" w:rsidRPr="00DC459C">
        <w:rPr>
          <w:color w:val="auto"/>
          <w:highlight w:val="yellow"/>
        </w:rPr>
        <w:t xml:space="preserve"> of appropriate broth as described in step 1.2</w:t>
      </w:r>
      <w:r w:rsidR="009D4161" w:rsidRPr="008A66AA">
        <w:rPr>
          <w:color w:val="auto"/>
          <w:highlight w:val="yellow"/>
        </w:rPr>
        <w:t>.</w:t>
      </w:r>
    </w:p>
    <w:p w14:paraId="54A4F84D" w14:textId="77777777" w:rsidR="008F1BE1" w:rsidRPr="00DC459C" w:rsidRDefault="008F1BE1" w:rsidP="00DC459C">
      <w:pPr>
        <w:widowControl/>
        <w:rPr>
          <w:color w:val="auto"/>
        </w:rPr>
      </w:pPr>
    </w:p>
    <w:p w14:paraId="57D6931D" w14:textId="148D1F5B" w:rsidR="008F1BE1" w:rsidRPr="00DC459C" w:rsidRDefault="008F1BE1" w:rsidP="00DC459C">
      <w:pPr>
        <w:widowControl/>
        <w:rPr>
          <w:color w:val="auto"/>
        </w:rPr>
      </w:pPr>
      <w:r w:rsidRPr="0054461D">
        <w:rPr>
          <w:color w:val="auto"/>
          <w:highlight w:val="yellow"/>
        </w:rPr>
        <w:t>3.</w:t>
      </w:r>
      <w:r w:rsidR="007B1481">
        <w:rPr>
          <w:color w:val="auto"/>
          <w:highlight w:val="yellow"/>
        </w:rPr>
        <w:t>1.</w:t>
      </w:r>
      <w:r w:rsidR="00994BEE">
        <w:rPr>
          <w:color w:val="auto"/>
          <w:highlight w:val="yellow"/>
        </w:rPr>
        <w:t>1</w:t>
      </w:r>
      <w:r w:rsidR="007B1481">
        <w:rPr>
          <w:color w:val="auto"/>
          <w:highlight w:val="yellow"/>
        </w:rPr>
        <w:t>.</w:t>
      </w:r>
      <w:r w:rsidRPr="0054461D">
        <w:rPr>
          <w:color w:val="auto"/>
          <w:highlight w:val="yellow"/>
        </w:rPr>
        <w:tab/>
        <w:t>Incubate the cultures overnight in appropriate conditions</w:t>
      </w:r>
      <w:r w:rsidR="00C42A5B" w:rsidRPr="0054461D">
        <w:rPr>
          <w:color w:val="auto"/>
          <w:highlight w:val="yellow"/>
        </w:rPr>
        <w:t xml:space="preserve"> as described in step 1.2.1</w:t>
      </w:r>
      <w:r w:rsidR="009D4161" w:rsidRPr="0054461D">
        <w:rPr>
          <w:color w:val="auto"/>
          <w:highlight w:val="yellow"/>
        </w:rPr>
        <w:t>.</w:t>
      </w:r>
    </w:p>
    <w:p w14:paraId="5DD6A403" w14:textId="77777777" w:rsidR="008F1BE1" w:rsidRPr="00DC459C" w:rsidRDefault="008F1BE1" w:rsidP="00DC459C">
      <w:pPr>
        <w:widowControl/>
        <w:rPr>
          <w:color w:val="auto"/>
        </w:rPr>
      </w:pPr>
    </w:p>
    <w:p w14:paraId="0E5EF730" w14:textId="1E9964A6" w:rsidR="00D2207E" w:rsidRPr="00DC459C" w:rsidRDefault="008F1BE1" w:rsidP="00DC459C">
      <w:pPr>
        <w:widowControl/>
        <w:rPr>
          <w:color w:val="auto"/>
        </w:rPr>
      </w:pPr>
      <w:r w:rsidRPr="00DC459C">
        <w:rPr>
          <w:color w:val="auto"/>
          <w:highlight w:val="yellow"/>
        </w:rPr>
        <w:t>3.1.</w:t>
      </w:r>
      <w:r w:rsidR="00994BEE">
        <w:rPr>
          <w:color w:val="auto"/>
          <w:highlight w:val="yellow"/>
        </w:rPr>
        <w:t>2</w:t>
      </w:r>
      <w:r w:rsidR="007B1481">
        <w:rPr>
          <w:color w:val="auto"/>
          <w:highlight w:val="yellow"/>
        </w:rPr>
        <w:t>.</w:t>
      </w:r>
      <w:r w:rsidR="003A0E81" w:rsidRPr="00DC459C">
        <w:rPr>
          <w:color w:val="auto"/>
          <w:highlight w:val="yellow"/>
        </w:rPr>
        <w:tab/>
        <w:t xml:space="preserve">Pellet the overnight culture </w:t>
      </w:r>
      <w:r w:rsidR="00D2207E" w:rsidRPr="00DC459C">
        <w:rPr>
          <w:color w:val="auto"/>
          <w:highlight w:val="yellow"/>
        </w:rPr>
        <w:t>as described in step 1.2.2.</w:t>
      </w:r>
      <w:r w:rsidR="00D2207E" w:rsidRPr="00DC459C">
        <w:rPr>
          <w:color w:val="auto"/>
        </w:rPr>
        <w:t xml:space="preserve"> </w:t>
      </w:r>
    </w:p>
    <w:p w14:paraId="6C3D95B8" w14:textId="77777777" w:rsidR="00D2207E" w:rsidRPr="00DC459C" w:rsidRDefault="00D2207E" w:rsidP="00DC459C">
      <w:pPr>
        <w:widowControl/>
        <w:rPr>
          <w:color w:val="auto"/>
        </w:rPr>
      </w:pPr>
    </w:p>
    <w:p w14:paraId="11A5B745" w14:textId="6BBB3113" w:rsidR="003A0E81" w:rsidRPr="00DC459C" w:rsidRDefault="00D2207E" w:rsidP="00DC459C">
      <w:pPr>
        <w:widowControl/>
        <w:rPr>
          <w:color w:val="auto"/>
        </w:rPr>
      </w:pPr>
      <w:r w:rsidRPr="00DC459C">
        <w:rPr>
          <w:color w:val="auto"/>
          <w:highlight w:val="yellow"/>
        </w:rPr>
        <w:t>3.</w:t>
      </w:r>
      <w:r w:rsidR="00636A79">
        <w:rPr>
          <w:color w:val="auto"/>
          <w:highlight w:val="yellow"/>
        </w:rPr>
        <w:t>2.</w:t>
      </w:r>
      <w:r w:rsidRPr="00DC459C">
        <w:rPr>
          <w:color w:val="auto"/>
          <w:highlight w:val="yellow"/>
        </w:rPr>
        <w:tab/>
        <w:t xml:space="preserve"> Wash the cells as described in step 1.2.3</w:t>
      </w:r>
      <w:r w:rsidR="00636A79">
        <w:rPr>
          <w:color w:val="auto"/>
          <w:highlight w:val="yellow"/>
        </w:rPr>
        <w:t>.</w:t>
      </w:r>
    </w:p>
    <w:p w14:paraId="1D749C9F" w14:textId="77777777" w:rsidR="00D2207E" w:rsidRPr="00DC459C" w:rsidRDefault="00D2207E" w:rsidP="00DC459C">
      <w:pPr>
        <w:widowControl/>
        <w:rPr>
          <w:color w:val="auto"/>
        </w:rPr>
      </w:pPr>
    </w:p>
    <w:p w14:paraId="1DA94F57" w14:textId="3CF98C68" w:rsidR="00D2207E" w:rsidRPr="00DC459C" w:rsidRDefault="00D2207E" w:rsidP="00DC459C">
      <w:pPr>
        <w:widowControl/>
        <w:rPr>
          <w:color w:val="auto"/>
        </w:rPr>
      </w:pPr>
      <w:r w:rsidRPr="00DC459C">
        <w:rPr>
          <w:color w:val="auto"/>
          <w:highlight w:val="yellow"/>
        </w:rPr>
        <w:t>3.</w:t>
      </w:r>
      <w:r w:rsidR="00994BEE">
        <w:rPr>
          <w:color w:val="auto"/>
          <w:highlight w:val="yellow"/>
        </w:rPr>
        <w:t>3</w:t>
      </w:r>
      <w:r w:rsidR="00636A79">
        <w:rPr>
          <w:color w:val="auto"/>
          <w:highlight w:val="yellow"/>
        </w:rPr>
        <w:t>.</w:t>
      </w:r>
      <w:r w:rsidRPr="00DC459C">
        <w:rPr>
          <w:color w:val="auto"/>
          <w:highlight w:val="yellow"/>
        </w:rPr>
        <w:tab/>
        <w:t>Discard the supernatant and resuspend the pellet in 1</w:t>
      </w:r>
      <w:r w:rsidR="009D4161" w:rsidRPr="00DC459C">
        <w:rPr>
          <w:color w:val="auto"/>
          <w:highlight w:val="yellow"/>
        </w:rPr>
        <w:t xml:space="preserve"> </w:t>
      </w:r>
      <w:r w:rsidR="00EF054B" w:rsidRPr="00DC459C">
        <w:rPr>
          <w:color w:val="auto"/>
          <w:highlight w:val="yellow"/>
        </w:rPr>
        <w:t>mL</w:t>
      </w:r>
      <w:r w:rsidRPr="00DC459C">
        <w:rPr>
          <w:color w:val="auto"/>
          <w:highlight w:val="yellow"/>
        </w:rPr>
        <w:t xml:space="preserve"> </w:t>
      </w:r>
      <w:r w:rsidR="008F1BE1" w:rsidRPr="00DC459C">
        <w:rPr>
          <w:color w:val="auto"/>
          <w:highlight w:val="yellow"/>
        </w:rPr>
        <w:t xml:space="preserve">of </w:t>
      </w:r>
      <w:r w:rsidRPr="00DC459C">
        <w:rPr>
          <w:color w:val="auto"/>
          <w:highlight w:val="yellow"/>
        </w:rPr>
        <w:t>1x PBS</w:t>
      </w:r>
      <w:r w:rsidR="00D878EB" w:rsidRPr="008A66AA">
        <w:rPr>
          <w:color w:val="auto"/>
          <w:highlight w:val="yellow"/>
        </w:rPr>
        <w:t>.</w:t>
      </w:r>
      <w:r w:rsidR="00D878EB" w:rsidRPr="00DC459C">
        <w:rPr>
          <w:color w:val="auto"/>
        </w:rPr>
        <w:t xml:space="preserve"> If the strain is mucoid and does not </w:t>
      </w:r>
      <w:r w:rsidR="001F7EC3" w:rsidRPr="00DC459C">
        <w:rPr>
          <w:color w:val="auto"/>
        </w:rPr>
        <w:t>pellet easily</w:t>
      </w:r>
      <w:r w:rsidR="00C42A5B" w:rsidRPr="00DC459C">
        <w:rPr>
          <w:color w:val="auto"/>
        </w:rPr>
        <w:t>, resuspend</w:t>
      </w:r>
      <w:r w:rsidR="00D878EB" w:rsidRPr="00DC459C">
        <w:rPr>
          <w:color w:val="auto"/>
        </w:rPr>
        <w:t xml:space="preserve"> the pellet in up to 2</w:t>
      </w:r>
      <w:r w:rsidR="009D4161" w:rsidRPr="00DC459C">
        <w:rPr>
          <w:color w:val="auto"/>
        </w:rPr>
        <w:t xml:space="preserve"> </w:t>
      </w:r>
      <w:r w:rsidR="00EF054B" w:rsidRPr="00DC459C">
        <w:rPr>
          <w:color w:val="auto"/>
        </w:rPr>
        <w:t>mL</w:t>
      </w:r>
      <w:r w:rsidR="00D878EB" w:rsidRPr="00DC459C">
        <w:rPr>
          <w:color w:val="auto"/>
        </w:rPr>
        <w:t xml:space="preserve"> of PBS or residual media</w:t>
      </w:r>
      <w:r w:rsidR="001F7EC3" w:rsidRPr="00DC459C">
        <w:rPr>
          <w:color w:val="auto"/>
        </w:rPr>
        <w:t>.</w:t>
      </w:r>
      <w:r w:rsidR="007B48A0" w:rsidRPr="00DC459C">
        <w:rPr>
          <w:color w:val="auto"/>
        </w:rPr>
        <w:t xml:space="preserve"> Cells are now ready to use.</w:t>
      </w:r>
    </w:p>
    <w:p w14:paraId="03556C57" w14:textId="77777777" w:rsidR="00ED4F8C" w:rsidRPr="00DC459C" w:rsidRDefault="00D2207E" w:rsidP="00DC459C">
      <w:pPr>
        <w:widowControl/>
        <w:tabs>
          <w:tab w:val="left" w:pos="6224"/>
        </w:tabs>
        <w:rPr>
          <w:color w:val="auto"/>
        </w:rPr>
      </w:pPr>
      <w:r w:rsidRPr="00DC459C">
        <w:rPr>
          <w:color w:val="auto"/>
        </w:rPr>
        <w:tab/>
        <w:t xml:space="preserve"> </w:t>
      </w:r>
    </w:p>
    <w:p w14:paraId="7F29EDC3" w14:textId="5005BA62" w:rsidR="00781A1B" w:rsidRPr="00DC459C" w:rsidRDefault="00583A28" w:rsidP="00DC459C">
      <w:pPr>
        <w:widowControl/>
        <w:rPr>
          <w:b/>
          <w:color w:val="auto"/>
        </w:rPr>
      </w:pPr>
      <w:r w:rsidRPr="00DC459C">
        <w:rPr>
          <w:b/>
          <w:color w:val="auto"/>
          <w:highlight w:val="yellow"/>
        </w:rPr>
        <w:t xml:space="preserve">4. </w:t>
      </w:r>
      <w:r w:rsidR="00D2207E" w:rsidRPr="00DC459C">
        <w:rPr>
          <w:b/>
          <w:color w:val="auto"/>
          <w:highlight w:val="yellow"/>
        </w:rPr>
        <w:t xml:space="preserve">Preparation of </w:t>
      </w:r>
      <w:r w:rsidR="00605538" w:rsidRPr="00DC459C">
        <w:rPr>
          <w:b/>
          <w:color w:val="auto"/>
          <w:highlight w:val="yellow"/>
        </w:rPr>
        <w:t xml:space="preserve">Discontinuous Density Gradients </w:t>
      </w:r>
    </w:p>
    <w:p w14:paraId="06935FD6" w14:textId="77777777" w:rsidR="008A1CDB" w:rsidRPr="00DC459C" w:rsidRDefault="008A1CDB" w:rsidP="00DC459C">
      <w:pPr>
        <w:widowControl/>
        <w:rPr>
          <w:b/>
          <w:color w:val="auto"/>
        </w:rPr>
      </w:pPr>
    </w:p>
    <w:p w14:paraId="5ED040E0" w14:textId="353677F7" w:rsidR="00D877B0" w:rsidRPr="00DC459C" w:rsidRDefault="00A14E82" w:rsidP="00DC459C">
      <w:pPr>
        <w:widowControl/>
        <w:rPr>
          <w:color w:val="auto"/>
        </w:rPr>
      </w:pPr>
      <w:r w:rsidRPr="00DC459C">
        <w:rPr>
          <w:color w:val="auto"/>
        </w:rPr>
        <w:t xml:space="preserve">Note: </w:t>
      </w:r>
      <w:r w:rsidR="00D877B0" w:rsidRPr="00DC459C">
        <w:rPr>
          <w:color w:val="auto"/>
        </w:rPr>
        <w:t>An alternative method of gradient preparation from bottom</w:t>
      </w:r>
      <w:r w:rsidR="001F7EC3" w:rsidRPr="00DC459C">
        <w:rPr>
          <w:color w:val="auto"/>
        </w:rPr>
        <w:t xml:space="preserve"> (most concentrated)</w:t>
      </w:r>
      <w:r w:rsidR="00D877B0" w:rsidRPr="00DC459C">
        <w:rPr>
          <w:color w:val="auto"/>
        </w:rPr>
        <w:t xml:space="preserve"> to top</w:t>
      </w:r>
      <w:r w:rsidR="001F7EC3" w:rsidRPr="00DC459C">
        <w:rPr>
          <w:color w:val="auto"/>
        </w:rPr>
        <w:t xml:space="preserve"> (least concentrated)</w:t>
      </w:r>
      <w:r w:rsidR="00C42A5B" w:rsidRPr="00DC459C">
        <w:rPr>
          <w:color w:val="auto"/>
        </w:rPr>
        <w:t xml:space="preserve"> using a pipette </w:t>
      </w:r>
      <w:r w:rsidR="00D877B0" w:rsidRPr="00DC459C">
        <w:rPr>
          <w:color w:val="auto"/>
        </w:rPr>
        <w:t>is described in s</w:t>
      </w:r>
      <w:r w:rsidR="00605538">
        <w:rPr>
          <w:color w:val="auto"/>
        </w:rPr>
        <w:t>tep</w:t>
      </w:r>
      <w:r w:rsidR="00D877B0" w:rsidRPr="00DC459C">
        <w:rPr>
          <w:color w:val="auto"/>
        </w:rPr>
        <w:t xml:space="preserve"> 7</w:t>
      </w:r>
      <w:r w:rsidR="004F7C0C" w:rsidRPr="00DC459C">
        <w:rPr>
          <w:color w:val="auto"/>
        </w:rPr>
        <w:t>.</w:t>
      </w:r>
      <w:r w:rsidR="00C42A5B" w:rsidRPr="00DC459C">
        <w:rPr>
          <w:color w:val="auto"/>
        </w:rPr>
        <w:t xml:space="preserve"> </w:t>
      </w:r>
    </w:p>
    <w:p w14:paraId="7655AAB0" w14:textId="77777777" w:rsidR="00A14E82" w:rsidRPr="00DC459C" w:rsidRDefault="00A14E82" w:rsidP="00DC459C">
      <w:pPr>
        <w:widowControl/>
        <w:rPr>
          <w:i/>
          <w:color w:val="auto"/>
        </w:rPr>
      </w:pPr>
    </w:p>
    <w:p w14:paraId="4F820F8F" w14:textId="425DC2E3" w:rsidR="00546B6A" w:rsidRPr="00DC459C" w:rsidRDefault="00583A28" w:rsidP="00DC459C">
      <w:pPr>
        <w:widowControl/>
        <w:rPr>
          <w:color w:val="auto"/>
        </w:rPr>
      </w:pPr>
      <w:r w:rsidRPr="00DC459C">
        <w:rPr>
          <w:color w:val="auto"/>
          <w:highlight w:val="yellow"/>
        </w:rPr>
        <w:t>4.1</w:t>
      </w:r>
      <w:r w:rsidR="00D26C4E">
        <w:rPr>
          <w:color w:val="auto"/>
          <w:highlight w:val="yellow"/>
        </w:rPr>
        <w:t>.</w:t>
      </w:r>
      <w:r w:rsidRPr="00DC459C">
        <w:rPr>
          <w:color w:val="auto"/>
          <w:highlight w:val="yellow"/>
        </w:rPr>
        <w:tab/>
        <w:t>Pipette 1</w:t>
      </w:r>
      <w:r w:rsidR="009D4161" w:rsidRPr="00DC459C">
        <w:rPr>
          <w:color w:val="auto"/>
          <w:highlight w:val="yellow"/>
        </w:rPr>
        <w:t xml:space="preserve"> </w:t>
      </w:r>
      <w:r w:rsidR="00EF054B" w:rsidRPr="00DC459C">
        <w:rPr>
          <w:color w:val="auto"/>
          <w:highlight w:val="yellow"/>
        </w:rPr>
        <w:t>mL</w:t>
      </w:r>
      <w:r w:rsidRPr="00DC459C">
        <w:rPr>
          <w:color w:val="auto"/>
          <w:highlight w:val="yellow"/>
        </w:rPr>
        <w:t xml:space="preserve"> of the most dilute </w:t>
      </w:r>
      <w:r w:rsidR="00546B6A" w:rsidRPr="00DC459C">
        <w:rPr>
          <w:color w:val="auto"/>
          <w:highlight w:val="yellow"/>
        </w:rPr>
        <w:t>density gradient dilution</w:t>
      </w:r>
      <w:r w:rsidRPr="00DC459C">
        <w:rPr>
          <w:color w:val="auto"/>
          <w:highlight w:val="yellow"/>
        </w:rPr>
        <w:t xml:space="preserve"> into a 5</w:t>
      </w:r>
      <w:r w:rsidR="009D4161" w:rsidRPr="00DC459C">
        <w:rPr>
          <w:color w:val="auto"/>
          <w:highlight w:val="yellow"/>
        </w:rPr>
        <w:t xml:space="preserve"> </w:t>
      </w:r>
      <w:r w:rsidR="00EF054B" w:rsidRPr="00DC459C">
        <w:rPr>
          <w:color w:val="auto"/>
          <w:highlight w:val="yellow"/>
        </w:rPr>
        <w:t>mL</w:t>
      </w:r>
      <w:r w:rsidRPr="00DC459C">
        <w:rPr>
          <w:color w:val="auto"/>
          <w:highlight w:val="yellow"/>
        </w:rPr>
        <w:t xml:space="preserve"> polypropylene round bottom tube</w:t>
      </w:r>
      <w:r w:rsidR="00A14E82" w:rsidRPr="00DC459C">
        <w:rPr>
          <w:color w:val="auto"/>
          <w:highlight w:val="yellow"/>
        </w:rPr>
        <w:t xml:space="preserve"> to </w:t>
      </w:r>
      <w:r w:rsidRPr="00DC459C">
        <w:rPr>
          <w:color w:val="auto"/>
          <w:highlight w:val="yellow"/>
        </w:rPr>
        <w:t>form the top</w:t>
      </w:r>
      <w:r w:rsidR="001F7EC3" w:rsidRPr="00DC459C">
        <w:rPr>
          <w:color w:val="auto"/>
          <w:highlight w:val="yellow"/>
        </w:rPr>
        <w:t>, most dilute,</w:t>
      </w:r>
      <w:r w:rsidRPr="00DC459C">
        <w:rPr>
          <w:color w:val="auto"/>
          <w:highlight w:val="yellow"/>
        </w:rPr>
        <w:t xml:space="preserve"> layer of </w:t>
      </w:r>
      <w:r w:rsidR="00A14E82" w:rsidRPr="00DC459C">
        <w:rPr>
          <w:color w:val="auto"/>
          <w:highlight w:val="yellow"/>
        </w:rPr>
        <w:t>the</w:t>
      </w:r>
      <w:r w:rsidRPr="00DC459C">
        <w:rPr>
          <w:color w:val="auto"/>
          <w:highlight w:val="yellow"/>
        </w:rPr>
        <w:t xml:space="preserve"> gradient</w:t>
      </w:r>
      <w:r w:rsidR="001F7EC3" w:rsidRPr="008A66AA">
        <w:rPr>
          <w:color w:val="auto"/>
          <w:highlight w:val="yellow"/>
        </w:rPr>
        <w:t>.</w:t>
      </w:r>
      <w:r w:rsidR="001F7EC3" w:rsidRPr="00DC459C">
        <w:rPr>
          <w:color w:val="auto"/>
        </w:rPr>
        <w:t xml:space="preserve"> </w:t>
      </w:r>
    </w:p>
    <w:p w14:paraId="4B9BB0E6" w14:textId="77777777" w:rsidR="007B48A0" w:rsidRPr="00DC459C" w:rsidRDefault="007B48A0" w:rsidP="00DC459C">
      <w:pPr>
        <w:widowControl/>
        <w:rPr>
          <w:color w:val="auto"/>
        </w:rPr>
      </w:pPr>
    </w:p>
    <w:p w14:paraId="2EDE3A21" w14:textId="40AB7B24" w:rsidR="005C3FD3" w:rsidRPr="00DC459C" w:rsidRDefault="00546B6A" w:rsidP="00DC459C">
      <w:pPr>
        <w:widowControl/>
        <w:rPr>
          <w:color w:val="auto"/>
        </w:rPr>
      </w:pPr>
      <w:r w:rsidRPr="00DC459C">
        <w:rPr>
          <w:color w:val="auto"/>
        </w:rPr>
        <w:t xml:space="preserve">Note: </w:t>
      </w:r>
      <w:r w:rsidR="001F7EC3" w:rsidRPr="00DC459C">
        <w:rPr>
          <w:color w:val="auto"/>
        </w:rPr>
        <w:t xml:space="preserve">Subsequent layers of more concentrated </w:t>
      </w:r>
      <w:r w:rsidR="007B48A0" w:rsidRPr="00DC459C">
        <w:rPr>
          <w:color w:val="auto"/>
        </w:rPr>
        <w:t>gradient dilution</w:t>
      </w:r>
      <w:r w:rsidR="00A46043">
        <w:rPr>
          <w:color w:val="auto"/>
        </w:rPr>
        <w:t>s</w:t>
      </w:r>
      <w:r w:rsidR="007B48A0" w:rsidRPr="00DC459C">
        <w:rPr>
          <w:color w:val="auto"/>
        </w:rPr>
        <w:t xml:space="preserve"> </w:t>
      </w:r>
      <w:r w:rsidR="001F7EC3" w:rsidRPr="00DC459C">
        <w:rPr>
          <w:color w:val="auto"/>
        </w:rPr>
        <w:t xml:space="preserve">will be added below this layer using a needle, so as not to disrupt the layers. </w:t>
      </w:r>
      <w:r w:rsidR="00583A28" w:rsidRPr="00DC459C">
        <w:rPr>
          <w:color w:val="auto"/>
        </w:rPr>
        <w:t xml:space="preserve">A minimum of </w:t>
      </w:r>
      <w:r w:rsidR="00D878EB" w:rsidRPr="00DC459C">
        <w:rPr>
          <w:color w:val="auto"/>
        </w:rPr>
        <w:t>two</w:t>
      </w:r>
      <w:r w:rsidR="00583A28" w:rsidRPr="00DC459C">
        <w:rPr>
          <w:color w:val="auto"/>
        </w:rPr>
        <w:t xml:space="preserve"> and maximum of </w:t>
      </w:r>
      <w:r w:rsidR="00D878EB" w:rsidRPr="00DC459C">
        <w:rPr>
          <w:color w:val="auto"/>
        </w:rPr>
        <w:t>three</w:t>
      </w:r>
      <w:r w:rsidR="00583A28" w:rsidRPr="00DC459C">
        <w:rPr>
          <w:color w:val="auto"/>
        </w:rPr>
        <w:t xml:space="preserve"> gradient </w:t>
      </w:r>
      <w:r w:rsidR="00F93AB0" w:rsidRPr="00DC459C">
        <w:rPr>
          <w:color w:val="auto"/>
        </w:rPr>
        <w:t>layers</w:t>
      </w:r>
      <w:r w:rsidR="00583A28" w:rsidRPr="00DC459C">
        <w:rPr>
          <w:color w:val="auto"/>
        </w:rPr>
        <w:t xml:space="preserve"> </w:t>
      </w:r>
      <w:r w:rsidR="00F93AB0" w:rsidRPr="00DC459C">
        <w:rPr>
          <w:color w:val="auto"/>
        </w:rPr>
        <w:t xml:space="preserve">of 1 </w:t>
      </w:r>
      <w:r w:rsidR="00EF054B" w:rsidRPr="00DC459C">
        <w:rPr>
          <w:color w:val="auto"/>
        </w:rPr>
        <w:t>mL</w:t>
      </w:r>
      <w:r w:rsidR="00F93AB0" w:rsidRPr="00DC459C">
        <w:rPr>
          <w:color w:val="auto"/>
        </w:rPr>
        <w:t xml:space="preserve"> each </w:t>
      </w:r>
      <w:r w:rsidRPr="00DC459C">
        <w:rPr>
          <w:color w:val="auto"/>
        </w:rPr>
        <w:t>are</w:t>
      </w:r>
      <w:r w:rsidR="00F93AB0" w:rsidRPr="00DC459C">
        <w:rPr>
          <w:color w:val="auto"/>
        </w:rPr>
        <w:t xml:space="preserve"> recommended for robust separation and easy visualization of bacteria.</w:t>
      </w:r>
    </w:p>
    <w:p w14:paraId="1E68BDE9" w14:textId="77777777" w:rsidR="005C3FD3" w:rsidRPr="00DC459C" w:rsidRDefault="005C3FD3" w:rsidP="00DC459C">
      <w:pPr>
        <w:widowControl/>
        <w:rPr>
          <w:color w:val="auto"/>
        </w:rPr>
      </w:pPr>
    </w:p>
    <w:p w14:paraId="334A56C8" w14:textId="7A7795D0" w:rsidR="005C3FD3" w:rsidRPr="00DC459C" w:rsidRDefault="00324F44" w:rsidP="00DC459C">
      <w:pPr>
        <w:widowControl/>
        <w:rPr>
          <w:color w:val="auto"/>
        </w:rPr>
      </w:pPr>
      <w:r w:rsidRPr="00DC459C">
        <w:rPr>
          <w:color w:val="auto"/>
          <w:highlight w:val="yellow"/>
        </w:rPr>
        <w:t>4.1.</w:t>
      </w:r>
      <w:r w:rsidR="00CB5D4D">
        <w:rPr>
          <w:color w:val="auto"/>
          <w:highlight w:val="yellow"/>
        </w:rPr>
        <w:t>1.</w:t>
      </w:r>
      <w:r w:rsidR="005C3FD3" w:rsidRPr="00DC459C">
        <w:rPr>
          <w:color w:val="auto"/>
          <w:highlight w:val="yellow"/>
        </w:rPr>
        <w:tab/>
        <w:t>Using a 1</w:t>
      </w:r>
      <w:r w:rsidR="00EC5F9E" w:rsidRPr="00DC459C">
        <w:rPr>
          <w:color w:val="auto"/>
          <w:highlight w:val="yellow"/>
        </w:rPr>
        <w:t xml:space="preserve"> </w:t>
      </w:r>
      <w:r w:rsidR="00EF054B" w:rsidRPr="00DC459C">
        <w:rPr>
          <w:color w:val="auto"/>
          <w:highlight w:val="yellow"/>
        </w:rPr>
        <w:t>mL</w:t>
      </w:r>
      <w:r w:rsidR="00D878EB" w:rsidRPr="00DC459C">
        <w:rPr>
          <w:color w:val="auto"/>
          <w:highlight w:val="yellow"/>
        </w:rPr>
        <w:t xml:space="preserve"> disposable syringe with a 1.5</w:t>
      </w:r>
      <w:r w:rsidR="005C3FD3" w:rsidRPr="00DC459C">
        <w:rPr>
          <w:color w:val="auto"/>
          <w:highlight w:val="yellow"/>
        </w:rPr>
        <w:t>-inch needle attached, take 1</w:t>
      </w:r>
      <w:r w:rsidR="00EC5F9E" w:rsidRPr="00DC459C">
        <w:rPr>
          <w:color w:val="auto"/>
          <w:highlight w:val="yellow"/>
        </w:rPr>
        <w:t xml:space="preserve"> </w:t>
      </w:r>
      <w:r w:rsidR="00EF054B" w:rsidRPr="00DC459C">
        <w:rPr>
          <w:color w:val="auto"/>
          <w:highlight w:val="yellow"/>
        </w:rPr>
        <w:t>mL</w:t>
      </w:r>
      <w:r w:rsidR="005C3FD3" w:rsidRPr="00DC459C">
        <w:rPr>
          <w:color w:val="auto"/>
          <w:highlight w:val="yellow"/>
        </w:rPr>
        <w:t xml:space="preserve"> of the next most </w:t>
      </w:r>
      <w:r w:rsidR="001F7EC3" w:rsidRPr="00DC459C">
        <w:rPr>
          <w:color w:val="auto"/>
          <w:highlight w:val="yellow"/>
        </w:rPr>
        <w:t xml:space="preserve">concentrated </w:t>
      </w:r>
      <w:r w:rsidR="00E0496F">
        <w:rPr>
          <w:color w:val="auto"/>
          <w:highlight w:val="yellow"/>
        </w:rPr>
        <w:t>d</w:t>
      </w:r>
      <w:r w:rsidR="00E139B7">
        <w:rPr>
          <w:color w:val="auto"/>
          <w:highlight w:val="yellow"/>
        </w:rPr>
        <w:t>ensity gradient medium</w:t>
      </w:r>
      <w:r w:rsidR="001F7EC3" w:rsidRPr="00DC459C">
        <w:rPr>
          <w:color w:val="auto"/>
          <w:highlight w:val="yellow"/>
        </w:rPr>
        <w:t xml:space="preserve"> dilution</w:t>
      </w:r>
      <w:r w:rsidR="00546B6A" w:rsidRPr="00DC459C">
        <w:rPr>
          <w:color w:val="auto"/>
          <w:highlight w:val="yellow"/>
        </w:rPr>
        <w:t xml:space="preserve"> into the sy</w:t>
      </w:r>
      <w:r w:rsidR="00964D3F" w:rsidRPr="00DC459C">
        <w:rPr>
          <w:color w:val="auto"/>
          <w:highlight w:val="yellow"/>
        </w:rPr>
        <w:t>r</w:t>
      </w:r>
      <w:r w:rsidR="00546B6A" w:rsidRPr="00DC459C">
        <w:rPr>
          <w:color w:val="auto"/>
          <w:highlight w:val="yellow"/>
        </w:rPr>
        <w:t>inge</w:t>
      </w:r>
      <w:r w:rsidR="00781A1B" w:rsidRPr="00DC459C">
        <w:rPr>
          <w:color w:val="auto"/>
          <w:highlight w:val="yellow"/>
        </w:rPr>
        <w:t>. Avoid taking up any air</w:t>
      </w:r>
      <w:r w:rsidR="00A1010B" w:rsidRPr="00DC459C">
        <w:rPr>
          <w:color w:val="auto"/>
          <w:highlight w:val="yellow"/>
        </w:rPr>
        <w:t>,</w:t>
      </w:r>
      <w:r w:rsidR="00781A1B" w:rsidRPr="00DC459C">
        <w:rPr>
          <w:color w:val="auto"/>
          <w:highlight w:val="yellow"/>
        </w:rPr>
        <w:t xml:space="preserve"> </w:t>
      </w:r>
      <w:r w:rsidR="00E628C7" w:rsidRPr="00DC459C">
        <w:rPr>
          <w:color w:val="auto"/>
          <w:highlight w:val="yellow"/>
        </w:rPr>
        <w:t>as</w:t>
      </w:r>
      <w:r w:rsidR="00A1010B" w:rsidRPr="00DC459C">
        <w:rPr>
          <w:color w:val="auto"/>
          <w:highlight w:val="yellow"/>
        </w:rPr>
        <w:t xml:space="preserve"> </w:t>
      </w:r>
      <w:r w:rsidR="00E628C7" w:rsidRPr="00DC459C">
        <w:rPr>
          <w:color w:val="auto"/>
          <w:highlight w:val="yellow"/>
        </w:rPr>
        <w:t>bubbles can disrupt the gradient</w:t>
      </w:r>
      <w:r w:rsidR="00781A1B" w:rsidRPr="00DC459C">
        <w:rPr>
          <w:color w:val="auto"/>
          <w:highlight w:val="yellow"/>
        </w:rPr>
        <w:t xml:space="preserve"> layers.</w:t>
      </w:r>
    </w:p>
    <w:p w14:paraId="45F006E8" w14:textId="77777777" w:rsidR="005C3FD3" w:rsidRPr="00DC459C" w:rsidRDefault="005C3FD3" w:rsidP="00DC459C">
      <w:pPr>
        <w:widowControl/>
        <w:rPr>
          <w:color w:val="auto"/>
        </w:rPr>
      </w:pPr>
    </w:p>
    <w:p w14:paraId="2445BA5D" w14:textId="3FF3C0FE" w:rsidR="00964D3F" w:rsidRPr="00DC459C" w:rsidRDefault="00E628C7" w:rsidP="00DC459C">
      <w:pPr>
        <w:widowControl/>
        <w:rPr>
          <w:color w:val="auto"/>
          <w:highlight w:val="yellow"/>
        </w:rPr>
      </w:pPr>
      <w:r w:rsidRPr="00DC459C">
        <w:rPr>
          <w:color w:val="auto"/>
          <w:highlight w:val="yellow"/>
        </w:rPr>
        <w:t>4</w:t>
      </w:r>
      <w:r w:rsidR="00E635B5" w:rsidRPr="00DC459C">
        <w:rPr>
          <w:color w:val="auto"/>
          <w:highlight w:val="yellow"/>
        </w:rPr>
        <w:t>.1.</w:t>
      </w:r>
      <w:r w:rsidR="00CB5D4D">
        <w:rPr>
          <w:color w:val="auto"/>
          <w:highlight w:val="yellow"/>
        </w:rPr>
        <w:t>2.</w:t>
      </w:r>
      <w:r w:rsidRPr="00DC459C">
        <w:rPr>
          <w:color w:val="auto"/>
          <w:highlight w:val="yellow"/>
        </w:rPr>
        <w:t xml:space="preserve"> </w:t>
      </w:r>
      <w:r w:rsidRPr="00DC459C">
        <w:rPr>
          <w:color w:val="auto"/>
          <w:highlight w:val="yellow"/>
        </w:rPr>
        <w:tab/>
        <w:t xml:space="preserve">Place the needle </w:t>
      </w:r>
      <w:r w:rsidR="001F7EC3" w:rsidRPr="00DC459C">
        <w:rPr>
          <w:color w:val="auto"/>
          <w:highlight w:val="yellow"/>
        </w:rPr>
        <w:t>end at</w:t>
      </w:r>
      <w:r w:rsidR="00C42A5B" w:rsidRPr="00DC459C">
        <w:rPr>
          <w:color w:val="auto"/>
          <w:highlight w:val="yellow"/>
        </w:rPr>
        <w:t xml:space="preserve"> the bottom of</w:t>
      </w:r>
      <w:r w:rsidRPr="00DC459C">
        <w:rPr>
          <w:color w:val="auto"/>
          <w:highlight w:val="yellow"/>
        </w:rPr>
        <w:t xml:space="preserve"> the</w:t>
      </w:r>
      <w:r w:rsidR="005C3FD3" w:rsidRPr="00DC459C">
        <w:rPr>
          <w:color w:val="auto"/>
          <w:highlight w:val="yellow"/>
        </w:rPr>
        <w:t xml:space="preserve"> tube</w:t>
      </w:r>
      <w:r w:rsidR="00C42A5B" w:rsidRPr="00DC459C">
        <w:rPr>
          <w:color w:val="auto"/>
          <w:highlight w:val="yellow"/>
        </w:rPr>
        <w:t xml:space="preserve"> </w:t>
      </w:r>
      <w:r w:rsidRPr="00DC459C">
        <w:rPr>
          <w:color w:val="auto"/>
          <w:highlight w:val="yellow"/>
        </w:rPr>
        <w:t xml:space="preserve">containing the first </w:t>
      </w:r>
      <w:r w:rsidR="001F7EC3" w:rsidRPr="00DC459C">
        <w:rPr>
          <w:color w:val="auto"/>
          <w:highlight w:val="yellow"/>
        </w:rPr>
        <w:t>layer</w:t>
      </w:r>
      <w:r w:rsidR="00C42A5B" w:rsidRPr="00DC459C">
        <w:rPr>
          <w:color w:val="auto"/>
          <w:highlight w:val="yellow"/>
        </w:rPr>
        <w:t xml:space="preserve">. </w:t>
      </w:r>
      <w:r w:rsidR="005C3FD3" w:rsidRPr="00DC459C">
        <w:rPr>
          <w:color w:val="auto"/>
          <w:highlight w:val="yellow"/>
        </w:rPr>
        <w:t xml:space="preserve">Aspirate the syringe contents </w:t>
      </w:r>
      <w:r w:rsidR="00C518B6" w:rsidRPr="00DC459C">
        <w:rPr>
          <w:color w:val="auto"/>
          <w:highlight w:val="yellow"/>
        </w:rPr>
        <w:t xml:space="preserve">very slowly </w:t>
      </w:r>
      <w:r w:rsidR="00A14E82" w:rsidRPr="00DC459C">
        <w:rPr>
          <w:color w:val="auto"/>
          <w:highlight w:val="yellow"/>
        </w:rPr>
        <w:t>to avoid</w:t>
      </w:r>
      <w:r w:rsidR="00E635B5" w:rsidRPr="00DC459C">
        <w:rPr>
          <w:color w:val="auto"/>
          <w:highlight w:val="yellow"/>
        </w:rPr>
        <w:t xml:space="preserve"> mix</w:t>
      </w:r>
      <w:r w:rsidR="00A14E82" w:rsidRPr="00DC459C">
        <w:rPr>
          <w:color w:val="auto"/>
          <w:highlight w:val="yellow"/>
        </w:rPr>
        <w:t xml:space="preserve">ing </w:t>
      </w:r>
      <w:r w:rsidR="00E635B5" w:rsidRPr="00DC459C">
        <w:rPr>
          <w:color w:val="auto"/>
          <w:highlight w:val="yellow"/>
        </w:rPr>
        <w:t xml:space="preserve">the interface. </w:t>
      </w:r>
    </w:p>
    <w:p w14:paraId="220B5196" w14:textId="77777777" w:rsidR="00964D3F" w:rsidRPr="00DC459C" w:rsidRDefault="00964D3F" w:rsidP="00DC459C">
      <w:pPr>
        <w:widowControl/>
        <w:rPr>
          <w:color w:val="auto"/>
          <w:highlight w:val="yellow"/>
        </w:rPr>
      </w:pPr>
    </w:p>
    <w:p w14:paraId="2745AC21" w14:textId="0B3AEEE2" w:rsidR="005C3FD3" w:rsidRPr="00DC459C" w:rsidRDefault="00964D3F" w:rsidP="00DC459C">
      <w:pPr>
        <w:widowControl/>
        <w:rPr>
          <w:color w:val="auto"/>
          <w:highlight w:val="yellow"/>
        </w:rPr>
      </w:pPr>
      <w:r w:rsidRPr="00DC459C">
        <w:rPr>
          <w:color w:val="auto"/>
          <w:highlight w:val="yellow"/>
        </w:rPr>
        <w:t xml:space="preserve">Note: </w:t>
      </w:r>
      <w:r w:rsidR="00546B6A" w:rsidRPr="00DC459C">
        <w:rPr>
          <w:color w:val="auto"/>
          <w:highlight w:val="yellow"/>
        </w:rPr>
        <w:t>T</w:t>
      </w:r>
      <w:r w:rsidR="00781A1B" w:rsidRPr="00DC459C">
        <w:rPr>
          <w:color w:val="auto"/>
          <w:highlight w:val="yellow"/>
        </w:rPr>
        <w:t>he interface</w:t>
      </w:r>
      <w:r w:rsidR="005C3FD3" w:rsidRPr="00DC459C">
        <w:rPr>
          <w:color w:val="auto"/>
          <w:highlight w:val="yellow"/>
        </w:rPr>
        <w:t xml:space="preserve"> </w:t>
      </w:r>
      <w:r w:rsidR="00546B6A" w:rsidRPr="00DC459C">
        <w:rPr>
          <w:color w:val="auto"/>
          <w:highlight w:val="yellow"/>
        </w:rPr>
        <w:t>of the two dilutions will rise</w:t>
      </w:r>
      <w:r w:rsidR="005C3FD3" w:rsidRPr="00DC459C">
        <w:rPr>
          <w:color w:val="auto"/>
          <w:highlight w:val="yellow"/>
        </w:rPr>
        <w:t xml:space="preserve"> as </w:t>
      </w:r>
      <w:r w:rsidR="00781A1B" w:rsidRPr="00DC459C">
        <w:rPr>
          <w:color w:val="auto"/>
          <w:highlight w:val="yellow"/>
        </w:rPr>
        <w:t>the more concentrated</w:t>
      </w:r>
      <w:r w:rsidR="0060204D" w:rsidRPr="00DC459C">
        <w:rPr>
          <w:color w:val="auto"/>
          <w:highlight w:val="yellow"/>
        </w:rPr>
        <w:t xml:space="preserve"> gradient</w:t>
      </w:r>
      <w:r w:rsidR="00781A1B" w:rsidRPr="00DC459C">
        <w:rPr>
          <w:color w:val="auto"/>
          <w:highlight w:val="yellow"/>
        </w:rPr>
        <w:t xml:space="preserve"> </w:t>
      </w:r>
      <w:r w:rsidR="00E628C7" w:rsidRPr="00DC459C">
        <w:rPr>
          <w:color w:val="auto"/>
          <w:highlight w:val="yellow"/>
        </w:rPr>
        <w:t>dilution</w:t>
      </w:r>
      <w:r w:rsidR="00A46043">
        <w:rPr>
          <w:color w:val="auto"/>
          <w:highlight w:val="yellow"/>
        </w:rPr>
        <w:t xml:space="preserve"> is added</w:t>
      </w:r>
      <w:r w:rsidR="00546B6A" w:rsidRPr="00DC459C">
        <w:rPr>
          <w:color w:val="auto"/>
          <w:highlight w:val="yellow"/>
        </w:rPr>
        <w:t>. Observe the interface</w:t>
      </w:r>
      <w:r w:rsidR="00E635B5" w:rsidRPr="00DC459C">
        <w:rPr>
          <w:color w:val="auto"/>
          <w:highlight w:val="yellow"/>
        </w:rPr>
        <w:t xml:space="preserve"> by holding it up to light or an outside window.</w:t>
      </w:r>
      <w:r w:rsidR="005C3FD3" w:rsidRPr="00DC459C">
        <w:rPr>
          <w:color w:val="auto"/>
          <w:highlight w:val="yellow"/>
        </w:rPr>
        <w:t xml:space="preserve"> </w:t>
      </w:r>
      <w:r w:rsidR="0060204D" w:rsidRPr="00DC459C">
        <w:rPr>
          <w:color w:val="auto"/>
          <w:highlight w:val="yellow"/>
        </w:rPr>
        <w:t>If no distinct interface is observed, discard the gradient and start again.</w:t>
      </w:r>
      <w:r w:rsidR="00E635B5" w:rsidRPr="00DC459C">
        <w:rPr>
          <w:color w:val="auto"/>
          <w:highlight w:val="yellow"/>
        </w:rPr>
        <w:t xml:space="preserve"> </w:t>
      </w:r>
    </w:p>
    <w:p w14:paraId="36E93027" w14:textId="77777777" w:rsidR="00E635B5" w:rsidRPr="00DC459C" w:rsidRDefault="00E635B5" w:rsidP="00DC459C">
      <w:pPr>
        <w:widowControl/>
        <w:rPr>
          <w:color w:val="auto"/>
        </w:rPr>
      </w:pPr>
    </w:p>
    <w:p w14:paraId="2AE90A8E" w14:textId="17E6C263" w:rsidR="00E635B5" w:rsidRPr="00DC459C" w:rsidRDefault="00E635B5" w:rsidP="00DC459C">
      <w:pPr>
        <w:widowControl/>
        <w:rPr>
          <w:color w:val="auto"/>
        </w:rPr>
      </w:pPr>
      <w:r w:rsidRPr="00DC459C">
        <w:rPr>
          <w:color w:val="auto"/>
          <w:highlight w:val="yellow"/>
        </w:rPr>
        <w:t>4.1.</w:t>
      </w:r>
      <w:r w:rsidR="00CB5D4D">
        <w:rPr>
          <w:color w:val="auto"/>
          <w:highlight w:val="yellow"/>
        </w:rPr>
        <w:t>2</w:t>
      </w:r>
      <w:r w:rsidR="001E49C0" w:rsidRPr="00DC459C">
        <w:rPr>
          <w:color w:val="auto"/>
          <w:highlight w:val="yellow"/>
        </w:rPr>
        <w:t>.</w:t>
      </w:r>
      <w:r w:rsidR="007B48A0" w:rsidRPr="00DC459C">
        <w:rPr>
          <w:color w:val="auto"/>
          <w:highlight w:val="yellow"/>
        </w:rPr>
        <w:t>1</w:t>
      </w:r>
      <w:r w:rsidR="00DC459C">
        <w:rPr>
          <w:color w:val="auto"/>
          <w:highlight w:val="yellow"/>
        </w:rPr>
        <w:t xml:space="preserve"> </w:t>
      </w:r>
      <w:r w:rsidRPr="00DC459C">
        <w:rPr>
          <w:color w:val="auto"/>
          <w:highlight w:val="yellow"/>
        </w:rPr>
        <w:t xml:space="preserve">Remove the needle from the gradient very gently so </w:t>
      </w:r>
      <w:r w:rsidR="001F7EC3" w:rsidRPr="00DC459C">
        <w:rPr>
          <w:color w:val="auto"/>
          <w:highlight w:val="yellow"/>
        </w:rPr>
        <w:t xml:space="preserve">as not to disturb the interface between the different </w:t>
      </w:r>
      <w:r w:rsidR="0060204D" w:rsidRPr="00DC459C">
        <w:rPr>
          <w:color w:val="auto"/>
          <w:highlight w:val="yellow"/>
        </w:rPr>
        <w:t>gradient</w:t>
      </w:r>
      <w:r w:rsidR="001F7EC3" w:rsidRPr="00DC459C">
        <w:rPr>
          <w:color w:val="auto"/>
          <w:highlight w:val="yellow"/>
        </w:rPr>
        <w:t xml:space="preserve"> dilutions</w:t>
      </w:r>
      <w:r w:rsidRPr="00DC459C">
        <w:rPr>
          <w:color w:val="auto"/>
          <w:highlight w:val="yellow"/>
        </w:rPr>
        <w:t>. Place the tube in a suit</w:t>
      </w:r>
      <w:r w:rsidR="00D878EB" w:rsidRPr="00DC459C">
        <w:rPr>
          <w:color w:val="auto"/>
          <w:highlight w:val="yellow"/>
        </w:rPr>
        <w:t xml:space="preserve">able rack to keep it </w:t>
      </w:r>
      <w:r w:rsidRPr="00DC459C">
        <w:rPr>
          <w:color w:val="auto"/>
          <w:highlight w:val="yellow"/>
        </w:rPr>
        <w:t>upright</w:t>
      </w:r>
      <w:r w:rsidR="009D4161" w:rsidRPr="00DC459C">
        <w:rPr>
          <w:color w:val="auto"/>
        </w:rPr>
        <w:t>.</w:t>
      </w:r>
    </w:p>
    <w:p w14:paraId="4946C0E1" w14:textId="77777777" w:rsidR="005C3FD3" w:rsidRPr="00DC459C" w:rsidRDefault="005C3FD3" w:rsidP="00DC459C">
      <w:pPr>
        <w:widowControl/>
        <w:rPr>
          <w:color w:val="auto"/>
        </w:rPr>
      </w:pPr>
    </w:p>
    <w:p w14:paraId="3A6242AB" w14:textId="24558B46" w:rsidR="0060204D" w:rsidRPr="00DC459C" w:rsidRDefault="00E635B5" w:rsidP="00DC459C">
      <w:pPr>
        <w:widowControl/>
        <w:rPr>
          <w:color w:val="auto"/>
        </w:rPr>
      </w:pPr>
      <w:r w:rsidRPr="00DC459C">
        <w:rPr>
          <w:color w:val="auto"/>
          <w:highlight w:val="yellow"/>
        </w:rPr>
        <w:t>4.1.</w:t>
      </w:r>
      <w:r w:rsidR="00CB5D4D">
        <w:rPr>
          <w:color w:val="auto"/>
          <w:highlight w:val="yellow"/>
        </w:rPr>
        <w:t>3.</w:t>
      </w:r>
      <w:r w:rsidR="005C3FD3" w:rsidRPr="00DC459C">
        <w:rPr>
          <w:color w:val="auto"/>
          <w:highlight w:val="yellow"/>
        </w:rPr>
        <w:tab/>
        <w:t xml:space="preserve"> If using three different dilutions, repeat steps </w:t>
      </w:r>
      <w:r w:rsidRPr="00DC459C">
        <w:rPr>
          <w:color w:val="auto"/>
          <w:highlight w:val="yellow"/>
        </w:rPr>
        <w:t>4.1.</w:t>
      </w:r>
      <w:r w:rsidR="003A413D">
        <w:rPr>
          <w:color w:val="auto"/>
          <w:highlight w:val="yellow"/>
        </w:rPr>
        <w:t>1</w:t>
      </w:r>
      <w:r w:rsidR="00677487">
        <w:rPr>
          <w:color w:val="auto"/>
          <w:highlight w:val="yellow"/>
        </w:rPr>
        <w:t>-</w:t>
      </w:r>
      <w:r w:rsidRPr="00DC459C">
        <w:rPr>
          <w:color w:val="auto"/>
          <w:highlight w:val="yellow"/>
        </w:rPr>
        <w:t>4.1.</w:t>
      </w:r>
      <w:r w:rsidR="003A413D">
        <w:rPr>
          <w:color w:val="auto"/>
          <w:highlight w:val="yellow"/>
        </w:rPr>
        <w:t>2</w:t>
      </w:r>
      <w:r w:rsidR="007B48A0" w:rsidRPr="00DC459C">
        <w:rPr>
          <w:color w:val="auto"/>
          <w:highlight w:val="yellow"/>
        </w:rPr>
        <w:t>.1</w:t>
      </w:r>
      <w:r w:rsidR="005C3FD3" w:rsidRPr="00DC459C">
        <w:rPr>
          <w:color w:val="auto"/>
          <w:highlight w:val="yellow"/>
        </w:rPr>
        <w:t xml:space="preserve"> so </w:t>
      </w:r>
      <w:r w:rsidR="004713C2" w:rsidRPr="00DC459C">
        <w:rPr>
          <w:color w:val="auto"/>
          <w:highlight w:val="yellow"/>
        </w:rPr>
        <w:t xml:space="preserve">that </w:t>
      </w:r>
      <w:r w:rsidR="005C3FD3" w:rsidRPr="00DC459C">
        <w:rPr>
          <w:color w:val="auto"/>
          <w:highlight w:val="yellow"/>
        </w:rPr>
        <w:t xml:space="preserve">the </w:t>
      </w:r>
      <w:r w:rsidR="007B7ECE" w:rsidRPr="00DC459C">
        <w:rPr>
          <w:color w:val="auto"/>
          <w:highlight w:val="yellow"/>
        </w:rPr>
        <w:t>densest</w:t>
      </w:r>
      <w:r w:rsidR="00C77C77" w:rsidRPr="00DC459C">
        <w:rPr>
          <w:color w:val="auto"/>
          <w:highlight w:val="yellow"/>
        </w:rPr>
        <w:t xml:space="preserve"> </w:t>
      </w:r>
      <w:r w:rsidR="005C3FD3" w:rsidRPr="00DC459C">
        <w:rPr>
          <w:color w:val="auto"/>
          <w:highlight w:val="yellow"/>
        </w:rPr>
        <w:t xml:space="preserve">dilution is </w:t>
      </w:r>
      <w:r w:rsidR="007B48A0" w:rsidRPr="00DC459C">
        <w:rPr>
          <w:color w:val="auto"/>
          <w:highlight w:val="yellow"/>
        </w:rPr>
        <w:t>at</w:t>
      </w:r>
      <w:r w:rsidR="005C3FD3" w:rsidRPr="00DC459C">
        <w:rPr>
          <w:color w:val="auto"/>
          <w:highlight w:val="yellow"/>
        </w:rPr>
        <w:t xml:space="preserve"> the bottom. </w:t>
      </w:r>
      <w:r w:rsidR="00964D3F" w:rsidRPr="00DC459C">
        <w:rPr>
          <w:color w:val="auto"/>
          <w:highlight w:val="yellow"/>
        </w:rPr>
        <w:t xml:space="preserve">If the gradient has been constructed successfully, there will be </w:t>
      </w:r>
      <w:r w:rsidR="00E045E1" w:rsidRPr="00DC459C">
        <w:rPr>
          <w:color w:val="auto"/>
          <w:highlight w:val="yellow"/>
        </w:rPr>
        <w:t>three</w:t>
      </w:r>
      <w:r w:rsidR="005C3FD3" w:rsidRPr="00DC459C">
        <w:rPr>
          <w:color w:val="auto"/>
          <w:highlight w:val="yellow"/>
        </w:rPr>
        <w:t xml:space="preserve"> distinct layers with no mixing at the interface</w:t>
      </w:r>
      <w:r w:rsidR="001D1357" w:rsidRPr="00DC459C">
        <w:rPr>
          <w:color w:val="auto"/>
          <w:highlight w:val="yellow"/>
        </w:rPr>
        <w:t>s</w:t>
      </w:r>
      <w:r w:rsidR="004713C2" w:rsidRPr="00DC459C">
        <w:rPr>
          <w:color w:val="auto"/>
          <w:highlight w:val="yellow"/>
        </w:rPr>
        <w:t>.</w:t>
      </w:r>
      <w:r w:rsidR="00C42A5B" w:rsidRPr="00DC459C">
        <w:rPr>
          <w:color w:val="auto"/>
        </w:rPr>
        <w:t xml:space="preserve"> </w:t>
      </w:r>
    </w:p>
    <w:p w14:paraId="667E1B23" w14:textId="77777777" w:rsidR="00E2357F" w:rsidRPr="00DC459C" w:rsidRDefault="00E2357F" w:rsidP="00DC459C">
      <w:pPr>
        <w:widowControl/>
        <w:rPr>
          <w:color w:val="auto"/>
        </w:rPr>
      </w:pPr>
    </w:p>
    <w:p w14:paraId="0EE40A19" w14:textId="762D2F81" w:rsidR="007B7ECE" w:rsidRPr="00DC459C" w:rsidRDefault="007B7ECE" w:rsidP="00DC459C">
      <w:pPr>
        <w:widowControl/>
        <w:rPr>
          <w:b/>
          <w:color w:val="auto"/>
        </w:rPr>
      </w:pPr>
      <w:r w:rsidRPr="00DC459C">
        <w:rPr>
          <w:b/>
          <w:color w:val="auto"/>
          <w:highlight w:val="yellow"/>
        </w:rPr>
        <w:t>5. Add</w:t>
      </w:r>
      <w:r w:rsidR="00833E7B">
        <w:rPr>
          <w:b/>
          <w:color w:val="auto"/>
          <w:highlight w:val="yellow"/>
        </w:rPr>
        <w:t>ing</w:t>
      </w:r>
      <w:r w:rsidRPr="00DC459C">
        <w:rPr>
          <w:b/>
          <w:color w:val="auto"/>
          <w:highlight w:val="yellow"/>
        </w:rPr>
        <w:t xml:space="preserve"> </w:t>
      </w:r>
      <w:r w:rsidR="00833E7B">
        <w:rPr>
          <w:b/>
          <w:color w:val="auto"/>
          <w:highlight w:val="yellow"/>
        </w:rPr>
        <w:t>P</w:t>
      </w:r>
      <w:r w:rsidRPr="00DC459C">
        <w:rPr>
          <w:b/>
          <w:color w:val="auto"/>
          <w:highlight w:val="yellow"/>
        </w:rPr>
        <w:t xml:space="preserve">repared </w:t>
      </w:r>
      <w:r w:rsidR="00833E7B">
        <w:rPr>
          <w:b/>
          <w:color w:val="auto"/>
          <w:highlight w:val="yellow"/>
        </w:rPr>
        <w:t>C</w:t>
      </w:r>
      <w:r w:rsidRPr="00DC459C">
        <w:rPr>
          <w:b/>
          <w:color w:val="auto"/>
          <w:highlight w:val="yellow"/>
        </w:rPr>
        <w:t xml:space="preserve">ells to </w:t>
      </w:r>
      <w:r w:rsidR="00833E7B">
        <w:rPr>
          <w:b/>
          <w:color w:val="auto"/>
          <w:highlight w:val="yellow"/>
        </w:rPr>
        <w:t>G</w:t>
      </w:r>
      <w:r w:rsidRPr="00DC459C">
        <w:rPr>
          <w:b/>
          <w:color w:val="auto"/>
          <w:highlight w:val="yellow"/>
        </w:rPr>
        <w:t xml:space="preserve">radients and </w:t>
      </w:r>
      <w:r w:rsidR="00833E7B">
        <w:rPr>
          <w:b/>
          <w:color w:val="auto"/>
          <w:highlight w:val="yellow"/>
        </w:rPr>
        <w:t>Separation by C</w:t>
      </w:r>
      <w:r w:rsidRPr="00DC459C">
        <w:rPr>
          <w:b/>
          <w:color w:val="auto"/>
          <w:highlight w:val="yellow"/>
        </w:rPr>
        <w:t>entrifug</w:t>
      </w:r>
      <w:r w:rsidR="00833E7B">
        <w:rPr>
          <w:b/>
          <w:color w:val="auto"/>
          <w:highlight w:val="yellow"/>
        </w:rPr>
        <w:t>ation</w:t>
      </w:r>
    </w:p>
    <w:p w14:paraId="5D6428A3" w14:textId="77777777" w:rsidR="008A1CDB" w:rsidRPr="00DC459C" w:rsidRDefault="008A1CDB" w:rsidP="00DC459C">
      <w:pPr>
        <w:widowControl/>
        <w:rPr>
          <w:b/>
          <w:color w:val="auto"/>
        </w:rPr>
      </w:pPr>
    </w:p>
    <w:p w14:paraId="6677E0F6" w14:textId="705D6C29" w:rsidR="00E116F8" w:rsidRPr="00DC459C" w:rsidRDefault="007B7ECE" w:rsidP="00DC459C">
      <w:pPr>
        <w:widowControl/>
        <w:rPr>
          <w:color w:val="auto"/>
        </w:rPr>
      </w:pPr>
      <w:r w:rsidRPr="00DC459C">
        <w:rPr>
          <w:color w:val="auto"/>
          <w:highlight w:val="yellow"/>
        </w:rPr>
        <w:t>5.1</w:t>
      </w:r>
      <w:r w:rsidR="00F86326">
        <w:rPr>
          <w:color w:val="auto"/>
          <w:highlight w:val="yellow"/>
        </w:rPr>
        <w:t>.</w:t>
      </w:r>
      <w:r w:rsidR="00E2357F" w:rsidRPr="00DC459C">
        <w:rPr>
          <w:color w:val="auto"/>
          <w:highlight w:val="yellow"/>
        </w:rPr>
        <w:tab/>
        <w:t>Add 500</w:t>
      </w:r>
      <w:r w:rsidR="009D4161" w:rsidRPr="00DC459C">
        <w:rPr>
          <w:color w:val="auto"/>
          <w:highlight w:val="yellow"/>
        </w:rPr>
        <w:t xml:space="preserve"> </w:t>
      </w:r>
      <w:proofErr w:type="spellStart"/>
      <w:r w:rsidR="00EC5F9E" w:rsidRPr="00DC459C">
        <w:rPr>
          <w:color w:val="auto"/>
          <w:highlight w:val="yellow"/>
        </w:rPr>
        <w:t>μ</w:t>
      </w:r>
      <w:r w:rsidR="00CB5D4D">
        <w:rPr>
          <w:color w:val="auto"/>
          <w:highlight w:val="yellow"/>
        </w:rPr>
        <w:t>L</w:t>
      </w:r>
      <w:proofErr w:type="spellEnd"/>
      <w:r w:rsidR="00EC5F9E" w:rsidRPr="00DC459C">
        <w:rPr>
          <w:color w:val="auto"/>
          <w:highlight w:val="yellow"/>
        </w:rPr>
        <w:t xml:space="preserve"> </w:t>
      </w:r>
      <w:r w:rsidR="00E2357F" w:rsidRPr="00DC459C">
        <w:rPr>
          <w:color w:val="auto"/>
          <w:highlight w:val="yellow"/>
        </w:rPr>
        <w:t xml:space="preserve">of </w:t>
      </w:r>
      <w:r w:rsidRPr="00DC459C">
        <w:rPr>
          <w:color w:val="auto"/>
          <w:highlight w:val="yellow"/>
        </w:rPr>
        <w:t>prepared cells from step 3.</w:t>
      </w:r>
      <w:r w:rsidR="00054429">
        <w:rPr>
          <w:color w:val="auto"/>
          <w:highlight w:val="yellow"/>
        </w:rPr>
        <w:t>3</w:t>
      </w:r>
      <w:r w:rsidR="00E2357F" w:rsidRPr="00DC459C">
        <w:rPr>
          <w:color w:val="auto"/>
          <w:highlight w:val="yellow"/>
        </w:rPr>
        <w:t xml:space="preserve"> to the top of the gradient in the tube</w:t>
      </w:r>
      <w:r w:rsidR="001F7EC3" w:rsidRPr="00DC459C">
        <w:rPr>
          <w:color w:val="auto"/>
          <w:highlight w:val="yellow"/>
        </w:rPr>
        <w:t xml:space="preserve"> very slowly and without mixing the interface, as described in </w:t>
      </w:r>
      <w:r w:rsidR="00A74B30" w:rsidRPr="005112FB">
        <w:rPr>
          <w:color w:val="auto"/>
          <w:highlight w:val="yellow"/>
        </w:rPr>
        <w:t>s</w:t>
      </w:r>
      <w:r w:rsidR="001F7EC3" w:rsidRPr="005112FB">
        <w:rPr>
          <w:color w:val="auto"/>
          <w:highlight w:val="yellow"/>
        </w:rPr>
        <w:t>tep 2.2</w:t>
      </w:r>
      <w:r w:rsidR="00E045E1" w:rsidRPr="005112FB">
        <w:rPr>
          <w:color w:val="auto"/>
          <w:highlight w:val="yellow"/>
        </w:rPr>
        <w:t>.</w:t>
      </w:r>
    </w:p>
    <w:p w14:paraId="1FFE1EDA" w14:textId="77777777" w:rsidR="00E116F8" w:rsidRPr="00DC459C" w:rsidRDefault="00E116F8" w:rsidP="00DC459C">
      <w:pPr>
        <w:widowControl/>
        <w:rPr>
          <w:color w:val="auto"/>
        </w:rPr>
      </w:pPr>
    </w:p>
    <w:p w14:paraId="72F250BB" w14:textId="66407318" w:rsidR="00E262EB" w:rsidRPr="00DC459C" w:rsidRDefault="008B7AE1" w:rsidP="00DC459C">
      <w:pPr>
        <w:widowControl/>
        <w:rPr>
          <w:color w:val="auto"/>
        </w:rPr>
      </w:pPr>
      <w:r w:rsidRPr="00DC459C">
        <w:rPr>
          <w:color w:val="auto"/>
          <w:highlight w:val="yellow"/>
        </w:rPr>
        <w:t>5.2</w:t>
      </w:r>
      <w:r w:rsidR="00271ED7">
        <w:rPr>
          <w:color w:val="auto"/>
          <w:highlight w:val="yellow"/>
        </w:rPr>
        <w:t>.</w:t>
      </w:r>
      <w:r w:rsidRPr="00DC459C">
        <w:rPr>
          <w:color w:val="auto"/>
          <w:highlight w:val="yellow"/>
        </w:rPr>
        <w:tab/>
        <w:t>Place the tubes in</w:t>
      </w:r>
      <w:r w:rsidR="00696AD5" w:rsidRPr="00DC459C">
        <w:rPr>
          <w:color w:val="auto"/>
          <w:highlight w:val="yellow"/>
        </w:rPr>
        <w:t xml:space="preserve"> tube adapters</w:t>
      </w:r>
      <w:r w:rsidRPr="00DC459C">
        <w:rPr>
          <w:color w:val="auto"/>
          <w:highlight w:val="yellow"/>
        </w:rPr>
        <w:t xml:space="preserve"> and w</w:t>
      </w:r>
      <w:r w:rsidR="00E262EB" w:rsidRPr="00DC459C">
        <w:rPr>
          <w:color w:val="auto"/>
          <w:highlight w:val="yellow"/>
        </w:rPr>
        <w:t xml:space="preserve">eigh the </w:t>
      </w:r>
      <w:r w:rsidR="001F7EC3" w:rsidRPr="00DC459C">
        <w:rPr>
          <w:color w:val="auto"/>
          <w:highlight w:val="yellow"/>
        </w:rPr>
        <w:t xml:space="preserve">combined </w:t>
      </w:r>
      <w:r w:rsidR="00E262EB" w:rsidRPr="00DC459C">
        <w:rPr>
          <w:color w:val="auto"/>
          <w:highlight w:val="yellow"/>
        </w:rPr>
        <w:t xml:space="preserve">adapters </w:t>
      </w:r>
      <w:r w:rsidRPr="00DC459C">
        <w:rPr>
          <w:color w:val="auto"/>
          <w:highlight w:val="yellow"/>
        </w:rPr>
        <w:t>and</w:t>
      </w:r>
      <w:r w:rsidR="00E262EB" w:rsidRPr="00DC459C">
        <w:rPr>
          <w:color w:val="auto"/>
          <w:highlight w:val="yellow"/>
        </w:rPr>
        <w:t xml:space="preserve"> tubes </w:t>
      </w:r>
      <w:r w:rsidR="00C42A5B" w:rsidRPr="00DC459C">
        <w:rPr>
          <w:color w:val="auto"/>
          <w:highlight w:val="yellow"/>
        </w:rPr>
        <w:t xml:space="preserve">to </w:t>
      </w:r>
      <w:r w:rsidR="00E262EB" w:rsidRPr="00DC459C">
        <w:rPr>
          <w:color w:val="auto"/>
          <w:highlight w:val="yellow"/>
        </w:rPr>
        <w:t>ensure they are balanced.</w:t>
      </w:r>
    </w:p>
    <w:p w14:paraId="55101755" w14:textId="77777777" w:rsidR="00E262EB" w:rsidRPr="00DC459C" w:rsidRDefault="00E262EB" w:rsidP="00DC459C">
      <w:pPr>
        <w:widowControl/>
        <w:rPr>
          <w:color w:val="auto"/>
        </w:rPr>
      </w:pPr>
    </w:p>
    <w:p w14:paraId="655C0C64" w14:textId="761F7092" w:rsidR="00E116F8" w:rsidRPr="00DC459C" w:rsidRDefault="008B7AE1" w:rsidP="00DC459C">
      <w:pPr>
        <w:widowControl/>
        <w:rPr>
          <w:color w:val="auto"/>
        </w:rPr>
      </w:pPr>
      <w:r w:rsidRPr="00DC459C">
        <w:rPr>
          <w:color w:val="auto"/>
          <w:highlight w:val="yellow"/>
        </w:rPr>
        <w:t>5.2.1</w:t>
      </w:r>
      <w:r w:rsidR="00271ED7">
        <w:rPr>
          <w:color w:val="auto"/>
          <w:highlight w:val="yellow"/>
        </w:rPr>
        <w:t>.</w:t>
      </w:r>
      <w:r w:rsidRPr="00DC459C">
        <w:rPr>
          <w:color w:val="auto"/>
          <w:highlight w:val="yellow"/>
        </w:rPr>
        <w:tab/>
        <w:t>Place the tube adapters in</w:t>
      </w:r>
      <w:r w:rsidR="00E116F8" w:rsidRPr="00DC459C">
        <w:rPr>
          <w:color w:val="auto"/>
          <w:highlight w:val="yellow"/>
        </w:rPr>
        <w:t xml:space="preserve"> a fixed angle rotor</w:t>
      </w:r>
      <w:r w:rsidRPr="00DC459C">
        <w:rPr>
          <w:color w:val="auto"/>
          <w:highlight w:val="yellow"/>
        </w:rPr>
        <w:t xml:space="preserve"> </w:t>
      </w:r>
      <w:r w:rsidR="00C42A5B" w:rsidRPr="00DC459C">
        <w:rPr>
          <w:color w:val="auto"/>
          <w:highlight w:val="yellow"/>
        </w:rPr>
        <w:t>within</w:t>
      </w:r>
      <w:r w:rsidRPr="00DC459C">
        <w:rPr>
          <w:color w:val="auto"/>
          <w:highlight w:val="yellow"/>
        </w:rPr>
        <w:t xml:space="preserve"> a bench-top centrifuge</w:t>
      </w:r>
      <w:r w:rsidR="007B48A0" w:rsidRPr="00DC459C">
        <w:rPr>
          <w:color w:val="auto"/>
          <w:highlight w:val="yellow"/>
        </w:rPr>
        <w:t>.</w:t>
      </w:r>
      <w:r w:rsidR="00E116F8" w:rsidRPr="00DC459C">
        <w:rPr>
          <w:color w:val="auto"/>
          <w:highlight w:val="yellow"/>
        </w:rPr>
        <w:t xml:space="preserve"> Centrifuge for 30 min at 3</w:t>
      </w:r>
      <w:r w:rsidR="00EC5F9E" w:rsidRPr="00DC459C">
        <w:rPr>
          <w:color w:val="auto"/>
          <w:highlight w:val="yellow"/>
        </w:rPr>
        <w:t>,</w:t>
      </w:r>
      <w:r w:rsidR="00E116F8" w:rsidRPr="00DC459C">
        <w:rPr>
          <w:color w:val="auto"/>
          <w:highlight w:val="yellow"/>
        </w:rPr>
        <w:t xml:space="preserve">000 x </w:t>
      </w:r>
      <w:r w:rsidR="00136223">
        <w:rPr>
          <w:color w:val="auto"/>
          <w:highlight w:val="yellow"/>
        </w:rPr>
        <w:t>g</w:t>
      </w:r>
      <w:r w:rsidR="00E262EB" w:rsidRPr="00DC459C">
        <w:rPr>
          <w:color w:val="auto"/>
          <w:highlight w:val="yellow"/>
        </w:rPr>
        <w:t>.</w:t>
      </w:r>
    </w:p>
    <w:p w14:paraId="1754437A" w14:textId="77777777" w:rsidR="00E2357F" w:rsidRPr="00DC459C" w:rsidRDefault="00E2357F" w:rsidP="00DC459C">
      <w:pPr>
        <w:widowControl/>
        <w:rPr>
          <w:color w:val="auto"/>
        </w:rPr>
      </w:pPr>
    </w:p>
    <w:p w14:paraId="16AD6F6C" w14:textId="0DAEEF24" w:rsidR="00E2357F" w:rsidRPr="00DC459C" w:rsidRDefault="008B7AE1" w:rsidP="00DC459C">
      <w:pPr>
        <w:widowControl/>
        <w:rPr>
          <w:color w:val="auto"/>
        </w:rPr>
      </w:pPr>
      <w:r w:rsidRPr="00DC459C">
        <w:rPr>
          <w:color w:val="auto"/>
          <w:highlight w:val="yellow"/>
        </w:rPr>
        <w:t>5.2.2</w:t>
      </w:r>
      <w:r w:rsidR="00271ED7">
        <w:rPr>
          <w:color w:val="auto"/>
          <w:highlight w:val="yellow"/>
        </w:rPr>
        <w:t>.</w:t>
      </w:r>
      <w:r w:rsidR="00E116F8" w:rsidRPr="00DC459C">
        <w:rPr>
          <w:color w:val="auto"/>
          <w:highlight w:val="yellow"/>
        </w:rPr>
        <w:tab/>
      </w:r>
      <w:r w:rsidR="00650DF0" w:rsidRPr="00DC459C">
        <w:rPr>
          <w:color w:val="auto"/>
          <w:highlight w:val="yellow"/>
        </w:rPr>
        <w:t>After centrifugation</w:t>
      </w:r>
      <w:r w:rsidR="005401EB">
        <w:rPr>
          <w:color w:val="auto"/>
          <w:highlight w:val="yellow"/>
        </w:rPr>
        <w:t>,</w:t>
      </w:r>
      <w:r w:rsidR="00650DF0" w:rsidRPr="00DC459C">
        <w:rPr>
          <w:color w:val="auto"/>
          <w:highlight w:val="yellow"/>
        </w:rPr>
        <w:t xml:space="preserve"> carefully remove the</w:t>
      </w:r>
      <w:r w:rsidR="00E52B99" w:rsidRPr="00DC459C">
        <w:rPr>
          <w:color w:val="auto"/>
          <w:highlight w:val="yellow"/>
        </w:rPr>
        <w:t xml:space="preserve"> tubes</w:t>
      </w:r>
      <w:r w:rsidR="00AF620A" w:rsidRPr="00DC459C">
        <w:rPr>
          <w:color w:val="auto"/>
          <w:highlight w:val="yellow"/>
        </w:rPr>
        <w:t xml:space="preserve">, </w:t>
      </w:r>
      <w:r w:rsidR="00E52B99" w:rsidRPr="00DC459C">
        <w:rPr>
          <w:color w:val="auto"/>
          <w:highlight w:val="yellow"/>
        </w:rPr>
        <w:t>place them in a suitable rack</w:t>
      </w:r>
      <w:r w:rsidR="00AF620A" w:rsidRPr="00DC459C">
        <w:rPr>
          <w:color w:val="auto"/>
          <w:highlight w:val="yellow"/>
        </w:rPr>
        <w:t>,</w:t>
      </w:r>
      <w:r w:rsidR="00E52B99" w:rsidRPr="00DC459C">
        <w:rPr>
          <w:color w:val="auto"/>
          <w:highlight w:val="yellow"/>
        </w:rPr>
        <w:t xml:space="preserve"> and </w:t>
      </w:r>
      <w:r w:rsidR="00A27CB3" w:rsidRPr="00DC459C">
        <w:rPr>
          <w:color w:val="auto"/>
          <w:highlight w:val="yellow"/>
        </w:rPr>
        <w:t>p</w:t>
      </w:r>
      <w:r w:rsidR="00E116F8" w:rsidRPr="00DC459C">
        <w:rPr>
          <w:color w:val="auto"/>
          <w:highlight w:val="yellow"/>
        </w:rPr>
        <w:t>hotograph the results as a record</w:t>
      </w:r>
      <w:r w:rsidR="00E262EB" w:rsidRPr="00DC459C">
        <w:rPr>
          <w:color w:val="auto"/>
          <w:highlight w:val="yellow"/>
        </w:rPr>
        <w:t>.</w:t>
      </w:r>
      <w:r w:rsidR="006E74EB" w:rsidRPr="00DC459C">
        <w:rPr>
          <w:color w:val="auto"/>
        </w:rPr>
        <w:t xml:space="preserve"> </w:t>
      </w:r>
    </w:p>
    <w:p w14:paraId="16983C62" w14:textId="77777777" w:rsidR="00E116F8" w:rsidRPr="00DC459C" w:rsidRDefault="00E116F8" w:rsidP="00DC459C">
      <w:pPr>
        <w:widowControl/>
        <w:rPr>
          <w:color w:val="auto"/>
        </w:rPr>
      </w:pPr>
    </w:p>
    <w:p w14:paraId="69512D47" w14:textId="47403A9D" w:rsidR="006E74EB" w:rsidRPr="00DC459C" w:rsidRDefault="008B7AE1" w:rsidP="00DC459C">
      <w:pPr>
        <w:widowControl/>
        <w:rPr>
          <w:color w:val="auto"/>
        </w:rPr>
      </w:pPr>
      <w:r w:rsidRPr="00DC459C">
        <w:rPr>
          <w:color w:val="auto"/>
        </w:rPr>
        <w:t>5.3</w:t>
      </w:r>
      <w:r w:rsidR="00F8147A">
        <w:rPr>
          <w:color w:val="auto"/>
        </w:rPr>
        <w:t>.</w:t>
      </w:r>
      <w:r w:rsidR="00E116F8" w:rsidRPr="00DC459C">
        <w:rPr>
          <w:color w:val="auto"/>
        </w:rPr>
        <w:tab/>
      </w:r>
      <w:r w:rsidR="00BE4F1D" w:rsidRPr="00DC459C">
        <w:rPr>
          <w:color w:val="auto"/>
        </w:rPr>
        <w:t xml:space="preserve">Recover the bacterial fractions </w:t>
      </w:r>
      <w:r w:rsidR="009C7F9F" w:rsidRPr="00DC459C">
        <w:rPr>
          <w:color w:val="auto"/>
        </w:rPr>
        <w:t xml:space="preserve">for </w:t>
      </w:r>
      <w:proofErr w:type="spellStart"/>
      <w:r w:rsidR="009C7F9F" w:rsidRPr="00DC459C">
        <w:rPr>
          <w:color w:val="auto"/>
        </w:rPr>
        <w:t>uronic</w:t>
      </w:r>
      <w:proofErr w:type="spellEnd"/>
      <w:r w:rsidR="009C7F9F" w:rsidRPr="00DC459C">
        <w:rPr>
          <w:color w:val="auto"/>
        </w:rPr>
        <w:t xml:space="preserve"> acid quantification or DNA extraction </w:t>
      </w:r>
      <w:r w:rsidR="00BE4F1D" w:rsidRPr="00DC459C">
        <w:rPr>
          <w:color w:val="auto"/>
        </w:rPr>
        <w:t>by following step 6.</w:t>
      </w:r>
    </w:p>
    <w:p w14:paraId="6A42E70A" w14:textId="77777777" w:rsidR="00A27CB3" w:rsidRPr="00DC459C" w:rsidRDefault="00A27CB3" w:rsidP="00DC459C">
      <w:pPr>
        <w:widowControl/>
        <w:rPr>
          <w:color w:val="auto"/>
        </w:rPr>
      </w:pPr>
    </w:p>
    <w:p w14:paraId="23A65A34" w14:textId="6E10FA03" w:rsidR="006E74EB" w:rsidRPr="00DC459C" w:rsidRDefault="006E74EB" w:rsidP="00DC459C">
      <w:pPr>
        <w:widowControl/>
        <w:rPr>
          <w:color w:val="auto"/>
        </w:rPr>
      </w:pPr>
      <w:r w:rsidRPr="00DC459C">
        <w:rPr>
          <w:color w:val="auto"/>
        </w:rPr>
        <w:t>5.3.1</w:t>
      </w:r>
      <w:r w:rsidR="00F8147A">
        <w:rPr>
          <w:color w:val="auto"/>
        </w:rPr>
        <w:t>.</w:t>
      </w:r>
      <w:r w:rsidRPr="00DC459C">
        <w:rPr>
          <w:color w:val="auto"/>
        </w:rPr>
        <w:t xml:space="preserve"> </w:t>
      </w:r>
      <w:r w:rsidRPr="00DC459C">
        <w:rPr>
          <w:color w:val="auto"/>
        </w:rPr>
        <w:tab/>
        <w:t xml:space="preserve">If downstream applications are not required, dispose of the samples/gradients </w:t>
      </w:r>
      <w:r w:rsidR="00DC459C" w:rsidRPr="00DC459C">
        <w:rPr>
          <w:i/>
          <w:color w:val="auto"/>
        </w:rPr>
        <w:t>via</w:t>
      </w:r>
      <w:r w:rsidRPr="00DC459C">
        <w:rPr>
          <w:color w:val="auto"/>
        </w:rPr>
        <w:t xml:space="preserve"> the appropriate </w:t>
      </w:r>
      <w:r w:rsidR="00C42A5B" w:rsidRPr="00DC459C">
        <w:rPr>
          <w:color w:val="auto"/>
        </w:rPr>
        <w:t xml:space="preserve">liquid </w:t>
      </w:r>
      <w:r w:rsidRPr="00DC459C">
        <w:rPr>
          <w:color w:val="auto"/>
        </w:rPr>
        <w:t>biological waste route in</w:t>
      </w:r>
      <w:r w:rsidR="009D4BE6" w:rsidRPr="00DC459C">
        <w:rPr>
          <w:color w:val="auto"/>
        </w:rPr>
        <w:t xml:space="preserve"> the</w:t>
      </w:r>
      <w:r w:rsidRPr="00DC459C">
        <w:rPr>
          <w:color w:val="auto"/>
        </w:rPr>
        <w:t xml:space="preserve"> laboratory.</w:t>
      </w:r>
    </w:p>
    <w:p w14:paraId="3FDF4220" w14:textId="77777777" w:rsidR="00906676" w:rsidRPr="00DC459C" w:rsidRDefault="00906676" w:rsidP="00DC459C">
      <w:pPr>
        <w:widowControl/>
        <w:rPr>
          <w:color w:val="auto"/>
        </w:rPr>
      </w:pPr>
    </w:p>
    <w:p w14:paraId="72F8992B" w14:textId="438FF53C" w:rsidR="00906676" w:rsidRPr="00DC459C" w:rsidRDefault="00A27CB3" w:rsidP="00DC459C">
      <w:pPr>
        <w:widowControl/>
        <w:rPr>
          <w:color w:val="auto"/>
        </w:rPr>
      </w:pPr>
      <w:r w:rsidRPr="00DC459C">
        <w:rPr>
          <w:color w:val="auto"/>
        </w:rPr>
        <w:t xml:space="preserve">Note: </w:t>
      </w:r>
      <w:r w:rsidR="00906676" w:rsidRPr="00DC459C">
        <w:rPr>
          <w:color w:val="auto"/>
        </w:rPr>
        <w:t xml:space="preserve">It is important to validate the separation for new species/strains of bacteria. Individual fractions from the gradient should be examined </w:t>
      </w:r>
      <w:r w:rsidR="008A4BFA" w:rsidRPr="00DC459C">
        <w:rPr>
          <w:color w:val="auto"/>
        </w:rPr>
        <w:t xml:space="preserve">by microscopy, by </w:t>
      </w:r>
      <w:proofErr w:type="spellStart"/>
      <w:r w:rsidR="008A4BFA" w:rsidRPr="00DC459C">
        <w:rPr>
          <w:color w:val="auto"/>
        </w:rPr>
        <w:t>uronic</w:t>
      </w:r>
      <w:proofErr w:type="spellEnd"/>
      <w:r w:rsidR="008A4BFA" w:rsidRPr="00DC459C">
        <w:rPr>
          <w:color w:val="auto"/>
        </w:rPr>
        <w:t xml:space="preserve"> acid assay</w:t>
      </w:r>
      <w:r w:rsidR="00B22548" w:rsidRPr="00DC459C">
        <w:rPr>
          <w:color w:val="auto"/>
        </w:rPr>
        <w:t xml:space="preserve"> (</w:t>
      </w:r>
      <w:r w:rsidR="005877B4">
        <w:rPr>
          <w:color w:val="auto"/>
        </w:rPr>
        <w:t>s</w:t>
      </w:r>
      <w:r w:rsidR="00B22548" w:rsidRPr="00DC459C">
        <w:rPr>
          <w:color w:val="auto"/>
        </w:rPr>
        <w:t>tep 8)</w:t>
      </w:r>
      <w:r w:rsidR="008A4BFA" w:rsidRPr="00DC459C">
        <w:rPr>
          <w:color w:val="auto"/>
        </w:rPr>
        <w:t xml:space="preserve">, or another suitable quantitative assay </w:t>
      </w:r>
      <w:r w:rsidR="00906676" w:rsidRPr="00DC459C">
        <w:rPr>
          <w:color w:val="auto"/>
        </w:rPr>
        <w:t>to confirm the capsule phenotype of each fraction. If the aim is to separate based on aggregation or cell size, independent appropriate assays should be used.</w:t>
      </w:r>
    </w:p>
    <w:p w14:paraId="4618F4C4" w14:textId="77777777" w:rsidR="00E116F8" w:rsidRPr="00DC459C" w:rsidRDefault="00E116F8" w:rsidP="00DC459C">
      <w:pPr>
        <w:widowControl/>
        <w:rPr>
          <w:color w:val="auto"/>
        </w:rPr>
      </w:pPr>
    </w:p>
    <w:p w14:paraId="4672DDA4" w14:textId="690B7915" w:rsidR="00650DF0" w:rsidRPr="00DC459C" w:rsidRDefault="00650DF0" w:rsidP="00DC459C">
      <w:pPr>
        <w:widowControl/>
        <w:rPr>
          <w:b/>
          <w:color w:val="auto"/>
        </w:rPr>
      </w:pPr>
      <w:r w:rsidRPr="00DC459C">
        <w:rPr>
          <w:b/>
          <w:color w:val="auto"/>
        </w:rPr>
        <w:t xml:space="preserve">6. Recovering </w:t>
      </w:r>
      <w:r w:rsidR="00932F28">
        <w:rPr>
          <w:b/>
          <w:color w:val="auto"/>
        </w:rPr>
        <w:t>S</w:t>
      </w:r>
      <w:r w:rsidRPr="00DC459C">
        <w:rPr>
          <w:b/>
          <w:color w:val="auto"/>
        </w:rPr>
        <w:t xml:space="preserve">ample </w:t>
      </w:r>
      <w:r w:rsidR="00932F28">
        <w:rPr>
          <w:b/>
          <w:color w:val="auto"/>
        </w:rPr>
        <w:t>F</w:t>
      </w:r>
      <w:r w:rsidRPr="00DC459C">
        <w:rPr>
          <w:b/>
          <w:color w:val="auto"/>
        </w:rPr>
        <w:t xml:space="preserve">ractions and </w:t>
      </w:r>
      <w:r w:rsidR="00932F28" w:rsidRPr="00DC459C">
        <w:rPr>
          <w:b/>
          <w:color w:val="auto"/>
        </w:rPr>
        <w:t>Optional Outgrowth Step</w:t>
      </w:r>
    </w:p>
    <w:p w14:paraId="3FADBFA2" w14:textId="77777777" w:rsidR="008A1CDB" w:rsidRPr="00DC459C" w:rsidRDefault="008A1CDB" w:rsidP="00DC459C">
      <w:pPr>
        <w:widowControl/>
        <w:rPr>
          <w:b/>
          <w:color w:val="auto"/>
        </w:rPr>
      </w:pPr>
    </w:p>
    <w:p w14:paraId="079D88A4" w14:textId="2C1E9069" w:rsidR="002D0B88" w:rsidRPr="00DC459C" w:rsidRDefault="00650DF0" w:rsidP="00DC459C">
      <w:pPr>
        <w:widowControl/>
        <w:rPr>
          <w:color w:val="auto"/>
        </w:rPr>
      </w:pPr>
      <w:r w:rsidRPr="00DC459C">
        <w:rPr>
          <w:color w:val="auto"/>
        </w:rPr>
        <w:t>6.1</w:t>
      </w:r>
      <w:r w:rsidR="00932F28">
        <w:rPr>
          <w:color w:val="auto"/>
        </w:rPr>
        <w:t>.</w:t>
      </w:r>
      <w:r w:rsidR="005F5710" w:rsidRPr="00DC459C">
        <w:rPr>
          <w:color w:val="auto"/>
        </w:rPr>
        <w:tab/>
      </w:r>
      <w:r w:rsidR="006114AA" w:rsidRPr="00DC459C">
        <w:rPr>
          <w:color w:val="auto"/>
        </w:rPr>
        <w:t>R</w:t>
      </w:r>
      <w:r w:rsidRPr="00DC459C">
        <w:rPr>
          <w:color w:val="auto"/>
        </w:rPr>
        <w:t>ecover the fractions from a gradient</w:t>
      </w:r>
      <w:r w:rsidR="00391680" w:rsidRPr="00DC459C">
        <w:rPr>
          <w:color w:val="auto"/>
        </w:rPr>
        <w:t xml:space="preserve"> </w:t>
      </w:r>
      <w:r w:rsidR="006114AA" w:rsidRPr="00DC459C">
        <w:rPr>
          <w:color w:val="auto"/>
        </w:rPr>
        <w:t xml:space="preserve">by </w:t>
      </w:r>
      <w:r w:rsidR="002D0B88" w:rsidRPr="00DC459C">
        <w:rPr>
          <w:color w:val="auto"/>
        </w:rPr>
        <w:t>removing</w:t>
      </w:r>
      <w:r w:rsidR="00391680" w:rsidRPr="00DC459C">
        <w:rPr>
          <w:color w:val="auto"/>
        </w:rPr>
        <w:t xml:space="preserve"> and </w:t>
      </w:r>
      <w:r w:rsidR="002D0B88" w:rsidRPr="00DC459C">
        <w:rPr>
          <w:color w:val="auto"/>
        </w:rPr>
        <w:t>discarding</w:t>
      </w:r>
      <w:r w:rsidR="00391680" w:rsidRPr="00DC459C">
        <w:rPr>
          <w:color w:val="auto"/>
        </w:rPr>
        <w:t xml:space="preserve"> any liquid </w:t>
      </w:r>
      <w:r w:rsidR="006114AA" w:rsidRPr="00DC459C">
        <w:rPr>
          <w:color w:val="auto"/>
        </w:rPr>
        <w:t>from the top dilution</w:t>
      </w:r>
      <w:r w:rsidR="00391680" w:rsidRPr="00DC459C">
        <w:rPr>
          <w:color w:val="auto"/>
        </w:rPr>
        <w:t xml:space="preserve"> if no </w:t>
      </w:r>
      <w:r w:rsidR="00A27CB3" w:rsidRPr="00DC459C">
        <w:rPr>
          <w:color w:val="auto"/>
        </w:rPr>
        <w:t>bacteria</w:t>
      </w:r>
      <w:r w:rsidR="002D0B88" w:rsidRPr="00DC459C">
        <w:rPr>
          <w:color w:val="auto"/>
        </w:rPr>
        <w:t>l fraction</w:t>
      </w:r>
      <w:r w:rsidR="00A27CB3" w:rsidRPr="00DC459C">
        <w:rPr>
          <w:color w:val="auto"/>
        </w:rPr>
        <w:t xml:space="preserve"> </w:t>
      </w:r>
      <w:r w:rsidR="002D0B88" w:rsidRPr="00DC459C">
        <w:rPr>
          <w:color w:val="auto"/>
        </w:rPr>
        <w:t xml:space="preserve">is </w:t>
      </w:r>
      <w:r w:rsidR="00A27CB3" w:rsidRPr="00DC459C">
        <w:rPr>
          <w:color w:val="auto"/>
        </w:rPr>
        <w:t>present</w:t>
      </w:r>
      <w:r w:rsidR="00391680" w:rsidRPr="00DC459C">
        <w:rPr>
          <w:color w:val="auto"/>
        </w:rPr>
        <w:t xml:space="preserve"> within that layer. </w:t>
      </w:r>
    </w:p>
    <w:p w14:paraId="418FA670" w14:textId="77777777" w:rsidR="002D0B88" w:rsidRPr="00DC459C" w:rsidRDefault="002D0B88" w:rsidP="00DC459C">
      <w:pPr>
        <w:widowControl/>
        <w:rPr>
          <w:color w:val="auto"/>
        </w:rPr>
      </w:pPr>
    </w:p>
    <w:p w14:paraId="3EF0ECA1" w14:textId="688F6CC3" w:rsidR="00650DF0" w:rsidRPr="00DC459C" w:rsidRDefault="002D0B88" w:rsidP="00DC459C">
      <w:pPr>
        <w:widowControl/>
        <w:rPr>
          <w:color w:val="auto"/>
        </w:rPr>
      </w:pPr>
      <w:r w:rsidRPr="00DC459C">
        <w:rPr>
          <w:color w:val="auto"/>
        </w:rPr>
        <w:t>6.1.</w:t>
      </w:r>
      <w:r w:rsidR="00F2799B">
        <w:rPr>
          <w:color w:val="auto"/>
        </w:rPr>
        <w:t>1.</w:t>
      </w:r>
      <w:r w:rsidR="00F92730" w:rsidRPr="00DC459C">
        <w:rPr>
          <w:color w:val="auto"/>
        </w:rPr>
        <w:tab/>
      </w:r>
      <w:r w:rsidR="00964D3F" w:rsidRPr="00DC459C">
        <w:rPr>
          <w:color w:val="auto"/>
        </w:rPr>
        <w:t>To remove the top fraction, use</w:t>
      </w:r>
      <w:r w:rsidR="00391680" w:rsidRPr="00DC459C">
        <w:rPr>
          <w:color w:val="auto"/>
        </w:rPr>
        <w:t xml:space="preserve"> a P200 pipette</w:t>
      </w:r>
      <w:r w:rsidR="00964D3F" w:rsidRPr="00DC459C">
        <w:rPr>
          <w:color w:val="auto"/>
        </w:rPr>
        <w:t xml:space="preserve"> and</w:t>
      </w:r>
      <w:r w:rsidR="00391680" w:rsidRPr="00DC459C">
        <w:rPr>
          <w:color w:val="auto"/>
        </w:rPr>
        <w:t xml:space="preserve"> gently pass the pipette tip through the gradient to the fraction</w:t>
      </w:r>
      <w:r w:rsidR="00964D3F" w:rsidRPr="00DC459C">
        <w:rPr>
          <w:color w:val="auto"/>
        </w:rPr>
        <w:t xml:space="preserve">, and take up the </w:t>
      </w:r>
      <w:r w:rsidR="00283AFC" w:rsidRPr="00DC459C">
        <w:rPr>
          <w:color w:val="auto"/>
        </w:rPr>
        <w:t>fraction</w:t>
      </w:r>
      <w:r w:rsidR="00964D3F" w:rsidRPr="00DC459C">
        <w:rPr>
          <w:color w:val="auto"/>
        </w:rPr>
        <w:t>.</w:t>
      </w:r>
      <w:r w:rsidR="00391680" w:rsidRPr="00DC459C">
        <w:rPr>
          <w:color w:val="auto"/>
        </w:rPr>
        <w:t xml:space="preserve"> Place the fraction into a 1.5</w:t>
      </w:r>
      <w:r w:rsidR="00283AFC" w:rsidRPr="00DC459C">
        <w:rPr>
          <w:color w:val="auto"/>
        </w:rPr>
        <w:t xml:space="preserve"> </w:t>
      </w:r>
      <w:r w:rsidR="00EF054B" w:rsidRPr="00DC459C">
        <w:rPr>
          <w:color w:val="auto"/>
        </w:rPr>
        <w:t>mL</w:t>
      </w:r>
      <w:r w:rsidR="00391680" w:rsidRPr="00DC459C">
        <w:rPr>
          <w:color w:val="auto"/>
        </w:rPr>
        <w:t xml:space="preserve"> tube and label appropriately</w:t>
      </w:r>
      <w:r w:rsidR="00A27CB3" w:rsidRPr="00DC459C">
        <w:rPr>
          <w:color w:val="auto"/>
        </w:rPr>
        <w:t>.</w:t>
      </w:r>
    </w:p>
    <w:p w14:paraId="3BB2C371" w14:textId="77777777" w:rsidR="00391680" w:rsidRPr="00DC459C" w:rsidRDefault="00391680" w:rsidP="00DC459C">
      <w:pPr>
        <w:widowControl/>
        <w:rPr>
          <w:color w:val="auto"/>
        </w:rPr>
      </w:pPr>
    </w:p>
    <w:p w14:paraId="54008F8E" w14:textId="085D87D0" w:rsidR="002D0B88" w:rsidRPr="00DC459C" w:rsidRDefault="00391680" w:rsidP="00DC459C">
      <w:pPr>
        <w:widowControl/>
        <w:rPr>
          <w:color w:val="auto"/>
        </w:rPr>
      </w:pPr>
      <w:r w:rsidRPr="00DC459C">
        <w:rPr>
          <w:color w:val="auto"/>
        </w:rPr>
        <w:t>6.1.</w:t>
      </w:r>
      <w:r w:rsidR="00F2799B">
        <w:rPr>
          <w:color w:val="auto"/>
        </w:rPr>
        <w:t>2.</w:t>
      </w:r>
      <w:r w:rsidRPr="00DC459C">
        <w:rPr>
          <w:color w:val="auto"/>
        </w:rPr>
        <w:tab/>
        <w:t>To recover further fractions</w:t>
      </w:r>
      <w:r w:rsidR="00D8686A" w:rsidRPr="00DC459C">
        <w:rPr>
          <w:color w:val="auto"/>
        </w:rPr>
        <w:t>,</w:t>
      </w:r>
      <w:r w:rsidRPr="00DC459C">
        <w:rPr>
          <w:color w:val="auto"/>
        </w:rPr>
        <w:t xml:space="preserve"> still using the P200 pipette, inse</w:t>
      </w:r>
      <w:r w:rsidR="00D8686A" w:rsidRPr="00DC459C">
        <w:rPr>
          <w:color w:val="auto"/>
        </w:rPr>
        <w:t>r</w:t>
      </w:r>
      <w:r w:rsidRPr="00DC459C">
        <w:rPr>
          <w:color w:val="auto"/>
        </w:rPr>
        <w:t xml:space="preserve">t the tip </w:t>
      </w:r>
      <w:r w:rsidRPr="00DC459C">
        <w:rPr>
          <w:i/>
          <w:color w:val="auto"/>
        </w:rPr>
        <w:t>gently</w:t>
      </w:r>
      <w:r w:rsidRPr="00DC459C">
        <w:rPr>
          <w:color w:val="auto"/>
        </w:rPr>
        <w:t xml:space="preserve"> through the gradient to the fraction and recover the fraction to a fresh 1.5</w:t>
      </w:r>
      <w:r w:rsidR="00AF620A" w:rsidRPr="00DC459C">
        <w:rPr>
          <w:color w:val="auto"/>
        </w:rPr>
        <w:t xml:space="preserve"> </w:t>
      </w:r>
      <w:r w:rsidR="00EF054B" w:rsidRPr="00DC459C">
        <w:rPr>
          <w:color w:val="auto"/>
        </w:rPr>
        <w:t>mL</w:t>
      </w:r>
      <w:r w:rsidRPr="00DC459C">
        <w:rPr>
          <w:color w:val="auto"/>
        </w:rPr>
        <w:t xml:space="preserve"> tube. </w:t>
      </w:r>
      <w:r w:rsidR="002D0B88" w:rsidRPr="00DC459C">
        <w:rPr>
          <w:color w:val="auto"/>
        </w:rPr>
        <w:t>Remove excess gradient as the fractions lower down the gradient</w:t>
      </w:r>
      <w:r w:rsidR="00A8436D">
        <w:rPr>
          <w:color w:val="auto"/>
        </w:rPr>
        <w:t xml:space="preserve"> are accessed</w:t>
      </w:r>
      <w:r w:rsidR="002D0B88" w:rsidRPr="00DC459C">
        <w:rPr>
          <w:color w:val="auto"/>
        </w:rPr>
        <w:t>.</w:t>
      </w:r>
    </w:p>
    <w:p w14:paraId="210A2EDA" w14:textId="77777777" w:rsidR="002D0B88" w:rsidRPr="00DC459C" w:rsidRDefault="002D0B88" w:rsidP="00DC459C">
      <w:pPr>
        <w:widowControl/>
        <w:rPr>
          <w:color w:val="auto"/>
        </w:rPr>
      </w:pPr>
    </w:p>
    <w:p w14:paraId="1EB42D66" w14:textId="58ACC98F" w:rsidR="00391680" w:rsidRPr="00DC459C" w:rsidRDefault="002D0B88" w:rsidP="00DC459C">
      <w:pPr>
        <w:widowControl/>
        <w:rPr>
          <w:color w:val="auto"/>
        </w:rPr>
      </w:pPr>
      <w:r w:rsidRPr="00DC459C">
        <w:rPr>
          <w:color w:val="auto"/>
        </w:rPr>
        <w:t>6.1.</w:t>
      </w:r>
      <w:r w:rsidR="008D5B0D">
        <w:rPr>
          <w:color w:val="auto"/>
        </w:rPr>
        <w:t>3.</w:t>
      </w:r>
      <w:r w:rsidRPr="00DC459C">
        <w:rPr>
          <w:color w:val="auto"/>
        </w:rPr>
        <w:tab/>
      </w:r>
      <w:r w:rsidR="0099329A" w:rsidRPr="00DC459C">
        <w:rPr>
          <w:color w:val="auto"/>
        </w:rPr>
        <w:t>If DNA extraction from a fraction containing very low cell numbers is required (</w:t>
      </w:r>
      <w:r w:rsidR="00E57334" w:rsidRPr="00E57334">
        <w:rPr>
          <w:i/>
          <w:color w:val="auto"/>
        </w:rPr>
        <w:t>e.g.</w:t>
      </w:r>
      <w:r w:rsidR="0099329A" w:rsidRPr="00DC459C">
        <w:rPr>
          <w:color w:val="auto"/>
        </w:rPr>
        <w:t>, for density-</w:t>
      </w:r>
      <w:proofErr w:type="spellStart"/>
      <w:r w:rsidR="0099329A" w:rsidRPr="00DC459C">
        <w:rPr>
          <w:color w:val="auto"/>
        </w:rPr>
        <w:t>TraDISort</w:t>
      </w:r>
      <w:proofErr w:type="spellEnd"/>
      <w:r w:rsidR="0099329A" w:rsidRPr="00DC459C">
        <w:rPr>
          <w:color w:val="auto"/>
        </w:rPr>
        <w:t>), subculture</w:t>
      </w:r>
      <w:r w:rsidR="00700A16" w:rsidRPr="00DC459C">
        <w:rPr>
          <w:color w:val="auto"/>
        </w:rPr>
        <w:t xml:space="preserve"> the fraction by following</w:t>
      </w:r>
      <w:r w:rsidR="00DC459C">
        <w:rPr>
          <w:color w:val="auto"/>
        </w:rPr>
        <w:t xml:space="preserve"> </w:t>
      </w:r>
      <w:r w:rsidR="0099329A" w:rsidRPr="00DC459C">
        <w:rPr>
          <w:color w:val="auto"/>
        </w:rPr>
        <w:t xml:space="preserve">the protocol from </w:t>
      </w:r>
      <w:r w:rsidR="00D8686A" w:rsidRPr="00DC459C">
        <w:rPr>
          <w:color w:val="auto"/>
        </w:rPr>
        <w:t>step 6.2 for optional outgrowth to obtain more cells.</w:t>
      </w:r>
    </w:p>
    <w:p w14:paraId="013E717C" w14:textId="77777777" w:rsidR="001E49C0" w:rsidRPr="00DC459C" w:rsidRDefault="001E49C0" w:rsidP="00DC459C">
      <w:pPr>
        <w:widowControl/>
        <w:rPr>
          <w:color w:val="auto"/>
        </w:rPr>
      </w:pPr>
    </w:p>
    <w:p w14:paraId="539443D7" w14:textId="5A62E574" w:rsidR="00682AF3" w:rsidRPr="00DC459C" w:rsidRDefault="00682AF3" w:rsidP="00DC459C">
      <w:pPr>
        <w:widowControl/>
        <w:rPr>
          <w:color w:val="auto"/>
        </w:rPr>
      </w:pPr>
      <w:r w:rsidRPr="00DC459C">
        <w:rPr>
          <w:color w:val="auto"/>
        </w:rPr>
        <w:lastRenderedPageBreak/>
        <w:t>Note: There will be a low level of carryover from cells at the top of the gradient into lower fractions, as fractions are removed from top to bottom.</w:t>
      </w:r>
      <w:r w:rsidR="00090F39" w:rsidRPr="00DC459C">
        <w:rPr>
          <w:color w:val="auto"/>
        </w:rPr>
        <w:t xml:space="preserve"> </w:t>
      </w:r>
      <w:r w:rsidR="00700A16" w:rsidRPr="00DC459C">
        <w:rPr>
          <w:color w:val="auto"/>
        </w:rPr>
        <w:t>M</w:t>
      </w:r>
      <w:r w:rsidR="00090F39" w:rsidRPr="00DC459C">
        <w:rPr>
          <w:color w:val="auto"/>
        </w:rPr>
        <w:t>inimize</w:t>
      </w:r>
      <w:r w:rsidR="00700A16" w:rsidRPr="00DC459C">
        <w:rPr>
          <w:color w:val="auto"/>
        </w:rPr>
        <w:t xml:space="preserve"> this</w:t>
      </w:r>
      <w:r w:rsidR="00090F39" w:rsidRPr="00DC459C">
        <w:rPr>
          <w:color w:val="auto"/>
        </w:rPr>
        <w:t xml:space="preserve"> by working carefully so as not to mix the gradient, by using a needle to remove lower fractions, and by performing re-purification of very low abundance samples where carryover may affect results.</w:t>
      </w:r>
    </w:p>
    <w:p w14:paraId="79FB65DF" w14:textId="77777777" w:rsidR="0099329A" w:rsidRPr="00DC459C" w:rsidRDefault="0099329A" w:rsidP="00DC459C">
      <w:pPr>
        <w:widowControl/>
        <w:rPr>
          <w:color w:val="auto"/>
        </w:rPr>
      </w:pPr>
    </w:p>
    <w:p w14:paraId="3C800E5A" w14:textId="02904901" w:rsidR="00E116F8" w:rsidRPr="00DC459C" w:rsidRDefault="00391680" w:rsidP="00DC459C">
      <w:pPr>
        <w:widowControl/>
        <w:rPr>
          <w:color w:val="auto"/>
        </w:rPr>
      </w:pPr>
      <w:r w:rsidRPr="00DC459C">
        <w:rPr>
          <w:color w:val="auto"/>
        </w:rPr>
        <w:t>6.2</w:t>
      </w:r>
      <w:r w:rsidR="00B84257">
        <w:rPr>
          <w:color w:val="auto"/>
        </w:rPr>
        <w:t>.</w:t>
      </w:r>
      <w:r w:rsidR="0099329A" w:rsidRPr="00DC459C">
        <w:rPr>
          <w:color w:val="auto"/>
        </w:rPr>
        <w:t xml:space="preserve"> </w:t>
      </w:r>
      <w:r w:rsidR="0099329A" w:rsidRPr="00DC459C">
        <w:rPr>
          <w:color w:val="auto"/>
        </w:rPr>
        <w:tab/>
      </w:r>
      <w:r w:rsidR="00682AF3" w:rsidRPr="00DC459C">
        <w:rPr>
          <w:color w:val="auto"/>
        </w:rPr>
        <w:t>T</w:t>
      </w:r>
      <w:r w:rsidR="008A4BFA" w:rsidRPr="00DC459C">
        <w:rPr>
          <w:color w:val="auto"/>
        </w:rPr>
        <w:t>ransfer</w:t>
      </w:r>
      <w:r w:rsidR="00906676" w:rsidRPr="00DC459C">
        <w:rPr>
          <w:color w:val="auto"/>
        </w:rPr>
        <w:t xml:space="preserve"> cells from</w:t>
      </w:r>
      <w:r w:rsidR="000A50D2" w:rsidRPr="00DC459C">
        <w:rPr>
          <w:color w:val="auto"/>
        </w:rPr>
        <w:t xml:space="preserve"> the low-abundance fraction</w:t>
      </w:r>
      <w:r w:rsidR="00F92730" w:rsidRPr="00DC459C">
        <w:rPr>
          <w:color w:val="auto"/>
        </w:rPr>
        <w:t xml:space="preserve"> recovered in steps 6.1.</w:t>
      </w:r>
      <w:r w:rsidR="00F2799B">
        <w:rPr>
          <w:color w:val="auto"/>
        </w:rPr>
        <w:t>1</w:t>
      </w:r>
      <w:r w:rsidR="00D33E89">
        <w:rPr>
          <w:color w:val="auto"/>
        </w:rPr>
        <w:t>-</w:t>
      </w:r>
      <w:r w:rsidR="00F92730" w:rsidRPr="00DC459C">
        <w:rPr>
          <w:color w:val="auto"/>
        </w:rPr>
        <w:t>6.1.</w:t>
      </w:r>
      <w:r w:rsidR="006C076C">
        <w:rPr>
          <w:color w:val="auto"/>
        </w:rPr>
        <w:t>2</w:t>
      </w:r>
      <w:r w:rsidR="0099329A" w:rsidRPr="00DC459C">
        <w:rPr>
          <w:color w:val="auto"/>
        </w:rPr>
        <w:t xml:space="preserve"> into</w:t>
      </w:r>
      <w:r w:rsidR="000A50D2" w:rsidRPr="00DC459C">
        <w:rPr>
          <w:color w:val="auto"/>
        </w:rPr>
        <w:t xml:space="preserve"> </w:t>
      </w:r>
      <w:r w:rsidR="0099329A" w:rsidRPr="00DC459C">
        <w:rPr>
          <w:color w:val="auto"/>
        </w:rPr>
        <w:t>5</w:t>
      </w:r>
      <w:r w:rsidR="00AF620A" w:rsidRPr="00DC459C">
        <w:rPr>
          <w:color w:val="auto"/>
        </w:rPr>
        <w:t xml:space="preserve"> </w:t>
      </w:r>
      <w:r w:rsidR="00EF054B" w:rsidRPr="00DC459C">
        <w:rPr>
          <w:color w:val="auto"/>
        </w:rPr>
        <w:t>mL</w:t>
      </w:r>
      <w:r w:rsidR="00906676" w:rsidRPr="00DC459C">
        <w:rPr>
          <w:color w:val="auto"/>
        </w:rPr>
        <w:t xml:space="preserve"> </w:t>
      </w:r>
      <w:r w:rsidR="0099329A" w:rsidRPr="00DC459C">
        <w:rPr>
          <w:color w:val="auto"/>
        </w:rPr>
        <w:t>of appropriate liquid media. Place in an incubator</w:t>
      </w:r>
      <w:r w:rsidR="00906676" w:rsidRPr="00DC459C">
        <w:rPr>
          <w:color w:val="auto"/>
        </w:rPr>
        <w:t xml:space="preserve"> </w:t>
      </w:r>
      <w:r w:rsidR="00D8686A" w:rsidRPr="00DC459C">
        <w:rPr>
          <w:color w:val="auto"/>
        </w:rPr>
        <w:t xml:space="preserve">and </w:t>
      </w:r>
      <w:r w:rsidR="00906676" w:rsidRPr="00DC459C">
        <w:rPr>
          <w:color w:val="auto"/>
        </w:rPr>
        <w:t xml:space="preserve">grow for </w:t>
      </w:r>
      <w:r w:rsidR="00CE22B2">
        <w:rPr>
          <w:color w:val="auto"/>
        </w:rPr>
        <w:t>2 h</w:t>
      </w:r>
      <w:r w:rsidR="0099329A" w:rsidRPr="00DC459C">
        <w:rPr>
          <w:color w:val="auto"/>
        </w:rPr>
        <w:t xml:space="preserve"> </w:t>
      </w:r>
      <w:r w:rsidR="009C7F9F" w:rsidRPr="00DC459C">
        <w:rPr>
          <w:color w:val="auto"/>
        </w:rPr>
        <w:t xml:space="preserve">at 37 </w:t>
      </w:r>
      <w:r w:rsidR="00CE22B2">
        <w:rPr>
          <w:color w:val="auto"/>
        </w:rPr>
        <w:t>°</w:t>
      </w:r>
      <w:r w:rsidR="009C7F9F" w:rsidRPr="00DC459C">
        <w:rPr>
          <w:color w:val="auto"/>
        </w:rPr>
        <w:t>C</w:t>
      </w:r>
      <w:r w:rsidR="0099329A" w:rsidRPr="00DC459C">
        <w:rPr>
          <w:color w:val="auto"/>
        </w:rPr>
        <w:t>.</w:t>
      </w:r>
      <w:r w:rsidR="00DC459C">
        <w:rPr>
          <w:color w:val="auto"/>
        </w:rPr>
        <w:t xml:space="preserve"> </w:t>
      </w:r>
    </w:p>
    <w:p w14:paraId="17B373BB" w14:textId="77777777" w:rsidR="00906676" w:rsidRPr="00DC459C" w:rsidRDefault="00906676" w:rsidP="00DC459C">
      <w:pPr>
        <w:widowControl/>
        <w:rPr>
          <w:color w:val="auto"/>
        </w:rPr>
      </w:pPr>
    </w:p>
    <w:p w14:paraId="5A6B8906" w14:textId="4D732FA3" w:rsidR="00682AF3" w:rsidRPr="00DC459C" w:rsidRDefault="0099329A" w:rsidP="00DC459C">
      <w:pPr>
        <w:widowControl/>
        <w:rPr>
          <w:color w:val="auto"/>
        </w:rPr>
      </w:pPr>
      <w:r w:rsidRPr="00DC459C">
        <w:rPr>
          <w:color w:val="auto"/>
        </w:rPr>
        <w:t>6.2.1</w:t>
      </w:r>
      <w:r w:rsidR="00B84257">
        <w:rPr>
          <w:color w:val="auto"/>
        </w:rPr>
        <w:t>.</w:t>
      </w:r>
      <w:r w:rsidR="00906676" w:rsidRPr="00DC459C">
        <w:rPr>
          <w:color w:val="auto"/>
        </w:rPr>
        <w:t xml:space="preserve"> </w:t>
      </w:r>
      <w:r w:rsidR="003D2A23" w:rsidRPr="00DC459C">
        <w:rPr>
          <w:color w:val="auto"/>
        </w:rPr>
        <w:tab/>
      </w:r>
      <w:r w:rsidR="00906676" w:rsidRPr="00DC459C">
        <w:rPr>
          <w:color w:val="auto"/>
        </w:rPr>
        <w:t xml:space="preserve">After </w:t>
      </w:r>
      <w:r w:rsidR="00F228F1">
        <w:rPr>
          <w:color w:val="auto"/>
        </w:rPr>
        <w:t>2 h</w:t>
      </w:r>
      <w:r w:rsidR="00AF620A" w:rsidRPr="00DC459C">
        <w:rPr>
          <w:color w:val="auto"/>
        </w:rPr>
        <w:t xml:space="preserve"> of</w:t>
      </w:r>
      <w:r w:rsidR="00906676" w:rsidRPr="00DC459C">
        <w:rPr>
          <w:color w:val="auto"/>
        </w:rPr>
        <w:t xml:space="preserve"> growth</w:t>
      </w:r>
      <w:r w:rsidR="00682AF3" w:rsidRPr="00DC459C">
        <w:rPr>
          <w:color w:val="auto"/>
        </w:rPr>
        <w:t xml:space="preserve"> or when the sample has reached an OD</w:t>
      </w:r>
      <w:r w:rsidR="00682AF3" w:rsidRPr="00DC459C">
        <w:rPr>
          <w:color w:val="auto"/>
          <w:vertAlign w:val="subscript"/>
        </w:rPr>
        <w:t>600</w:t>
      </w:r>
      <w:r w:rsidR="00682AF3" w:rsidRPr="00DC459C">
        <w:rPr>
          <w:color w:val="auto"/>
        </w:rPr>
        <w:t xml:space="preserve"> of 1</w:t>
      </w:r>
      <w:r w:rsidR="00906676" w:rsidRPr="00DC459C">
        <w:rPr>
          <w:color w:val="auto"/>
        </w:rPr>
        <w:t xml:space="preserve">, </w:t>
      </w:r>
      <w:r w:rsidRPr="00DC459C">
        <w:rPr>
          <w:color w:val="auto"/>
        </w:rPr>
        <w:t>transfer the culture to a 15</w:t>
      </w:r>
      <w:r w:rsidR="00AF620A" w:rsidRPr="00DC459C">
        <w:rPr>
          <w:color w:val="auto"/>
        </w:rPr>
        <w:t xml:space="preserve"> </w:t>
      </w:r>
      <w:r w:rsidR="00EF054B" w:rsidRPr="00DC459C">
        <w:rPr>
          <w:color w:val="auto"/>
        </w:rPr>
        <w:t>mL</w:t>
      </w:r>
      <w:r w:rsidRPr="00DC459C">
        <w:rPr>
          <w:color w:val="auto"/>
        </w:rPr>
        <w:t xml:space="preserve"> tube</w:t>
      </w:r>
      <w:r w:rsidR="001B424E" w:rsidRPr="00DC459C">
        <w:rPr>
          <w:color w:val="auto"/>
        </w:rPr>
        <w:t>. C</w:t>
      </w:r>
      <w:r w:rsidRPr="00DC459C">
        <w:rPr>
          <w:color w:val="auto"/>
        </w:rPr>
        <w:t xml:space="preserve">entrifuge </w:t>
      </w:r>
      <w:r w:rsidR="001B424E" w:rsidRPr="00DC459C">
        <w:rPr>
          <w:color w:val="auto"/>
        </w:rPr>
        <w:t xml:space="preserve">the tube </w:t>
      </w:r>
      <w:r w:rsidRPr="00DC459C">
        <w:rPr>
          <w:color w:val="auto"/>
        </w:rPr>
        <w:t>for 10 min at</w:t>
      </w:r>
      <w:r w:rsidR="001B424E" w:rsidRPr="00DC459C">
        <w:rPr>
          <w:color w:val="auto"/>
        </w:rPr>
        <w:t xml:space="preserve"> </w:t>
      </w:r>
      <w:r w:rsidR="002B65DF" w:rsidRPr="00DC459C">
        <w:rPr>
          <w:color w:val="auto"/>
        </w:rPr>
        <w:t xml:space="preserve">3,200 x </w:t>
      </w:r>
      <w:r w:rsidR="002B65DF" w:rsidRPr="00F228F1">
        <w:rPr>
          <w:color w:val="auto"/>
        </w:rPr>
        <w:t>g</w:t>
      </w:r>
      <w:r w:rsidR="002B65DF" w:rsidRPr="00DC459C">
        <w:rPr>
          <w:color w:val="auto"/>
        </w:rPr>
        <w:t xml:space="preserve"> </w:t>
      </w:r>
      <w:r w:rsidRPr="00DC459C">
        <w:rPr>
          <w:color w:val="auto"/>
        </w:rPr>
        <w:t xml:space="preserve">in a </w:t>
      </w:r>
      <w:r w:rsidR="00906676" w:rsidRPr="00DC459C">
        <w:rPr>
          <w:color w:val="auto"/>
        </w:rPr>
        <w:t>centrifuge</w:t>
      </w:r>
      <w:r w:rsidRPr="00DC459C">
        <w:rPr>
          <w:color w:val="auto"/>
        </w:rPr>
        <w:t xml:space="preserve"> </w:t>
      </w:r>
      <w:r w:rsidR="00D877B0" w:rsidRPr="00DC459C">
        <w:rPr>
          <w:color w:val="auto"/>
        </w:rPr>
        <w:t>with</w:t>
      </w:r>
      <w:r w:rsidRPr="00DC459C">
        <w:rPr>
          <w:color w:val="auto"/>
        </w:rPr>
        <w:t xml:space="preserve"> swing out buckets</w:t>
      </w:r>
      <w:r w:rsidR="002B65DF" w:rsidRPr="00DC459C">
        <w:rPr>
          <w:color w:val="auto"/>
        </w:rPr>
        <w:t xml:space="preserve"> and aerosol tight lids</w:t>
      </w:r>
      <w:r w:rsidRPr="00DC459C">
        <w:rPr>
          <w:color w:val="auto"/>
        </w:rPr>
        <w:t>. Discard the supernatant</w:t>
      </w:r>
      <w:r w:rsidR="00F92730" w:rsidRPr="00DC459C">
        <w:rPr>
          <w:color w:val="auto"/>
        </w:rPr>
        <w:t xml:space="preserve"> </w:t>
      </w:r>
    </w:p>
    <w:p w14:paraId="6A749EF1" w14:textId="77777777" w:rsidR="00682AF3" w:rsidRPr="00DC459C" w:rsidRDefault="00682AF3" w:rsidP="00DC459C">
      <w:pPr>
        <w:widowControl/>
        <w:rPr>
          <w:color w:val="auto"/>
        </w:rPr>
      </w:pPr>
    </w:p>
    <w:p w14:paraId="170275BF" w14:textId="692086E0" w:rsidR="00700A16" w:rsidRPr="00DC459C" w:rsidRDefault="001B424E" w:rsidP="00DC459C">
      <w:pPr>
        <w:widowControl/>
        <w:rPr>
          <w:color w:val="auto"/>
        </w:rPr>
      </w:pPr>
      <w:r w:rsidRPr="00DC459C">
        <w:rPr>
          <w:color w:val="auto"/>
        </w:rPr>
        <w:t>6.2.2</w:t>
      </w:r>
      <w:r w:rsidR="00B84257">
        <w:rPr>
          <w:color w:val="auto"/>
        </w:rPr>
        <w:t>.</w:t>
      </w:r>
      <w:r w:rsidR="003D2A23" w:rsidRPr="00DC459C">
        <w:rPr>
          <w:color w:val="auto"/>
        </w:rPr>
        <w:tab/>
      </w:r>
      <w:r w:rsidR="00682AF3" w:rsidRPr="00DC459C">
        <w:rPr>
          <w:color w:val="auto"/>
        </w:rPr>
        <w:t xml:space="preserve">Resuspend the cell pellet in 1 </w:t>
      </w:r>
      <w:r w:rsidR="00EF054B" w:rsidRPr="00DC459C">
        <w:rPr>
          <w:color w:val="auto"/>
        </w:rPr>
        <w:t>mL</w:t>
      </w:r>
      <w:r w:rsidR="00682AF3" w:rsidRPr="00DC459C">
        <w:rPr>
          <w:color w:val="auto"/>
        </w:rPr>
        <w:t xml:space="preserve"> </w:t>
      </w:r>
      <w:r w:rsidR="00F228F1">
        <w:rPr>
          <w:color w:val="auto"/>
        </w:rPr>
        <w:t xml:space="preserve">of </w:t>
      </w:r>
      <w:r w:rsidR="00682AF3" w:rsidRPr="00DC459C">
        <w:rPr>
          <w:color w:val="auto"/>
        </w:rPr>
        <w:t xml:space="preserve">1x PBS. </w:t>
      </w:r>
    </w:p>
    <w:p w14:paraId="546BCCF8" w14:textId="77777777" w:rsidR="00700A16" w:rsidRPr="00DC459C" w:rsidRDefault="00700A16" w:rsidP="00DC459C">
      <w:pPr>
        <w:widowControl/>
        <w:rPr>
          <w:color w:val="auto"/>
        </w:rPr>
      </w:pPr>
    </w:p>
    <w:p w14:paraId="46A322DB" w14:textId="7CC06C9A" w:rsidR="001B424E" w:rsidRPr="00DC459C" w:rsidRDefault="00700A16" w:rsidP="00DC459C">
      <w:pPr>
        <w:widowControl/>
        <w:rPr>
          <w:color w:val="auto"/>
        </w:rPr>
      </w:pPr>
      <w:r w:rsidRPr="00DC459C">
        <w:rPr>
          <w:color w:val="auto"/>
        </w:rPr>
        <w:t>6.3</w:t>
      </w:r>
      <w:r w:rsidR="00B84257">
        <w:rPr>
          <w:color w:val="auto"/>
        </w:rPr>
        <w:t>.</w:t>
      </w:r>
      <w:r w:rsidR="00F92730" w:rsidRPr="00DC459C">
        <w:rPr>
          <w:color w:val="auto"/>
        </w:rPr>
        <w:tab/>
      </w:r>
      <w:r w:rsidR="001B424E" w:rsidRPr="00DC459C">
        <w:rPr>
          <w:color w:val="auto"/>
        </w:rPr>
        <w:t xml:space="preserve">Prepare a fresh </w:t>
      </w:r>
      <w:r w:rsidR="00682AF3" w:rsidRPr="00DC459C">
        <w:rPr>
          <w:color w:val="auto"/>
        </w:rPr>
        <w:t xml:space="preserve">single-concentration density </w:t>
      </w:r>
      <w:r w:rsidR="001B424E" w:rsidRPr="00DC459C">
        <w:rPr>
          <w:color w:val="auto"/>
        </w:rPr>
        <w:t>gradient in a 5</w:t>
      </w:r>
      <w:r w:rsidR="00AF620A" w:rsidRPr="00DC459C">
        <w:rPr>
          <w:color w:val="auto"/>
        </w:rPr>
        <w:t xml:space="preserve"> </w:t>
      </w:r>
      <w:r w:rsidR="00EF054B" w:rsidRPr="00DC459C">
        <w:rPr>
          <w:color w:val="auto"/>
        </w:rPr>
        <w:t>mL</w:t>
      </w:r>
      <w:r w:rsidR="001B424E" w:rsidRPr="00DC459C">
        <w:rPr>
          <w:color w:val="auto"/>
        </w:rPr>
        <w:t xml:space="preserve"> </w:t>
      </w:r>
      <w:r w:rsidR="00682AF3" w:rsidRPr="00DC459C">
        <w:rPr>
          <w:color w:val="auto"/>
        </w:rPr>
        <w:t xml:space="preserve">polypropylene </w:t>
      </w:r>
      <w:r w:rsidR="001B424E" w:rsidRPr="00DC459C">
        <w:rPr>
          <w:color w:val="auto"/>
        </w:rPr>
        <w:t xml:space="preserve">tube. </w:t>
      </w:r>
      <w:r w:rsidR="00682AF3" w:rsidRPr="00DC459C">
        <w:rPr>
          <w:color w:val="auto"/>
        </w:rPr>
        <w:t xml:space="preserve">Use the </w:t>
      </w:r>
      <w:r w:rsidRPr="00DC459C">
        <w:rPr>
          <w:color w:val="auto"/>
        </w:rPr>
        <w:t xml:space="preserve">gradient </w:t>
      </w:r>
      <w:r w:rsidR="00682AF3" w:rsidRPr="00DC459C">
        <w:rPr>
          <w:color w:val="auto"/>
        </w:rPr>
        <w:t>concentration from just above the location of the fraction in the original gradient (</w:t>
      </w:r>
      <w:r w:rsidR="00DC459C" w:rsidRPr="00DC459C">
        <w:rPr>
          <w:i/>
          <w:color w:val="auto"/>
        </w:rPr>
        <w:t>e.g.</w:t>
      </w:r>
      <w:r w:rsidR="00DC459C" w:rsidRPr="00E17064">
        <w:rPr>
          <w:color w:val="auto"/>
        </w:rPr>
        <w:t>,</w:t>
      </w:r>
      <w:r w:rsidR="00682AF3" w:rsidRPr="00DC459C">
        <w:rPr>
          <w:color w:val="auto"/>
        </w:rPr>
        <w:t xml:space="preserve"> for purification of the ∆</w:t>
      </w:r>
      <w:proofErr w:type="spellStart"/>
      <w:r w:rsidR="00682AF3" w:rsidRPr="00DC459C">
        <w:rPr>
          <w:i/>
          <w:color w:val="auto"/>
        </w:rPr>
        <w:t>slyA</w:t>
      </w:r>
      <w:proofErr w:type="spellEnd"/>
      <w:r w:rsidR="00682AF3" w:rsidRPr="00DC459C">
        <w:rPr>
          <w:i/>
          <w:color w:val="auto"/>
        </w:rPr>
        <w:t xml:space="preserve"> </w:t>
      </w:r>
      <w:r w:rsidR="00682AF3" w:rsidRPr="00DC459C">
        <w:rPr>
          <w:color w:val="auto"/>
        </w:rPr>
        <w:t xml:space="preserve">mutant shown in </w:t>
      </w:r>
      <w:r w:rsidR="00DC459C" w:rsidRPr="0071452D">
        <w:rPr>
          <w:b/>
          <w:color w:val="auto"/>
        </w:rPr>
        <w:t>Figure 2D</w:t>
      </w:r>
      <w:r w:rsidR="00682AF3" w:rsidRPr="00DC459C">
        <w:rPr>
          <w:color w:val="auto"/>
        </w:rPr>
        <w:t xml:space="preserve">, 15% </w:t>
      </w:r>
      <w:r w:rsidR="0071452D">
        <w:rPr>
          <w:color w:val="auto"/>
        </w:rPr>
        <w:t>d</w:t>
      </w:r>
      <w:r w:rsidR="00E139B7">
        <w:rPr>
          <w:color w:val="auto"/>
        </w:rPr>
        <w:t>ensity gradient medium</w:t>
      </w:r>
      <w:r w:rsidR="00682AF3" w:rsidRPr="00DC459C">
        <w:rPr>
          <w:color w:val="auto"/>
        </w:rPr>
        <w:t xml:space="preserve"> would be used).</w:t>
      </w:r>
    </w:p>
    <w:p w14:paraId="7B7D0073" w14:textId="0164995B" w:rsidR="00682AF3" w:rsidRDefault="00682AF3" w:rsidP="00DC459C">
      <w:pPr>
        <w:widowControl/>
        <w:rPr>
          <w:color w:val="auto"/>
        </w:rPr>
      </w:pPr>
    </w:p>
    <w:p w14:paraId="0B5BF594" w14:textId="7185730E" w:rsidR="0040372E" w:rsidRDefault="0040372E" w:rsidP="00DC459C">
      <w:pPr>
        <w:widowControl/>
        <w:rPr>
          <w:color w:val="auto"/>
        </w:rPr>
      </w:pPr>
      <w:r>
        <w:rPr>
          <w:color w:val="auto"/>
        </w:rPr>
        <w:t xml:space="preserve">Note: This </w:t>
      </w:r>
      <w:r w:rsidRPr="00DC459C">
        <w:rPr>
          <w:color w:val="auto"/>
        </w:rPr>
        <w:t>re-purification step</w:t>
      </w:r>
      <w:r>
        <w:rPr>
          <w:color w:val="auto"/>
        </w:rPr>
        <w:t xml:space="preserve"> is optional</w:t>
      </w:r>
      <w:r w:rsidRPr="00DC459C">
        <w:rPr>
          <w:color w:val="auto"/>
        </w:rPr>
        <w:t>.</w:t>
      </w:r>
    </w:p>
    <w:p w14:paraId="279BC16B" w14:textId="77777777" w:rsidR="0040372E" w:rsidRPr="00DC459C" w:rsidRDefault="0040372E" w:rsidP="00DC459C">
      <w:pPr>
        <w:widowControl/>
        <w:rPr>
          <w:color w:val="auto"/>
        </w:rPr>
      </w:pPr>
    </w:p>
    <w:p w14:paraId="05873444" w14:textId="1B6123B8" w:rsidR="001B424E" w:rsidRPr="00DC459C" w:rsidRDefault="001B424E" w:rsidP="00DC459C">
      <w:pPr>
        <w:widowControl/>
        <w:rPr>
          <w:color w:val="auto"/>
        </w:rPr>
      </w:pPr>
      <w:r w:rsidRPr="00DC459C">
        <w:rPr>
          <w:color w:val="auto"/>
        </w:rPr>
        <w:t>6.3</w:t>
      </w:r>
      <w:r w:rsidR="00F92730" w:rsidRPr="00DC459C">
        <w:rPr>
          <w:color w:val="auto"/>
        </w:rPr>
        <w:t>.</w:t>
      </w:r>
      <w:r w:rsidR="00B84257">
        <w:rPr>
          <w:color w:val="auto"/>
        </w:rPr>
        <w:t>1.</w:t>
      </w:r>
      <w:r w:rsidRPr="00DC459C">
        <w:rPr>
          <w:color w:val="auto"/>
        </w:rPr>
        <w:tab/>
        <w:t xml:space="preserve">Apply the cells to the top of </w:t>
      </w:r>
      <w:r w:rsidR="00FD6A5B">
        <w:rPr>
          <w:color w:val="auto"/>
        </w:rPr>
        <w:t>the</w:t>
      </w:r>
      <w:r w:rsidRPr="00DC459C">
        <w:rPr>
          <w:color w:val="auto"/>
        </w:rPr>
        <w:t xml:space="preserve"> gradient </w:t>
      </w:r>
      <w:r w:rsidR="00D877B0" w:rsidRPr="00DC459C">
        <w:rPr>
          <w:color w:val="auto"/>
        </w:rPr>
        <w:t xml:space="preserve">and centrifuge </w:t>
      </w:r>
      <w:r w:rsidRPr="00DC459C">
        <w:rPr>
          <w:color w:val="auto"/>
        </w:rPr>
        <w:t>as described in step</w:t>
      </w:r>
      <w:r w:rsidR="00D877B0" w:rsidRPr="00DC459C">
        <w:rPr>
          <w:color w:val="auto"/>
        </w:rPr>
        <w:t>s</w:t>
      </w:r>
      <w:r w:rsidRPr="00DC459C">
        <w:rPr>
          <w:color w:val="auto"/>
        </w:rPr>
        <w:t xml:space="preserve"> </w:t>
      </w:r>
      <w:r w:rsidR="00F92730" w:rsidRPr="00DC459C">
        <w:rPr>
          <w:color w:val="auto"/>
        </w:rPr>
        <w:t>2.2 and 5.1</w:t>
      </w:r>
      <w:r w:rsidR="00E12886">
        <w:rPr>
          <w:color w:val="auto"/>
        </w:rPr>
        <w:t>.</w:t>
      </w:r>
      <w:r w:rsidR="00D877B0" w:rsidRPr="00DC459C">
        <w:rPr>
          <w:color w:val="auto"/>
        </w:rPr>
        <w:t xml:space="preserve"> </w:t>
      </w:r>
    </w:p>
    <w:p w14:paraId="2EECCB2D" w14:textId="77777777" w:rsidR="00217903" w:rsidRPr="00DC459C" w:rsidRDefault="00217903" w:rsidP="00DC459C">
      <w:pPr>
        <w:widowControl/>
        <w:rPr>
          <w:color w:val="auto"/>
        </w:rPr>
      </w:pPr>
    </w:p>
    <w:p w14:paraId="4D3B5936" w14:textId="4722511E" w:rsidR="00700A16" w:rsidRPr="00DC459C" w:rsidRDefault="00D877B0" w:rsidP="00DC459C">
      <w:pPr>
        <w:widowControl/>
        <w:rPr>
          <w:color w:val="auto"/>
        </w:rPr>
      </w:pPr>
      <w:r w:rsidRPr="00DC459C">
        <w:rPr>
          <w:color w:val="auto"/>
        </w:rPr>
        <w:t>6.</w:t>
      </w:r>
      <w:r w:rsidR="007B131C" w:rsidRPr="00DC459C">
        <w:rPr>
          <w:color w:val="auto"/>
        </w:rPr>
        <w:t>3</w:t>
      </w:r>
      <w:r w:rsidRPr="00DC459C">
        <w:rPr>
          <w:color w:val="auto"/>
        </w:rPr>
        <w:t>.</w:t>
      </w:r>
      <w:r w:rsidR="00982083">
        <w:rPr>
          <w:color w:val="auto"/>
        </w:rPr>
        <w:t>2.</w:t>
      </w:r>
      <w:r w:rsidR="00217903" w:rsidRPr="00DC459C">
        <w:rPr>
          <w:color w:val="auto"/>
        </w:rPr>
        <w:tab/>
      </w:r>
      <w:r w:rsidRPr="00DC459C">
        <w:rPr>
          <w:color w:val="auto"/>
        </w:rPr>
        <w:t xml:space="preserve">Remove the tubes from the centrifuge and place in an appropriate rack. </w:t>
      </w:r>
      <w:r w:rsidR="00217903" w:rsidRPr="00DC459C">
        <w:rPr>
          <w:color w:val="auto"/>
        </w:rPr>
        <w:t xml:space="preserve">Photograph the gradient and recover </w:t>
      </w:r>
      <w:r w:rsidR="00C53475" w:rsidRPr="00DC459C">
        <w:rPr>
          <w:color w:val="auto"/>
        </w:rPr>
        <w:t>the fraction for DNA extraction</w:t>
      </w:r>
      <w:r w:rsidR="006E74EB" w:rsidRPr="00DC459C">
        <w:rPr>
          <w:color w:val="auto"/>
        </w:rPr>
        <w:t xml:space="preserve"> as described in 6.1</w:t>
      </w:r>
      <w:r w:rsidR="00991949">
        <w:rPr>
          <w:color w:val="auto"/>
        </w:rPr>
        <w:t>-6.</w:t>
      </w:r>
      <w:r w:rsidR="006E74EB" w:rsidRPr="00DC459C">
        <w:rPr>
          <w:color w:val="auto"/>
        </w:rPr>
        <w:t>1.</w:t>
      </w:r>
      <w:r w:rsidR="00991949">
        <w:rPr>
          <w:color w:val="auto"/>
        </w:rPr>
        <w:t>2</w:t>
      </w:r>
      <w:r w:rsidR="00C53475" w:rsidRPr="00DC459C">
        <w:rPr>
          <w:color w:val="auto"/>
        </w:rPr>
        <w:t>.</w:t>
      </w:r>
      <w:r w:rsidR="006E74EB" w:rsidRPr="00DC459C">
        <w:rPr>
          <w:color w:val="auto"/>
        </w:rPr>
        <w:t xml:space="preserve"> </w:t>
      </w:r>
    </w:p>
    <w:p w14:paraId="78DA3A9D" w14:textId="77777777" w:rsidR="00700A16" w:rsidRPr="00DC459C" w:rsidRDefault="00700A16" w:rsidP="00DC459C">
      <w:pPr>
        <w:widowControl/>
        <w:rPr>
          <w:color w:val="auto"/>
        </w:rPr>
      </w:pPr>
    </w:p>
    <w:p w14:paraId="67079C9B" w14:textId="0BEB3C91" w:rsidR="00A3784E" w:rsidRPr="00DC459C" w:rsidRDefault="00C11753" w:rsidP="00DC459C">
      <w:pPr>
        <w:widowControl/>
        <w:rPr>
          <w:color w:val="auto"/>
        </w:rPr>
      </w:pPr>
      <w:r>
        <w:rPr>
          <w:color w:val="auto"/>
        </w:rPr>
        <w:t>Note: The</w:t>
      </w:r>
      <w:r w:rsidR="00C96C68" w:rsidRPr="00DC459C">
        <w:rPr>
          <w:color w:val="auto"/>
        </w:rPr>
        <w:t xml:space="preserve"> </w:t>
      </w:r>
      <w:r w:rsidR="006E74EB" w:rsidRPr="00DC459C">
        <w:rPr>
          <w:color w:val="auto"/>
        </w:rPr>
        <w:t xml:space="preserve">sample is now ready for </w:t>
      </w:r>
      <w:r w:rsidR="00700A16" w:rsidRPr="00DC459C">
        <w:rPr>
          <w:color w:val="auto"/>
        </w:rPr>
        <w:t xml:space="preserve">DNA extraction or other </w:t>
      </w:r>
      <w:r w:rsidR="006E74EB" w:rsidRPr="00DC459C">
        <w:rPr>
          <w:color w:val="auto"/>
        </w:rPr>
        <w:t>downstream applications</w:t>
      </w:r>
      <w:r w:rsidR="00090F39" w:rsidRPr="00DC459C">
        <w:rPr>
          <w:color w:val="auto"/>
        </w:rPr>
        <w:t>.</w:t>
      </w:r>
    </w:p>
    <w:p w14:paraId="2A0FE504" w14:textId="77777777" w:rsidR="001C1E49" w:rsidRPr="00DC459C" w:rsidRDefault="001C1E49" w:rsidP="00DC459C">
      <w:pPr>
        <w:pStyle w:val="NormalWeb"/>
        <w:widowControl/>
        <w:spacing w:before="0" w:beforeAutospacing="0" w:after="0" w:afterAutospacing="0"/>
        <w:rPr>
          <w:b/>
          <w:color w:val="auto"/>
        </w:rPr>
      </w:pPr>
    </w:p>
    <w:p w14:paraId="3ED183D9" w14:textId="17251C6E" w:rsidR="007B7ECE" w:rsidRPr="00DC459C" w:rsidRDefault="00D877B0" w:rsidP="00DC459C">
      <w:pPr>
        <w:widowControl/>
        <w:rPr>
          <w:b/>
          <w:color w:val="auto"/>
        </w:rPr>
      </w:pPr>
      <w:r w:rsidRPr="00DC459C">
        <w:rPr>
          <w:b/>
          <w:color w:val="auto"/>
        </w:rPr>
        <w:t xml:space="preserve">7. Alternative </w:t>
      </w:r>
      <w:r w:rsidR="00494EB1">
        <w:rPr>
          <w:b/>
          <w:color w:val="auto"/>
        </w:rPr>
        <w:t>M</w:t>
      </w:r>
      <w:r w:rsidRPr="00DC459C">
        <w:rPr>
          <w:b/>
          <w:color w:val="auto"/>
        </w:rPr>
        <w:t xml:space="preserve">ethod for </w:t>
      </w:r>
      <w:r w:rsidR="00494EB1" w:rsidRPr="00DC459C">
        <w:rPr>
          <w:b/>
          <w:color w:val="auto"/>
        </w:rPr>
        <w:t xml:space="preserve">Gradient Preparation </w:t>
      </w:r>
      <w:r w:rsidR="007B7ECE" w:rsidRPr="00DC459C">
        <w:rPr>
          <w:b/>
          <w:color w:val="auto"/>
        </w:rPr>
        <w:t xml:space="preserve">from </w:t>
      </w:r>
      <w:r w:rsidR="00494EB1">
        <w:rPr>
          <w:b/>
          <w:color w:val="auto"/>
        </w:rPr>
        <w:t>B</w:t>
      </w:r>
      <w:r w:rsidR="007B7ECE" w:rsidRPr="00DC459C">
        <w:rPr>
          <w:b/>
          <w:color w:val="auto"/>
        </w:rPr>
        <w:t>ottom</w:t>
      </w:r>
      <w:r w:rsidR="00090F39" w:rsidRPr="00DC459C">
        <w:rPr>
          <w:b/>
          <w:color w:val="auto"/>
        </w:rPr>
        <w:t xml:space="preserve"> (</w:t>
      </w:r>
      <w:r w:rsidR="00494EB1" w:rsidRPr="00DC459C">
        <w:rPr>
          <w:b/>
          <w:color w:val="auto"/>
        </w:rPr>
        <w:t>Most Concentrated</w:t>
      </w:r>
      <w:r w:rsidR="00090F39" w:rsidRPr="00DC459C">
        <w:rPr>
          <w:b/>
          <w:color w:val="auto"/>
        </w:rPr>
        <w:t>)</w:t>
      </w:r>
      <w:r w:rsidR="007B7ECE" w:rsidRPr="00DC459C">
        <w:rPr>
          <w:b/>
          <w:color w:val="auto"/>
        </w:rPr>
        <w:t xml:space="preserve"> to </w:t>
      </w:r>
      <w:r w:rsidR="00494EB1" w:rsidRPr="00DC459C">
        <w:rPr>
          <w:b/>
          <w:color w:val="auto"/>
        </w:rPr>
        <w:t xml:space="preserve">Top (Least Concentrated) Using </w:t>
      </w:r>
      <w:r w:rsidR="00494EB1">
        <w:rPr>
          <w:b/>
          <w:color w:val="auto"/>
        </w:rPr>
        <w:t>a</w:t>
      </w:r>
      <w:r w:rsidR="00494EB1" w:rsidRPr="00DC459C">
        <w:rPr>
          <w:b/>
          <w:color w:val="auto"/>
        </w:rPr>
        <w:t xml:space="preserve"> Pipette</w:t>
      </w:r>
    </w:p>
    <w:p w14:paraId="06BBFAEB" w14:textId="77777777" w:rsidR="007B7ECE" w:rsidRPr="00DC459C" w:rsidRDefault="007B7ECE" w:rsidP="00DC459C">
      <w:pPr>
        <w:widowControl/>
        <w:rPr>
          <w:color w:val="auto"/>
        </w:rPr>
      </w:pPr>
    </w:p>
    <w:p w14:paraId="7495D01A" w14:textId="627BE098" w:rsidR="007B7ECE" w:rsidRPr="00DC459C" w:rsidRDefault="00D877B0" w:rsidP="00DC459C">
      <w:pPr>
        <w:widowControl/>
        <w:rPr>
          <w:color w:val="auto"/>
        </w:rPr>
      </w:pPr>
      <w:r w:rsidRPr="00DC459C">
        <w:rPr>
          <w:color w:val="auto"/>
        </w:rPr>
        <w:t>7</w:t>
      </w:r>
      <w:r w:rsidR="007748B2" w:rsidRPr="00DC459C">
        <w:rPr>
          <w:color w:val="auto"/>
        </w:rPr>
        <w:t>.1</w:t>
      </w:r>
      <w:r w:rsidR="00582EAF">
        <w:rPr>
          <w:color w:val="auto"/>
        </w:rPr>
        <w:t>.</w:t>
      </w:r>
      <w:r w:rsidR="007748B2" w:rsidRPr="00DC459C">
        <w:rPr>
          <w:color w:val="auto"/>
        </w:rPr>
        <w:t xml:space="preserve"> Use </w:t>
      </w:r>
      <w:r w:rsidRPr="00DC459C">
        <w:rPr>
          <w:color w:val="auto"/>
        </w:rPr>
        <w:t>the gradient dilutions determined in step 2.2.3</w:t>
      </w:r>
      <w:r w:rsidR="007748B2" w:rsidRPr="00DC459C">
        <w:rPr>
          <w:color w:val="auto"/>
        </w:rPr>
        <w:t>.</w:t>
      </w:r>
      <w:r w:rsidRPr="00DC459C">
        <w:rPr>
          <w:color w:val="auto"/>
        </w:rPr>
        <w:t xml:space="preserve"> </w:t>
      </w:r>
      <w:r w:rsidR="007748B2" w:rsidRPr="00DC459C">
        <w:rPr>
          <w:color w:val="auto"/>
        </w:rPr>
        <w:t>Using a 1000</w:t>
      </w:r>
      <w:r w:rsidR="00C96C68" w:rsidRPr="00DC459C">
        <w:rPr>
          <w:color w:val="auto"/>
        </w:rPr>
        <w:t xml:space="preserve"> </w:t>
      </w:r>
      <w:proofErr w:type="spellStart"/>
      <w:r w:rsidR="007748B2" w:rsidRPr="00DC459C">
        <w:rPr>
          <w:color w:val="auto"/>
        </w:rPr>
        <w:t>μ</w:t>
      </w:r>
      <w:r w:rsidR="00FA3EA2">
        <w:rPr>
          <w:color w:val="auto"/>
        </w:rPr>
        <w:t>L</w:t>
      </w:r>
      <w:proofErr w:type="spellEnd"/>
      <w:r w:rsidR="007748B2" w:rsidRPr="00DC459C">
        <w:rPr>
          <w:color w:val="auto"/>
        </w:rPr>
        <w:t xml:space="preserve"> pipette, a</w:t>
      </w:r>
      <w:r w:rsidR="004F7C0C" w:rsidRPr="00DC459C">
        <w:rPr>
          <w:color w:val="auto"/>
        </w:rPr>
        <w:t xml:space="preserve">dd 1 </w:t>
      </w:r>
      <w:r w:rsidR="00EF054B" w:rsidRPr="00DC459C">
        <w:rPr>
          <w:color w:val="auto"/>
        </w:rPr>
        <w:t>mL</w:t>
      </w:r>
      <w:r w:rsidR="004F7C0C" w:rsidRPr="00DC459C">
        <w:rPr>
          <w:color w:val="auto"/>
        </w:rPr>
        <w:t xml:space="preserve"> of the</w:t>
      </w:r>
      <w:r w:rsidR="007B7ECE" w:rsidRPr="00DC459C">
        <w:rPr>
          <w:color w:val="auto"/>
        </w:rPr>
        <w:t xml:space="preserve"> </w:t>
      </w:r>
      <w:r w:rsidR="008C6992" w:rsidRPr="00DC459C">
        <w:rPr>
          <w:color w:val="auto"/>
        </w:rPr>
        <w:t>densest</w:t>
      </w:r>
      <w:r w:rsidR="00C96C68" w:rsidRPr="00DC459C">
        <w:rPr>
          <w:color w:val="auto"/>
        </w:rPr>
        <w:t xml:space="preserve"> </w:t>
      </w:r>
      <w:r w:rsidR="007748B2" w:rsidRPr="00DC459C">
        <w:rPr>
          <w:color w:val="auto"/>
        </w:rPr>
        <w:t xml:space="preserve">gradient dilution to a 5 </w:t>
      </w:r>
      <w:r w:rsidR="00EF054B" w:rsidRPr="00DC459C">
        <w:rPr>
          <w:color w:val="auto"/>
        </w:rPr>
        <w:t>mL</w:t>
      </w:r>
      <w:r w:rsidR="007B7ECE" w:rsidRPr="00DC459C">
        <w:rPr>
          <w:color w:val="auto"/>
        </w:rPr>
        <w:t xml:space="preserve"> tube.</w:t>
      </w:r>
    </w:p>
    <w:p w14:paraId="325D6145" w14:textId="77777777" w:rsidR="007B7ECE" w:rsidRPr="00DC459C" w:rsidRDefault="007B7ECE" w:rsidP="00DC459C">
      <w:pPr>
        <w:widowControl/>
        <w:rPr>
          <w:color w:val="auto"/>
        </w:rPr>
      </w:pPr>
    </w:p>
    <w:p w14:paraId="4369563A" w14:textId="6374B705" w:rsidR="007B7ECE" w:rsidRPr="00DC459C" w:rsidRDefault="007748B2" w:rsidP="00DC459C">
      <w:pPr>
        <w:widowControl/>
        <w:rPr>
          <w:color w:val="auto"/>
        </w:rPr>
      </w:pPr>
      <w:r w:rsidRPr="00DC459C">
        <w:rPr>
          <w:color w:val="auto"/>
        </w:rPr>
        <w:t>7.1.</w:t>
      </w:r>
      <w:r w:rsidR="00582EAF">
        <w:rPr>
          <w:color w:val="auto"/>
        </w:rPr>
        <w:t>1.</w:t>
      </w:r>
      <w:r w:rsidR="007B7ECE" w:rsidRPr="00DC459C">
        <w:rPr>
          <w:color w:val="auto"/>
        </w:rPr>
        <w:tab/>
        <w:t xml:space="preserve">Using a 200 </w:t>
      </w:r>
      <w:proofErr w:type="spellStart"/>
      <w:r w:rsidR="007B7ECE" w:rsidRPr="00DC459C">
        <w:rPr>
          <w:color w:val="auto"/>
        </w:rPr>
        <w:t>μ</w:t>
      </w:r>
      <w:r w:rsidR="001349F6">
        <w:rPr>
          <w:color w:val="auto"/>
        </w:rPr>
        <w:t>L</w:t>
      </w:r>
      <w:proofErr w:type="spellEnd"/>
      <w:r w:rsidR="007B7ECE" w:rsidRPr="00DC459C">
        <w:rPr>
          <w:color w:val="auto"/>
        </w:rPr>
        <w:t xml:space="preserve"> pipette, add 200 </w:t>
      </w:r>
      <w:proofErr w:type="spellStart"/>
      <w:r w:rsidR="007B7ECE" w:rsidRPr="00DC459C">
        <w:rPr>
          <w:color w:val="auto"/>
        </w:rPr>
        <w:t>μ</w:t>
      </w:r>
      <w:r w:rsidR="001349F6">
        <w:rPr>
          <w:color w:val="auto"/>
        </w:rPr>
        <w:t>L</w:t>
      </w:r>
      <w:proofErr w:type="spellEnd"/>
      <w:r w:rsidR="007B7ECE" w:rsidRPr="00DC459C">
        <w:rPr>
          <w:color w:val="auto"/>
        </w:rPr>
        <w:t xml:space="preserve"> of the next </w:t>
      </w:r>
      <w:r w:rsidRPr="00DC459C">
        <w:rPr>
          <w:color w:val="auto"/>
        </w:rPr>
        <w:t>dense gradient</w:t>
      </w:r>
      <w:r w:rsidR="007B7ECE" w:rsidRPr="00DC459C">
        <w:rPr>
          <w:color w:val="auto"/>
        </w:rPr>
        <w:t xml:space="preserve"> dilution </w:t>
      </w:r>
      <w:r w:rsidR="00582EAF" w:rsidRPr="00DC459C">
        <w:rPr>
          <w:color w:val="auto"/>
        </w:rPr>
        <w:t xml:space="preserve">very slowly </w:t>
      </w:r>
      <w:r w:rsidR="007B7ECE" w:rsidRPr="00DC459C">
        <w:rPr>
          <w:color w:val="auto"/>
        </w:rPr>
        <w:t>to t</w:t>
      </w:r>
      <w:r w:rsidRPr="00DC459C">
        <w:rPr>
          <w:color w:val="auto"/>
        </w:rPr>
        <w:t xml:space="preserve">he top of the layer in the tube, </w:t>
      </w:r>
      <w:r w:rsidR="00090F39" w:rsidRPr="00DC459C">
        <w:rPr>
          <w:color w:val="auto"/>
        </w:rPr>
        <w:t>so as not to mix the interface.</w:t>
      </w:r>
      <w:r w:rsidRPr="00DC459C">
        <w:rPr>
          <w:color w:val="auto"/>
        </w:rPr>
        <w:t xml:space="preserve"> </w:t>
      </w:r>
      <w:r w:rsidR="007B7ECE" w:rsidRPr="00DC459C">
        <w:rPr>
          <w:color w:val="auto"/>
        </w:rPr>
        <w:t xml:space="preserve">Add another 200 </w:t>
      </w:r>
      <w:proofErr w:type="spellStart"/>
      <w:r w:rsidR="007B7ECE" w:rsidRPr="00DC459C">
        <w:rPr>
          <w:color w:val="auto"/>
        </w:rPr>
        <w:t>μ</w:t>
      </w:r>
      <w:r w:rsidR="00991949">
        <w:rPr>
          <w:color w:val="auto"/>
        </w:rPr>
        <w:t>L</w:t>
      </w:r>
      <w:proofErr w:type="spellEnd"/>
      <w:r w:rsidR="007B7ECE" w:rsidRPr="00DC459C">
        <w:rPr>
          <w:color w:val="auto"/>
        </w:rPr>
        <w:t xml:space="preserve"> and then the final 600 </w:t>
      </w:r>
      <w:proofErr w:type="spellStart"/>
      <w:r w:rsidR="007B7ECE" w:rsidRPr="00DC459C">
        <w:rPr>
          <w:color w:val="auto"/>
        </w:rPr>
        <w:t>μ</w:t>
      </w:r>
      <w:r w:rsidR="00EB4237">
        <w:rPr>
          <w:color w:val="auto"/>
        </w:rPr>
        <w:t>L</w:t>
      </w:r>
      <w:proofErr w:type="spellEnd"/>
      <w:r w:rsidR="007B7ECE" w:rsidRPr="00DC459C">
        <w:rPr>
          <w:color w:val="auto"/>
        </w:rPr>
        <w:t xml:space="preserve">. </w:t>
      </w:r>
      <w:r w:rsidR="00090F39" w:rsidRPr="00DC459C">
        <w:rPr>
          <w:color w:val="auto"/>
        </w:rPr>
        <w:t xml:space="preserve">Adding multiple smaller volumes gives more control over pipetting speed and prevents mixing of the interface. </w:t>
      </w:r>
      <w:r w:rsidRPr="00DC459C">
        <w:rPr>
          <w:color w:val="auto"/>
        </w:rPr>
        <w:t>If the interface mixes, discard and start again.</w:t>
      </w:r>
    </w:p>
    <w:p w14:paraId="3B1DD7D2" w14:textId="77777777" w:rsidR="007B7ECE" w:rsidRPr="00DC459C" w:rsidRDefault="007B7ECE" w:rsidP="00DC459C">
      <w:pPr>
        <w:widowControl/>
        <w:rPr>
          <w:color w:val="auto"/>
        </w:rPr>
      </w:pPr>
    </w:p>
    <w:p w14:paraId="02ED6A96" w14:textId="5C958D02" w:rsidR="007B7ECE" w:rsidRPr="00DC459C" w:rsidRDefault="007748B2" w:rsidP="00DC459C">
      <w:pPr>
        <w:widowControl/>
        <w:rPr>
          <w:color w:val="auto"/>
        </w:rPr>
      </w:pPr>
      <w:r w:rsidRPr="00DC459C">
        <w:rPr>
          <w:color w:val="auto"/>
        </w:rPr>
        <w:t>7.1.</w:t>
      </w:r>
      <w:r w:rsidR="00582EAF">
        <w:rPr>
          <w:color w:val="auto"/>
        </w:rPr>
        <w:t>2.</w:t>
      </w:r>
      <w:r w:rsidR="007B7ECE" w:rsidRPr="00DC459C">
        <w:rPr>
          <w:color w:val="auto"/>
        </w:rPr>
        <w:tab/>
        <w:t xml:space="preserve">Repeat step </w:t>
      </w:r>
      <w:r w:rsidRPr="00DC459C">
        <w:rPr>
          <w:color w:val="auto"/>
        </w:rPr>
        <w:t>7.1.</w:t>
      </w:r>
      <w:r w:rsidR="004F48D5">
        <w:rPr>
          <w:color w:val="auto"/>
        </w:rPr>
        <w:t>1</w:t>
      </w:r>
      <w:r w:rsidR="007B7ECE" w:rsidRPr="00DC459C">
        <w:rPr>
          <w:color w:val="auto"/>
        </w:rPr>
        <w:t xml:space="preserve"> with the third, least dense </w:t>
      </w:r>
      <w:r w:rsidRPr="00DC459C">
        <w:rPr>
          <w:color w:val="auto"/>
        </w:rPr>
        <w:t xml:space="preserve">gradient </w:t>
      </w:r>
      <w:r w:rsidR="007B7ECE" w:rsidRPr="00DC459C">
        <w:rPr>
          <w:color w:val="auto"/>
        </w:rPr>
        <w:t xml:space="preserve">concentration if </w:t>
      </w:r>
      <w:r w:rsidRPr="00DC459C">
        <w:rPr>
          <w:color w:val="auto"/>
        </w:rPr>
        <w:t>three dilutions are being used</w:t>
      </w:r>
      <w:r w:rsidR="007B7ECE" w:rsidRPr="00DC459C">
        <w:rPr>
          <w:color w:val="auto"/>
        </w:rPr>
        <w:t>.</w:t>
      </w:r>
      <w:r w:rsidRPr="00DC459C">
        <w:rPr>
          <w:color w:val="auto"/>
        </w:rPr>
        <w:t xml:space="preserve"> </w:t>
      </w:r>
      <w:r w:rsidR="00965C8F">
        <w:rPr>
          <w:color w:val="auto"/>
        </w:rPr>
        <w:t xml:space="preserve">The tube </w:t>
      </w:r>
      <w:r w:rsidRPr="00DC459C">
        <w:rPr>
          <w:color w:val="auto"/>
        </w:rPr>
        <w:t>should now have gradients of either 2</w:t>
      </w:r>
      <w:r w:rsidR="00C96C68" w:rsidRPr="00DC459C">
        <w:rPr>
          <w:color w:val="auto"/>
        </w:rPr>
        <w:t xml:space="preserve"> </w:t>
      </w:r>
      <w:r w:rsidR="00EF054B" w:rsidRPr="00DC459C">
        <w:rPr>
          <w:color w:val="auto"/>
        </w:rPr>
        <w:t>mL</w:t>
      </w:r>
      <w:r w:rsidRPr="00DC459C">
        <w:rPr>
          <w:color w:val="auto"/>
        </w:rPr>
        <w:t xml:space="preserve"> or 3</w:t>
      </w:r>
      <w:r w:rsidR="00C96C68" w:rsidRPr="00DC459C">
        <w:rPr>
          <w:color w:val="auto"/>
        </w:rPr>
        <w:t xml:space="preserve"> </w:t>
      </w:r>
      <w:r w:rsidR="00EF054B" w:rsidRPr="00DC459C">
        <w:rPr>
          <w:color w:val="auto"/>
        </w:rPr>
        <w:t>mL</w:t>
      </w:r>
      <w:r w:rsidRPr="00DC459C">
        <w:rPr>
          <w:color w:val="auto"/>
        </w:rPr>
        <w:t xml:space="preserve"> depending on </w:t>
      </w:r>
      <w:r w:rsidR="00965C8F">
        <w:rPr>
          <w:color w:val="auto"/>
        </w:rPr>
        <w:t>the</w:t>
      </w:r>
      <w:r w:rsidRPr="00DC459C">
        <w:rPr>
          <w:color w:val="auto"/>
        </w:rPr>
        <w:t xml:space="preserve"> results from step 2.2.3</w:t>
      </w:r>
      <w:r w:rsidR="00C96C68" w:rsidRPr="00DC459C">
        <w:rPr>
          <w:color w:val="auto"/>
        </w:rPr>
        <w:t>.</w:t>
      </w:r>
    </w:p>
    <w:p w14:paraId="691EA10E" w14:textId="77777777" w:rsidR="00B6482A" w:rsidRPr="00DC459C" w:rsidRDefault="00B6482A" w:rsidP="00DC459C">
      <w:pPr>
        <w:widowControl/>
        <w:rPr>
          <w:color w:val="auto"/>
        </w:rPr>
      </w:pPr>
    </w:p>
    <w:p w14:paraId="57158881" w14:textId="618B1A83" w:rsidR="00B6482A" w:rsidRPr="00DC459C" w:rsidRDefault="00B6482A" w:rsidP="00DC459C">
      <w:pPr>
        <w:widowControl/>
        <w:rPr>
          <w:color w:val="auto"/>
        </w:rPr>
      </w:pPr>
      <w:r w:rsidRPr="00DC459C">
        <w:rPr>
          <w:color w:val="auto"/>
        </w:rPr>
        <w:t>7.1.3</w:t>
      </w:r>
      <w:r w:rsidR="00A01131">
        <w:rPr>
          <w:color w:val="auto"/>
        </w:rPr>
        <w:t>.</w:t>
      </w:r>
      <w:r w:rsidRPr="00DC459C">
        <w:rPr>
          <w:color w:val="auto"/>
        </w:rPr>
        <w:tab/>
        <w:t xml:space="preserve">Go to step 5 of the protocol to add cells and continue </w:t>
      </w:r>
      <w:r w:rsidR="00036294">
        <w:rPr>
          <w:color w:val="auto"/>
        </w:rPr>
        <w:t>the</w:t>
      </w:r>
      <w:r w:rsidRPr="00DC459C">
        <w:rPr>
          <w:color w:val="auto"/>
        </w:rPr>
        <w:t xml:space="preserve"> experiment. </w:t>
      </w:r>
    </w:p>
    <w:p w14:paraId="6DEF34E2" w14:textId="77777777" w:rsidR="00B22548" w:rsidRPr="00DC459C" w:rsidRDefault="00B22548" w:rsidP="00DC459C">
      <w:pPr>
        <w:widowControl/>
        <w:rPr>
          <w:color w:val="auto"/>
        </w:rPr>
      </w:pPr>
    </w:p>
    <w:p w14:paraId="7B8D8566" w14:textId="6BAABEA8" w:rsidR="00B22548" w:rsidRPr="00DC459C" w:rsidRDefault="00B22548" w:rsidP="00DC459C">
      <w:pPr>
        <w:widowControl/>
        <w:rPr>
          <w:b/>
          <w:color w:val="auto"/>
        </w:rPr>
      </w:pPr>
      <w:r w:rsidRPr="00DC459C">
        <w:rPr>
          <w:b/>
          <w:color w:val="auto"/>
        </w:rPr>
        <w:t xml:space="preserve">8. Measurement of </w:t>
      </w:r>
      <w:r w:rsidR="00ED6AEB" w:rsidRPr="00DC459C">
        <w:rPr>
          <w:b/>
          <w:color w:val="auto"/>
        </w:rPr>
        <w:t xml:space="preserve">Capsule Amount </w:t>
      </w:r>
      <w:r w:rsidR="00ED6AEB">
        <w:rPr>
          <w:b/>
          <w:color w:val="auto"/>
        </w:rPr>
        <w:t>b</w:t>
      </w:r>
      <w:r w:rsidR="00ED6AEB" w:rsidRPr="00DC459C">
        <w:rPr>
          <w:b/>
          <w:color w:val="auto"/>
        </w:rPr>
        <w:t xml:space="preserve">y </w:t>
      </w:r>
      <w:proofErr w:type="spellStart"/>
      <w:r w:rsidR="00ED6AEB" w:rsidRPr="00DC459C">
        <w:rPr>
          <w:b/>
          <w:color w:val="auto"/>
        </w:rPr>
        <w:t>Uronic</w:t>
      </w:r>
      <w:proofErr w:type="spellEnd"/>
      <w:r w:rsidR="00ED6AEB" w:rsidRPr="00DC459C">
        <w:rPr>
          <w:b/>
          <w:color w:val="auto"/>
        </w:rPr>
        <w:t xml:space="preserve"> Acid Assay</w:t>
      </w:r>
    </w:p>
    <w:p w14:paraId="1965D582" w14:textId="77777777" w:rsidR="00B22548" w:rsidRPr="00DC459C" w:rsidRDefault="00B22548" w:rsidP="00DC459C">
      <w:pPr>
        <w:widowControl/>
        <w:rPr>
          <w:b/>
          <w:color w:val="auto"/>
        </w:rPr>
      </w:pPr>
    </w:p>
    <w:p w14:paraId="16B13E55" w14:textId="619009AD" w:rsidR="00062840" w:rsidRPr="00DC459C" w:rsidRDefault="00B22548" w:rsidP="00DC459C">
      <w:pPr>
        <w:widowControl/>
        <w:rPr>
          <w:color w:val="auto"/>
        </w:rPr>
      </w:pPr>
      <w:r w:rsidRPr="00DC459C">
        <w:rPr>
          <w:color w:val="auto"/>
        </w:rPr>
        <w:t>8.1</w:t>
      </w:r>
      <w:r w:rsidR="00661839">
        <w:rPr>
          <w:color w:val="auto"/>
        </w:rPr>
        <w:t>.</w:t>
      </w:r>
      <w:r w:rsidRPr="00DC459C">
        <w:rPr>
          <w:color w:val="auto"/>
        </w:rPr>
        <w:t xml:space="preserve"> </w:t>
      </w:r>
      <w:r w:rsidR="00062840" w:rsidRPr="00DC459C">
        <w:rPr>
          <w:color w:val="auto"/>
        </w:rPr>
        <w:t>Adjust the OD</w:t>
      </w:r>
      <w:r w:rsidR="00062840" w:rsidRPr="00DC459C">
        <w:rPr>
          <w:color w:val="auto"/>
          <w:vertAlign w:val="subscript"/>
        </w:rPr>
        <w:t>600</w:t>
      </w:r>
      <w:r w:rsidR="00062840" w:rsidRPr="00DC459C">
        <w:rPr>
          <w:color w:val="auto"/>
        </w:rPr>
        <w:t xml:space="preserve"> of each recovered fraction to 4.0 by dilution with PBS. Proceed with quantification of </w:t>
      </w:r>
      <w:proofErr w:type="spellStart"/>
      <w:r w:rsidR="00062840" w:rsidRPr="00DC459C">
        <w:rPr>
          <w:color w:val="auto"/>
        </w:rPr>
        <w:t>uronic</w:t>
      </w:r>
      <w:proofErr w:type="spellEnd"/>
      <w:r w:rsidR="00062840" w:rsidRPr="00DC459C">
        <w:rPr>
          <w:color w:val="auto"/>
        </w:rPr>
        <w:t xml:space="preserve"> acids as previously published</w:t>
      </w:r>
      <w:r w:rsidR="00062840" w:rsidRPr="00DC459C">
        <w:rPr>
          <w:color w:val="auto"/>
          <w:vertAlign w:val="superscript"/>
        </w:rPr>
        <w:t>1</w:t>
      </w:r>
      <w:r w:rsidR="00062840" w:rsidRPr="00DC459C">
        <w:rPr>
          <w:color w:val="auto"/>
        </w:rPr>
        <w:t>.</w:t>
      </w:r>
    </w:p>
    <w:p w14:paraId="7022955A" w14:textId="77777777" w:rsidR="007B7ECE" w:rsidRPr="00DC459C" w:rsidRDefault="007B7ECE" w:rsidP="00DC459C">
      <w:pPr>
        <w:pStyle w:val="NormalWeb"/>
        <w:widowControl/>
        <w:spacing w:before="0" w:beforeAutospacing="0" w:after="0" w:afterAutospacing="0"/>
        <w:rPr>
          <w:b/>
          <w:color w:val="auto"/>
        </w:rPr>
      </w:pPr>
    </w:p>
    <w:p w14:paraId="79C88B63" w14:textId="77777777" w:rsidR="00776C87" w:rsidRPr="00DC459C" w:rsidRDefault="006305D7" w:rsidP="00DC459C">
      <w:pPr>
        <w:pStyle w:val="NormalWeb"/>
        <w:widowControl/>
        <w:spacing w:before="0" w:beforeAutospacing="0" w:after="0" w:afterAutospacing="0"/>
        <w:rPr>
          <w:b/>
          <w:color w:val="auto"/>
        </w:rPr>
      </w:pPr>
      <w:r w:rsidRPr="00DC459C">
        <w:rPr>
          <w:b/>
          <w:color w:val="auto"/>
        </w:rPr>
        <w:t>REPRESENTATIVE RESULTS</w:t>
      </w:r>
      <w:r w:rsidR="00070E32" w:rsidRPr="00DC459C">
        <w:rPr>
          <w:b/>
          <w:color w:val="auto"/>
        </w:rPr>
        <w:t>:</w:t>
      </w:r>
    </w:p>
    <w:p w14:paraId="1D98522C" w14:textId="293055F6" w:rsidR="00776C87" w:rsidRPr="00DC459C" w:rsidRDefault="00776C87" w:rsidP="00DC459C">
      <w:pPr>
        <w:pStyle w:val="NormalWeb"/>
        <w:widowControl/>
        <w:spacing w:before="0" w:beforeAutospacing="0" w:after="0" w:afterAutospacing="0"/>
        <w:rPr>
          <w:color w:val="auto"/>
        </w:rPr>
      </w:pPr>
      <w:r w:rsidRPr="00DC459C">
        <w:rPr>
          <w:color w:val="auto"/>
        </w:rPr>
        <w:t xml:space="preserve">Representative results are shown in </w:t>
      </w:r>
      <w:r w:rsidR="00DC459C" w:rsidRPr="00DC459C">
        <w:rPr>
          <w:b/>
          <w:color w:val="auto"/>
        </w:rPr>
        <w:t>Figure 2</w:t>
      </w:r>
      <w:r w:rsidRPr="00DC459C">
        <w:rPr>
          <w:color w:val="auto"/>
        </w:rPr>
        <w:t xml:space="preserve">. The exact result to expect will depend on the bacterial </w:t>
      </w:r>
      <w:r w:rsidR="00B37AB0" w:rsidRPr="00DC459C">
        <w:rPr>
          <w:color w:val="auto"/>
        </w:rPr>
        <w:t xml:space="preserve">species, the </w:t>
      </w:r>
      <w:r w:rsidR="00C96C68" w:rsidRPr="00DC459C">
        <w:rPr>
          <w:color w:val="auto"/>
        </w:rPr>
        <w:t>set-up</w:t>
      </w:r>
      <w:r w:rsidR="00090F39" w:rsidRPr="00DC459C">
        <w:rPr>
          <w:color w:val="auto"/>
        </w:rPr>
        <w:t xml:space="preserve"> of the</w:t>
      </w:r>
      <w:r w:rsidR="00195EBC" w:rsidRPr="00DC459C">
        <w:rPr>
          <w:color w:val="auto"/>
        </w:rPr>
        <w:t xml:space="preserve"> density gradients</w:t>
      </w:r>
      <w:r w:rsidR="00B37AB0" w:rsidRPr="00DC459C">
        <w:rPr>
          <w:color w:val="auto"/>
        </w:rPr>
        <w:t>,</w:t>
      </w:r>
      <w:r w:rsidRPr="00DC459C">
        <w:rPr>
          <w:color w:val="auto"/>
        </w:rPr>
        <w:t xml:space="preserve"> and </w:t>
      </w:r>
      <w:r w:rsidR="00090F39" w:rsidRPr="00DC459C">
        <w:rPr>
          <w:color w:val="auto"/>
        </w:rPr>
        <w:t>whether</w:t>
      </w:r>
      <w:r w:rsidR="00B37AB0" w:rsidRPr="00DC459C">
        <w:rPr>
          <w:color w:val="auto"/>
        </w:rPr>
        <w:t xml:space="preserve"> the user is examining a single strain or a pool of mutants</w:t>
      </w:r>
      <w:r w:rsidRPr="00DC459C">
        <w:rPr>
          <w:color w:val="auto"/>
        </w:rPr>
        <w:t xml:space="preserve">. Most strains will migrate to a single location within a gradient, as shown in </w:t>
      </w:r>
      <w:r w:rsidRPr="00DC459C">
        <w:rPr>
          <w:b/>
          <w:color w:val="auto"/>
        </w:rPr>
        <w:t>Figures 2A</w:t>
      </w:r>
      <w:r w:rsidRPr="00DC459C">
        <w:rPr>
          <w:color w:val="auto"/>
        </w:rPr>
        <w:t xml:space="preserve"> and </w:t>
      </w:r>
      <w:r w:rsidRPr="00DC459C">
        <w:rPr>
          <w:b/>
          <w:color w:val="auto"/>
        </w:rPr>
        <w:t>2D.</w:t>
      </w:r>
      <w:r w:rsidR="00BA2D67" w:rsidRPr="00DC459C">
        <w:rPr>
          <w:color w:val="auto"/>
        </w:rPr>
        <w:t xml:space="preserve"> </w:t>
      </w:r>
      <w:r w:rsidR="00B37AB0" w:rsidRPr="00DC459C">
        <w:rPr>
          <w:color w:val="auto"/>
        </w:rPr>
        <w:t xml:space="preserve">Applying the method to a bacterial mutant library will give rise to a major band above the gradient, a less dense band distributed through the uppermost layer of the gradient, and a minor </w:t>
      </w:r>
      <w:proofErr w:type="spellStart"/>
      <w:r w:rsidR="00B37AB0" w:rsidRPr="00DC459C">
        <w:rPr>
          <w:color w:val="auto"/>
        </w:rPr>
        <w:t>acapsular</w:t>
      </w:r>
      <w:proofErr w:type="spellEnd"/>
      <w:r w:rsidR="00B37AB0" w:rsidRPr="00DC459C">
        <w:rPr>
          <w:color w:val="auto"/>
        </w:rPr>
        <w:t xml:space="preserve"> fraction at the bottom (</w:t>
      </w:r>
      <w:r w:rsidR="00DC459C" w:rsidRPr="00DC459C">
        <w:rPr>
          <w:b/>
          <w:color w:val="auto"/>
        </w:rPr>
        <w:t>Figure 2B</w:t>
      </w:r>
      <w:r w:rsidR="00B37AB0" w:rsidRPr="00DC459C">
        <w:rPr>
          <w:color w:val="auto"/>
        </w:rPr>
        <w:t>).</w:t>
      </w:r>
      <w:r w:rsidR="000A50D2" w:rsidRPr="00DC459C">
        <w:rPr>
          <w:color w:val="auto"/>
        </w:rPr>
        <w:t xml:space="preserve"> These fractions differ in capsule amount as shown by an assay for </w:t>
      </w:r>
      <w:proofErr w:type="spellStart"/>
      <w:r w:rsidR="000A50D2" w:rsidRPr="00DC459C">
        <w:rPr>
          <w:color w:val="auto"/>
        </w:rPr>
        <w:t>uronic</w:t>
      </w:r>
      <w:proofErr w:type="spellEnd"/>
      <w:r w:rsidR="000A50D2" w:rsidRPr="00DC459C">
        <w:rPr>
          <w:color w:val="auto"/>
        </w:rPr>
        <w:t xml:space="preserve"> acids (</w:t>
      </w:r>
      <w:r w:rsidR="00DC459C" w:rsidRPr="00DC459C">
        <w:rPr>
          <w:b/>
          <w:color w:val="auto"/>
        </w:rPr>
        <w:t>Figure 2B</w:t>
      </w:r>
      <w:r w:rsidR="000A50D2" w:rsidRPr="00DC459C">
        <w:rPr>
          <w:color w:val="auto"/>
        </w:rPr>
        <w:t>).</w:t>
      </w:r>
      <w:r w:rsidR="00B37AB0" w:rsidRPr="00DC459C">
        <w:rPr>
          <w:color w:val="auto"/>
        </w:rPr>
        <w:t xml:space="preserve"> Transposon insertion sequencing of individual fractions results in clear localization of specific mutants within different gradient fractions, as shown for the capsule biosynthesis locus of </w:t>
      </w:r>
      <w:r w:rsidR="00B37AB0" w:rsidRPr="00DC459C">
        <w:rPr>
          <w:i/>
          <w:color w:val="auto"/>
        </w:rPr>
        <w:t>K. pneumoniae</w:t>
      </w:r>
      <w:r w:rsidR="00B37AB0" w:rsidRPr="00DC459C">
        <w:rPr>
          <w:color w:val="auto"/>
        </w:rPr>
        <w:t xml:space="preserve"> ATCC43816 (</w:t>
      </w:r>
      <w:r w:rsidR="00DC459C" w:rsidRPr="00DC459C">
        <w:rPr>
          <w:b/>
          <w:color w:val="auto"/>
        </w:rPr>
        <w:t>Figure 2C</w:t>
      </w:r>
      <w:r w:rsidR="00B37AB0" w:rsidRPr="00DC459C">
        <w:rPr>
          <w:color w:val="auto"/>
        </w:rPr>
        <w:t>).</w:t>
      </w:r>
      <w:r w:rsidR="00090F39" w:rsidRPr="00DC459C">
        <w:rPr>
          <w:color w:val="auto"/>
        </w:rPr>
        <w:t xml:space="preserve"> Representative results for pure cultures of </w:t>
      </w:r>
      <w:r w:rsidR="00090F39" w:rsidRPr="00DC459C">
        <w:rPr>
          <w:i/>
          <w:color w:val="auto"/>
        </w:rPr>
        <w:t>K. pneumoniae</w:t>
      </w:r>
      <w:r w:rsidR="00090F39" w:rsidRPr="00DC459C">
        <w:rPr>
          <w:color w:val="auto"/>
        </w:rPr>
        <w:t xml:space="preserve"> NTUH-K2044 and </w:t>
      </w:r>
      <w:r w:rsidR="00090F39" w:rsidRPr="00DC459C">
        <w:rPr>
          <w:i/>
          <w:color w:val="auto"/>
        </w:rPr>
        <w:t>S. pneumoniae</w:t>
      </w:r>
      <w:r w:rsidR="00090F39" w:rsidRPr="00DC459C">
        <w:rPr>
          <w:color w:val="auto"/>
        </w:rPr>
        <w:t xml:space="preserve">, and different capsule biosynthesis or regulatory mutants, are shown in </w:t>
      </w:r>
      <w:r w:rsidR="00DC459C" w:rsidRPr="00DC459C">
        <w:rPr>
          <w:b/>
          <w:color w:val="auto"/>
        </w:rPr>
        <w:t>Figure 2D</w:t>
      </w:r>
      <w:r w:rsidR="00090F39" w:rsidRPr="00DC459C">
        <w:rPr>
          <w:color w:val="auto"/>
        </w:rPr>
        <w:t>.</w:t>
      </w:r>
    </w:p>
    <w:p w14:paraId="7795298A" w14:textId="77777777" w:rsidR="004A71E4" w:rsidRPr="00DC459C" w:rsidRDefault="004A71E4" w:rsidP="00DC459C">
      <w:pPr>
        <w:widowControl/>
        <w:rPr>
          <w:color w:val="auto"/>
        </w:rPr>
      </w:pPr>
    </w:p>
    <w:p w14:paraId="30677EE2" w14:textId="38DA9B54" w:rsidR="009F3EF4" w:rsidRPr="00DC459C" w:rsidRDefault="00B32616" w:rsidP="00DC459C">
      <w:pPr>
        <w:widowControl/>
        <w:rPr>
          <w:b/>
          <w:color w:val="auto"/>
        </w:rPr>
      </w:pPr>
      <w:r w:rsidRPr="00DC459C">
        <w:rPr>
          <w:b/>
          <w:color w:val="auto"/>
        </w:rPr>
        <w:t>FIGURE LEGENDS</w:t>
      </w:r>
      <w:r w:rsidR="00070E32" w:rsidRPr="00DC459C">
        <w:rPr>
          <w:b/>
          <w:color w:val="auto"/>
        </w:rPr>
        <w:t>:</w:t>
      </w:r>
    </w:p>
    <w:p w14:paraId="52A60AE6" w14:textId="77777777" w:rsidR="00BF347B" w:rsidRDefault="00BF347B" w:rsidP="00DC459C">
      <w:pPr>
        <w:widowControl/>
        <w:rPr>
          <w:b/>
          <w:color w:val="auto"/>
        </w:rPr>
      </w:pPr>
    </w:p>
    <w:p w14:paraId="0D7B5F60" w14:textId="57D41F36" w:rsidR="00B01744" w:rsidRPr="00DC459C" w:rsidRDefault="00DC459C" w:rsidP="00DC459C">
      <w:pPr>
        <w:widowControl/>
        <w:rPr>
          <w:color w:val="auto"/>
        </w:rPr>
      </w:pPr>
      <w:r w:rsidRPr="00DC459C">
        <w:rPr>
          <w:b/>
          <w:color w:val="auto"/>
        </w:rPr>
        <w:t>Figure 1</w:t>
      </w:r>
      <w:r w:rsidR="008D24F4">
        <w:rPr>
          <w:b/>
          <w:color w:val="auto"/>
        </w:rPr>
        <w:t>:</w:t>
      </w:r>
      <w:r w:rsidR="009F3EF4" w:rsidRPr="00DC459C">
        <w:rPr>
          <w:b/>
          <w:color w:val="auto"/>
        </w:rPr>
        <w:t xml:space="preserve"> Schematic of the density centrifugation method to separate bacteria based on ca</w:t>
      </w:r>
      <w:r w:rsidR="00CD2A6B" w:rsidRPr="00DC459C">
        <w:rPr>
          <w:b/>
          <w:color w:val="auto"/>
        </w:rPr>
        <w:t xml:space="preserve">psule, and its applications. </w:t>
      </w:r>
      <w:r w:rsidR="00A21C40">
        <w:rPr>
          <w:color w:val="auto"/>
        </w:rPr>
        <w:t>(</w:t>
      </w:r>
      <w:r w:rsidR="00CD2A6B" w:rsidRPr="00DC459C">
        <w:rPr>
          <w:b/>
          <w:color w:val="auto"/>
        </w:rPr>
        <w:t>A</w:t>
      </w:r>
      <w:r w:rsidR="00A21C40">
        <w:rPr>
          <w:color w:val="auto"/>
        </w:rPr>
        <w:t>)</w:t>
      </w:r>
      <w:r w:rsidR="009F3EF4" w:rsidRPr="00DC459C">
        <w:rPr>
          <w:color w:val="auto"/>
        </w:rPr>
        <w:t xml:space="preserve"> </w:t>
      </w:r>
      <w:r w:rsidR="00B01744" w:rsidRPr="00DC459C">
        <w:rPr>
          <w:color w:val="auto"/>
        </w:rPr>
        <w:t>An</w:t>
      </w:r>
      <w:r w:rsidR="00CD2A6B" w:rsidRPr="00DC459C">
        <w:rPr>
          <w:color w:val="auto"/>
        </w:rPr>
        <w:t xml:space="preserve"> electron microscopy</w:t>
      </w:r>
      <w:r w:rsidR="00B01744" w:rsidRPr="00DC459C">
        <w:rPr>
          <w:color w:val="auto"/>
        </w:rPr>
        <w:t xml:space="preserve"> image of a capsulated</w:t>
      </w:r>
      <w:r w:rsidR="00CD2A6B" w:rsidRPr="00DC459C">
        <w:rPr>
          <w:color w:val="auto"/>
        </w:rPr>
        <w:t xml:space="preserve"> </w:t>
      </w:r>
      <w:r w:rsidR="00CD2A6B" w:rsidRPr="00DC459C">
        <w:rPr>
          <w:i/>
          <w:color w:val="auto"/>
        </w:rPr>
        <w:t>Klebsiella pneumoniae</w:t>
      </w:r>
      <w:r w:rsidR="00CD2A6B" w:rsidRPr="00DC459C">
        <w:rPr>
          <w:color w:val="auto"/>
        </w:rPr>
        <w:t xml:space="preserve"> cell. The capsule is visible as a dense layer on the outside of the cell. </w:t>
      </w:r>
      <w:r w:rsidR="002B6BE4">
        <w:rPr>
          <w:color w:val="auto"/>
        </w:rPr>
        <w:t>(</w:t>
      </w:r>
      <w:r w:rsidR="00CD2A6B" w:rsidRPr="007A2FA1">
        <w:rPr>
          <w:b/>
          <w:color w:val="auto"/>
        </w:rPr>
        <w:t>B</w:t>
      </w:r>
      <w:r w:rsidR="002B6BE4">
        <w:rPr>
          <w:color w:val="auto"/>
        </w:rPr>
        <w:t>)</w:t>
      </w:r>
      <w:r w:rsidR="00CD2A6B" w:rsidRPr="00DC459C">
        <w:rPr>
          <w:color w:val="auto"/>
        </w:rPr>
        <w:t xml:space="preserve"> Applications of density centrifugation to the study of capsulated bacteria. (</w:t>
      </w:r>
      <w:r w:rsidR="00B67689" w:rsidRPr="00B67689">
        <w:rPr>
          <w:b/>
          <w:color w:val="auto"/>
        </w:rPr>
        <w:t>B</w:t>
      </w:r>
      <w:r w:rsidR="00CD2A6B" w:rsidRPr="00E74BC6">
        <w:rPr>
          <w:b/>
          <w:color w:val="auto"/>
        </w:rPr>
        <w:t>i</w:t>
      </w:r>
      <w:r w:rsidR="00CD2A6B" w:rsidRPr="00DC459C">
        <w:rPr>
          <w:color w:val="auto"/>
        </w:rPr>
        <w:t xml:space="preserve">) </w:t>
      </w:r>
      <w:r w:rsidR="009F3EF4" w:rsidRPr="00DC459C">
        <w:rPr>
          <w:color w:val="auto"/>
        </w:rPr>
        <w:t>Density separation can be used to generate high-, low-</w:t>
      </w:r>
      <w:r w:rsidR="002C1DF4">
        <w:rPr>
          <w:color w:val="auto"/>
        </w:rPr>
        <w:t>,</w:t>
      </w:r>
      <w:r w:rsidR="009F3EF4" w:rsidRPr="00DC459C">
        <w:rPr>
          <w:color w:val="auto"/>
        </w:rPr>
        <w:t xml:space="preserve"> and no-capsule fractions of a transposon mutant library and followed by transposon insertion sequencing to define genes that influence capsule production.</w:t>
      </w:r>
      <w:r w:rsidR="00CD2A6B" w:rsidRPr="00DC459C">
        <w:rPr>
          <w:color w:val="auto"/>
        </w:rPr>
        <w:t xml:space="preserve"> (</w:t>
      </w:r>
      <w:proofErr w:type="spellStart"/>
      <w:r w:rsidR="00B67689" w:rsidRPr="00B67689">
        <w:rPr>
          <w:b/>
          <w:color w:val="auto"/>
        </w:rPr>
        <w:t>B</w:t>
      </w:r>
      <w:r w:rsidR="00CD2A6B" w:rsidRPr="002C1DF4">
        <w:rPr>
          <w:b/>
          <w:color w:val="auto"/>
        </w:rPr>
        <w:t>ii</w:t>
      </w:r>
      <w:proofErr w:type="spellEnd"/>
      <w:r w:rsidR="009F3EF4" w:rsidRPr="00DC459C">
        <w:rPr>
          <w:color w:val="auto"/>
        </w:rPr>
        <w:t>) Purification of capsulated ba</w:t>
      </w:r>
      <w:r w:rsidR="00CD2A6B" w:rsidRPr="00DC459C">
        <w:rPr>
          <w:color w:val="auto"/>
        </w:rPr>
        <w:t>cteria from a complex sample. (</w:t>
      </w:r>
      <w:proofErr w:type="spellStart"/>
      <w:r w:rsidR="00B67689" w:rsidRPr="00B67689">
        <w:rPr>
          <w:b/>
          <w:color w:val="auto"/>
        </w:rPr>
        <w:t>B</w:t>
      </w:r>
      <w:r w:rsidR="00CD2A6B" w:rsidRPr="002C1DF4">
        <w:rPr>
          <w:b/>
          <w:color w:val="auto"/>
        </w:rPr>
        <w:t>iii</w:t>
      </w:r>
      <w:proofErr w:type="spellEnd"/>
      <w:r w:rsidR="009F3EF4" w:rsidRPr="00DC459C">
        <w:rPr>
          <w:color w:val="auto"/>
        </w:rPr>
        <w:t>) Use of density-based separation for rapid comparisons of capsule amount between samples. This method also allows t</w:t>
      </w:r>
      <w:r w:rsidR="00B01744" w:rsidRPr="00DC459C">
        <w:rPr>
          <w:color w:val="auto"/>
        </w:rPr>
        <w:t xml:space="preserve">he visualization of heterogenous capsule production in bacterial populations, as shown in </w:t>
      </w:r>
      <w:r w:rsidR="0076736F" w:rsidRPr="00DC459C">
        <w:rPr>
          <w:color w:val="auto"/>
        </w:rPr>
        <w:t>(</w:t>
      </w:r>
      <w:proofErr w:type="spellStart"/>
      <w:r w:rsidR="00B67689" w:rsidRPr="00B67689">
        <w:rPr>
          <w:b/>
          <w:color w:val="auto"/>
        </w:rPr>
        <w:t>B</w:t>
      </w:r>
      <w:r w:rsidR="0076736F" w:rsidRPr="002C1DF4">
        <w:rPr>
          <w:b/>
          <w:color w:val="auto"/>
        </w:rPr>
        <w:t>iii</w:t>
      </w:r>
      <w:proofErr w:type="spellEnd"/>
      <w:r w:rsidR="0076736F" w:rsidRPr="00DC459C">
        <w:rPr>
          <w:color w:val="auto"/>
        </w:rPr>
        <w:t>)</w:t>
      </w:r>
      <w:r w:rsidR="00B01744" w:rsidRPr="00DC459C">
        <w:rPr>
          <w:color w:val="auto"/>
        </w:rPr>
        <w:t>.</w:t>
      </w:r>
      <w:r w:rsidR="004077CF" w:rsidRPr="00DC459C">
        <w:rPr>
          <w:color w:val="auto"/>
        </w:rPr>
        <w:t xml:space="preserve"> </w:t>
      </w:r>
    </w:p>
    <w:p w14:paraId="51068CFD" w14:textId="77777777" w:rsidR="004077CF" w:rsidRPr="00DC459C" w:rsidRDefault="004077CF" w:rsidP="00DC459C">
      <w:pPr>
        <w:widowControl/>
        <w:rPr>
          <w:b/>
          <w:color w:val="auto"/>
        </w:rPr>
      </w:pPr>
    </w:p>
    <w:p w14:paraId="035B98B6" w14:textId="539E00F9" w:rsidR="000066C4" w:rsidRPr="00DC459C" w:rsidRDefault="00DC459C" w:rsidP="00DC459C">
      <w:pPr>
        <w:widowControl/>
        <w:rPr>
          <w:color w:val="auto"/>
        </w:rPr>
      </w:pPr>
      <w:r w:rsidRPr="00DC459C">
        <w:rPr>
          <w:b/>
          <w:color w:val="auto"/>
        </w:rPr>
        <w:t>Figure 2</w:t>
      </w:r>
      <w:r w:rsidR="00665411">
        <w:rPr>
          <w:b/>
          <w:color w:val="auto"/>
        </w:rPr>
        <w:t>:</w:t>
      </w:r>
      <w:r w:rsidR="00B01744" w:rsidRPr="00DC459C">
        <w:rPr>
          <w:b/>
          <w:color w:val="auto"/>
        </w:rPr>
        <w:t xml:space="preserve"> </w:t>
      </w:r>
      <w:r w:rsidR="006450AC" w:rsidRPr="00DC459C">
        <w:rPr>
          <w:b/>
          <w:color w:val="auto"/>
        </w:rPr>
        <w:t>Representative results.</w:t>
      </w:r>
      <w:r w:rsidR="006450AC" w:rsidRPr="00DC459C">
        <w:rPr>
          <w:color w:val="auto"/>
        </w:rPr>
        <w:t xml:space="preserve"> </w:t>
      </w:r>
      <w:r w:rsidR="00B54298">
        <w:rPr>
          <w:color w:val="auto"/>
        </w:rPr>
        <w:t>(</w:t>
      </w:r>
      <w:r w:rsidR="006450AC" w:rsidRPr="00AC35B1">
        <w:rPr>
          <w:b/>
          <w:color w:val="auto"/>
        </w:rPr>
        <w:t>A</w:t>
      </w:r>
      <w:r w:rsidR="00B54298">
        <w:rPr>
          <w:color w:val="auto"/>
        </w:rPr>
        <w:t>)</w:t>
      </w:r>
      <w:r w:rsidR="006450AC" w:rsidRPr="00DC459C">
        <w:rPr>
          <w:color w:val="auto"/>
        </w:rPr>
        <w:t xml:space="preserve"> Example of the output from mini-gradient tests. Two different </w:t>
      </w:r>
      <w:r w:rsidR="006450AC" w:rsidRPr="00DC459C">
        <w:rPr>
          <w:i/>
          <w:color w:val="auto"/>
        </w:rPr>
        <w:t>K. pneumoniae</w:t>
      </w:r>
      <w:r w:rsidR="006450AC" w:rsidRPr="00DC459C">
        <w:rPr>
          <w:color w:val="auto"/>
        </w:rPr>
        <w:t xml:space="preserve"> strains were centrifuged on 1 </w:t>
      </w:r>
      <w:r w:rsidR="00EF054B" w:rsidRPr="00DC459C">
        <w:rPr>
          <w:color w:val="auto"/>
        </w:rPr>
        <w:t>mL</w:t>
      </w:r>
      <w:r w:rsidR="006450AC" w:rsidRPr="00DC459C">
        <w:rPr>
          <w:color w:val="auto"/>
        </w:rPr>
        <w:t xml:space="preserve"> </w:t>
      </w:r>
      <w:r w:rsidR="00E45C9B">
        <w:rPr>
          <w:color w:val="auto"/>
        </w:rPr>
        <w:t xml:space="preserve">of </w:t>
      </w:r>
      <w:r w:rsidR="006450AC" w:rsidRPr="00DC459C">
        <w:rPr>
          <w:color w:val="auto"/>
        </w:rPr>
        <w:t xml:space="preserve">15% </w:t>
      </w:r>
      <w:r w:rsidR="00E0496F">
        <w:rPr>
          <w:color w:val="auto"/>
        </w:rPr>
        <w:t>d</w:t>
      </w:r>
      <w:r w:rsidR="00E139B7">
        <w:rPr>
          <w:color w:val="auto"/>
        </w:rPr>
        <w:t>ensity gradient medium</w:t>
      </w:r>
      <w:r w:rsidR="006450AC" w:rsidRPr="00DC459C">
        <w:rPr>
          <w:color w:val="auto"/>
        </w:rPr>
        <w:t xml:space="preserve">. The </w:t>
      </w:r>
      <w:proofErr w:type="spellStart"/>
      <w:r w:rsidR="00A6572A" w:rsidRPr="00DC459C">
        <w:rPr>
          <w:color w:val="auto"/>
        </w:rPr>
        <w:t>hypermucoviscous</w:t>
      </w:r>
      <w:proofErr w:type="spellEnd"/>
      <w:r w:rsidR="008C778F" w:rsidRPr="00DC459C">
        <w:rPr>
          <w:color w:val="auto"/>
        </w:rPr>
        <w:t xml:space="preserve"> </w:t>
      </w:r>
      <w:r w:rsidR="006450AC" w:rsidRPr="00DC459C">
        <w:rPr>
          <w:color w:val="auto"/>
        </w:rPr>
        <w:t xml:space="preserve">NTUH-K2044 strain is retained above the </w:t>
      </w:r>
      <w:r w:rsidR="00E0496F">
        <w:rPr>
          <w:color w:val="auto"/>
        </w:rPr>
        <w:t>d</w:t>
      </w:r>
      <w:r w:rsidR="00E139B7">
        <w:rPr>
          <w:color w:val="auto"/>
        </w:rPr>
        <w:t>ensity gradient medium</w:t>
      </w:r>
      <w:r w:rsidR="006450AC" w:rsidRPr="00DC459C">
        <w:rPr>
          <w:color w:val="auto"/>
        </w:rPr>
        <w:t xml:space="preserve"> layer, while ATCC43816 (which makes less capsule) migrates to the bottom of the layer.</w:t>
      </w:r>
      <w:r w:rsidR="002C7B21" w:rsidRPr="00DC459C">
        <w:rPr>
          <w:color w:val="auto"/>
        </w:rPr>
        <w:t xml:space="preserve"> </w:t>
      </w:r>
      <w:r w:rsidR="00BE15BE">
        <w:rPr>
          <w:color w:val="auto"/>
        </w:rPr>
        <w:t>(</w:t>
      </w:r>
      <w:r w:rsidR="002C7B21" w:rsidRPr="00480CE2">
        <w:rPr>
          <w:b/>
          <w:color w:val="auto"/>
        </w:rPr>
        <w:t>Bi</w:t>
      </w:r>
      <w:r w:rsidR="002C7B21" w:rsidRPr="00DC459C">
        <w:rPr>
          <w:color w:val="auto"/>
        </w:rPr>
        <w:t>) Use of a density gradient to separate a transposon mutant library into three fractions. Note that the bottom fraction contains a low proportion of mutants and is not visible on this picture. (</w:t>
      </w:r>
      <w:proofErr w:type="spellStart"/>
      <w:r w:rsidR="009E3C43" w:rsidRPr="009E3C43">
        <w:rPr>
          <w:b/>
          <w:color w:val="auto"/>
        </w:rPr>
        <w:t>B</w:t>
      </w:r>
      <w:r w:rsidR="002C7B21" w:rsidRPr="009E3C43">
        <w:rPr>
          <w:b/>
          <w:color w:val="auto"/>
        </w:rPr>
        <w:t>ii</w:t>
      </w:r>
      <w:proofErr w:type="spellEnd"/>
      <w:r w:rsidR="002C7B21" w:rsidRPr="00DC459C">
        <w:rPr>
          <w:color w:val="auto"/>
        </w:rPr>
        <w:t>) Validation of different capsule amounts in the top, middle</w:t>
      </w:r>
      <w:r w:rsidR="00154C50">
        <w:rPr>
          <w:color w:val="auto"/>
        </w:rPr>
        <w:t>,</w:t>
      </w:r>
      <w:r w:rsidR="002C7B21" w:rsidRPr="00DC459C">
        <w:rPr>
          <w:color w:val="auto"/>
        </w:rPr>
        <w:t xml:space="preserve"> and bottom fractions using an assay for </w:t>
      </w:r>
      <w:proofErr w:type="spellStart"/>
      <w:r w:rsidR="002C7B21" w:rsidRPr="00DC459C">
        <w:rPr>
          <w:color w:val="auto"/>
        </w:rPr>
        <w:t>uronic</w:t>
      </w:r>
      <w:proofErr w:type="spellEnd"/>
      <w:r w:rsidR="002C7B21" w:rsidRPr="00DC459C">
        <w:rPr>
          <w:color w:val="auto"/>
        </w:rPr>
        <w:t xml:space="preserve"> acids. Cells from the top, middle</w:t>
      </w:r>
      <w:r w:rsidR="00154C50">
        <w:rPr>
          <w:color w:val="auto"/>
        </w:rPr>
        <w:t>,</w:t>
      </w:r>
      <w:r w:rsidR="002C7B21" w:rsidRPr="00DC459C">
        <w:rPr>
          <w:color w:val="auto"/>
        </w:rPr>
        <w:t xml:space="preserve"> and outgrown bottom fractions were isolated and resuspended in PBS to an OD</w:t>
      </w:r>
      <w:r w:rsidR="00EC5F9E" w:rsidRPr="00DC459C">
        <w:rPr>
          <w:color w:val="auto"/>
          <w:vertAlign w:val="subscript"/>
        </w:rPr>
        <w:t>600</w:t>
      </w:r>
      <w:r w:rsidR="002C7B21" w:rsidRPr="00DC459C">
        <w:rPr>
          <w:color w:val="auto"/>
        </w:rPr>
        <w:t xml:space="preserve"> of 4, then capsule polysaccharides extracted and </w:t>
      </w:r>
      <w:proofErr w:type="spellStart"/>
      <w:r w:rsidR="002C7B21" w:rsidRPr="00DC459C">
        <w:rPr>
          <w:color w:val="auto"/>
        </w:rPr>
        <w:t>uronic</w:t>
      </w:r>
      <w:proofErr w:type="spellEnd"/>
      <w:r w:rsidR="002C7B21" w:rsidRPr="00DC459C">
        <w:rPr>
          <w:color w:val="auto"/>
        </w:rPr>
        <w:t xml:space="preserve"> acids measured</w:t>
      </w:r>
      <w:r w:rsidR="000A50D2" w:rsidRPr="00DC459C">
        <w:rPr>
          <w:color w:val="auto"/>
          <w:vertAlign w:val="superscript"/>
        </w:rPr>
        <w:t>1</w:t>
      </w:r>
      <w:r w:rsidR="002C7B21" w:rsidRPr="00DC459C">
        <w:rPr>
          <w:color w:val="auto"/>
        </w:rPr>
        <w:t>.</w:t>
      </w:r>
      <w:r w:rsidR="008B1472" w:rsidRPr="00DC459C">
        <w:rPr>
          <w:color w:val="auto"/>
        </w:rPr>
        <w:t xml:space="preserve"> </w:t>
      </w:r>
      <w:r w:rsidR="00154C50">
        <w:rPr>
          <w:color w:val="auto"/>
        </w:rPr>
        <w:t>(</w:t>
      </w:r>
      <w:r w:rsidR="008B1472" w:rsidRPr="0073517D">
        <w:rPr>
          <w:b/>
          <w:color w:val="auto"/>
        </w:rPr>
        <w:t>C</w:t>
      </w:r>
      <w:r w:rsidR="00154C50">
        <w:rPr>
          <w:color w:val="auto"/>
        </w:rPr>
        <w:t>)</w:t>
      </w:r>
      <w:r w:rsidR="00FC750D" w:rsidRPr="00DC459C">
        <w:rPr>
          <w:color w:val="auto"/>
        </w:rPr>
        <w:t xml:space="preserve"> </w:t>
      </w:r>
      <w:r w:rsidR="006F7D0B" w:rsidRPr="00DC459C">
        <w:rPr>
          <w:color w:val="auto"/>
        </w:rPr>
        <w:t>Example d</w:t>
      </w:r>
      <w:r w:rsidR="00FC750D" w:rsidRPr="00DC459C">
        <w:rPr>
          <w:color w:val="auto"/>
        </w:rPr>
        <w:t>ensity-</w:t>
      </w:r>
      <w:proofErr w:type="spellStart"/>
      <w:r w:rsidR="00FC750D" w:rsidRPr="00DC459C">
        <w:rPr>
          <w:color w:val="auto"/>
        </w:rPr>
        <w:t>TraDISort</w:t>
      </w:r>
      <w:proofErr w:type="spellEnd"/>
      <w:r w:rsidR="00FC750D" w:rsidRPr="00DC459C">
        <w:rPr>
          <w:color w:val="auto"/>
        </w:rPr>
        <w:t xml:space="preserve"> results. Mutation locations identified are shown by blue lines above the chromosome diagram. </w:t>
      </w:r>
      <w:r w:rsidR="006F7D0B" w:rsidRPr="00DC459C">
        <w:rPr>
          <w:color w:val="auto"/>
        </w:rPr>
        <w:t xml:space="preserve">Mutants lacking capsule can be identified as those that are present in the input </w:t>
      </w:r>
      <w:r w:rsidR="008A1CDB" w:rsidRPr="00DC459C">
        <w:rPr>
          <w:color w:val="auto"/>
        </w:rPr>
        <w:t>library but</w:t>
      </w:r>
      <w:r w:rsidR="006F7D0B" w:rsidRPr="00DC459C">
        <w:rPr>
          <w:color w:val="auto"/>
        </w:rPr>
        <w:t xml:space="preserve"> are depleted in the top fraction while being enriched in the bottom fraction, as shown here for the capsule biosynthesis locus.</w:t>
      </w:r>
      <w:r w:rsidR="008B1472" w:rsidRPr="00DC459C">
        <w:rPr>
          <w:color w:val="auto"/>
        </w:rPr>
        <w:t xml:space="preserve"> </w:t>
      </w:r>
      <w:r w:rsidR="0073517D">
        <w:rPr>
          <w:color w:val="auto"/>
        </w:rPr>
        <w:t>(</w:t>
      </w:r>
      <w:r w:rsidR="00FC750D" w:rsidRPr="00307B67">
        <w:rPr>
          <w:b/>
          <w:color w:val="auto"/>
        </w:rPr>
        <w:t>D</w:t>
      </w:r>
      <w:r w:rsidR="0073517D">
        <w:rPr>
          <w:color w:val="auto"/>
        </w:rPr>
        <w:t>)</w:t>
      </w:r>
      <w:r w:rsidR="00FC750D" w:rsidRPr="00DC459C">
        <w:rPr>
          <w:color w:val="auto"/>
        </w:rPr>
        <w:t xml:space="preserve"> </w:t>
      </w:r>
      <w:r w:rsidR="008B1472" w:rsidRPr="00DC459C">
        <w:rPr>
          <w:color w:val="auto"/>
        </w:rPr>
        <w:t xml:space="preserve">An example of using </w:t>
      </w:r>
      <w:r w:rsidR="008B1472" w:rsidRPr="00DC459C">
        <w:rPr>
          <w:color w:val="auto"/>
        </w:rPr>
        <w:lastRenderedPageBreak/>
        <w:t xml:space="preserve">density gradient centrifugation to compare capsule amount between </w:t>
      </w:r>
      <w:r w:rsidR="00090F39" w:rsidRPr="00DC459C">
        <w:rPr>
          <w:color w:val="auto"/>
        </w:rPr>
        <w:t xml:space="preserve">wild type and </w:t>
      </w:r>
      <w:r w:rsidR="008B1472" w:rsidRPr="00DC459C">
        <w:rPr>
          <w:color w:val="auto"/>
        </w:rPr>
        <w:t xml:space="preserve">mutant strains of </w:t>
      </w:r>
      <w:r w:rsidR="008B1472" w:rsidRPr="00DC459C">
        <w:rPr>
          <w:i/>
          <w:color w:val="auto"/>
        </w:rPr>
        <w:t>K. pneumoniae</w:t>
      </w:r>
      <w:r w:rsidR="00E55EDC" w:rsidRPr="00DC459C">
        <w:rPr>
          <w:color w:val="auto"/>
        </w:rPr>
        <w:t xml:space="preserve"> NTUH-K2044</w:t>
      </w:r>
      <w:r w:rsidR="00090F39" w:rsidRPr="00DC459C">
        <w:rPr>
          <w:color w:val="auto"/>
        </w:rPr>
        <w:t xml:space="preserve"> and </w:t>
      </w:r>
      <w:r w:rsidR="00090F39" w:rsidRPr="00DC459C">
        <w:rPr>
          <w:i/>
          <w:color w:val="auto"/>
        </w:rPr>
        <w:t xml:space="preserve">S. pneumoniae </w:t>
      </w:r>
      <w:r w:rsidR="00090F39" w:rsidRPr="00DC459C">
        <w:rPr>
          <w:color w:val="auto"/>
        </w:rPr>
        <w:t>23F</w:t>
      </w:r>
      <w:r w:rsidR="00E55EDC" w:rsidRPr="00DC459C">
        <w:rPr>
          <w:color w:val="auto"/>
        </w:rPr>
        <w:t>.</w:t>
      </w:r>
    </w:p>
    <w:p w14:paraId="6BFE2693" w14:textId="77777777" w:rsidR="00090F39" w:rsidRPr="00DC459C" w:rsidRDefault="00090F39" w:rsidP="00DC459C">
      <w:pPr>
        <w:widowControl/>
        <w:rPr>
          <w:color w:val="auto"/>
        </w:rPr>
      </w:pPr>
    </w:p>
    <w:p w14:paraId="101AD8E8" w14:textId="77777777" w:rsidR="00090F39" w:rsidRPr="00DC459C" w:rsidRDefault="006305D7" w:rsidP="00DC459C">
      <w:pPr>
        <w:widowControl/>
        <w:rPr>
          <w:b/>
          <w:bCs/>
          <w:color w:val="auto"/>
        </w:rPr>
      </w:pPr>
      <w:r w:rsidRPr="00DC459C">
        <w:rPr>
          <w:b/>
          <w:color w:val="auto"/>
        </w:rPr>
        <w:t>DISCUSSION</w:t>
      </w:r>
      <w:r w:rsidRPr="00DC459C">
        <w:rPr>
          <w:b/>
          <w:bCs/>
          <w:color w:val="auto"/>
        </w:rPr>
        <w:t xml:space="preserve">: </w:t>
      </w:r>
    </w:p>
    <w:p w14:paraId="70FFE75D" w14:textId="52BAB92F" w:rsidR="007E3C4B" w:rsidRPr="00DC459C" w:rsidRDefault="00090F39" w:rsidP="00DC459C">
      <w:pPr>
        <w:widowControl/>
        <w:rPr>
          <w:color w:val="auto"/>
        </w:rPr>
      </w:pPr>
      <w:r w:rsidRPr="00DC459C">
        <w:rPr>
          <w:color w:val="auto"/>
        </w:rPr>
        <w:t>Capsule is a</w:t>
      </w:r>
      <w:r w:rsidR="004340B9" w:rsidRPr="00DC459C">
        <w:rPr>
          <w:color w:val="auto"/>
        </w:rPr>
        <w:t>n important</w:t>
      </w:r>
      <w:r w:rsidRPr="00DC459C">
        <w:rPr>
          <w:color w:val="auto"/>
        </w:rPr>
        <w:t xml:space="preserve"> virulence factor in many bacterial species including </w:t>
      </w:r>
      <w:r w:rsidRPr="00DC459C">
        <w:rPr>
          <w:i/>
          <w:color w:val="auto"/>
        </w:rPr>
        <w:t>K. pneumoniae</w:t>
      </w:r>
      <w:r w:rsidR="001D7EF1" w:rsidRPr="00DC459C">
        <w:rPr>
          <w:color w:val="auto"/>
        </w:rPr>
        <w:fldChar w:fldCharType="begin" w:fldLock="1"/>
      </w:r>
      <w:r w:rsidR="00690383" w:rsidRPr="00DC459C">
        <w:rPr>
          <w:color w:val="auto"/>
        </w:rPr>
        <w:instrText>ADDIN CSL_CITATION { "citationItems" : [ { "id" : "ITEM-1", "itemData" : { "DOI" : "10.1128/MMBR.00078-15", "ISSN" : "1098-5557", "PMID" : "27307579", "abstract" : "Klebsiella pneumoniae causes a wide range of infections, including pneumonias, urinary tract infections, bacteremias, and liver abscesses. Historically, K. pneumoniae has caused serious infection primarily in immunocompromised individuals, but the recent emergence and spread of hypervirulent strains have broadened the number of people susceptible to infections to include those who are healthy and immunosufficient. Furthermore, K. pneumoniae strains have become increasingly resistant to antibiotics, rendering infection by these strains very challenging to treat. The emergence of hypervirulent and antibiotic-resistant strains has driven a number of recent studies. Work has described the worldwide spread of one drug-resistant strain and a host defense axis, interleukin-17 (IL-17), that is important for controlling infection. Four factors, capsule, lipopolysaccharide, fimbriae, and siderophores, have been well studied and are important for virulence in at least one infection model. Several other factors have been less well characterized but are also important in at least one infection model. However, there is a significant amount of heterogeneity in K. pneumoniae strains, and not every factor plays the same critical role in all virulent Klebsiella strains. Recent studies have identified additional K. pneumoniae virulence factors and led to more insights about factors important for the growth of this pathogen at a variety of tissue sites. Many of these genes encode proteins that function in metabolism and the regulation of transcription. However, much work is left to be done in characterizing these newly discovered factors, understanding how infections differ between healthy and immunocompromised patients, and identifying attractive bacterial or host targets for treating these infections.", "author" : [ { "dropping-particle" : "", "family" : "Paczosa", "given" : "Michelle K", "non-dropping-particle" : "", "parse-names" : false, "suffix" : "" }, { "dropping-particle" : "", "family" : "Mecsas", "given" : "Joan", "non-dropping-particle" : "", "parse-names" : false, "suffix" : "" } ], "container-title" : "Microbiology and molecular biology reviews : MMBR", "id" : "ITEM-1", "issue" : "3", "issued" : { "date-parts" : [ [ "2016" ] ] }, "page" : "629-61", "title" : "Klebsiella pneumoniae: Going on the Offense with a Strong Defense.", "type" : "article-journal", "volume" : "80" }, "uris" : [ "http://www.mendeley.com/documents/?uuid=09dabf5d-33cd-40ba-bb8a-87ff7408f183" ] } ], "mendeley" : { "formattedCitation" : "&lt;sup&gt;3&lt;/sup&gt;", "plainTextFormattedCitation" : "3", "previouslyFormattedCitation" : "&lt;sup&gt;3&lt;/sup&gt;" }, "properties" : {  }, "schema" : "https://github.com/citation-style-language/schema/raw/master/csl-citation.json" }</w:instrText>
      </w:r>
      <w:r w:rsidR="001D7EF1" w:rsidRPr="00DC459C">
        <w:rPr>
          <w:color w:val="auto"/>
        </w:rPr>
        <w:fldChar w:fldCharType="separate"/>
      </w:r>
      <w:r w:rsidR="00690383" w:rsidRPr="00DC459C">
        <w:rPr>
          <w:color w:val="auto"/>
          <w:vertAlign w:val="superscript"/>
        </w:rPr>
        <w:t>3</w:t>
      </w:r>
      <w:r w:rsidR="001D7EF1" w:rsidRPr="00DC459C">
        <w:rPr>
          <w:color w:val="auto"/>
        </w:rPr>
        <w:fldChar w:fldCharType="end"/>
      </w:r>
      <w:r w:rsidRPr="00DC459C">
        <w:rPr>
          <w:color w:val="auto"/>
        </w:rPr>
        <w:t xml:space="preserve">, </w:t>
      </w:r>
      <w:r w:rsidRPr="00DC459C">
        <w:rPr>
          <w:i/>
          <w:color w:val="auto"/>
        </w:rPr>
        <w:t>Streptococcus pneumoniae</w:t>
      </w:r>
      <w:r w:rsidR="001D7EF1" w:rsidRPr="00DC459C">
        <w:rPr>
          <w:color w:val="auto"/>
        </w:rPr>
        <w:fldChar w:fldCharType="begin" w:fldLock="1"/>
      </w:r>
      <w:r w:rsidR="00690383" w:rsidRPr="00DC459C">
        <w:rPr>
          <w:color w:val="auto"/>
        </w:rPr>
        <w:instrText>ADDIN CSL_CITATION { "citationItems" : [ { "id" : "ITEM-1", "itemData" : { "DOI" : "10.1128/CMR.00024-15", "ISBN" : "0893-8512", "ISSN" : "10986618", "PMID" : "26085553", "abstract" : "Streptococcus pneumoniae (the pneumococcus) is an important human pathogen. Its virulence is largely due to its polysaccharide capsule, which shields it from the host immune system, and because of this, the capsule has been extensively studied. Studies of the capsule led to the identification of DNA as the genetic material, identification of many different capsular serotypes, and identification of the serotype-specific nature of protection by adaptive immunity. Recent studies have led to the determination of capsular polysaccharide structures for many serotypes using advanced analytical technologies, complete elucidation of genetic basis for the capsular types, and the development of highly effective pneumococcal conjugate vaccines. Conjugate vaccine use has altered the serotype distribution by either serotype replacement or switching, and this has increased the need to serotype pneumococci. Due to great advances in molecular technologies and our understanding of the pneumococcal genome, molecular approaches have become powerful tools to predict pneumococcal serotypes. In addition, more-precise and -efficient serotyping methods that directly detect polysaccharide structures are emerging. These improvements in our capabilities will greatly enhance future investigations of pneumococcal epidemiology and diseases and the biology of colonization and innate immunity to pneumococcal capsules.", "author" : [ { "dropping-particle" : "", "family" : "Geno", "given" : "K. Aaron", "non-dropping-particle" : "", "parse-names" : false, "suffix" : "" }, { "dropping-particle" : "", "family" : "Gilbert", "given" : "Gwendolyn L.", "non-dropping-particle" : "", "parse-names" : false, "suffix" : "" }, { "dropping-particle" : "", "family" : "Song", "given" : "Joon Young", "non-dropping-particle" : "", "parse-names" : false, "suffix" : "" }, { "dropping-particle" : "", "family" : "Skovsted", "given" : "Ian C.", "non-dropping-particle" : "", "parse-names" : false, "suffix" : "" }, { "dropping-particle" : "", "family" : "Klugman", "given" : "Keith P.", "non-dropping-particle" : "", "parse-names" : false, "suffix" : "" }, { "dropping-particle" : "", "family" : "Jones", "given" : "Christopher", "non-dropping-particle" : "", "parse-names" : false, "suffix" : "" }, { "dropping-particle" : "", "family" : "Konradsen", "given" : "Helle B.", "non-dropping-particle" : "", "parse-names" : false, "suffix" : "" }, { "dropping-particle" : "", "family" : "Nahm", "given" : "Moon H.", "non-dropping-particle" : "", "parse-names" : false, "suffix" : "" } ], "container-title" : "Clinical Microbiology Reviews", "id" : "ITEM-1", "issue" : "3", "issued" : { "date-parts" : [ [ "2015" ] ] }, "page" : "871-899", "title" : "Pneumococcal capsules and their types: Past, present, and future", "type" : "article-journal", "volume" : "28" }, "uris" : [ "http://www.mendeley.com/documents/?uuid=ee4d3240-95ac-4ef9-80e8-7b7e238d2739" ] } ], "mendeley" : { "formattedCitation" : "&lt;sup&gt;9&lt;/sup&gt;", "plainTextFormattedCitation" : "9", "previouslyFormattedCitation" : "&lt;sup&gt;9&lt;/sup&gt;" }, "properties" : {  }, "schema" : "https://github.com/citation-style-language/schema/raw/master/csl-citation.json" }</w:instrText>
      </w:r>
      <w:r w:rsidR="001D7EF1" w:rsidRPr="00DC459C">
        <w:rPr>
          <w:color w:val="auto"/>
        </w:rPr>
        <w:fldChar w:fldCharType="separate"/>
      </w:r>
      <w:r w:rsidR="00690383" w:rsidRPr="00DC459C">
        <w:rPr>
          <w:color w:val="auto"/>
          <w:vertAlign w:val="superscript"/>
        </w:rPr>
        <w:t>9</w:t>
      </w:r>
      <w:r w:rsidR="001D7EF1" w:rsidRPr="00DC459C">
        <w:rPr>
          <w:color w:val="auto"/>
        </w:rPr>
        <w:fldChar w:fldCharType="end"/>
      </w:r>
      <w:r w:rsidRPr="00DC459C">
        <w:rPr>
          <w:color w:val="auto"/>
        </w:rPr>
        <w:t xml:space="preserve">, </w:t>
      </w:r>
      <w:r w:rsidRPr="00DC459C">
        <w:rPr>
          <w:i/>
          <w:color w:val="auto"/>
        </w:rPr>
        <w:t>Acinetobacter</w:t>
      </w:r>
      <w:r w:rsidR="001D7EF1" w:rsidRPr="00DC459C">
        <w:rPr>
          <w:color w:val="auto"/>
        </w:rPr>
        <w:fldChar w:fldCharType="begin" w:fldLock="1"/>
      </w:r>
      <w:r w:rsidR="00690383" w:rsidRPr="00DC459C">
        <w:rPr>
          <w:color w:val="auto"/>
        </w:rPr>
        <w:instrText>ADDIN CSL_CITATION { "citationItems" : [ { "id" : "ITEM-1", "itemData" : { "DOI" : "10.1128/JB.00906-15.Editor", "ISSN" : "0021-9193", "PMID" : "26712938", "abstract" : "The genus Acinetobacter encompasses multiple nosocomial opportunistic pathogens that are of increasing worldwide relevance because of their ability to survive exposure to various antimicrobial and sterilization agents. Among these, Acinetobacter bau-mannii, Acinetobacter nosocomialis, and Acinetobacter pittii are the most frequently isolated in hospitals around the world. De-spite the growing incidence of multidrug-resistant Acinetobacter spp., little is known about the factors that contribute to patho-genesis. New strategies for treating and managing infections caused by multidrug-resistant Acinetobacter strains are urgently needed, and this requires a detailed understanding of the pathobiology of these organisms. In recent years, some virulence fac-tors important for Acinetobacter colonization have started to emerge. In this review, we focus on several recently described viru-lence factors that act at the bacterial surface level, such as the capsule, O-linked protein glycosylation, and adhesins. Further-more, we describe the current knowledge regarding the type II and type VI secretion systems present in these strains.", "author" : [ { "dropping-particle" : "", "family" : "Weber", "given" : "Brent S", "non-dropping-particle" : "", "parse-names" : false, "suffix" : "" }, { "dropping-particle" : "", "family" : "Harding", "given" : "Christian M", "non-dropping-particle" : "", "parse-names" : false, "suffix" : "" }, { "dropping-particle" : "", "family" : "Feldman", "given" : "Mario F", "non-dropping-particle" : "", "parse-names" : false, "suffix" : "" } ], "container-title" : "Journal of Bacteriology", "id" : "ITEM-1", "issue" : "6", "issued" : { "date-parts" : [ [ "2016" ] ] }, "page" : "880-887", "title" : "Pathogenic Acinetobacter: From the cell surface to infinity and beyond Recommended Citation Pathogenic Acinetobacter: from the Cell Surface to Infinity and Beyond", "type" : "article-journal", "volume" : "1986" }, "uris" : [ "http://www.mendeley.com/documents/?uuid=b20f381a-54b5-47ab-8e89-995ff9057acc" ] } ], "mendeley" : { "formattedCitation" : "&lt;sup&gt;10&lt;/sup&gt;", "plainTextFormattedCitation" : "10", "previouslyFormattedCitation" : "&lt;sup&gt;10&lt;/sup&gt;" }, "properties" : {  }, "schema" : "https://github.com/citation-style-language/schema/raw/master/csl-citation.json" }</w:instrText>
      </w:r>
      <w:r w:rsidR="001D7EF1" w:rsidRPr="00DC459C">
        <w:rPr>
          <w:color w:val="auto"/>
        </w:rPr>
        <w:fldChar w:fldCharType="separate"/>
      </w:r>
      <w:r w:rsidR="00690383" w:rsidRPr="00DC459C">
        <w:rPr>
          <w:color w:val="auto"/>
          <w:vertAlign w:val="superscript"/>
        </w:rPr>
        <w:t>10</w:t>
      </w:r>
      <w:r w:rsidR="001D7EF1" w:rsidRPr="00DC459C">
        <w:rPr>
          <w:color w:val="auto"/>
        </w:rPr>
        <w:fldChar w:fldCharType="end"/>
      </w:r>
      <w:r w:rsidR="00165637">
        <w:rPr>
          <w:color w:val="auto"/>
        </w:rPr>
        <w:t>,</w:t>
      </w:r>
      <w:r w:rsidR="001D7EF1" w:rsidRPr="00DC459C">
        <w:rPr>
          <w:color w:val="auto"/>
        </w:rPr>
        <w:t xml:space="preserve"> </w:t>
      </w:r>
      <w:r w:rsidRPr="00DC459C">
        <w:rPr>
          <w:color w:val="auto"/>
        </w:rPr>
        <w:t xml:space="preserve">and </w:t>
      </w:r>
      <w:r w:rsidRPr="00DC459C">
        <w:rPr>
          <w:i/>
          <w:color w:val="auto"/>
        </w:rPr>
        <w:t>Neisseria</w:t>
      </w:r>
      <w:r w:rsidR="001D7EF1" w:rsidRPr="00DC459C">
        <w:rPr>
          <w:color w:val="auto"/>
        </w:rPr>
        <w:fldChar w:fldCharType="begin" w:fldLock="1"/>
      </w:r>
      <w:r w:rsidR="00690383" w:rsidRPr="00DC459C">
        <w:rPr>
          <w:color w:val="auto"/>
        </w:rPr>
        <w:instrText>ADDIN CSL_CITATION { "citationItems" : [ { "id" : "ITEM-1", "itemData" : { "DOI" : "10.1093/femspd/ftx063", "ISSN" : "2049632X", "PMID" : "28633281", "abstract" : "Glycomics is a rapidly growing field that focuses on the structure and function of carbohydrates (glycans) in biological systems. Glycan interactions play a major role in infectious disease, at all stages of colonisation and disease progression. Neisseria meningitidis, the cause of meningococcal sepsis and meningitis, and Neisseria gonorrhoeae, which causes the sexually transmitted infection gonorrhoea, are responsible for significant morbidity and mortality worldwide. Neisseria meningitidis displays a range of surface glycosylations including capsule polysaccharide, lipooligosaccharide and O-linked glycoproteins. While N. gonorrhoeae does not have a capsule, it does express both lipooligosaccharide and O-linked glycoproteins. Neisseria gonorrhoeae also has the ability to scavenge host sialic acids, while several N. meningitidis serogroups can synthesise sialic acid. Surface expressed sialic acid is key in serum resistance and survival in the host. On the host side, the pathogenic Neisseria protein adhesins such as Opc and NHBA bind to host glycans for adherence and colonisation of host cells. Essentially, from both the bacterial and host perspective, glycan interactions are fundamental in colonisation and disease of pathogenic Neisseria. The key aspects of glycobiology of the pathogenic Neisseria are reviewed herein.Copyright \u00a9 FEMS 2017.", "author" : [ { "dropping-particle" : "", "family" : "Mubaiwa", "given" : "Tsitsi D.", "non-dropping-particle" : "", "parse-names" : false, "suffix" : "" }, { "dropping-particle" : "", "family" : "Semchenko", "given" : "Evgeny A.", "non-dropping-particle" : "", "parse-names" : false, "suffix" : "" }, { "dropping-particle" : "", "family" : "Hartley-Tassell", "given" : "Lauren E.", "non-dropping-particle" : "", "parse-names" : false, "suffix" : "" }, { "dropping-particle" : "", "family" : "Day", "given" : "Christopher J.", "non-dropping-particle" : "", "parse-names" : false, "suffix" : "" }, { "dropping-particle" : "", "family" : "Jennings", "given" : "Michael P.", "non-dropping-particle" : "", "parse-names" : false, "suffix" : "" }, { "dropping-particle" : "", "family" : "Seib", "given" : "Kate L.", "non-dropping-particle" : "", "parse-names" : false, "suffix" : "" } ], "container-title" : "Pathogens and Disease", "id" : "ITEM-1", "issue" : "5", "issued" : { "date-parts" : [ [ "2017" ] ] }, "page" : "1-9", "title" : "The sweet side of the pathogenic Neisseria: The role of glycan interactions in colonisation and disease", "type" : "article-journal", "volume" : "75" }, "uris" : [ "http://www.mendeley.com/documents/?uuid=1b80f169-71fb-48ce-8d3b-6adcf9897880" ] } ], "mendeley" : { "formattedCitation" : "&lt;sup&gt;11&lt;/sup&gt;", "plainTextFormattedCitation" : "11", "previouslyFormattedCitation" : "&lt;sup&gt;11&lt;/sup&gt;" }, "properties" : {  }, "schema" : "https://github.com/citation-style-language/schema/raw/master/csl-citation.json" }</w:instrText>
      </w:r>
      <w:r w:rsidR="001D7EF1" w:rsidRPr="00DC459C">
        <w:rPr>
          <w:color w:val="auto"/>
        </w:rPr>
        <w:fldChar w:fldCharType="separate"/>
      </w:r>
      <w:r w:rsidR="00690383" w:rsidRPr="00DC459C">
        <w:rPr>
          <w:color w:val="auto"/>
          <w:vertAlign w:val="superscript"/>
        </w:rPr>
        <w:t>11</w:t>
      </w:r>
      <w:r w:rsidR="001D7EF1" w:rsidRPr="00DC459C">
        <w:rPr>
          <w:color w:val="auto"/>
        </w:rPr>
        <w:fldChar w:fldCharType="end"/>
      </w:r>
      <w:r w:rsidR="001D7EF1" w:rsidRPr="00DC459C">
        <w:rPr>
          <w:color w:val="auto"/>
        </w:rPr>
        <w:t xml:space="preserve"> </w:t>
      </w:r>
      <w:r w:rsidRPr="00DC459C">
        <w:rPr>
          <w:color w:val="auto"/>
        </w:rPr>
        <w:t xml:space="preserve">species. Although </w:t>
      </w:r>
      <w:r w:rsidR="004340B9" w:rsidRPr="00DC459C">
        <w:rPr>
          <w:color w:val="auto"/>
        </w:rPr>
        <w:t>various methods exist for quantification and visualization of bacterial capsules, a</w:t>
      </w:r>
      <w:r w:rsidRPr="00DC459C">
        <w:rPr>
          <w:color w:val="auto"/>
        </w:rPr>
        <w:t>t present there is no widely used method to physically separate capsulated and non-capsulated cells.</w:t>
      </w:r>
      <w:r w:rsidR="007E3C4B" w:rsidRPr="00DC459C">
        <w:rPr>
          <w:color w:val="auto"/>
        </w:rPr>
        <w:t xml:space="preserve"> In this article</w:t>
      </w:r>
      <w:r w:rsidR="00165637">
        <w:rPr>
          <w:color w:val="auto"/>
        </w:rPr>
        <w:t>,</w:t>
      </w:r>
      <w:r w:rsidR="007E3C4B" w:rsidRPr="00DC459C">
        <w:rPr>
          <w:color w:val="auto"/>
        </w:rPr>
        <w:t xml:space="preserve"> we have demonstrated a robust method for capsule-based separation of bacterial populations, with multiple potential applications in conjunction with different upstream or downstream protocols.</w:t>
      </w:r>
    </w:p>
    <w:p w14:paraId="245BC5A3" w14:textId="77777777" w:rsidR="003907F4" w:rsidRPr="00DC459C" w:rsidRDefault="003907F4" w:rsidP="00DC459C">
      <w:pPr>
        <w:widowControl/>
        <w:rPr>
          <w:color w:val="auto"/>
        </w:rPr>
      </w:pPr>
    </w:p>
    <w:p w14:paraId="6FB9B296" w14:textId="48F35312" w:rsidR="00984D11" w:rsidRPr="00DC459C" w:rsidRDefault="007E3C4B" w:rsidP="00DC459C">
      <w:pPr>
        <w:widowControl/>
        <w:rPr>
          <w:color w:val="auto"/>
        </w:rPr>
      </w:pPr>
      <w:r w:rsidRPr="00DC459C">
        <w:rPr>
          <w:color w:val="auto"/>
        </w:rPr>
        <w:t>The presence of a surface c</w:t>
      </w:r>
      <w:r w:rsidR="00B05BAB" w:rsidRPr="00DC459C">
        <w:rPr>
          <w:color w:val="auto"/>
        </w:rPr>
        <w:t>apsule</w:t>
      </w:r>
      <w:r w:rsidRPr="00DC459C">
        <w:rPr>
          <w:color w:val="auto"/>
        </w:rPr>
        <w:t xml:space="preserve"> can reduce bacterial cell density, which allows separation by density gradient centrifugation (</w:t>
      </w:r>
      <w:r w:rsidR="00DC459C" w:rsidRPr="00165637">
        <w:rPr>
          <w:b/>
          <w:color w:val="auto"/>
        </w:rPr>
        <w:t>Figure 2D</w:t>
      </w:r>
      <w:r w:rsidRPr="00DC459C">
        <w:rPr>
          <w:color w:val="auto"/>
        </w:rPr>
        <w:t>). We have validated this method</w:t>
      </w:r>
      <w:r w:rsidR="00B05BAB" w:rsidRPr="00DC459C">
        <w:rPr>
          <w:color w:val="auto"/>
        </w:rPr>
        <w:t xml:space="preserve"> in </w:t>
      </w:r>
      <w:r w:rsidR="00B05BAB" w:rsidRPr="00DC459C">
        <w:rPr>
          <w:i/>
          <w:color w:val="auto"/>
        </w:rPr>
        <w:t>K</w:t>
      </w:r>
      <w:r w:rsidR="008F571C">
        <w:rPr>
          <w:i/>
          <w:color w:val="auto"/>
        </w:rPr>
        <w:t>.</w:t>
      </w:r>
      <w:r w:rsidR="001D7EF1" w:rsidRPr="00DC459C">
        <w:rPr>
          <w:i/>
          <w:color w:val="auto"/>
        </w:rPr>
        <w:t xml:space="preserve"> pneumoniae</w:t>
      </w:r>
      <w:r w:rsidR="00B05BAB" w:rsidRPr="00DC459C">
        <w:rPr>
          <w:i/>
          <w:color w:val="auto"/>
        </w:rPr>
        <w:t xml:space="preserve"> </w:t>
      </w:r>
      <w:r w:rsidRPr="00DC459C">
        <w:rPr>
          <w:color w:val="auto"/>
        </w:rPr>
        <w:t>NTUH-K2044</w:t>
      </w:r>
      <w:r w:rsidRPr="00DC459C">
        <w:rPr>
          <w:color w:val="auto"/>
        </w:rPr>
        <w:fldChar w:fldCharType="begin" w:fldLock="1"/>
      </w:r>
      <w:r w:rsidR="00690383" w:rsidRPr="00DC459C">
        <w:rPr>
          <w:color w:val="auto"/>
        </w:rPr>
        <w:instrText>ADDIN CSL_CITATION { "citationItems" : [ { "id" : "ITEM-1", "itemData" : { "DOI" : "10.1128/JB.00315-09", "ISBN" : "1098-5530 (Electronic)\\r0021-9193 (Linking)", "ISSN" : "00219193", "PMID" : "19447910", "abstract" : "Nosocomial infections caused by antibiotic-resistant Klebsiella pneumoniae are emerging as a major health problem worldwide, while community-acquired K. pneumoniae infections present with a range of diverse clinical pictures in different geographic areas. In particular, an invasive form of K. pneumoniae that causes liver abscesses was first observed in Asia and then was found worldwide. We are interested in how differences in gene content of the same species result in different diseases. Thus, we sequenced the whole genome of K. pneumoniae NTUH-K2044, which was isolated from a patient with liver abscess and meningitis, and analyzed differences compared to strain MGH 78578, which was isolated from a patient with pneumonia. Six major types of differences were found in gene clusters that included an integrative and conjugative element, clusters involved in citrate fermentation, lipopolysaccharide synthesis, and capsular polysaccharide synthesis, phage-related insertions, and a cluster containing fimbria-related genes. We also conducted comparative genomic hybridization with 15 K. pneumoniae isolates obtained from community-acquired or nosocomial infections using tiling probes for the NTUH-K2044 genome. Hierarchical clustering revealed three major groups of genomic insertion-deletion patterns that correlate with the strains' clinical features, antimicrobial susceptibilities, and virulence phenotypes with mice. Here we report the whole-genome sequence of K. pneumoniae NTUH-K2044 and describe evidence showing significant genomic diversity and sequence acquisition among K. pneumoniae pathogenic strains. Our findings support the hypothesis that these factors are responsible for the changes that have occurred in the disease profile over time.", "author" : [ { "dropping-particle" : "", "family" : "Wu", "given" : "Keh-Ming Ming", "non-dropping-particle" : "", "parse-names" : false, "suffix" : "" }, { "dropping-particle" : "", "family" : "Li", "given" : "Ng Hui", "non-dropping-particle" : "", "parse-names" : false, "suffix" : "" }, { "dropping-particle" : "", "family" : "Yan", "given" : "Jing-Jou Jou", "non-dropping-particle" : "", "parse-names" : false, "suffix" : "" }, { "dropping-particle" : "", "family" : "Tsao", "given" : "Nina", "non-dropping-particle" : "", "parse-names" : false, "suffix" : "" }, { "dropping-particle" : "", "family" : "Liao", "given" : "Tsai-Lien Lien", "non-dropping-particle" : "", "parse-names" : false, "suffix" : "" }, { "dropping-particle" : "", "family" : "Tsai", "given" : "Hui-Chi Chi", "non-dropping-particle" : "", "parse-names" : false, "suffix" : "" }, { "dropping-particle" : "", "family" : "Fung", "given" : "Chang-Phone Phone", "non-dropping-particle" : "", "parse-names" : false, "suffix" : "" }, { "dropping-particle" : "", "family" : "Chen", "given" : "Hsiang-Ju Ju", "non-dropping-particle" : "", "parse-names" : false, "suffix" : "" }, { "dropping-particle" : "", "family" : "Liu", "given" : "Yen-Ming Ming", "non-dropping-particle" : "", "parse-names" : false, "suffix" : "" }, { "dropping-particle" : "", "family" : "Wang", "given" : "Jin-Tung Tung", "non-dropping-particle" : "", "parse-names" : false, "suffix" : "" }, { "dropping-particle" : "", "family" : "Fang", "given" : "Chi-Tai Tai", "non-dropping-particle" : "", "parse-names" : false, "suffix" : "" }, { "dropping-particle" : "", "family" : "Chang", "given" : "Shan-Chwen Chwen", "non-dropping-particle" : "", "parse-names" : false, "suffix" : "" }, { "dropping-particle" : "", "family" : "Shu", "given" : "Hung-Yu Yu", "non-dropping-particle" : "", "parse-names" : false, "suffix" : "" }, { "dropping-particle" : "", "family" : "Liu", "given" : "Tze-Tze Tze", "non-dropping-particle" : "", "parse-names" : false, "suffix" : "" }, { "dropping-particle" : "", "family" : "Chen", "given" : "Ying-Tsong Tsong", "non-dropping-particle" : "", "parse-names" : false, "suffix" : "" }, { "dropping-particle" : "", "family" : "Shiau", "given" : "Yih-Ru Ru", "non-dropping-particle" : "", "parse-names" : false, "suffix" : "" }, { "dropping-particle" : "", "family" : "Lauderdale", "given" : "Tsai-Ling Ling", "non-dropping-particle" : "", "parse-names" : false, "suffix" : "" }, { "dropping-particle" : "", "family" : "Su", "given" : "Ih-Jen Jen", "non-dropping-particle" : "", "parse-names" : false, "suffix" : "" }, { "dropping-particle" : "", "family" : "Kirby", "given" : "Ralph", "non-dropping-particle" : "", "parse-names" : false, "suffix" : "" }, { "dropping-particle" : "", "family" : "Tsai", "given" : "Shih-Feng Feng", "non-dropping-particle" : "", "parse-names" : false, "suffix" : "" }, { "dropping-particle" : "", "family" : "Li", "given" : "Ling-Hui", "non-dropping-particle" : "", "parse-names" : false, "suffix" : "" }, { "dropping-particle" : "", "family" : "Yan", "given" : "Jing-Jou Jou", "non-dropping-particle" : "", "parse-names" : false, "suffix" : "" }, { "dropping-particle" : "", "family" : "Tsao", "given" : "Nina", "non-dropping-particle" : "", "parse-names" : false, "suffix" : "" }, { "dropping-particle" : "", "family" : "Liao", "given" : "Tsai-Lien Lien", "non-dropping-particle" : "", "parse-names" : false, "suffix" : "" }, { "dropping-particle" : "", "family" : "Tsai", "given" : "Hui-Chi Chi", "non-dropping-particle" : "", "parse-names" : false, "suffix" : "" }, { "dropping-particle" : "", "family" : "Fung", "given" : "Chang-Phone Phone", "non-dropping-particle" : "", "parse-names" : false, "suffix" : "" }, { "dropping-particle" : "", "family" : "Chen", "given" : "Hsiang-Ju Ju", "non-dropping-particle" : "", "parse-names" : false, "suffix" : "" }, { "dropping-particle" : "", "family" : "Liu", "given" : "Yen-Ming Ming", "non-dropping-particle" : "", "parse-names" : false, "suffix" : "" }, { "dropping-particle" : "", "family" : "Wang", "given" : "Jin-Tung Tung", "non-dropping-particle" : "", "parse-names" : false, "suffix" : "" }, { "dropping-particle" : "", "family" : "Fang", "given" : "Chi-Tai Tai", "non-dropping-particle" : "", "parse-names" : false, "suffix" : "" }, { "dropping-particle" : "", "family" : "Chang", "given" : "Shan-Chwen Chwen", "non-dropping-particle" : "", "parse-names" : false, "suffix" : "" }, { "dropping-particle" : "", "family" : "Shu", "given" : "Hung-Yu Yu", "non-dropping-particle" : "", "parse-names" : false, "suffix" : "" }, { "dropping-particle" : "", "family" : "Liu", "given" : "Tze-Tze Tze", "non-dropping-particle" : "", "parse-names" : false, "suffix" : "" }, { "dropping-particle" : "", "family" : "Chen", "given" : "Ying-Tsong Tsong", "non-dropping-particle" : "", "parse-names" : false, "suffix" : "" }, { "dropping-particle" : "", "family" : "Shiau", "given" : "Yih-Ru Ru", "non-dropping-particle" : "", "parse-names" : false, "suffix" : "" }, { "dropping-particle" : "", "family" : "Lauderdale", "given" : "Tsai-Ling Ling", "non-dropping-particle" : "", "parse-names" : false, "suffix" : "" }, { "dropping-particle" : "", "family" : "Su", "given" : "Ih-Jen Jen", "non-dropping-particle" : "", "parse-names" : false, "suffix" : "" }, { "dropping-particle" : "", "family" : "Kirby", "given" : "Ralph", "non-dropping-particle" : "", "parse-names" : false, "suffix" : "" }, { "dropping-particle" : "", "family" : "Tsai", "given" : "Shih-Feng Feng", "non-dropping-particle" : "", "parse-names" : false, "suffix" : "" } ], "container-title" : "Journal of Bacteriology", "id" : "ITEM-1", "issue" : "14", "issued" : { "date-parts" : [ [ "2009", "7" ] ] }, "language" : "en", "page" : "4492-4501", "title" : "Genome sequencing and comparative analysis of Klebsiella pneumoniae NTUH-K2044, a strain causing liver abscess and meningitis", "type" : "article-journal", "volume" : "191" }, "uris" : [ "http://www.mendeley.com/documents/?uuid=35ae7494-569b-4680-9f11-3d7b07052633" ] } ], "mendeley" : { "formattedCitation" : "&lt;sup&gt;12&lt;/sup&gt;", "plainTextFormattedCitation" : "12", "previouslyFormattedCitation" : "&lt;sup&gt;12&lt;/sup&gt;" }, "properties" : {  }, "schema" : "https://github.com/citation-style-language/schema/raw/master/csl-citation.json" }</w:instrText>
      </w:r>
      <w:r w:rsidRPr="00DC459C">
        <w:rPr>
          <w:color w:val="auto"/>
        </w:rPr>
        <w:fldChar w:fldCharType="separate"/>
      </w:r>
      <w:r w:rsidR="00690383" w:rsidRPr="00DC459C">
        <w:rPr>
          <w:color w:val="auto"/>
          <w:vertAlign w:val="superscript"/>
        </w:rPr>
        <w:t>12</w:t>
      </w:r>
      <w:r w:rsidRPr="00DC459C">
        <w:rPr>
          <w:color w:val="auto"/>
        </w:rPr>
        <w:fldChar w:fldCharType="end"/>
      </w:r>
      <w:r w:rsidRPr="00DC459C">
        <w:rPr>
          <w:color w:val="auto"/>
        </w:rPr>
        <w:t xml:space="preserve"> and ATCC43816</w:t>
      </w:r>
      <w:r w:rsidRPr="00DC459C">
        <w:rPr>
          <w:color w:val="auto"/>
        </w:rPr>
        <w:fldChar w:fldCharType="begin" w:fldLock="1"/>
      </w:r>
      <w:r w:rsidR="00690383" w:rsidRPr="00DC459C">
        <w:rPr>
          <w:color w:val="auto"/>
        </w:rPr>
        <w:instrText>ADDIN CSL_CITATION { "citationItems" : [ { "id" : "ITEM-1", "itemData" : { "DOI" : "10.1128/genomeA.00924-14", "ISSN" : "2169-8287", "abstract" : "Klebsiella pneumoniae is an urgent public health threat due to the spread of carbapenem-resistant strains causing serious, and frequently fatal, infections. To facilitate genetic, molecular, and immunological studies of this pathogen, we report the complete chromosomal sequence of a genetically tractable, prototypical strain used in animal models.", "author" : [ { "dropping-particle" : "", "family" : "Broberg", "given" : "Christopher A.", "non-dropping-particle" : "", "parse-names" : false, "suffix" : "" }, { "dropping-particle" : "", "family" : "Wu", "given" : "Weisheng", "non-dropping-particle" : "", "parse-names" : false, "suffix" : "" }, { "dropping-particle" : "", "family" : "Cavalcoli", "given" : "James D.", "non-dropping-particle" : "", "parse-names" : false, "suffix" : "" }, { "dropping-particle" : "", "family" : "Miller", "given" : "Virginia L.", "non-dropping-particle" : "", "parse-names" : false, "suffix" : "" }, { "dropping-particle" : "", "family" : "Bachman", "given" : "Michael A.", "non-dropping-particle" : "", "parse-names" : false, "suffix" : "" } ], "container-title" : "Genome Announcements", "id" : "ITEM-1", "issue" : "5", "issued" : { "date-parts" : [ [ "2014", "9" ] ] }, "title" : "Complete Genome Sequence of Klebsiella pneumoniae Strain ATCC 43816 KPPR1, a Rifampin-Resistant Mutant Commonly Used in Animal, Genetic, and Molecular Biology Studies", "type" : "article-journal", "volume" : "2" }, "uris" : [ "http://www.mendeley.com/documents/?uuid=21e0d442-5ecf-4652-86cf-7c51bd6b67f1" ] } ], "mendeley" : { "formattedCitation" : "&lt;sup&gt;13&lt;/sup&gt;", "plainTextFormattedCitation" : "13", "previouslyFormattedCitation" : "&lt;sup&gt;13&lt;/sup&gt;" }, "properties" : {  }, "schema" : "https://github.com/citation-style-language/schema/raw/master/csl-citation.json" }</w:instrText>
      </w:r>
      <w:r w:rsidRPr="00DC459C">
        <w:rPr>
          <w:color w:val="auto"/>
        </w:rPr>
        <w:fldChar w:fldCharType="separate"/>
      </w:r>
      <w:r w:rsidR="00690383" w:rsidRPr="00DC459C">
        <w:rPr>
          <w:color w:val="auto"/>
          <w:vertAlign w:val="superscript"/>
        </w:rPr>
        <w:t>13</w:t>
      </w:r>
      <w:r w:rsidRPr="00DC459C">
        <w:rPr>
          <w:color w:val="auto"/>
        </w:rPr>
        <w:fldChar w:fldCharType="end"/>
      </w:r>
      <w:r w:rsidRPr="00DC459C">
        <w:rPr>
          <w:color w:val="auto"/>
        </w:rPr>
        <w:t xml:space="preserve"> </w:t>
      </w:r>
      <w:r w:rsidR="00AB252A">
        <w:rPr>
          <w:color w:val="auto"/>
        </w:rPr>
        <w:t>as well as</w:t>
      </w:r>
      <w:r w:rsidRPr="00DC459C">
        <w:rPr>
          <w:color w:val="auto"/>
        </w:rPr>
        <w:t xml:space="preserve"> in</w:t>
      </w:r>
      <w:r w:rsidR="001D7EF1" w:rsidRPr="00DC459C">
        <w:rPr>
          <w:color w:val="auto"/>
        </w:rPr>
        <w:t xml:space="preserve"> </w:t>
      </w:r>
      <w:r w:rsidR="001D7EF1" w:rsidRPr="00DC459C">
        <w:rPr>
          <w:i/>
          <w:color w:val="auto"/>
        </w:rPr>
        <w:t xml:space="preserve">Streptococcus pneumoniae </w:t>
      </w:r>
      <w:r w:rsidRPr="00DC459C">
        <w:rPr>
          <w:color w:val="auto"/>
        </w:rPr>
        <w:t>23F</w:t>
      </w:r>
      <w:r w:rsidRPr="00DC459C">
        <w:rPr>
          <w:color w:val="auto"/>
        </w:rPr>
        <w:fldChar w:fldCharType="begin" w:fldLock="1"/>
      </w:r>
      <w:r w:rsidR="00690383" w:rsidRPr="00DC459C">
        <w:rPr>
          <w:color w:val="auto"/>
        </w:rPr>
        <w:instrText>ADDIN CSL_CITATION { "citationItems" : [ { "id" : "ITEM-1", "itemData" : { "DOI" : "10.1128/JB.01343-08", "ISBN" : "1098-5530 (Electronic)", "ISSN" : "00219193", "PMID" : "19114491", "abstract" : "Streptococcus pneumoniae is a human commensal and pathogen able to cause a variety of diseases that annually result in over a million deaths worldwide. The S. pneumoniae(Spain23F) sequence type 81 lineage was among the first recognized pandemic clones and was responsible for almost 40% of penicillin-resistant pneumococcal infections in the United States in the late 1990s. Analysis of the chromosome sequence of a representative strain, and comparison with other available genomes, indicates roles for integrative and conjugative elements in the evolution of pneumococci and, more particularly, the emergence of the multidrug-resistant Spain 23F ST81 lineage. A number of recently acquired loci within the chromosome appear to encode proteins involved in the production of, or immunity to, antimicrobial compounds, which may contribute to the proficiency of this strain at nasopharyngeal colonization. However, further sequencing of other pandemic clones will be required to establish whether there are any general attributes shared by these strains that are responsible for their international success.", "author" : [ { "dropping-particle" : "", "family" : "Croucher", "given" : "Nicholas J.", "non-dropping-particle" : "", "parse-names" : false, "suffix" : "" }, { "dropping-particle" : "", "family" : "Walker", "given" : "Danielle", "non-dropping-particle" : "", "parse-names" : false, "suffix" : "" }, { "dropping-particle" : "", "family" : "Romero", "given" : "Patricia", "non-dropping-particle" : "", "parse-names" : false, "suffix" : "" }, { "dropping-particle" : "", "family" : "Lennard", "given" : "Nicola", "non-dropping-particle" : "", "parse-names" : false, "suffix" : "" }, { "dropping-particle" : "", "family" : "Paterson", "given" : "Gavin K.", "non-dropping-particle" : "", "parse-names" : false, "suffix" : "" }, { "dropping-particle" : "", "family" : "Bason", "given" : "Nathalie C.", "non-dropping-particle" : "", "parse-names" : false, "suffix" : "" }, { "dropping-particle" : "", "family" : "Mitchell", "given" : "Andrea M.", "non-dropping-particle" : "", "parse-names" : false, "suffix" : "" }, { "dropping-particle" : "", "family" : "Quail", "given" : "Michael A.", "non-dropping-particle" : "", "parse-names" : false, "suffix" : "" }, { "dropping-particle" : "", "family" : "Andrew", "given" : "Peter W.", "non-dropping-particle" : "", "parse-names" : false, "suffix" : "" }, { "dropping-particle" : "", "family" : "Parkhill", "given" : "Julian", "non-dropping-particle" : "", "parse-names" : false, "suffix" : "" }, { "dropping-particle" : "", "family" : "Bentley", "given" : "Stephen P.", "non-dropping-particle" : "", "parse-names" : false, "suffix" : "" }, { "dropping-particle" : "", "family" : "Mitchell", "given" : "Tim J.", "non-dropping-particle" : "", "parse-names" : false, "suffix" : "" } ], "container-title" : "Journal of Bacteriology", "id" : "ITEM-1", "issue" : "5", "issued" : { "date-parts" : [ [ "2009" ] ] }, "page" : "1480-1489", "title" : "Role of conjugative elements in the evolution of the multidrug-resistant pandemic clone Streptococcus pneumoniaeSpain23FST81", "type" : "article-journal", "volume" : "191" }, "uris" : [ "http://www.mendeley.com/documents/?uuid=d8c6446b-9dfc-404d-b6d7-87e90c1e2abc" ] } ], "mendeley" : { "formattedCitation" : "&lt;sup&gt;14&lt;/sup&gt;", "plainTextFormattedCitation" : "14", "previouslyFormattedCitation" : "&lt;sup&gt;14&lt;/sup&gt;" }, "properties" : {  }, "schema" : "https://github.com/citation-style-language/schema/raw/master/csl-citation.json" }</w:instrText>
      </w:r>
      <w:r w:rsidRPr="00DC459C">
        <w:rPr>
          <w:color w:val="auto"/>
        </w:rPr>
        <w:fldChar w:fldCharType="separate"/>
      </w:r>
      <w:r w:rsidR="00690383" w:rsidRPr="00DC459C">
        <w:rPr>
          <w:color w:val="auto"/>
          <w:vertAlign w:val="superscript"/>
        </w:rPr>
        <w:t>14</w:t>
      </w:r>
      <w:r w:rsidRPr="00DC459C">
        <w:rPr>
          <w:color w:val="auto"/>
        </w:rPr>
        <w:fldChar w:fldCharType="end"/>
      </w:r>
      <w:r w:rsidRPr="00DC459C">
        <w:rPr>
          <w:color w:val="auto"/>
        </w:rPr>
        <w:t xml:space="preserve"> and its ∆</w:t>
      </w:r>
      <w:r w:rsidRPr="00DC459C">
        <w:rPr>
          <w:i/>
          <w:color w:val="auto"/>
        </w:rPr>
        <w:t xml:space="preserve">cps </w:t>
      </w:r>
      <w:r w:rsidRPr="00DC459C">
        <w:rPr>
          <w:color w:val="auto"/>
        </w:rPr>
        <w:t>mutant</w:t>
      </w:r>
      <w:r w:rsidRPr="00DC459C">
        <w:rPr>
          <w:color w:val="auto"/>
        </w:rPr>
        <w:fldChar w:fldCharType="begin" w:fldLock="1"/>
      </w:r>
      <w:r w:rsidR="00690383" w:rsidRPr="00DC459C">
        <w:rPr>
          <w:color w:val="auto"/>
        </w:rPr>
        <w:instrText>ADDIN CSL_CITATION { "citationItems" : [ { "id" : "ITEM-1", "itemData" : { "DOI" : "10.1371/journal.pgen.1005095", "ISBN" : "1553-7390", "ISSN" : "15537404", "PMID" : "25826208", "abstract" : "Streptococcus pneumoniae isolates typically express one of over 90 immunologically distinguishable polysaccharide capsules (serotypes), which can be classified into \"serogroups\" based on cross-reactivity with certain antibodies. Pneumococci can alter their serotype through recombinations affecting the capsule polysaccharide synthesis (cps) locus. Twenty such \"serotype switching\" events were fully characterised using a collection of 616 whole genome sequences from systematic surveys of pneumococcal carriage. Eleven of these were within-serogroup switches, representing a highly significant (p &lt; 0.0001) enrichment based on the observed serotype distribution. Whereas the recombinations resulting in between-serogroup switches all spanned the entire cps locus, some of those that caused within-serogroup switches did not. However, higher rates of within-serogroup switching could not be fully explained by either more frequent, shorter recombinations, nor by genetic linkage to genes involved in \u03b2-lactam resistance. This suggested the observed pattern was a consequence of selection for preserving serogroup. Phenotyping of strains constructed to express different serotypes in common genetic backgrounds was used to test whether genotypes were physiologically adapted to particular serogroups. These data were consistent with epistatic interactions between the cps locus and the rest of the genome that were specific to serotype, but not serogroup, meaning they were unlikely to account for the observed distribution of capsule types. Exclusion of these genetic and physiological hypotheses suggested future work should focus on alternative mechanisms, such as host immunity spanning multiple serotypes within the same serogroup, which might explain the observed pattern.", "author" : [ { "dropping-particle" : "", "family" : "Croucher", "given" : "Nicholas J.", "non-dropping-particle" : "", "parse-names" : false, "suffix" : "" }, { "dropping-particle" : "", "family" : "Kagedan", "given" : "Lisa", "non-dropping-particle" : "", "parse-names" : false, "suffix" : "" }, { "dropping-particle" : "", "family" : "Thompson", "given" : "Claudette M.", "non-dropping-particle" : "", "parse-names" : false, "suffix" : "" }, { "dropping-particle" : "", "family" : "Parkhill", "given" : "Julian", "non-dropping-particle" : "", "parse-names" : false, "suffix" : "" }, { "dropping-particle" : "", "family" : "Bentley", "given" : "Stephen D.", "non-dropping-particle" : "", "parse-names" : false, "suffix" : "" }, { "dropping-particle" : "", "family" : "Finkelstein", "given" : "Jonathan A.", "non-dropping-particle" : "", "parse-names" : false, "suffix" : "" }, { "dropping-particle" : "", "family" : "Lipsitch", "given" : "Marc", "non-dropping-particle" : "", "parse-names" : false, "suffix" : "" }, { "dropping-particle" : "", "family" : "Hanage", "given" : "William P.", "non-dropping-particle" : "", "parse-names" : false, "suffix" : "" } ], "container-title" : "PLoS Genetics", "id" : "ITEM-1", "issue" : "3", "issued" : { "date-parts" : [ [ "2015" ] ] }, "page" : "1-21", "title" : "Selective and Genetic Constraints on Pneumococcal Serotype Switching", "type" : "article-journal", "volume" : "11" }, "uris" : [ "http://www.mendeley.com/documents/?uuid=5b361c0d-a858-4fce-8a95-60062c8467fc" ] } ], "mendeley" : { "formattedCitation" : "&lt;sup&gt;15&lt;/sup&gt;", "plainTextFormattedCitation" : "15", "previouslyFormattedCitation" : "&lt;sup&gt;15&lt;/sup&gt;" }, "properties" : {  }, "schema" : "https://github.com/citation-style-language/schema/raw/master/csl-citation.json" }</w:instrText>
      </w:r>
      <w:r w:rsidRPr="00DC459C">
        <w:rPr>
          <w:color w:val="auto"/>
        </w:rPr>
        <w:fldChar w:fldCharType="separate"/>
      </w:r>
      <w:r w:rsidR="00690383" w:rsidRPr="00DC459C">
        <w:rPr>
          <w:color w:val="auto"/>
          <w:vertAlign w:val="superscript"/>
        </w:rPr>
        <w:t>15</w:t>
      </w:r>
      <w:r w:rsidRPr="00DC459C">
        <w:rPr>
          <w:color w:val="auto"/>
        </w:rPr>
        <w:fldChar w:fldCharType="end"/>
      </w:r>
      <w:r w:rsidRPr="00DC459C">
        <w:rPr>
          <w:color w:val="auto"/>
        </w:rPr>
        <w:t xml:space="preserve">. </w:t>
      </w:r>
      <w:r w:rsidR="00984D11" w:rsidRPr="00DC459C">
        <w:rPr>
          <w:color w:val="auto"/>
        </w:rPr>
        <w:t>This method uses Percoll</w:t>
      </w:r>
      <w:r w:rsidR="00984D11" w:rsidRPr="00DC459C">
        <w:rPr>
          <w:color w:val="auto"/>
          <w:vertAlign w:val="superscript"/>
        </w:rPr>
        <w:t>16</w:t>
      </w:r>
      <w:r w:rsidR="00984D11" w:rsidRPr="00DC459C">
        <w:rPr>
          <w:color w:val="auto"/>
        </w:rPr>
        <w:t xml:space="preserve"> as the main constituent of the density gradient</w:t>
      </w:r>
      <w:r w:rsidR="00E0496F">
        <w:rPr>
          <w:color w:val="auto"/>
        </w:rPr>
        <w:t>, which</w:t>
      </w:r>
      <w:r w:rsidR="00984D11" w:rsidRPr="00DC459C">
        <w:rPr>
          <w:color w:val="auto"/>
        </w:rPr>
        <w:t xml:space="preserve"> is a suspension of coated colloidal silica particles </w:t>
      </w:r>
      <w:r w:rsidR="009A709A">
        <w:rPr>
          <w:color w:val="auto"/>
        </w:rPr>
        <w:t>that</w:t>
      </w:r>
      <w:r w:rsidR="00984D11" w:rsidRPr="00DC459C">
        <w:rPr>
          <w:color w:val="auto"/>
        </w:rPr>
        <w:t xml:space="preserve"> has low viscosity and no toxicity towards bacteria </w:t>
      </w:r>
      <w:r w:rsidR="0020447F">
        <w:rPr>
          <w:color w:val="auto"/>
        </w:rPr>
        <w:t>―</w:t>
      </w:r>
      <w:r w:rsidR="00984D11" w:rsidRPr="00DC459C">
        <w:rPr>
          <w:color w:val="auto"/>
        </w:rPr>
        <w:t xml:space="preserve"> in principle, other substances meeting these criteria could be used to establish the density gradient.</w:t>
      </w:r>
    </w:p>
    <w:p w14:paraId="4205236C" w14:textId="77777777" w:rsidR="00283AFC" w:rsidRPr="00DC459C" w:rsidRDefault="00283AFC" w:rsidP="00DC459C">
      <w:pPr>
        <w:widowControl/>
        <w:rPr>
          <w:color w:val="auto"/>
        </w:rPr>
      </w:pPr>
    </w:p>
    <w:p w14:paraId="5A2CB4AF" w14:textId="64B1733E" w:rsidR="009A7ECF" w:rsidRPr="00DC459C" w:rsidRDefault="00283AFC" w:rsidP="00DC459C">
      <w:pPr>
        <w:widowControl/>
        <w:rPr>
          <w:color w:val="auto"/>
        </w:rPr>
      </w:pPr>
      <w:r w:rsidRPr="00DC459C">
        <w:rPr>
          <w:color w:val="auto"/>
        </w:rPr>
        <w:t>It can be challenging to ensure that layers of different density do not mix when constructing density gradients</w:t>
      </w:r>
      <w:r w:rsidR="00E33E9C" w:rsidRPr="00DC459C">
        <w:rPr>
          <w:color w:val="auto"/>
        </w:rPr>
        <w:t>, and if mixing does occur</w:t>
      </w:r>
      <w:r w:rsidR="00413F7F" w:rsidRPr="00DC459C">
        <w:rPr>
          <w:color w:val="auto"/>
        </w:rPr>
        <w:t>, the separation method will not give clean results</w:t>
      </w:r>
      <w:r w:rsidRPr="00DC459C">
        <w:rPr>
          <w:color w:val="auto"/>
        </w:rPr>
        <w:t>. We have included two alternative methods for pouring the gradients, using a need</w:t>
      </w:r>
      <w:r w:rsidR="009A7ECF" w:rsidRPr="00DC459C">
        <w:rPr>
          <w:color w:val="auto"/>
        </w:rPr>
        <w:t>le or a pipette</w:t>
      </w:r>
      <w:r w:rsidR="00257E63" w:rsidRPr="00DC459C">
        <w:rPr>
          <w:color w:val="auto"/>
        </w:rPr>
        <w:t xml:space="preserve"> </w:t>
      </w:r>
      <w:r w:rsidR="00974E6B">
        <w:rPr>
          <w:color w:val="auto"/>
        </w:rPr>
        <w:t>―</w:t>
      </w:r>
      <w:r w:rsidR="00257E63" w:rsidRPr="00DC459C">
        <w:rPr>
          <w:color w:val="auto"/>
        </w:rPr>
        <w:t xml:space="preserve"> both are effective, and which method to use is simply a matter of preference.</w:t>
      </w:r>
      <w:r w:rsidR="009A7ECF" w:rsidRPr="00DC459C">
        <w:rPr>
          <w:color w:val="auto"/>
        </w:rPr>
        <w:t xml:space="preserve"> For all steps that involve pipetting a substance (either a bacterial suspension, or a more dilute gradient layer) above a gradient layer, pipetting multiple aliquots of smaller volumes can make it easier to achieve a sharp interface without any mixing of layers</w:t>
      </w:r>
      <w:r w:rsidR="00413F7F" w:rsidRPr="00DC459C">
        <w:rPr>
          <w:color w:val="auto"/>
        </w:rPr>
        <w:t>.</w:t>
      </w:r>
    </w:p>
    <w:p w14:paraId="001C7E3C" w14:textId="77777777" w:rsidR="00984D11" w:rsidRPr="00DC459C" w:rsidRDefault="00984D11" w:rsidP="00DC459C">
      <w:pPr>
        <w:widowControl/>
        <w:rPr>
          <w:color w:val="auto"/>
        </w:rPr>
      </w:pPr>
    </w:p>
    <w:p w14:paraId="60238369" w14:textId="5097574C" w:rsidR="00B05BAB" w:rsidRPr="00DC459C" w:rsidRDefault="007E3C4B" w:rsidP="00DC459C">
      <w:pPr>
        <w:widowControl/>
        <w:rPr>
          <w:color w:val="auto"/>
        </w:rPr>
      </w:pPr>
      <w:r w:rsidRPr="00DC459C">
        <w:rPr>
          <w:color w:val="auto"/>
        </w:rPr>
        <w:t xml:space="preserve">A </w:t>
      </w:r>
      <w:r w:rsidR="002E342A" w:rsidRPr="00DC459C">
        <w:rPr>
          <w:color w:val="auto"/>
        </w:rPr>
        <w:t>limitation of this protocol is that its performance with other bacterial species cannot be guaranteed</w:t>
      </w:r>
      <w:r w:rsidR="00974E6B">
        <w:rPr>
          <w:color w:val="auto"/>
        </w:rPr>
        <w:t>. T</w:t>
      </w:r>
      <w:r w:rsidR="002E342A" w:rsidRPr="00DC459C">
        <w:rPr>
          <w:color w:val="auto"/>
        </w:rPr>
        <w:t xml:space="preserve">herefore, it is critical </w:t>
      </w:r>
      <w:r w:rsidRPr="00DC459C">
        <w:rPr>
          <w:color w:val="auto"/>
        </w:rPr>
        <w:t>when examining a n</w:t>
      </w:r>
      <w:r w:rsidR="002E342A" w:rsidRPr="00DC459C">
        <w:rPr>
          <w:color w:val="auto"/>
        </w:rPr>
        <w:t xml:space="preserve">ew bacterial species or strain </w:t>
      </w:r>
      <w:r w:rsidRPr="00DC459C">
        <w:rPr>
          <w:color w:val="auto"/>
        </w:rPr>
        <w:t xml:space="preserve">to validate the density-based separation using an additional, independent capsule quantification method. </w:t>
      </w:r>
      <w:r w:rsidR="008128C7" w:rsidRPr="00DC459C">
        <w:rPr>
          <w:color w:val="auto"/>
        </w:rPr>
        <w:t>Visualizing</w:t>
      </w:r>
      <w:r w:rsidR="003907F4" w:rsidRPr="00DC459C">
        <w:rPr>
          <w:color w:val="auto"/>
        </w:rPr>
        <w:t xml:space="preserve"> the bacteria present in each fraction by microscopy with appropriate </w:t>
      </w:r>
      <w:r w:rsidR="004D43BB" w:rsidRPr="00DC459C">
        <w:rPr>
          <w:color w:val="auto"/>
        </w:rPr>
        <w:t>capsule stains is a reliable method for which detailed protocols are available</w:t>
      </w:r>
      <w:r w:rsidR="00984D11" w:rsidRPr="00DC459C">
        <w:rPr>
          <w:color w:val="auto"/>
          <w:vertAlign w:val="superscript"/>
        </w:rPr>
        <w:t>17</w:t>
      </w:r>
      <w:r w:rsidR="004D43BB" w:rsidRPr="00DC459C">
        <w:rPr>
          <w:color w:val="auto"/>
        </w:rPr>
        <w:t xml:space="preserve">. Alternatively, capsules containing </w:t>
      </w:r>
      <w:proofErr w:type="spellStart"/>
      <w:r w:rsidR="004D43BB" w:rsidRPr="00DC459C">
        <w:rPr>
          <w:color w:val="auto"/>
        </w:rPr>
        <w:t>uronic</w:t>
      </w:r>
      <w:proofErr w:type="spellEnd"/>
      <w:r w:rsidR="004D43BB" w:rsidRPr="00DC459C">
        <w:rPr>
          <w:color w:val="auto"/>
        </w:rPr>
        <w:t xml:space="preserve"> acids (such as those of </w:t>
      </w:r>
      <w:r w:rsidR="004D43BB" w:rsidRPr="00DC459C">
        <w:rPr>
          <w:i/>
          <w:color w:val="auto"/>
        </w:rPr>
        <w:t>Escherichia coli</w:t>
      </w:r>
      <w:r w:rsidR="004D43BB" w:rsidRPr="00DC459C">
        <w:rPr>
          <w:color w:val="auto"/>
        </w:rPr>
        <w:t xml:space="preserve"> and </w:t>
      </w:r>
      <w:r w:rsidR="004D43BB" w:rsidRPr="00DC459C">
        <w:rPr>
          <w:i/>
          <w:color w:val="auto"/>
        </w:rPr>
        <w:t>K. pneumoniae</w:t>
      </w:r>
      <w:r w:rsidR="004D43BB" w:rsidRPr="00DC459C">
        <w:rPr>
          <w:color w:val="auto"/>
        </w:rPr>
        <w:t>) can be quantified by a specific assay</w:t>
      </w:r>
      <w:r w:rsidR="00E61F70" w:rsidRPr="00DC459C">
        <w:rPr>
          <w:color w:val="auto"/>
        </w:rPr>
        <w:t xml:space="preserve"> as shown in </w:t>
      </w:r>
      <w:r w:rsidR="00DC459C" w:rsidRPr="008D24F4">
        <w:rPr>
          <w:b/>
          <w:color w:val="auto"/>
        </w:rPr>
        <w:t>Figure 2B</w:t>
      </w:r>
      <w:r w:rsidRPr="00DC459C">
        <w:rPr>
          <w:color w:val="auto"/>
        </w:rPr>
        <w:fldChar w:fldCharType="begin" w:fldLock="1"/>
      </w:r>
      <w:r w:rsidR="00690383" w:rsidRPr="00DC459C">
        <w:rPr>
          <w:color w:val="auto"/>
        </w:rPr>
        <w:instrText>ADDIN CSL_CITATION { "citationItems" : [ { "id" : "ITEM-1", "itemData" : { "ISBN" : "0019-9567 (Print)", "ISSN" : "00199567", "PMID" : "9916058", "abstract" : "Most Klebsiella pneumoniae clinical isolates are fully encapsulated and adhere in vitro to intestinal cell lines with an aggregative pattern. In this study, the influence of the capsule on interactions with epithelial cells was investigated by creating an isogenic mutant defective in the synthesis of the capsule. Determination of the uronic acid content of bacterial extracts confirmed that the mutant did not produce capsular polysaccharides whereas, with the wild-type strain, the level of encapsulation was growth phase dependent and reached a maximum during the lag and early log phases. Assays performed with different epithelial cell lines, Int-407, A-549, and HEp-2, showed that the capsule-defective mutant demonstrated greater adhesion than did the wild-type strain and that the aggregative pattern was maintained, indicating that the capsule was not related to the adhesion phenotype. In contrast, when the mucus-producing HT-29-MTX cells were used, the encapsulated wild-type strain adhered more strongly than did the capsule-defective mutant. No invasion properties were observed with any of the capsular phenotypes or cell lines used. The K. pneumoniae adhesin CF29K was detected by Western blot analysis and enzyme-linked immunosorbent assay on the surface of transconjugants obtained after transfer of a conjugative plasmid harboring the CF29K-encoding genes into both the wild-type and the capsule-defective strains. The amounts of adhesin detected were greater in the capsule-defective background strain than in the wild-type encapsulated strain and were associated with an increase in the level of adhesion to Caco-2 cells. Moreover, RNA slot blot experiments showed that transcription of the adhesin-encoding gene was markedly increased in the capsule-defective mutant compared to the wild-type encapsulated background. These results suggest (i) that the capsule plays an active role during the initial steps of the pathogenesis by interacting with mucus-producing cells but is subsequently not required for the adhesin-related interaction with the epithelial cell surface and (ii) that the expression of the adhesin is modulated by the presence of a capsule at a transcriptional level.", "author" : [ { "dropping-particle" : "", "family" : "Favre-Bonte", "given" : "Sabine", "non-dropping-particle" : "", "parse-names" : false, "suffix" : "" }, { "dropping-particle" : "", "family" : "Joly", "given" : "Bernard", "non-dropping-particle" : "", "parse-names" : false, "suffix" : "" }, { "dropping-particle" : "", "family" : "Forestier", "given" : "Christiane", "non-dropping-particle" : "", "parse-names" : false, "suffix" : "" } ], "container-title" : "Infection and Immunity", "id" : "ITEM-1", "issue" : "2", "issued" : { "date-parts" : [ [ "1999" ] ] }, "page" : "554-561", "title" : "Consequences of reduction of Klebsiella pneumoniae capsule expression on interactions of this bacterium with epithelial cells", "type" : "article-journal", "volume" : "67" }, "uris" : [ "http://www.mendeley.com/documents/?uuid=db3c41e3-446a-40c0-9a00-b9b2dac7a6db" ] } ], "mendeley" : { "formattedCitation" : "&lt;sup&gt;1&lt;/sup&gt;", "plainTextFormattedCitation" : "1", "previouslyFormattedCitation" : "&lt;sup&gt;1&lt;/sup&gt;" }, "properties" : {  }, "schema" : "https://github.com/citation-style-language/schema/raw/master/csl-citation.json" }</w:instrText>
      </w:r>
      <w:r w:rsidRPr="00DC459C">
        <w:rPr>
          <w:color w:val="auto"/>
        </w:rPr>
        <w:fldChar w:fldCharType="separate"/>
      </w:r>
      <w:r w:rsidR="00690383" w:rsidRPr="00DC459C">
        <w:rPr>
          <w:color w:val="auto"/>
          <w:vertAlign w:val="superscript"/>
        </w:rPr>
        <w:t>1</w:t>
      </w:r>
      <w:r w:rsidRPr="00DC459C">
        <w:rPr>
          <w:color w:val="auto"/>
        </w:rPr>
        <w:fldChar w:fldCharType="end"/>
      </w:r>
      <w:r w:rsidR="004D43BB" w:rsidRPr="00DC459C">
        <w:rPr>
          <w:color w:val="auto"/>
        </w:rPr>
        <w:t xml:space="preserve">. </w:t>
      </w:r>
      <w:r w:rsidR="00673316" w:rsidRPr="00DC459C">
        <w:rPr>
          <w:color w:val="auto"/>
        </w:rPr>
        <w:t xml:space="preserve">The centrifugation-based </w:t>
      </w:r>
      <w:proofErr w:type="spellStart"/>
      <w:r w:rsidR="00AD4BE4" w:rsidRPr="00DC459C">
        <w:rPr>
          <w:color w:val="auto"/>
        </w:rPr>
        <w:t>mucoviscosity</w:t>
      </w:r>
      <w:proofErr w:type="spellEnd"/>
      <w:r w:rsidR="00673316" w:rsidRPr="00DC459C">
        <w:rPr>
          <w:color w:val="auto"/>
        </w:rPr>
        <w:t xml:space="preserve"> test is not suitable as an independent validation method, as this assay also depends on the </w:t>
      </w:r>
      <w:r w:rsidR="002E342A" w:rsidRPr="00DC459C">
        <w:rPr>
          <w:color w:val="auto"/>
        </w:rPr>
        <w:t>density of the bacterial cells.</w:t>
      </w:r>
    </w:p>
    <w:p w14:paraId="4D753527" w14:textId="77777777" w:rsidR="002E342A" w:rsidRPr="00DC459C" w:rsidRDefault="002E342A" w:rsidP="00DC459C">
      <w:pPr>
        <w:widowControl/>
        <w:rPr>
          <w:color w:val="auto"/>
        </w:rPr>
      </w:pPr>
    </w:p>
    <w:p w14:paraId="2484F183" w14:textId="77777777" w:rsidR="002E342A" w:rsidRPr="00DC459C" w:rsidRDefault="002E342A" w:rsidP="00DC459C">
      <w:pPr>
        <w:widowControl/>
        <w:rPr>
          <w:color w:val="auto"/>
        </w:rPr>
      </w:pPr>
      <w:r w:rsidRPr="00DC459C">
        <w:rPr>
          <w:color w:val="auto"/>
        </w:rPr>
        <w:t xml:space="preserve">Another limitation of this method is that capsule production is very sensitive to culture conditions, and even small changes to growth medium, temperature, or aeration may affect the results of this assay. To minimize this issue, researchers can use a defined growth medium or a batch-consistent complex medium, </w:t>
      </w:r>
      <w:r w:rsidR="00984D11" w:rsidRPr="00DC459C">
        <w:rPr>
          <w:color w:val="auto"/>
        </w:rPr>
        <w:t xml:space="preserve">keep all other growth parameters identical between experiments, and include appropriate control strains </w:t>
      </w:r>
      <w:r w:rsidRPr="00DC459C">
        <w:rPr>
          <w:color w:val="auto"/>
        </w:rPr>
        <w:t xml:space="preserve">to enable the interpretation of unexpected results. </w:t>
      </w:r>
      <w:r w:rsidR="00984D11" w:rsidRPr="00DC459C">
        <w:rPr>
          <w:color w:val="auto"/>
        </w:rPr>
        <w:t>S</w:t>
      </w:r>
      <w:r w:rsidRPr="00DC459C">
        <w:rPr>
          <w:color w:val="auto"/>
        </w:rPr>
        <w:t>ome bacterial capsules are fragile and can shear away from the cell when cultures are pipetted. To avoid the shearing of capsules, cultures should be centrifuged and resuspended no more than twice during preparation for loading on the gradient.</w:t>
      </w:r>
      <w:r w:rsidR="00690383" w:rsidRPr="00DC459C">
        <w:rPr>
          <w:color w:val="auto"/>
        </w:rPr>
        <w:t xml:space="preserve"> If loss of capsule during </w:t>
      </w:r>
      <w:r w:rsidR="00690383" w:rsidRPr="00DC459C">
        <w:rPr>
          <w:color w:val="auto"/>
        </w:rPr>
        <w:lastRenderedPageBreak/>
        <w:t xml:space="preserve">concentration of the cultures </w:t>
      </w:r>
      <w:r w:rsidR="00984D11" w:rsidRPr="00DC459C">
        <w:rPr>
          <w:color w:val="auto"/>
        </w:rPr>
        <w:t>remains problematic</w:t>
      </w:r>
      <w:r w:rsidR="00690383" w:rsidRPr="00DC459C">
        <w:rPr>
          <w:color w:val="auto"/>
        </w:rPr>
        <w:t>, bacterial cultures can be applied to a density gradient directly, with a larger volume of bacterial suspension added if necessary for visualization.</w:t>
      </w:r>
    </w:p>
    <w:p w14:paraId="1B31E7FD" w14:textId="77777777" w:rsidR="00A6572A" w:rsidRPr="00DC459C" w:rsidRDefault="00A6572A" w:rsidP="00DC459C">
      <w:pPr>
        <w:widowControl/>
        <w:rPr>
          <w:color w:val="auto"/>
        </w:rPr>
      </w:pPr>
    </w:p>
    <w:p w14:paraId="649D8DA1" w14:textId="135A9776" w:rsidR="0014450A" w:rsidRPr="00DC459C" w:rsidRDefault="00951BFC" w:rsidP="00DC459C">
      <w:pPr>
        <w:widowControl/>
        <w:rPr>
          <w:color w:val="auto"/>
        </w:rPr>
      </w:pPr>
      <w:r w:rsidRPr="00DC459C">
        <w:rPr>
          <w:color w:val="auto"/>
        </w:rPr>
        <w:t xml:space="preserve">Future applications of this method are to apply it to other bacterial species, and to use this separation in conjunction with different upstream and downstream technologies. </w:t>
      </w:r>
      <w:r w:rsidR="00574C5A" w:rsidRPr="00DC459C">
        <w:rPr>
          <w:color w:val="auto"/>
        </w:rPr>
        <w:t xml:space="preserve">In addition </w:t>
      </w:r>
      <w:r w:rsidR="00984D11" w:rsidRPr="00DC459C">
        <w:rPr>
          <w:color w:val="auto"/>
        </w:rPr>
        <w:t>to</w:t>
      </w:r>
      <w:r w:rsidR="0014450A" w:rsidRPr="00DC459C">
        <w:rPr>
          <w:color w:val="auto"/>
        </w:rPr>
        <w:t xml:space="preserve"> </w:t>
      </w:r>
      <w:r w:rsidR="00574C5A" w:rsidRPr="00DC459C">
        <w:rPr>
          <w:color w:val="auto"/>
        </w:rPr>
        <w:t>density-TraDISort</w:t>
      </w:r>
      <w:r w:rsidR="00984D11" w:rsidRPr="00DC459C">
        <w:rPr>
          <w:color w:val="auto"/>
          <w:vertAlign w:val="superscript"/>
        </w:rPr>
        <w:t>8</w:t>
      </w:r>
      <w:r w:rsidR="00574C5A" w:rsidRPr="00DC459C">
        <w:rPr>
          <w:color w:val="auto"/>
        </w:rPr>
        <w:t xml:space="preserve">, </w:t>
      </w:r>
      <w:r w:rsidR="0014450A" w:rsidRPr="00DC459C">
        <w:rPr>
          <w:color w:val="auto"/>
        </w:rPr>
        <w:t xml:space="preserve">we suggest that density gradient separation of capsulated bacteria could be used for isolation of mutants with altered capsule, for purification of capsulated cells from mixed cultures or complex samples, and for </w:t>
      </w:r>
      <w:r w:rsidR="002E342A" w:rsidRPr="00DC459C">
        <w:rPr>
          <w:color w:val="auto"/>
        </w:rPr>
        <w:t xml:space="preserve">rapid </w:t>
      </w:r>
      <w:r w:rsidR="0014450A" w:rsidRPr="00DC459C">
        <w:rPr>
          <w:color w:val="auto"/>
        </w:rPr>
        <w:t>profiling</w:t>
      </w:r>
      <w:r w:rsidR="002E342A" w:rsidRPr="00DC459C">
        <w:rPr>
          <w:color w:val="auto"/>
        </w:rPr>
        <w:t xml:space="preserve"> of</w:t>
      </w:r>
      <w:r w:rsidR="0014450A" w:rsidRPr="00DC459C">
        <w:rPr>
          <w:color w:val="auto"/>
        </w:rPr>
        <w:t xml:space="preserve"> capsule production </w:t>
      </w:r>
      <w:r w:rsidR="002E342A" w:rsidRPr="00DC459C">
        <w:rPr>
          <w:color w:val="auto"/>
        </w:rPr>
        <w:t>in</w:t>
      </w:r>
      <w:r w:rsidR="0014450A" w:rsidRPr="00DC459C">
        <w:rPr>
          <w:color w:val="auto"/>
        </w:rPr>
        <w:t xml:space="preserve"> multiple strains. Finally, this technology could be used to examine other bacterial phenotypes such as aggregation.</w:t>
      </w:r>
    </w:p>
    <w:p w14:paraId="0B4F4696" w14:textId="77777777" w:rsidR="00E465DA" w:rsidRPr="00DC459C" w:rsidRDefault="00E465DA" w:rsidP="00DC459C">
      <w:pPr>
        <w:widowControl/>
        <w:rPr>
          <w:color w:val="auto"/>
        </w:rPr>
      </w:pPr>
    </w:p>
    <w:p w14:paraId="7B53ADF3" w14:textId="77777777" w:rsidR="007A4DD6" w:rsidRPr="00DC459C" w:rsidRDefault="00AA03DF" w:rsidP="00DC459C">
      <w:pPr>
        <w:pStyle w:val="NormalWeb"/>
        <w:widowControl/>
        <w:spacing w:before="0" w:beforeAutospacing="0" w:after="0" w:afterAutospacing="0"/>
        <w:rPr>
          <w:b/>
          <w:bCs/>
          <w:color w:val="auto"/>
        </w:rPr>
      </w:pPr>
      <w:r w:rsidRPr="00DC459C">
        <w:rPr>
          <w:b/>
          <w:bCs/>
          <w:color w:val="auto"/>
        </w:rPr>
        <w:t>ACKNOWLEDGMENTS:</w:t>
      </w:r>
    </w:p>
    <w:p w14:paraId="54452BBA" w14:textId="77777777" w:rsidR="0014450A" w:rsidRPr="00DC459C" w:rsidRDefault="0014450A" w:rsidP="00DC459C">
      <w:pPr>
        <w:pStyle w:val="NormalWeb"/>
        <w:widowControl/>
        <w:spacing w:before="0" w:beforeAutospacing="0" w:after="0" w:afterAutospacing="0"/>
        <w:rPr>
          <w:color w:val="auto"/>
        </w:rPr>
      </w:pPr>
      <w:r w:rsidRPr="00DC459C">
        <w:rPr>
          <w:bCs/>
          <w:color w:val="auto"/>
        </w:rPr>
        <w:t xml:space="preserve">We thank </w:t>
      </w:r>
      <w:proofErr w:type="spellStart"/>
      <w:r w:rsidR="00E060A6" w:rsidRPr="00DC459C">
        <w:rPr>
          <w:bCs/>
          <w:color w:val="auto"/>
        </w:rPr>
        <w:t>Jin</w:t>
      </w:r>
      <w:proofErr w:type="spellEnd"/>
      <w:r w:rsidR="00E060A6" w:rsidRPr="00DC459C">
        <w:rPr>
          <w:bCs/>
          <w:color w:val="auto"/>
        </w:rPr>
        <w:t xml:space="preserve">-Town Wang </w:t>
      </w:r>
      <w:r w:rsidR="002E342A" w:rsidRPr="00DC459C">
        <w:rPr>
          <w:bCs/>
          <w:color w:val="auto"/>
        </w:rPr>
        <w:t xml:space="preserve">and Susannah Salter for supplying strains, </w:t>
      </w:r>
      <w:r w:rsidR="00E060A6" w:rsidRPr="00DC459C">
        <w:rPr>
          <w:bCs/>
          <w:color w:val="auto"/>
        </w:rPr>
        <w:t>and members of the Parkhill group for helpful discussions.</w:t>
      </w:r>
      <w:r w:rsidR="00AD4BE4" w:rsidRPr="00DC459C">
        <w:rPr>
          <w:bCs/>
          <w:color w:val="auto"/>
        </w:rPr>
        <w:t xml:space="preserve"> This work was funded by the </w:t>
      </w:r>
      <w:proofErr w:type="spellStart"/>
      <w:r w:rsidR="00AD4BE4" w:rsidRPr="00DC459C">
        <w:rPr>
          <w:bCs/>
          <w:color w:val="auto"/>
        </w:rPr>
        <w:t>Wellcome</w:t>
      </w:r>
      <w:proofErr w:type="spellEnd"/>
      <w:r w:rsidR="00AD4BE4" w:rsidRPr="00DC459C">
        <w:rPr>
          <w:bCs/>
          <w:color w:val="auto"/>
        </w:rPr>
        <w:t xml:space="preserve"> Sanger Institute</w:t>
      </w:r>
      <w:r w:rsidR="004540E2" w:rsidRPr="00DC459C">
        <w:rPr>
          <w:bCs/>
          <w:color w:val="auto"/>
        </w:rPr>
        <w:t xml:space="preserve"> (</w:t>
      </w:r>
      <w:proofErr w:type="spellStart"/>
      <w:r w:rsidR="004540E2" w:rsidRPr="00DC459C">
        <w:rPr>
          <w:bCs/>
          <w:color w:val="auto"/>
        </w:rPr>
        <w:t>Wellcome</w:t>
      </w:r>
      <w:proofErr w:type="spellEnd"/>
      <w:r w:rsidR="004540E2" w:rsidRPr="00DC459C">
        <w:rPr>
          <w:bCs/>
          <w:color w:val="auto"/>
        </w:rPr>
        <w:t xml:space="preserve"> grant </w:t>
      </w:r>
      <w:r w:rsidR="00EF36F1" w:rsidRPr="00DC459C">
        <w:rPr>
          <w:bCs/>
          <w:color w:val="auto"/>
        </w:rPr>
        <w:t>206194)</w:t>
      </w:r>
      <w:r w:rsidR="00AD4BE4" w:rsidRPr="00DC459C">
        <w:rPr>
          <w:bCs/>
          <w:color w:val="auto"/>
        </w:rPr>
        <w:t xml:space="preserve">, and by a Sir Henry </w:t>
      </w:r>
      <w:proofErr w:type="spellStart"/>
      <w:r w:rsidR="00AD4BE4" w:rsidRPr="00DC459C">
        <w:rPr>
          <w:bCs/>
          <w:color w:val="auto"/>
        </w:rPr>
        <w:t>Wellcome</w:t>
      </w:r>
      <w:proofErr w:type="spellEnd"/>
      <w:r w:rsidR="00AD4BE4" w:rsidRPr="00DC459C">
        <w:rPr>
          <w:bCs/>
          <w:color w:val="auto"/>
        </w:rPr>
        <w:t xml:space="preserve"> postdoctoral fellowship to F.L.S.</w:t>
      </w:r>
      <w:r w:rsidR="00EF36F1" w:rsidRPr="00DC459C">
        <w:rPr>
          <w:bCs/>
          <w:color w:val="auto"/>
        </w:rPr>
        <w:t xml:space="preserve"> (grant 106063/A/14/Z)</w:t>
      </w:r>
      <w:r w:rsidR="00EC5F9E" w:rsidRPr="00DC459C">
        <w:rPr>
          <w:bCs/>
          <w:color w:val="auto"/>
        </w:rPr>
        <w:t xml:space="preserve">. M.J.D. is supported by a </w:t>
      </w:r>
      <w:proofErr w:type="spellStart"/>
      <w:r w:rsidR="00EC5F9E" w:rsidRPr="00DC459C">
        <w:rPr>
          <w:bCs/>
          <w:color w:val="auto"/>
        </w:rPr>
        <w:t>Wellcome</w:t>
      </w:r>
      <w:proofErr w:type="spellEnd"/>
      <w:r w:rsidR="00EC5F9E" w:rsidRPr="00DC459C">
        <w:rPr>
          <w:bCs/>
          <w:color w:val="auto"/>
        </w:rPr>
        <w:t xml:space="preserve"> Sanger Institute PhD Studentship.</w:t>
      </w:r>
    </w:p>
    <w:p w14:paraId="7CAB6080" w14:textId="77777777" w:rsidR="00A6572A" w:rsidRPr="00DC459C" w:rsidRDefault="00A6572A" w:rsidP="00DC459C">
      <w:pPr>
        <w:widowControl/>
        <w:rPr>
          <w:b/>
          <w:bCs/>
          <w:color w:val="auto"/>
        </w:rPr>
      </w:pPr>
    </w:p>
    <w:p w14:paraId="55A1F7D9" w14:textId="77777777" w:rsidR="007A4DD6" w:rsidRPr="00DC459C" w:rsidRDefault="00AA03DF" w:rsidP="00DC459C">
      <w:pPr>
        <w:pStyle w:val="NormalWeb"/>
        <w:widowControl/>
        <w:spacing w:before="0" w:beforeAutospacing="0" w:after="0" w:afterAutospacing="0"/>
        <w:rPr>
          <w:b/>
          <w:color w:val="auto"/>
        </w:rPr>
      </w:pPr>
      <w:r w:rsidRPr="00DC459C">
        <w:rPr>
          <w:b/>
          <w:color w:val="auto"/>
        </w:rPr>
        <w:t>DISCLOSURES</w:t>
      </w:r>
      <w:r w:rsidR="0014450A" w:rsidRPr="00DC459C">
        <w:rPr>
          <w:b/>
          <w:color w:val="auto"/>
        </w:rPr>
        <w:t>:</w:t>
      </w:r>
    </w:p>
    <w:p w14:paraId="41AE28A8" w14:textId="77777777" w:rsidR="00A6572A" w:rsidRPr="00DC459C" w:rsidRDefault="0014450A" w:rsidP="00DC459C">
      <w:pPr>
        <w:pStyle w:val="NormalWeb"/>
        <w:widowControl/>
        <w:spacing w:before="0" w:beforeAutospacing="0" w:after="0" w:afterAutospacing="0"/>
        <w:rPr>
          <w:color w:val="auto"/>
        </w:rPr>
      </w:pPr>
      <w:r w:rsidRPr="00DC459C">
        <w:rPr>
          <w:color w:val="auto"/>
        </w:rPr>
        <w:t>The authors have no financial interests to disclose.</w:t>
      </w:r>
    </w:p>
    <w:p w14:paraId="515A934A" w14:textId="77777777" w:rsidR="00AA03DF" w:rsidRPr="00DC459C" w:rsidRDefault="00AA03DF" w:rsidP="00DC459C">
      <w:pPr>
        <w:widowControl/>
        <w:rPr>
          <w:color w:val="auto"/>
        </w:rPr>
      </w:pPr>
    </w:p>
    <w:p w14:paraId="1AD16B0E" w14:textId="77777777" w:rsidR="00AD4BE4" w:rsidRPr="00DC459C" w:rsidRDefault="009726EE" w:rsidP="00DC459C">
      <w:pPr>
        <w:widowControl/>
        <w:rPr>
          <w:color w:val="auto"/>
        </w:rPr>
      </w:pPr>
      <w:r w:rsidRPr="00DC459C">
        <w:rPr>
          <w:b/>
          <w:bCs/>
          <w:color w:val="auto"/>
        </w:rPr>
        <w:t>REFERENCES</w:t>
      </w:r>
      <w:r w:rsidR="00D04760" w:rsidRPr="00DC459C">
        <w:rPr>
          <w:b/>
          <w:bCs/>
          <w:color w:val="auto"/>
        </w:rPr>
        <w:t>:</w:t>
      </w:r>
      <w:r w:rsidRPr="00DC459C">
        <w:rPr>
          <w:color w:val="auto"/>
        </w:rPr>
        <w:t xml:space="preserve"> </w:t>
      </w:r>
    </w:p>
    <w:p w14:paraId="24F3B9EC" w14:textId="4532F34F" w:rsidR="007E6A67" w:rsidRPr="00DC459C" w:rsidRDefault="002E342A" w:rsidP="00DC459C">
      <w:pPr>
        <w:widowControl/>
        <w:rPr>
          <w:color w:val="auto"/>
        </w:rPr>
      </w:pPr>
      <w:r w:rsidRPr="00DC459C">
        <w:rPr>
          <w:color w:val="auto"/>
        </w:rPr>
        <w:fldChar w:fldCharType="begin" w:fldLock="1"/>
      </w:r>
      <w:r w:rsidRPr="00DC459C">
        <w:rPr>
          <w:color w:val="auto"/>
        </w:rPr>
        <w:instrText xml:space="preserve">ADDIN Mendeley Bibliography CSL_BIBLIOGRAPHY </w:instrText>
      </w:r>
      <w:r w:rsidRPr="00DC459C">
        <w:rPr>
          <w:color w:val="auto"/>
        </w:rPr>
        <w:fldChar w:fldCharType="separate"/>
      </w:r>
      <w:r w:rsidR="00690383" w:rsidRPr="00DC459C">
        <w:rPr>
          <w:color w:val="auto"/>
        </w:rPr>
        <w:t>1.</w:t>
      </w:r>
      <w:r w:rsidR="00690383" w:rsidRPr="00DC459C">
        <w:rPr>
          <w:color w:val="auto"/>
        </w:rPr>
        <w:tab/>
      </w:r>
      <w:r w:rsidR="007E6A67" w:rsidRPr="00DC459C">
        <w:rPr>
          <w:color w:val="auto"/>
        </w:rPr>
        <w:t xml:space="preserve">Favre-Bonté, S., Licht, T.R., Forestier, C., Krogfelt, K.A. </w:t>
      </w:r>
      <w:r w:rsidR="007E6A67" w:rsidRPr="00DC459C">
        <w:rPr>
          <w:i/>
          <w:color w:val="auto"/>
        </w:rPr>
        <w:t>Klebsiella pneumoniae</w:t>
      </w:r>
      <w:r w:rsidR="007E6A67" w:rsidRPr="00DC459C">
        <w:rPr>
          <w:color w:val="auto"/>
        </w:rPr>
        <w:t xml:space="preserve"> capsule expression is necessary for colonization of large intestines of streptomycin-treated mice. </w:t>
      </w:r>
      <w:r w:rsidR="007E6A67" w:rsidRPr="00DC459C">
        <w:rPr>
          <w:i/>
          <w:iCs/>
          <w:color w:val="auto"/>
        </w:rPr>
        <w:t>Infection and Immunity</w:t>
      </w:r>
      <w:r w:rsidR="007E6A67" w:rsidRPr="00DC459C">
        <w:rPr>
          <w:color w:val="auto"/>
        </w:rPr>
        <w:t xml:space="preserve">. </w:t>
      </w:r>
      <w:r w:rsidR="007E6A67" w:rsidRPr="00DC459C">
        <w:rPr>
          <w:b/>
          <w:bCs/>
          <w:color w:val="auto"/>
        </w:rPr>
        <w:t>67</w:t>
      </w:r>
      <w:r w:rsidR="007E6A67" w:rsidRPr="00DC459C">
        <w:rPr>
          <w:color w:val="auto"/>
        </w:rPr>
        <w:t xml:space="preserve"> (11), 6152</w:t>
      </w:r>
      <w:r w:rsidR="008D24F4">
        <w:rPr>
          <w:color w:val="auto"/>
        </w:rPr>
        <w:t>-</w:t>
      </w:r>
      <w:r w:rsidR="007E6A67" w:rsidRPr="00DC459C">
        <w:rPr>
          <w:color w:val="auto"/>
        </w:rPr>
        <w:t xml:space="preserve">6156, </w:t>
      </w:r>
      <w:proofErr w:type="spellStart"/>
      <w:r w:rsidR="007E6A67" w:rsidRPr="00DC459C">
        <w:rPr>
          <w:color w:val="auto"/>
        </w:rPr>
        <w:t>doi</w:t>
      </w:r>
      <w:proofErr w:type="spellEnd"/>
      <w:r w:rsidR="007E6A67" w:rsidRPr="00DC459C">
        <w:rPr>
          <w:color w:val="auto"/>
        </w:rPr>
        <w:t>: 10.1128/AAC.00891-10 (1999).</w:t>
      </w:r>
    </w:p>
    <w:p w14:paraId="35304E9A" w14:textId="68961837" w:rsidR="007E6A67" w:rsidRPr="00DC459C" w:rsidRDefault="00690383" w:rsidP="00DC459C">
      <w:pPr>
        <w:widowControl/>
        <w:rPr>
          <w:color w:val="auto"/>
        </w:rPr>
      </w:pPr>
      <w:r w:rsidRPr="00DC459C">
        <w:rPr>
          <w:color w:val="auto"/>
        </w:rPr>
        <w:t>2.</w:t>
      </w:r>
      <w:r w:rsidRPr="00DC459C">
        <w:rPr>
          <w:color w:val="auto"/>
        </w:rPr>
        <w:tab/>
      </w:r>
      <w:r w:rsidR="007E6A67" w:rsidRPr="00DC459C">
        <w:rPr>
          <w:color w:val="auto"/>
        </w:rPr>
        <w:t>Bachman, M. A</w:t>
      </w:r>
      <w:r w:rsidR="00E0496F">
        <w:rPr>
          <w:color w:val="auto"/>
        </w:rPr>
        <w:t>.,</w:t>
      </w:r>
      <w:r w:rsidR="00DC459C" w:rsidRPr="00DC459C">
        <w:rPr>
          <w:i/>
          <w:color w:val="auto"/>
        </w:rPr>
        <w:t xml:space="preserve"> et al</w:t>
      </w:r>
      <w:r w:rsidR="00DC459C">
        <w:rPr>
          <w:i/>
          <w:color w:val="auto"/>
        </w:rPr>
        <w:t>.</w:t>
      </w:r>
      <w:r w:rsidR="007E6A67" w:rsidRPr="00DC459C">
        <w:rPr>
          <w:color w:val="auto"/>
        </w:rPr>
        <w:t xml:space="preserve"> Genome-wide identification of </w:t>
      </w:r>
      <w:r w:rsidR="007E6A67" w:rsidRPr="00DC459C">
        <w:rPr>
          <w:i/>
          <w:color w:val="auto"/>
        </w:rPr>
        <w:t>Klebsiella pneumoniae</w:t>
      </w:r>
      <w:r w:rsidR="007E6A67" w:rsidRPr="00DC459C">
        <w:rPr>
          <w:color w:val="auto"/>
        </w:rPr>
        <w:t xml:space="preserve"> fitness genes during lung infection. </w:t>
      </w:r>
      <w:r w:rsidR="007E6A67" w:rsidRPr="00DC459C">
        <w:rPr>
          <w:i/>
          <w:iCs/>
          <w:color w:val="auto"/>
        </w:rPr>
        <w:t>mBio</w:t>
      </w:r>
      <w:r w:rsidR="007E6A67" w:rsidRPr="00DC459C">
        <w:rPr>
          <w:color w:val="auto"/>
        </w:rPr>
        <w:t xml:space="preserve">. </w:t>
      </w:r>
      <w:r w:rsidR="007E6A67" w:rsidRPr="00DC459C">
        <w:rPr>
          <w:b/>
          <w:bCs/>
          <w:color w:val="auto"/>
        </w:rPr>
        <w:t>6</w:t>
      </w:r>
      <w:r w:rsidR="007E6A67" w:rsidRPr="00DC459C">
        <w:rPr>
          <w:color w:val="auto"/>
        </w:rPr>
        <w:t xml:space="preserve"> (3), 1</w:t>
      </w:r>
      <w:r w:rsidR="008D24F4">
        <w:rPr>
          <w:color w:val="auto"/>
        </w:rPr>
        <w:t>-</w:t>
      </w:r>
      <w:r w:rsidR="007E6A67" w:rsidRPr="00DC459C">
        <w:rPr>
          <w:color w:val="auto"/>
        </w:rPr>
        <w:t xml:space="preserve">9, </w:t>
      </w:r>
      <w:proofErr w:type="spellStart"/>
      <w:r w:rsidR="007E6A67" w:rsidRPr="00DC459C">
        <w:rPr>
          <w:color w:val="auto"/>
        </w:rPr>
        <w:t>doi</w:t>
      </w:r>
      <w:proofErr w:type="spellEnd"/>
      <w:r w:rsidR="007E6A67" w:rsidRPr="00DC459C">
        <w:rPr>
          <w:color w:val="auto"/>
        </w:rPr>
        <w:t>: 10.1128/mBio.00775-15. (2015).</w:t>
      </w:r>
    </w:p>
    <w:p w14:paraId="194448CF" w14:textId="6937063F" w:rsidR="007E6A67" w:rsidRPr="00DC459C" w:rsidRDefault="00690383" w:rsidP="00DC459C">
      <w:pPr>
        <w:widowControl/>
        <w:rPr>
          <w:color w:val="auto"/>
        </w:rPr>
      </w:pPr>
      <w:r w:rsidRPr="00DC459C">
        <w:rPr>
          <w:color w:val="auto"/>
        </w:rPr>
        <w:t>3.</w:t>
      </w:r>
      <w:r w:rsidRPr="00DC459C">
        <w:rPr>
          <w:color w:val="auto"/>
        </w:rPr>
        <w:tab/>
      </w:r>
      <w:r w:rsidR="007E6A67" w:rsidRPr="00DC459C">
        <w:rPr>
          <w:color w:val="auto"/>
        </w:rPr>
        <w:t xml:space="preserve">Paczosa, M.K., Mecsas, J. </w:t>
      </w:r>
      <w:r w:rsidR="007E6A67" w:rsidRPr="00DC459C">
        <w:rPr>
          <w:i/>
          <w:color w:val="auto"/>
        </w:rPr>
        <w:t>Klebsiella pneumoniae</w:t>
      </w:r>
      <w:r w:rsidR="007E6A67" w:rsidRPr="00DC459C">
        <w:rPr>
          <w:color w:val="auto"/>
        </w:rPr>
        <w:t xml:space="preserve">: Going on the offense with a strong defense. </w:t>
      </w:r>
      <w:r w:rsidR="007E6A67" w:rsidRPr="00DC459C">
        <w:rPr>
          <w:i/>
          <w:iCs/>
          <w:color w:val="auto"/>
        </w:rPr>
        <w:t>Microbiology and Molecular Biology Reviews : MMBR</w:t>
      </w:r>
      <w:r w:rsidR="007E6A67" w:rsidRPr="00DC459C">
        <w:rPr>
          <w:color w:val="auto"/>
        </w:rPr>
        <w:t xml:space="preserve">. </w:t>
      </w:r>
      <w:r w:rsidR="007E6A67" w:rsidRPr="00DC459C">
        <w:rPr>
          <w:b/>
          <w:bCs/>
          <w:color w:val="auto"/>
        </w:rPr>
        <w:t>80</w:t>
      </w:r>
      <w:r w:rsidR="007E6A67" w:rsidRPr="00DC459C">
        <w:rPr>
          <w:color w:val="auto"/>
        </w:rPr>
        <w:t xml:space="preserve"> (3), 629</w:t>
      </w:r>
      <w:r w:rsidR="008D24F4">
        <w:rPr>
          <w:color w:val="auto"/>
        </w:rPr>
        <w:t>-</w:t>
      </w:r>
      <w:r w:rsidR="007E6A67" w:rsidRPr="00DC459C">
        <w:rPr>
          <w:color w:val="auto"/>
        </w:rPr>
        <w:t xml:space="preserve">61, </w:t>
      </w:r>
      <w:proofErr w:type="spellStart"/>
      <w:r w:rsidR="007E6A67" w:rsidRPr="00DC459C">
        <w:rPr>
          <w:color w:val="auto"/>
        </w:rPr>
        <w:t>doi</w:t>
      </w:r>
      <w:proofErr w:type="spellEnd"/>
      <w:r w:rsidR="007E6A67" w:rsidRPr="00DC459C">
        <w:rPr>
          <w:color w:val="auto"/>
        </w:rPr>
        <w:t>: 10.1128/MMBR.00078-15 (2016).</w:t>
      </w:r>
    </w:p>
    <w:p w14:paraId="6BA9DF06" w14:textId="3D9BF792" w:rsidR="007E6A67" w:rsidRPr="00DC459C" w:rsidRDefault="00690383" w:rsidP="00DC459C">
      <w:pPr>
        <w:widowControl/>
        <w:rPr>
          <w:color w:val="auto"/>
        </w:rPr>
      </w:pPr>
      <w:r w:rsidRPr="00DC459C">
        <w:rPr>
          <w:color w:val="auto"/>
        </w:rPr>
        <w:t>4.</w:t>
      </w:r>
      <w:r w:rsidRPr="00DC459C">
        <w:rPr>
          <w:color w:val="auto"/>
        </w:rPr>
        <w:tab/>
      </w:r>
      <w:r w:rsidR="007E6A67" w:rsidRPr="00DC459C">
        <w:rPr>
          <w:color w:val="auto"/>
        </w:rPr>
        <w:t xml:space="preserve">Shon, A.S., Bajwa, R.P.S., Russo, T.A. Hypervirulent (hypermucoviscous) </w:t>
      </w:r>
      <w:r w:rsidR="007E6A67" w:rsidRPr="00DC459C">
        <w:rPr>
          <w:i/>
          <w:color w:val="auto"/>
        </w:rPr>
        <w:t>Klebsiella pneumoniae</w:t>
      </w:r>
      <w:r w:rsidR="007E6A67" w:rsidRPr="00DC459C">
        <w:rPr>
          <w:color w:val="auto"/>
        </w:rPr>
        <w:t xml:space="preserve">. </w:t>
      </w:r>
      <w:r w:rsidR="007E6A67" w:rsidRPr="00DC459C">
        <w:rPr>
          <w:i/>
          <w:iCs/>
          <w:color w:val="auto"/>
        </w:rPr>
        <w:t>Virulence</w:t>
      </w:r>
      <w:r w:rsidR="007E6A67" w:rsidRPr="00DC459C">
        <w:rPr>
          <w:color w:val="auto"/>
        </w:rPr>
        <w:t xml:space="preserve">. </w:t>
      </w:r>
      <w:r w:rsidR="007E6A67" w:rsidRPr="00DC459C">
        <w:rPr>
          <w:b/>
          <w:bCs/>
          <w:color w:val="auto"/>
        </w:rPr>
        <w:t>4</w:t>
      </w:r>
      <w:r w:rsidR="007E6A67" w:rsidRPr="00DC459C">
        <w:rPr>
          <w:color w:val="auto"/>
        </w:rPr>
        <w:t xml:space="preserve"> (2), 107</w:t>
      </w:r>
      <w:r w:rsidR="008D24F4">
        <w:rPr>
          <w:color w:val="auto"/>
        </w:rPr>
        <w:t>-</w:t>
      </w:r>
      <w:r w:rsidR="007E6A67" w:rsidRPr="00DC459C">
        <w:rPr>
          <w:color w:val="auto"/>
        </w:rPr>
        <w:t xml:space="preserve">118, </w:t>
      </w:r>
      <w:proofErr w:type="spellStart"/>
      <w:r w:rsidR="007E6A67" w:rsidRPr="00DC459C">
        <w:rPr>
          <w:color w:val="auto"/>
        </w:rPr>
        <w:t>doi</w:t>
      </w:r>
      <w:proofErr w:type="spellEnd"/>
      <w:r w:rsidR="007E6A67" w:rsidRPr="00DC459C">
        <w:rPr>
          <w:color w:val="auto"/>
        </w:rPr>
        <w:t>: 10.4161/viru.22718 (2014).</w:t>
      </w:r>
    </w:p>
    <w:p w14:paraId="6EDDE15D" w14:textId="45BC81E6" w:rsidR="007E6A67" w:rsidRPr="00DC459C" w:rsidRDefault="00690383" w:rsidP="00DC459C">
      <w:pPr>
        <w:widowControl/>
        <w:rPr>
          <w:color w:val="auto"/>
        </w:rPr>
      </w:pPr>
      <w:r w:rsidRPr="00DC459C">
        <w:rPr>
          <w:color w:val="auto"/>
        </w:rPr>
        <w:t>5.</w:t>
      </w:r>
      <w:r w:rsidRPr="00DC459C">
        <w:rPr>
          <w:color w:val="auto"/>
        </w:rPr>
        <w:tab/>
      </w:r>
      <w:r w:rsidR="007E6A67" w:rsidRPr="00DC459C">
        <w:rPr>
          <w:color w:val="auto"/>
        </w:rPr>
        <w:t xml:space="preserve">Fang, C.-T., Chuang, Y.-P., Shun, C.-T., Chang, S.-C., Wang, J.-T. A novel virulence gene in </w:t>
      </w:r>
      <w:r w:rsidR="007E6A67" w:rsidRPr="00DC459C">
        <w:rPr>
          <w:i/>
          <w:color w:val="auto"/>
        </w:rPr>
        <w:t>Klebsiella pneumoniae</w:t>
      </w:r>
      <w:r w:rsidR="007E6A67" w:rsidRPr="00DC459C">
        <w:rPr>
          <w:color w:val="auto"/>
        </w:rPr>
        <w:t xml:space="preserve"> strains causing primary liver abscess and septic metastatic complications. </w:t>
      </w:r>
      <w:r w:rsidR="007E6A67" w:rsidRPr="00DC459C">
        <w:rPr>
          <w:i/>
          <w:iCs/>
          <w:color w:val="auto"/>
        </w:rPr>
        <w:t>The Journal of Experimental Medicine</w:t>
      </w:r>
      <w:r w:rsidR="007E6A67" w:rsidRPr="00DC459C">
        <w:rPr>
          <w:color w:val="auto"/>
        </w:rPr>
        <w:t xml:space="preserve">. </w:t>
      </w:r>
      <w:r w:rsidR="007E6A67" w:rsidRPr="00DC459C">
        <w:rPr>
          <w:b/>
          <w:bCs/>
          <w:color w:val="auto"/>
        </w:rPr>
        <w:t>199</w:t>
      </w:r>
      <w:r w:rsidR="007E6A67" w:rsidRPr="00DC459C">
        <w:rPr>
          <w:color w:val="auto"/>
        </w:rPr>
        <w:t xml:space="preserve"> (5), 697</w:t>
      </w:r>
      <w:r w:rsidR="008D24F4">
        <w:rPr>
          <w:color w:val="auto"/>
        </w:rPr>
        <w:t>-</w:t>
      </w:r>
      <w:r w:rsidR="007E6A67" w:rsidRPr="00DC459C">
        <w:rPr>
          <w:color w:val="auto"/>
        </w:rPr>
        <w:t xml:space="preserve">705, </w:t>
      </w:r>
      <w:proofErr w:type="spellStart"/>
      <w:r w:rsidR="007E6A67" w:rsidRPr="00DC459C">
        <w:rPr>
          <w:color w:val="auto"/>
        </w:rPr>
        <w:t>doi</w:t>
      </w:r>
      <w:proofErr w:type="spellEnd"/>
      <w:r w:rsidR="007E6A67" w:rsidRPr="00DC459C">
        <w:rPr>
          <w:color w:val="auto"/>
        </w:rPr>
        <w:t>: 10.1084/jem.20030857 (2004).</w:t>
      </w:r>
    </w:p>
    <w:p w14:paraId="511B941C" w14:textId="22CA52EF" w:rsidR="00690383" w:rsidRPr="00DC459C" w:rsidRDefault="00690383" w:rsidP="00DC459C">
      <w:pPr>
        <w:widowControl/>
        <w:rPr>
          <w:color w:val="auto"/>
        </w:rPr>
      </w:pPr>
      <w:r w:rsidRPr="00DC459C">
        <w:rPr>
          <w:color w:val="auto"/>
        </w:rPr>
        <w:t>6.</w:t>
      </w:r>
      <w:r w:rsidRPr="00DC459C">
        <w:rPr>
          <w:color w:val="auto"/>
        </w:rPr>
        <w:tab/>
        <w:t xml:space="preserve">Lai, Y.-C., Peng, H.-L., Chang, H.-Y. RmpA2, an </w:t>
      </w:r>
      <w:r w:rsidR="007E6A67" w:rsidRPr="00DC459C">
        <w:rPr>
          <w:color w:val="auto"/>
        </w:rPr>
        <w:t>a</w:t>
      </w:r>
      <w:r w:rsidRPr="00DC459C">
        <w:rPr>
          <w:color w:val="auto"/>
        </w:rPr>
        <w:t xml:space="preserve">ctivator of </w:t>
      </w:r>
      <w:r w:rsidR="007E6A67" w:rsidRPr="00DC459C">
        <w:rPr>
          <w:color w:val="auto"/>
        </w:rPr>
        <w:t>c</w:t>
      </w:r>
      <w:r w:rsidRPr="00DC459C">
        <w:rPr>
          <w:color w:val="auto"/>
        </w:rPr>
        <w:t xml:space="preserve">apsule </w:t>
      </w:r>
      <w:r w:rsidR="007E6A67" w:rsidRPr="00DC459C">
        <w:rPr>
          <w:color w:val="auto"/>
        </w:rPr>
        <w:t>b</w:t>
      </w:r>
      <w:r w:rsidRPr="00DC459C">
        <w:rPr>
          <w:color w:val="auto"/>
        </w:rPr>
        <w:t xml:space="preserve">iosynthesis in </w:t>
      </w:r>
      <w:r w:rsidRPr="00DC459C">
        <w:rPr>
          <w:i/>
          <w:color w:val="auto"/>
        </w:rPr>
        <w:t>Klebsiella pneumoniae</w:t>
      </w:r>
      <w:r w:rsidRPr="00DC459C">
        <w:rPr>
          <w:color w:val="auto"/>
        </w:rPr>
        <w:t xml:space="preserve"> CG43, </w:t>
      </w:r>
      <w:r w:rsidR="007E6A67" w:rsidRPr="00DC459C">
        <w:rPr>
          <w:color w:val="auto"/>
        </w:rPr>
        <w:t>r</w:t>
      </w:r>
      <w:r w:rsidRPr="00DC459C">
        <w:rPr>
          <w:color w:val="auto"/>
        </w:rPr>
        <w:t xml:space="preserve">egulates K2 </w:t>
      </w:r>
      <w:r w:rsidRPr="00DC459C">
        <w:rPr>
          <w:i/>
          <w:color w:val="auto"/>
        </w:rPr>
        <w:t>cps</w:t>
      </w:r>
      <w:r w:rsidRPr="00DC459C">
        <w:rPr>
          <w:color w:val="auto"/>
        </w:rPr>
        <w:t xml:space="preserve"> </w:t>
      </w:r>
      <w:r w:rsidR="007E6A67" w:rsidRPr="00DC459C">
        <w:rPr>
          <w:color w:val="auto"/>
        </w:rPr>
        <w:t>gene e</w:t>
      </w:r>
      <w:r w:rsidRPr="00DC459C">
        <w:rPr>
          <w:color w:val="auto"/>
        </w:rPr>
        <w:t xml:space="preserve">xpression at the </w:t>
      </w:r>
      <w:r w:rsidR="007E6A67" w:rsidRPr="00DC459C">
        <w:rPr>
          <w:color w:val="auto"/>
        </w:rPr>
        <w:t>t</w:t>
      </w:r>
      <w:r w:rsidRPr="00DC459C">
        <w:rPr>
          <w:color w:val="auto"/>
        </w:rPr>
        <w:t xml:space="preserve">ranscriptional </w:t>
      </w:r>
      <w:r w:rsidR="007E6A67" w:rsidRPr="00DC459C">
        <w:rPr>
          <w:color w:val="auto"/>
        </w:rPr>
        <w:t>l</w:t>
      </w:r>
      <w:r w:rsidRPr="00DC459C">
        <w:rPr>
          <w:color w:val="auto"/>
        </w:rPr>
        <w:t xml:space="preserve">evel. </w:t>
      </w:r>
      <w:r w:rsidRPr="00DC459C">
        <w:rPr>
          <w:i/>
          <w:iCs/>
          <w:color w:val="auto"/>
        </w:rPr>
        <w:t>Journal of Bacteriology</w:t>
      </w:r>
      <w:r w:rsidRPr="00DC459C">
        <w:rPr>
          <w:color w:val="auto"/>
        </w:rPr>
        <w:t xml:space="preserve">. </w:t>
      </w:r>
      <w:r w:rsidRPr="00DC459C">
        <w:rPr>
          <w:b/>
          <w:bCs/>
          <w:color w:val="auto"/>
        </w:rPr>
        <w:t>185</w:t>
      </w:r>
      <w:r w:rsidRPr="00DC459C">
        <w:rPr>
          <w:color w:val="auto"/>
        </w:rPr>
        <w:t xml:space="preserve"> (3), 788</w:t>
      </w:r>
      <w:r w:rsidR="008D24F4">
        <w:rPr>
          <w:color w:val="auto"/>
        </w:rPr>
        <w:t>-</w:t>
      </w:r>
      <w:r w:rsidRPr="00DC459C">
        <w:rPr>
          <w:color w:val="auto"/>
        </w:rPr>
        <w:t xml:space="preserve">800, </w:t>
      </w:r>
      <w:proofErr w:type="spellStart"/>
      <w:r w:rsidRPr="00DC459C">
        <w:rPr>
          <w:color w:val="auto"/>
        </w:rPr>
        <w:t>doi</w:t>
      </w:r>
      <w:proofErr w:type="spellEnd"/>
      <w:r w:rsidRPr="00DC459C">
        <w:rPr>
          <w:color w:val="auto"/>
        </w:rPr>
        <w:t>: 10.1128/JB.185.3.788-800.2003 (2003).</w:t>
      </w:r>
    </w:p>
    <w:p w14:paraId="2A0DE298" w14:textId="4C91691D" w:rsidR="007E6A67" w:rsidRPr="00DC459C" w:rsidRDefault="00690383" w:rsidP="00DC459C">
      <w:pPr>
        <w:widowControl/>
        <w:rPr>
          <w:color w:val="auto"/>
        </w:rPr>
      </w:pPr>
      <w:r w:rsidRPr="00DC459C">
        <w:rPr>
          <w:color w:val="auto"/>
        </w:rPr>
        <w:t>7.</w:t>
      </w:r>
      <w:r w:rsidRPr="00DC459C">
        <w:rPr>
          <w:color w:val="auto"/>
        </w:rPr>
        <w:tab/>
      </w:r>
      <w:proofErr w:type="spellStart"/>
      <w:r w:rsidR="007E6A67" w:rsidRPr="00DC459C">
        <w:rPr>
          <w:color w:val="auto"/>
        </w:rPr>
        <w:t>Menck</w:t>
      </w:r>
      <w:proofErr w:type="spellEnd"/>
      <w:r w:rsidR="007E6A67" w:rsidRPr="00DC459C">
        <w:rPr>
          <w:color w:val="auto"/>
        </w:rPr>
        <w:t>, K.</w:t>
      </w:r>
      <w:r w:rsidR="00E0496F">
        <w:rPr>
          <w:color w:val="auto"/>
        </w:rPr>
        <w:t>,</w:t>
      </w:r>
      <w:r w:rsidR="00DC459C" w:rsidRPr="00DC459C">
        <w:rPr>
          <w:i/>
          <w:color w:val="auto"/>
        </w:rPr>
        <w:t xml:space="preserve"> et al</w:t>
      </w:r>
      <w:r w:rsidR="00DC459C">
        <w:rPr>
          <w:i/>
          <w:color w:val="auto"/>
        </w:rPr>
        <w:t>.</w:t>
      </w:r>
      <w:r w:rsidR="007E6A67" w:rsidRPr="00DC459C">
        <w:rPr>
          <w:color w:val="auto"/>
        </w:rPr>
        <w:t xml:space="preserve"> Isolation of human monocytes by double gradient centrifugation and their differentiation to macrophages in Teflon-coated cell culture bags. </w:t>
      </w:r>
      <w:r w:rsidR="007E6A67" w:rsidRPr="00DC459C">
        <w:rPr>
          <w:i/>
          <w:iCs/>
          <w:color w:val="auto"/>
        </w:rPr>
        <w:t>Journal of Visualized Experiments</w:t>
      </w:r>
      <w:r w:rsidR="007E6A67" w:rsidRPr="00DC459C">
        <w:rPr>
          <w:color w:val="auto"/>
        </w:rPr>
        <w:t>. (91), 1</w:t>
      </w:r>
      <w:r w:rsidR="008D24F4">
        <w:rPr>
          <w:color w:val="auto"/>
        </w:rPr>
        <w:t>-</w:t>
      </w:r>
      <w:r w:rsidR="007E6A67" w:rsidRPr="00DC459C">
        <w:rPr>
          <w:color w:val="auto"/>
        </w:rPr>
        <w:t xml:space="preserve">10, </w:t>
      </w:r>
      <w:proofErr w:type="spellStart"/>
      <w:r w:rsidR="007E6A67" w:rsidRPr="00DC459C">
        <w:rPr>
          <w:color w:val="auto"/>
        </w:rPr>
        <w:t>doi</w:t>
      </w:r>
      <w:proofErr w:type="spellEnd"/>
      <w:r w:rsidR="007E6A67" w:rsidRPr="00DC459C">
        <w:rPr>
          <w:color w:val="auto"/>
        </w:rPr>
        <w:t>: 10.3791/51554 (2014).</w:t>
      </w:r>
    </w:p>
    <w:p w14:paraId="71BAB4B0" w14:textId="77777777" w:rsidR="007E6A67" w:rsidRPr="00DC459C" w:rsidRDefault="007E6A67" w:rsidP="00DC459C">
      <w:pPr>
        <w:widowControl/>
        <w:rPr>
          <w:color w:val="auto"/>
        </w:rPr>
      </w:pPr>
      <w:r w:rsidRPr="00DC459C">
        <w:rPr>
          <w:color w:val="auto"/>
        </w:rPr>
        <w:t>8.</w:t>
      </w:r>
      <w:r w:rsidRPr="00DC459C">
        <w:rPr>
          <w:color w:val="auto"/>
        </w:rPr>
        <w:tab/>
        <w:t xml:space="preserve">Dorman, M.J., Feltwell, T., Goulding, D.A., Parkhill, J., Short, F.L. The capsule regulatory network of </w:t>
      </w:r>
      <w:r w:rsidRPr="00DC459C">
        <w:rPr>
          <w:i/>
          <w:color w:val="auto"/>
        </w:rPr>
        <w:t>Klebsiella pneumoniae</w:t>
      </w:r>
      <w:r w:rsidRPr="00DC459C">
        <w:rPr>
          <w:color w:val="auto"/>
        </w:rPr>
        <w:t xml:space="preserve"> defined by density-TraDISort. </w:t>
      </w:r>
      <w:r w:rsidRPr="00DC459C">
        <w:rPr>
          <w:i/>
          <w:iCs/>
          <w:color w:val="auto"/>
        </w:rPr>
        <w:t>In revision</w:t>
      </w:r>
      <w:r w:rsidRPr="00DC459C">
        <w:rPr>
          <w:color w:val="auto"/>
        </w:rPr>
        <w:t xml:space="preserve"> (2018).</w:t>
      </w:r>
    </w:p>
    <w:p w14:paraId="22B2AB1E" w14:textId="2B9EF93B" w:rsidR="00690383" w:rsidRPr="00DC459C" w:rsidRDefault="00690383" w:rsidP="00DC459C">
      <w:pPr>
        <w:widowControl/>
        <w:rPr>
          <w:color w:val="auto"/>
        </w:rPr>
      </w:pPr>
      <w:r w:rsidRPr="00DC459C">
        <w:rPr>
          <w:color w:val="auto"/>
        </w:rPr>
        <w:t>9.</w:t>
      </w:r>
      <w:r w:rsidRPr="00DC459C">
        <w:rPr>
          <w:color w:val="auto"/>
        </w:rPr>
        <w:tab/>
        <w:t>Geno, K.A.</w:t>
      </w:r>
      <w:r w:rsidR="00E0496F">
        <w:rPr>
          <w:color w:val="auto"/>
        </w:rPr>
        <w:t>,</w:t>
      </w:r>
      <w:r w:rsidR="00DC459C" w:rsidRPr="00DC459C">
        <w:rPr>
          <w:i/>
          <w:color w:val="auto"/>
        </w:rPr>
        <w:t xml:space="preserve"> et al</w:t>
      </w:r>
      <w:r w:rsidR="00DC459C">
        <w:rPr>
          <w:i/>
          <w:color w:val="auto"/>
        </w:rPr>
        <w:t>.</w:t>
      </w:r>
      <w:r w:rsidRPr="00DC459C">
        <w:rPr>
          <w:color w:val="auto"/>
        </w:rPr>
        <w:t xml:space="preserve"> Pneumococcal capsules and their types: Past, present, and future. </w:t>
      </w:r>
      <w:r w:rsidRPr="00DC459C">
        <w:rPr>
          <w:i/>
          <w:iCs/>
          <w:color w:val="auto"/>
        </w:rPr>
        <w:t>Clinical Microbiology Reviews</w:t>
      </w:r>
      <w:r w:rsidRPr="00DC459C">
        <w:rPr>
          <w:color w:val="auto"/>
        </w:rPr>
        <w:t xml:space="preserve">. </w:t>
      </w:r>
      <w:r w:rsidRPr="00DC459C">
        <w:rPr>
          <w:b/>
          <w:bCs/>
          <w:color w:val="auto"/>
        </w:rPr>
        <w:t>28</w:t>
      </w:r>
      <w:r w:rsidRPr="00DC459C">
        <w:rPr>
          <w:color w:val="auto"/>
        </w:rPr>
        <w:t xml:space="preserve"> (3), 871</w:t>
      </w:r>
      <w:r w:rsidR="008D24F4">
        <w:rPr>
          <w:color w:val="auto"/>
        </w:rPr>
        <w:t>-</w:t>
      </w:r>
      <w:r w:rsidRPr="00DC459C">
        <w:rPr>
          <w:color w:val="auto"/>
        </w:rPr>
        <w:t xml:space="preserve">899, </w:t>
      </w:r>
      <w:proofErr w:type="spellStart"/>
      <w:r w:rsidRPr="00DC459C">
        <w:rPr>
          <w:color w:val="auto"/>
        </w:rPr>
        <w:t>doi</w:t>
      </w:r>
      <w:proofErr w:type="spellEnd"/>
      <w:r w:rsidRPr="00DC459C">
        <w:rPr>
          <w:color w:val="auto"/>
        </w:rPr>
        <w:t>: 10.1128/CMR.00024-15 (2015).</w:t>
      </w:r>
    </w:p>
    <w:p w14:paraId="3B5B5605" w14:textId="3C5746AE" w:rsidR="00690383" w:rsidRPr="00DC459C" w:rsidRDefault="00690383" w:rsidP="00DC459C">
      <w:pPr>
        <w:widowControl/>
        <w:rPr>
          <w:color w:val="auto"/>
        </w:rPr>
      </w:pPr>
      <w:r w:rsidRPr="00DC459C">
        <w:rPr>
          <w:color w:val="auto"/>
        </w:rPr>
        <w:lastRenderedPageBreak/>
        <w:t>10.</w:t>
      </w:r>
      <w:r w:rsidRPr="00DC459C">
        <w:rPr>
          <w:color w:val="auto"/>
        </w:rPr>
        <w:tab/>
        <w:t xml:space="preserve">Weber, B.S., Harding, C.M., Feldman, M.F. Pathogenic </w:t>
      </w:r>
      <w:r w:rsidRPr="00DC459C">
        <w:rPr>
          <w:i/>
          <w:color w:val="auto"/>
        </w:rPr>
        <w:t>Acinetobacter</w:t>
      </w:r>
      <w:r w:rsidRPr="00DC459C">
        <w:rPr>
          <w:color w:val="auto"/>
        </w:rPr>
        <w:t>: From the cell surface to infinity and beyon</w:t>
      </w:r>
      <w:r w:rsidR="007E6A67" w:rsidRPr="00DC459C">
        <w:rPr>
          <w:color w:val="auto"/>
        </w:rPr>
        <w:t>d.</w:t>
      </w:r>
      <w:r w:rsidRPr="00DC459C">
        <w:rPr>
          <w:color w:val="auto"/>
        </w:rPr>
        <w:t xml:space="preserve"> </w:t>
      </w:r>
      <w:r w:rsidRPr="00DC459C">
        <w:rPr>
          <w:i/>
          <w:iCs/>
          <w:color w:val="auto"/>
        </w:rPr>
        <w:t>Journal of Bacteriology</w:t>
      </w:r>
      <w:r w:rsidRPr="00DC459C">
        <w:rPr>
          <w:color w:val="auto"/>
        </w:rPr>
        <w:t xml:space="preserve">. </w:t>
      </w:r>
      <w:r w:rsidRPr="00DC459C">
        <w:rPr>
          <w:b/>
          <w:bCs/>
          <w:color w:val="auto"/>
        </w:rPr>
        <w:t>1986</w:t>
      </w:r>
      <w:r w:rsidRPr="00DC459C">
        <w:rPr>
          <w:color w:val="auto"/>
        </w:rPr>
        <w:t xml:space="preserve"> (6), 880</w:t>
      </w:r>
      <w:r w:rsidR="008D24F4">
        <w:rPr>
          <w:color w:val="auto"/>
        </w:rPr>
        <w:t>-</w:t>
      </w:r>
      <w:r w:rsidRPr="00DC459C">
        <w:rPr>
          <w:color w:val="auto"/>
        </w:rPr>
        <w:t xml:space="preserve">887, </w:t>
      </w:r>
      <w:proofErr w:type="spellStart"/>
      <w:r w:rsidRPr="00DC459C">
        <w:rPr>
          <w:color w:val="auto"/>
        </w:rPr>
        <w:t>doi</w:t>
      </w:r>
      <w:proofErr w:type="spellEnd"/>
      <w:r w:rsidRPr="00DC459C">
        <w:rPr>
          <w:color w:val="auto"/>
        </w:rPr>
        <w:t>: 10.1128/JB.00906-15. (2016).</w:t>
      </w:r>
    </w:p>
    <w:p w14:paraId="39FFD988" w14:textId="13AC3D8C" w:rsidR="00690383" w:rsidRPr="00DC459C" w:rsidRDefault="00690383" w:rsidP="00DC459C">
      <w:pPr>
        <w:widowControl/>
        <w:rPr>
          <w:color w:val="auto"/>
        </w:rPr>
      </w:pPr>
      <w:r w:rsidRPr="00DC459C">
        <w:rPr>
          <w:color w:val="auto"/>
        </w:rPr>
        <w:t>11.</w:t>
      </w:r>
      <w:r w:rsidRPr="00DC459C">
        <w:rPr>
          <w:color w:val="auto"/>
        </w:rPr>
        <w:tab/>
        <w:t xml:space="preserve">Mubaiwa, T.D., Semchenko, E.A., Hartley-Tassell, L.E., Day, C.J., Jennings, M.P., Seib, K.L. The sweet side of the pathogenic </w:t>
      </w:r>
      <w:r w:rsidRPr="00DC459C">
        <w:rPr>
          <w:i/>
          <w:color w:val="auto"/>
        </w:rPr>
        <w:t>Neisseria</w:t>
      </w:r>
      <w:r w:rsidRPr="00DC459C">
        <w:rPr>
          <w:color w:val="auto"/>
        </w:rPr>
        <w:t xml:space="preserve">: The role of glycan interactions in colonisation and disease. </w:t>
      </w:r>
      <w:r w:rsidRPr="00DC459C">
        <w:rPr>
          <w:i/>
          <w:iCs/>
          <w:color w:val="auto"/>
        </w:rPr>
        <w:t>Pathogens and Disease</w:t>
      </w:r>
      <w:r w:rsidRPr="00DC459C">
        <w:rPr>
          <w:color w:val="auto"/>
        </w:rPr>
        <w:t xml:space="preserve">. </w:t>
      </w:r>
      <w:r w:rsidRPr="00DC459C">
        <w:rPr>
          <w:b/>
          <w:bCs/>
          <w:color w:val="auto"/>
        </w:rPr>
        <w:t>75</w:t>
      </w:r>
      <w:r w:rsidRPr="00DC459C">
        <w:rPr>
          <w:color w:val="auto"/>
        </w:rPr>
        <w:t xml:space="preserve"> (5), 1</w:t>
      </w:r>
      <w:r w:rsidR="008D24F4">
        <w:rPr>
          <w:color w:val="auto"/>
        </w:rPr>
        <w:t>-</w:t>
      </w:r>
      <w:r w:rsidRPr="00DC459C">
        <w:rPr>
          <w:color w:val="auto"/>
        </w:rPr>
        <w:t xml:space="preserve">9, </w:t>
      </w:r>
      <w:proofErr w:type="spellStart"/>
      <w:r w:rsidRPr="00DC459C">
        <w:rPr>
          <w:color w:val="auto"/>
        </w:rPr>
        <w:t>doi</w:t>
      </w:r>
      <w:proofErr w:type="spellEnd"/>
      <w:r w:rsidRPr="00DC459C">
        <w:rPr>
          <w:color w:val="auto"/>
        </w:rPr>
        <w:t>: 10.1093/</w:t>
      </w:r>
      <w:proofErr w:type="spellStart"/>
      <w:r w:rsidRPr="00DC459C">
        <w:rPr>
          <w:color w:val="auto"/>
        </w:rPr>
        <w:t>femspd</w:t>
      </w:r>
      <w:proofErr w:type="spellEnd"/>
      <w:r w:rsidRPr="00DC459C">
        <w:rPr>
          <w:color w:val="auto"/>
        </w:rPr>
        <w:t>/ftx063 (2017).</w:t>
      </w:r>
    </w:p>
    <w:p w14:paraId="2748F679" w14:textId="29B129F0" w:rsidR="00690383" w:rsidRPr="00DC459C" w:rsidRDefault="00690383" w:rsidP="00DC459C">
      <w:pPr>
        <w:widowControl/>
        <w:rPr>
          <w:color w:val="auto"/>
        </w:rPr>
      </w:pPr>
      <w:r w:rsidRPr="00DC459C">
        <w:rPr>
          <w:color w:val="auto"/>
        </w:rPr>
        <w:t>12.</w:t>
      </w:r>
      <w:r w:rsidRPr="00DC459C">
        <w:rPr>
          <w:color w:val="auto"/>
        </w:rPr>
        <w:tab/>
        <w:t>Wu, K.-M.M.</w:t>
      </w:r>
      <w:r w:rsidR="00E0496F">
        <w:rPr>
          <w:color w:val="auto"/>
        </w:rPr>
        <w:t>,</w:t>
      </w:r>
      <w:r w:rsidR="00DC459C" w:rsidRPr="00DC459C">
        <w:rPr>
          <w:i/>
          <w:color w:val="auto"/>
        </w:rPr>
        <w:t xml:space="preserve"> et al</w:t>
      </w:r>
      <w:r w:rsidR="00DC459C">
        <w:rPr>
          <w:i/>
          <w:color w:val="auto"/>
        </w:rPr>
        <w:t>.</w:t>
      </w:r>
      <w:r w:rsidRPr="00DC459C">
        <w:rPr>
          <w:color w:val="auto"/>
        </w:rPr>
        <w:t xml:space="preserve"> Genome sequencing and comparative analysis of </w:t>
      </w:r>
      <w:r w:rsidRPr="00DC459C">
        <w:rPr>
          <w:i/>
          <w:color w:val="auto"/>
        </w:rPr>
        <w:t>Klebsiella</w:t>
      </w:r>
      <w:r w:rsidRPr="00DC459C">
        <w:rPr>
          <w:color w:val="auto"/>
        </w:rPr>
        <w:t xml:space="preserve"> </w:t>
      </w:r>
      <w:r w:rsidRPr="00DC459C">
        <w:rPr>
          <w:i/>
          <w:color w:val="auto"/>
        </w:rPr>
        <w:t>pneumoniae</w:t>
      </w:r>
      <w:r w:rsidRPr="00DC459C">
        <w:rPr>
          <w:color w:val="auto"/>
        </w:rPr>
        <w:t xml:space="preserve"> NTUH-K2044, a strain causing liver abscess and meningitis. </w:t>
      </w:r>
      <w:r w:rsidRPr="00DC459C">
        <w:rPr>
          <w:i/>
          <w:iCs/>
          <w:color w:val="auto"/>
        </w:rPr>
        <w:t>Journal of Bacteriology</w:t>
      </w:r>
      <w:r w:rsidRPr="00DC459C">
        <w:rPr>
          <w:color w:val="auto"/>
        </w:rPr>
        <w:t xml:space="preserve">. </w:t>
      </w:r>
      <w:r w:rsidRPr="00DC459C">
        <w:rPr>
          <w:b/>
          <w:bCs/>
          <w:color w:val="auto"/>
        </w:rPr>
        <w:t>191</w:t>
      </w:r>
      <w:r w:rsidRPr="00DC459C">
        <w:rPr>
          <w:color w:val="auto"/>
        </w:rPr>
        <w:t xml:space="preserve"> (14), 4492</w:t>
      </w:r>
      <w:r w:rsidR="008D24F4">
        <w:rPr>
          <w:color w:val="auto"/>
        </w:rPr>
        <w:t>-</w:t>
      </w:r>
      <w:r w:rsidRPr="00DC459C">
        <w:rPr>
          <w:color w:val="auto"/>
        </w:rPr>
        <w:t xml:space="preserve">4501, </w:t>
      </w:r>
      <w:proofErr w:type="spellStart"/>
      <w:r w:rsidRPr="00DC459C">
        <w:rPr>
          <w:color w:val="auto"/>
        </w:rPr>
        <w:t>doi</w:t>
      </w:r>
      <w:proofErr w:type="spellEnd"/>
      <w:r w:rsidRPr="00DC459C">
        <w:rPr>
          <w:color w:val="auto"/>
        </w:rPr>
        <w:t>: 10.1128/JB.00315-09 (2009).</w:t>
      </w:r>
    </w:p>
    <w:p w14:paraId="35243F0C" w14:textId="77777777" w:rsidR="00690383" w:rsidRPr="00DC459C" w:rsidRDefault="00690383" w:rsidP="00DC459C">
      <w:pPr>
        <w:widowControl/>
        <w:rPr>
          <w:color w:val="auto"/>
        </w:rPr>
      </w:pPr>
      <w:r w:rsidRPr="00DC459C">
        <w:rPr>
          <w:color w:val="auto"/>
        </w:rPr>
        <w:t>13.</w:t>
      </w:r>
      <w:r w:rsidRPr="00DC459C">
        <w:rPr>
          <w:color w:val="auto"/>
        </w:rPr>
        <w:tab/>
        <w:t>Broberg, C.A., Wu, W., Cavalcoli, J.D., Miller</w:t>
      </w:r>
      <w:r w:rsidR="007E6A67" w:rsidRPr="00DC459C">
        <w:rPr>
          <w:color w:val="auto"/>
        </w:rPr>
        <w:t>, V.L., Bachman, M.A. Complete g</w:t>
      </w:r>
      <w:r w:rsidRPr="00DC459C">
        <w:rPr>
          <w:color w:val="auto"/>
        </w:rPr>
        <w:t>enome</w:t>
      </w:r>
      <w:r w:rsidR="007E6A67" w:rsidRPr="00DC459C">
        <w:rPr>
          <w:color w:val="auto"/>
        </w:rPr>
        <w:t xml:space="preserve"> s</w:t>
      </w:r>
      <w:r w:rsidRPr="00DC459C">
        <w:rPr>
          <w:color w:val="auto"/>
        </w:rPr>
        <w:t xml:space="preserve">equence of </w:t>
      </w:r>
      <w:r w:rsidRPr="00DC459C">
        <w:rPr>
          <w:i/>
          <w:color w:val="auto"/>
        </w:rPr>
        <w:t>Klebsiella</w:t>
      </w:r>
      <w:r w:rsidRPr="00DC459C">
        <w:rPr>
          <w:color w:val="auto"/>
        </w:rPr>
        <w:t xml:space="preserve"> </w:t>
      </w:r>
      <w:r w:rsidRPr="00DC459C">
        <w:rPr>
          <w:i/>
          <w:color w:val="auto"/>
        </w:rPr>
        <w:t>pneumoniae</w:t>
      </w:r>
      <w:r w:rsidRPr="00DC459C">
        <w:rPr>
          <w:color w:val="auto"/>
        </w:rPr>
        <w:t xml:space="preserve"> Strai</w:t>
      </w:r>
      <w:r w:rsidR="007E6A67" w:rsidRPr="00DC459C">
        <w:rPr>
          <w:color w:val="auto"/>
        </w:rPr>
        <w:t>n ATCC 43816 KPPR1, a rifampin-resistant mutant commonly used in animal, genetic, and molecular biology s</w:t>
      </w:r>
      <w:r w:rsidRPr="00DC459C">
        <w:rPr>
          <w:color w:val="auto"/>
        </w:rPr>
        <w:t xml:space="preserve">tudies. </w:t>
      </w:r>
      <w:r w:rsidRPr="00DC459C">
        <w:rPr>
          <w:i/>
          <w:iCs/>
          <w:color w:val="auto"/>
        </w:rPr>
        <w:t>Genome Announcements</w:t>
      </w:r>
      <w:r w:rsidRPr="00DC459C">
        <w:rPr>
          <w:color w:val="auto"/>
        </w:rPr>
        <w:t xml:space="preserve">. </w:t>
      </w:r>
      <w:r w:rsidRPr="00DC459C">
        <w:rPr>
          <w:b/>
          <w:bCs/>
          <w:color w:val="auto"/>
        </w:rPr>
        <w:t>2</w:t>
      </w:r>
      <w:r w:rsidRPr="00DC459C">
        <w:rPr>
          <w:color w:val="auto"/>
        </w:rPr>
        <w:t xml:space="preserve"> (5), doi: 10.1128/genomeA.00924-14 (2014).</w:t>
      </w:r>
    </w:p>
    <w:p w14:paraId="4A9386F3" w14:textId="1EF493AC" w:rsidR="00690383" w:rsidRPr="00DC459C" w:rsidRDefault="00690383" w:rsidP="00DC459C">
      <w:pPr>
        <w:widowControl/>
        <w:rPr>
          <w:color w:val="auto"/>
        </w:rPr>
      </w:pPr>
      <w:r w:rsidRPr="00DC459C">
        <w:rPr>
          <w:color w:val="auto"/>
        </w:rPr>
        <w:t>14.</w:t>
      </w:r>
      <w:r w:rsidRPr="00DC459C">
        <w:rPr>
          <w:color w:val="auto"/>
        </w:rPr>
        <w:tab/>
        <w:t>Croucher, N.J.</w:t>
      </w:r>
      <w:r w:rsidR="00E0496F">
        <w:rPr>
          <w:color w:val="auto"/>
        </w:rPr>
        <w:t>,</w:t>
      </w:r>
      <w:r w:rsidR="00DC459C" w:rsidRPr="00DC459C">
        <w:rPr>
          <w:i/>
          <w:color w:val="auto"/>
        </w:rPr>
        <w:t xml:space="preserve"> et al</w:t>
      </w:r>
      <w:r w:rsidR="00DC459C">
        <w:rPr>
          <w:i/>
          <w:color w:val="auto"/>
        </w:rPr>
        <w:t>.</w:t>
      </w:r>
      <w:r w:rsidRPr="00DC459C">
        <w:rPr>
          <w:color w:val="auto"/>
        </w:rPr>
        <w:t xml:space="preserve"> Role of conjugative elements in the evolution of the multidrug-resistant pandemic clone </w:t>
      </w:r>
      <w:r w:rsidRPr="00DC459C">
        <w:rPr>
          <w:i/>
          <w:color w:val="auto"/>
        </w:rPr>
        <w:t>Streptococcus</w:t>
      </w:r>
      <w:r w:rsidRPr="00DC459C">
        <w:rPr>
          <w:color w:val="auto"/>
        </w:rPr>
        <w:t xml:space="preserve"> </w:t>
      </w:r>
      <w:r w:rsidRPr="00DC459C">
        <w:rPr>
          <w:i/>
          <w:color w:val="auto"/>
        </w:rPr>
        <w:t>pneumoniae</w:t>
      </w:r>
      <w:r w:rsidR="0074063B" w:rsidRPr="00DC459C">
        <w:rPr>
          <w:color w:val="auto"/>
          <w:vertAlign w:val="superscript"/>
        </w:rPr>
        <w:t>S</w:t>
      </w:r>
      <w:r w:rsidRPr="00DC459C">
        <w:rPr>
          <w:color w:val="auto"/>
          <w:vertAlign w:val="superscript"/>
        </w:rPr>
        <w:t>pain23F</w:t>
      </w:r>
      <w:r w:rsidR="0074063B" w:rsidRPr="00DC459C">
        <w:rPr>
          <w:color w:val="auto"/>
        </w:rPr>
        <w:t xml:space="preserve"> </w:t>
      </w:r>
      <w:r w:rsidRPr="00DC459C">
        <w:rPr>
          <w:color w:val="auto"/>
        </w:rPr>
        <w:t xml:space="preserve">ST81. </w:t>
      </w:r>
      <w:r w:rsidRPr="00DC459C">
        <w:rPr>
          <w:i/>
          <w:iCs/>
          <w:color w:val="auto"/>
        </w:rPr>
        <w:t>Journal of Bacteriology</w:t>
      </w:r>
      <w:r w:rsidRPr="00DC459C">
        <w:rPr>
          <w:color w:val="auto"/>
        </w:rPr>
        <w:t xml:space="preserve">. </w:t>
      </w:r>
      <w:r w:rsidRPr="00DC459C">
        <w:rPr>
          <w:b/>
          <w:bCs/>
          <w:color w:val="auto"/>
        </w:rPr>
        <w:t>191</w:t>
      </w:r>
      <w:r w:rsidRPr="00DC459C">
        <w:rPr>
          <w:color w:val="auto"/>
        </w:rPr>
        <w:t xml:space="preserve"> (5), 1480</w:t>
      </w:r>
      <w:r w:rsidR="008D24F4">
        <w:rPr>
          <w:color w:val="auto"/>
        </w:rPr>
        <w:t>-</w:t>
      </w:r>
      <w:r w:rsidRPr="00DC459C">
        <w:rPr>
          <w:color w:val="auto"/>
        </w:rPr>
        <w:t xml:space="preserve">1489, </w:t>
      </w:r>
      <w:proofErr w:type="spellStart"/>
      <w:r w:rsidRPr="00DC459C">
        <w:rPr>
          <w:color w:val="auto"/>
        </w:rPr>
        <w:t>doi</w:t>
      </w:r>
      <w:proofErr w:type="spellEnd"/>
      <w:r w:rsidRPr="00DC459C">
        <w:rPr>
          <w:color w:val="auto"/>
        </w:rPr>
        <w:t>: 10.1128/JB.01343-08 (2009).</w:t>
      </w:r>
    </w:p>
    <w:p w14:paraId="18ACFF15" w14:textId="260FC46D" w:rsidR="00690383" w:rsidRPr="00DC459C" w:rsidRDefault="00690383" w:rsidP="00DC459C">
      <w:pPr>
        <w:widowControl/>
        <w:rPr>
          <w:color w:val="auto"/>
        </w:rPr>
      </w:pPr>
      <w:r w:rsidRPr="00DC459C">
        <w:rPr>
          <w:color w:val="auto"/>
        </w:rPr>
        <w:t>15.</w:t>
      </w:r>
      <w:r w:rsidRPr="00DC459C">
        <w:rPr>
          <w:color w:val="auto"/>
        </w:rPr>
        <w:tab/>
        <w:t>Croucher, N.J.</w:t>
      </w:r>
      <w:r w:rsidR="00E0496F">
        <w:rPr>
          <w:color w:val="auto"/>
        </w:rPr>
        <w:t>,</w:t>
      </w:r>
      <w:r w:rsidR="00DC459C" w:rsidRPr="00DC459C">
        <w:rPr>
          <w:i/>
          <w:color w:val="auto"/>
        </w:rPr>
        <w:t xml:space="preserve"> et al</w:t>
      </w:r>
      <w:r w:rsidR="00DC459C">
        <w:rPr>
          <w:i/>
          <w:color w:val="auto"/>
        </w:rPr>
        <w:t>.</w:t>
      </w:r>
      <w:r w:rsidRPr="00DC459C">
        <w:rPr>
          <w:color w:val="auto"/>
        </w:rPr>
        <w:t xml:space="preserve"> Selective and </w:t>
      </w:r>
      <w:r w:rsidR="0074063B" w:rsidRPr="00DC459C">
        <w:rPr>
          <w:color w:val="auto"/>
        </w:rPr>
        <w:t>g</w:t>
      </w:r>
      <w:r w:rsidRPr="00DC459C">
        <w:rPr>
          <w:color w:val="auto"/>
        </w:rPr>
        <w:t xml:space="preserve">enetic </w:t>
      </w:r>
      <w:r w:rsidR="0074063B" w:rsidRPr="00DC459C">
        <w:rPr>
          <w:color w:val="auto"/>
        </w:rPr>
        <w:t>c</w:t>
      </w:r>
      <w:r w:rsidRPr="00DC459C">
        <w:rPr>
          <w:color w:val="auto"/>
        </w:rPr>
        <w:t xml:space="preserve">onstraints on Pneumococcal </w:t>
      </w:r>
      <w:r w:rsidR="0074063B" w:rsidRPr="00DC459C">
        <w:rPr>
          <w:color w:val="auto"/>
        </w:rPr>
        <w:t>serotype s</w:t>
      </w:r>
      <w:r w:rsidRPr="00DC459C">
        <w:rPr>
          <w:color w:val="auto"/>
        </w:rPr>
        <w:t xml:space="preserve">witching. </w:t>
      </w:r>
      <w:r w:rsidRPr="00DC459C">
        <w:rPr>
          <w:i/>
          <w:iCs/>
          <w:color w:val="auto"/>
        </w:rPr>
        <w:t>PLoS Genetics</w:t>
      </w:r>
      <w:r w:rsidRPr="00DC459C">
        <w:rPr>
          <w:color w:val="auto"/>
        </w:rPr>
        <w:t xml:space="preserve">. </w:t>
      </w:r>
      <w:r w:rsidRPr="00DC459C">
        <w:rPr>
          <w:b/>
          <w:bCs/>
          <w:color w:val="auto"/>
        </w:rPr>
        <w:t>11</w:t>
      </w:r>
      <w:r w:rsidRPr="00DC459C">
        <w:rPr>
          <w:color w:val="auto"/>
        </w:rPr>
        <w:t xml:space="preserve"> (3), 1</w:t>
      </w:r>
      <w:r w:rsidR="008D24F4">
        <w:rPr>
          <w:color w:val="auto"/>
        </w:rPr>
        <w:t>-</w:t>
      </w:r>
      <w:r w:rsidRPr="00DC459C">
        <w:rPr>
          <w:color w:val="auto"/>
        </w:rPr>
        <w:t xml:space="preserve">21, </w:t>
      </w:r>
      <w:proofErr w:type="spellStart"/>
      <w:r w:rsidRPr="00DC459C">
        <w:rPr>
          <w:color w:val="auto"/>
        </w:rPr>
        <w:t>doi</w:t>
      </w:r>
      <w:proofErr w:type="spellEnd"/>
      <w:r w:rsidRPr="00DC459C">
        <w:rPr>
          <w:color w:val="auto"/>
        </w:rPr>
        <w:t>: 10.1371/journal.pgen.1005095 (2015).</w:t>
      </w:r>
    </w:p>
    <w:p w14:paraId="3FC28432" w14:textId="463498C0" w:rsidR="00984D11" w:rsidRPr="00DC459C" w:rsidRDefault="00984D11" w:rsidP="00DC459C">
      <w:pPr>
        <w:widowControl/>
        <w:rPr>
          <w:color w:val="auto"/>
        </w:rPr>
      </w:pPr>
      <w:r w:rsidRPr="00DC459C">
        <w:rPr>
          <w:color w:val="auto"/>
        </w:rPr>
        <w:t>16.</w:t>
      </w:r>
      <w:r w:rsidRPr="00DC459C">
        <w:rPr>
          <w:color w:val="auto"/>
        </w:rPr>
        <w:tab/>
      </w:r>
      <w:proofErr w:type="spellStart"/>
      <w:r w:rsidR="00C407D7" w:rsidRPr="00DC459C">
        <w:rPr>
          <w:color w:val="auto"/>
        </w:rPr>
        <w:t>Pertoft</w:t>
      </w:r>
      <w:proofErr w:type="spellEnd"/>
      <w:r w:rsidR="00C407D7" w:rsidRPr="00DC459C">
        <w:rPr>
          <w:color w:val="auto"/>
        </w:rPr>
        <w:t>, H.</w:t>
      </w:r>
      <w:r w:rsidR="00E0496F">
        <w:rPr>
          <w:color w:val="auto"/>
        </w:rPr>
        <w:t>,</w:t>
      </w:r>
      <w:r w:rsidR="00DC459C" w:rsidRPr="00DC459C">
        <w:rPr>
          <w:i/>
          <w:color w:val="auto"/>
        </w:rPr>
        <w:t xml:space="preserve"> et al</w:t>
      </w:r>
      <w:r w:rsidR="00DC459C">
        <w:rPr>
          <w:i/>
          <w:color w:val="auto"/>
        </w:rPr>
        <w:t>.</w:t>
      </w:r>
      <w:r w:rsidR="00C407D7" w:rsidRPr="00DC459C">
        <w:rPr>
          <w:color w:val="auto"/>
        </w:rPr>
        <w:t xml:space="preserve"> Density gradients prepared from colloidal silica particles coated by polyvinylpyrrolidone (Percoll)</w:t>
      </w:r>
      <w:r w:rsidR="00860F8B" w:rsidRPr="00DC459C">
        <w:rPr>
          <w:color w:val="auto"/>
        </w:rPr>
        <w:t xml:space="preserve">. </w:t>
      </w:r>
      <w:r w:rsidR="00860F8B" w:rsidRPr="00DC459C">
        <w:rPr>
          <w:i/>
          <w:color w:val="auto"/>
        </w:rPr>
        <w:t>Analytical Biochemistry</w:t>
      </w:r>
      <w:r w:rsidR="00860F8B" w:rsidRPr="00DC459C">
        <w:rPr>
          <w:color w:val="auto"/>
        </w:rPr>
        <w:t xml:space="preserve">. </w:t>
      </w:r>
      <w:r w:rsidR="00860F8B" w:rsidRPr="00DC459C">
        <w:rPr>
          <w:b/>
          <w:color w:val="auto"/>
        </w:rPr>
        <w:t>88</w:t>
      </w:r>
      <w:r w:rsidR="00860F8B" w:rsidRPr="00DC459C">
        <w:rPr>
          <w:color w:val="auto"/>
        </w:rPr>
        <w:t>, 271-282 (1978).</w:t>
      </w:r>
    </w:p>
    <w:p w14:paraId="24565B84" w14:textId="77777777" w:rsidR="00690383" w:rsidRPr="00DC459C" w:rsidRDefault="00984D11" w:rsidP="00DC459C">
      <w:pPr>
        <w:widowControl/>
        <w:rPr>
          <w:color w:val="auto"/>
        </w:rPr>
      </w:pPr>
      <w:r w:rsidRPr="00DC459C">
        <w:rPr>
          <w:color w:val="auto"/>
        </w:rPr>
        <w:t>17</w:t>
      </w:r>
      <w:r w:rsidR="00690383" w:rsidRPr="00DC459C">
        <w:rPr>
          <w:color w:val="auto"/>
        </w:rPr>
        <w:t>.</w:t>
      </w:r>
      <w:r w:rsidR="00690383" w:rsidRPr="00DC459C">
        <w:rPr>
          <w:color w:val="auto"/>
        </w:rPr>
        <w:tab/>
        <w:t>Breakwell, D.P., Moyes, R</w:t>
      </w:r>
      <w:r w:rsidR="000159DC" w:rsidRPr="00DC459C">
        <w:rPr>
          <w:color w:val="auto"/>
        </w:rPr>
        <w:t>.B., Reynolds, J. Differential staining of bacteria: Capsule s</w:t>
      </w:r>
      <w:r w:rsidR="00690383" w:rsidRPr="00DC459C">
        <w:rPr>
          <w:color w:val="auto"/>
        </w:rPr>
        <w:t xml:space="preserve">tain. </w:t>
      </w:r>
      <w:r w:rsidR="00690383" w:rsidRPr="00DC459C">
        <w:rPr>
          <w:i/>
          <w:iCs/>
          <w:color w:val="auto"/>
        </w:rPr>
        <w:t>Current Protocols in Microbiology</w:t>
      </w:r>
      <w:r w:rsidR="00690383" w:rsidRPr="00DC459C">
        <w:rPr>
          <w:color w:val="auto"/>
        </w:rPr>
        <w:t xml:space="preserve">. </w:t>
      </w:r>
      <w:r w:rsidR="00690383" w:rsidRPr="00DC459C">
        <w:rPr>
          <w:b/>
          <w:bCs/>
          <w:color w:val="auto"/>
        </w:rPr>
        <w:t>15</w:t>
      </w:r>
      <w:r w:rsidR="00690383" w:rsidRPr="00DC459C">
        <w:rPr>
          <w:color w:val="auto"/>
        </w:rPr>
        <w:t xml:space="preserve"> (1), A.3I.1-A.3I.4, doi: 10.1002/9780471729259.mca03is15 (2009).</w:t>
      </w:r>
    </w:p>
    <w:p w14:paraId="20019944" w14:textId="77777777" w:rsidR="009726EE" w:rsidRPr="00DC459C" w:rsidRDefault="002E342A" w:rsidP="00DC459C">
      <w:pPr>
        <w:widowControl/>
        <w:rPr>
          <w:color w:val="auto"/>
        </w:rPr>
      </w:pPr>
      <w:r w:rsidRPr="00DC459C">
        <w:rPr>
          <w:color w:val="auto"/>
        </w:rPr>
        <w:fldChar w:fldCharType="end"/>
      </w:r>
    </w:p>
    <w:sectPr w:rsidR="009726EE" w:rsidRPr="00DC459C" w:rsidSect="00DC459C">
      <w:headerReference w:type="default" r:id="rId8"/>
      <w:footerReference w:type="default" r:id="rId9"/>
      <w:headerReference w:type="first" r:id="rId10"/>
      <w:footerReference w:type="first" r:id="rId11"/>
      <w:pgSz w:w="12240" w:h="15840"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F0A8" w14:textId="77777777" w:rsidR="00304D35" w:rsidRDefault="00304D35" w:rsidP="00621C4E">
      <w:r>
        <w:separator/>
      </w:r>
    </w:p>
  </w:endnote>
  <w:endnote w:type="continuationSeparator" w:id="0">
    <w:p w14:paraId="248D0641" w14:textId="77777777" w:rsidR="00304D35" w:rsidRDefault="00304D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3"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F9A7" w14:textId="77777777" w:rsidR="001E69C6" w:rsidRDefault="001E69C6">
    <w:pPr>
      <w:pStyle w:val="Footer"/>
    </w:pPr>
    <w:r>
      <w:rPr>
        <w:noProof/>
      </w:rPr>
      <w:tab/>
    </w:r>
    <w:r>
      <w:rPr>
        <w:noProof/>
      </w:rPr>
      <w:tab/>
    </w:r>
  </w:p>
  <w:p w14:paraId="500F2900" w14:textId="77777777" w:rsidR="001E69C6" w:rsidRPr="00494F77" w:rsidRDefault="001E69C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6EE6" w14:textId="77777777" w:rsidR="001E69C6" w:rsidRDefault="001E69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E3DC9" w14:textId="77777777" w:rsidR="00304D35" w:rsidRDefault="00304D35" w:rsidP="00621C4E">
      <w:r>
        <w:separator/>
      </w:r>
    </w:p>
  </w:footnote>
  <w:footnote w:type="continuationSeparator" w:id="0">
    <w:p w14:paraId="41777F18" w14:textId="77777777" w:rsidR="00304D35" w:rsidRDefault="00304D3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BAD7" w14:textId="77777777" w:rsidR="001E69C6" w:rsidRPr="006F06E4" w:rsidRDefault="001E69C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0DE4" w14:textId="77777777" w:rsidR="001E69C6" w:rsidRPr="006F06E4" w:rsidRDefault="001E69C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7AC6"/>
    <w:multiLevelType w:val="hybridMultilevel"/>
    <w:tmpl w:val="98AC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9D70CF2"/>
    <w:multiLevelType w:val="hybridMultilevel"/>
    <w:tmpl w:val="5D20F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15E92"/>
    <w:multiLevelType w:val="hybridMultilevel"/>
    <w:tmpl w:val="F70AF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445D4"/>
    <w:multiLevelType w:val="hybridMultilevel"/>
    <w:tmpl w:val="D3A62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6"/>
  </w:num>
  <w:num w:numId="15">
    <w:abstractNumId w:val="11"/>
  </w:num>
  <w:num w:numId="16">
    <w:abstractNumId w:val="7"/>
  </w:num>
  <w:num w:numId="17">
    <w:abstractNumId w:val="20"/>
  </w:num>
  <w:num w:numId="18">
    <w:abstractNumId w:val="12"/>
  </w:num>
  <w:num w:numId="19">
    <w:abstractNumId w:val="22"/>
  </w:num>
  <w:num w:numId="20">
    <w:abstractNumId w:val="2"/>
  </w:num>
  <w:num w:numId="21">
    <w:abstractNumId w:val="24"/>
  </w:num>
  <w:num w:numId="22">
    <w:abstractNumId w:val="16"/>
  </w:num>
  <w:num w:numId="23">
    <w:abstractNumId w:val="23"/>
  </w:num>
  <w:num w:numId="24">
    <w:abstractNumId w:val="13"/>
  </w:num>
  <w:num w:numId="25">
    <w:abstractNumId w:val="6"/>
  </w:num>
  <w:num w:numId="26">
    <w:abstractNumId w:val="5"/>
  </w:num>
  <w:num w:numId="2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C7"/>
    <w:rsid w:val="00005815"/>
    <w:rsid w:val="00006048"/>
    <w:rsid w:val="000066C4"/>
    <w:rsid w:val="00007DBC"/>
    <w:rsid w:val="00007EA1"/>
    <w:rsid w:val="000100F0"/>
    <w:rsid w:val="00012FF9"/>
    <w:rsid w:val="00014314"/>
    <w:rsid w:val="000159DC"/>
    <w:rsid w:val="00021434"/>
    <w:rsid w:val="00021774"/>
    <w:rsid w:val="00021DF3"/>
    <w:rsid w:val="00023869"/>
    <w:rsid w:val="00024598"/>
    <w:rsid w:val="00025E22"/>
    <w:rsid w:val="0003270D"/>
    <w:rsid w:val="00032769"/>
    <w:rsid w:val="00036294"/>
    <w:rsid w:val="00037B58"/>
    <w:rsid w:val="00051B73"/>
    <w:rsid w:val="00054429"/>
    <w:rsid w:val="00057B5E"/>
    <w:rsid w:val="00060ABE"/>
    <w:rsid w:val="00061A50"/>
    <w:rsid w:val="00062028"/>
    <w:rsid w:val="00062840"/>
    <w:rsid w:val="00064104"/>
    <w:rsid w:val="00066025"/>
    <w:rsid w:val="000701D1"/>
    <w:rsid w:val="00070E32"/>
    <w:rsid w:val="0007174D"/>
    <w:rsid w:val="00072601"/>
    <w:rsid w:val="00074C81"/>
    <w:rsid w:val="00080A20"/>
    <w:rsid w:val="00082796"/>
    <w:rsid w:val="00087C0A"/>
    <w:rsid w:val="00090F39"/>
    <w:rsid w:val="00090FD5"/>
    <w:rsid w:val="00093BC4"/>
    <w:rsid w:val="00097929"/>
    <w:rsid w:val="000A0E4D"/>
    <w:rsid w:val="000A1E80"/>
    <w:rsid w:val="000A3B70"/>
    <w:rsid w:val="000A50D2"/>
    <w:rsid w:val="000A5153"/>
    <w:rsid w:val="000A787A"/>
    <w:rsid w:val="000A7CBC"/>
    <w:rsid w:val="000B10AE"/>
    <w:rsid w:val="000B30BF"/>
    <w:rsid w:val="000B3886"/>
    <w:rsid w:val="000B566B"/>
    <w:rsid w:val="000B662E"/>
    <w:rsid w:val="000B7294"/>
    <w:rsid w:val="000B75D0"/>
    <w:rsid w:val="000C1CF8"/>
    <w:rsid w:val="000C49CF"/>
    <w:rsid w:val="000C52E9"/>
    <w:rsid w:val="000C5CDC"/>
    <w:rsid w:val="000C65DC"/>
    <w:rsid w:val="000C66F3"/>
    <w:rsid w:val="000C6900"/>
    <w:rsid w:val="000D1224"/>
    <w:rsid w:val="000D1BE9"/>
    <w:rsid w:val="000D31E8"/>
    <w:rsid w:val="000D76E4"/>
    <w:rsid w:val="000E3816"/>
    <w:rsid w:val="000E4F77"/>
    <w:rsid w:val="000E7309"/>
    <w:rsid w:val="000F265C"/>
    <w:rsid w:val="000F3AFA"/>
    <w:rsid w:val="000F5712"/>
    <w:rsid w:val="000F6611"/>
    <w:rsid w:val="000F7E22"/>
    <w:rsid w:val="0010424D"/>
    <w:rsid w:val="001104F3"/>
    <w:rsid w:val="00112771"/>
    <w:rsid w:val="00112EEB"/>
    <w:rsid w:val="00113286"/>
    <w:rsid w:val="00121360"/>
    <w:rsid w:val="00124792"/>
    <w:rsid w:val="0012563A"/>
    <w:rsid w:val="001313A7"/>
    <w:rsid w:val="0013276F"/>
    <w:rsid w:val="001349F6"/>
    <w:rsid w:val="0013621E"/>
    <w:rsid w:val="00136223"/>
    <w:rsid w:val="0013642E"/>
    <w:rsid w:val="00143A3F"/>
    <w:rsid w:val="0014450A"/>
    <w:rsid w:val="00152A23"/>
    <w:rsid w:val="00153985"/>
    <w:rsid w:val="00154C50"/>
    <w:rsid w:val="00162CB7"/>
    <w:rsid w:val="00162CB9"/>
    <w:rsid w:val="00165637"/>
    <w:rsid w:val="00171E5B"/>
    <w:rsid w:val="00171F94"/>
    <w:rsid w:val="00175D4E"/>
    <w:rsid w:val="0017668A"/>
    <w:rsid w:val="001766FE"/>
    <w:rsid w:val="001771E7"/>
    <w:rsid w:val="00183BE8"/>
    <w:rsid w:val="001911FF"/>
    <w:rsid w:val="00192006"/>
    <w:rsid w:val="00193180"/>
    <w:rsid w:val="00195EBC"/>
    <w:rsid w:val="001A24E4"/>
    <w:rsid w:val="001B1519"/>
    <w:rsid w:val="001B2E2D"/>
    <w:rsid w:val="001B307D"/>
    <w:rsid w:val="001B424E"/>
    <w:rsid w:val="001B5CD2"/>
    <w:rsid w:val="001C0BEE"/>
    <w:rsid w:val="001C1E49"/>
    <w:rsid w:val="001C1F68"/>
    <w:rsid w:val="001C24BD"/>
    <w:rsid w:val="001C2A98"/>
    <w:rsid w:val="001C7123"/>
    <w:rsid w:val="001C7BE9"/>
    <w:rsid w:val="001D1357"/>
    <w:rsid w:val="001D22A2"/>
    <w:rsid w:val="001D3D7D"/>
    <w:rsid w:val="001D3FFF"/>
    <w:rsid w:val="001D625F"/>
    <w:rsid w:val="001D7576"/>
    <w:rsid w:val="001D7EF1"/>
    <w:rsid w:val="001E14A0"/>
    <w:rsid w:val="001E49C0"/>
    <w:rsid w:val="001E4DA3"/>
    <w:rsid w:val="001E69C6"/>
    <w:rsid w:val="001E7376"/>
    <w:rsid w:val="001F06D7"/>
    <w:rsid w:val="001F225C"/>
    <w:rsid w:val="001F5201"/>
    <w:rsid w:val="001F5C03"/>
    <w:rsid w:val="001F7EC3"/>
    <w:rsid w:val="00201CFA"/>
    <w:rsid w:val="00201D30"/>
    <w:rsid w:val="0020220D"/>
    <w:rsid w:val="00202448"/>
    <w:rsid w:val="00202D15"/>
    <w:rsid w:val="0020436D"/>
    <w:rsid w:val="0020447F"/>
    <w:rsid w:val="00207605"/>
    <w:rsid w:val="00211801"/>
    <w:rsid w:val="00212EAE"/>
    <w:rsid w:val="00214BEE"/>
    <w:rsid w:val="00217903"/>
    <w:rsid w:val="002205B8"/>
    <w:rsid w:val="0022375C"/>
    <w:rsid w:val="00223A40"/>
    <w:rsid w:val="00225720"/>
    <w:rsid w:val="002259E5"/>
    <w:rsid w:val="00226140"/>
    <w:rsid w:val="002274F3"/>
    <w:rsid w:val="00227B11"/>
    <w:rsid w:val="0023094C"/>
    <w:rsid w:val="00234BE3"/>
    <w:rsid w:val="00235A90"/>
    <w:rsid w:val="00241E48"/>
    <w:rsid w:val="0024214E"/>
    <w:rsid w:val="00242623"/>
    <w:rsid w:val="00242A98"/>
    <w:rsid w:val="002456DF"/>
    <w:rsid w:val="00250558"/>
    <w:rsid w:val="00251DBB"/>
    <w:rsid w:val="00257E63"/>
    <w:rsid w:val="00260652"/>
    <w:rsid w:val="00261F25"/>
    <w:rsid w:val="002648A9"/>
    <w:rsid w:val="0026536F"/>
    <w:rsid w:val="0026553C"/>
    <w:rsid w:val="00267DD5"/>
    <w:rsid w:val="00271ED7"/>
    <w:rsid w:val="00274A0A"/>
    <w:rsid w:val="00277593"/>
    <w:rsid w:val="00280918"/>
    <w:rsid w:val="00282AF6"/>
    <w:rsid w:val="00283AFC"/>
    <w:rsid w:val="00287085"/>
    <w:rsid w:val="00290AF9"/>
    <w:rsid w:val="002967CF"/>
    <w:rsid w:val="00297788"/>
    <w:rsid w:val="002A484B"/>
    <w:rsid w:val="002A64A6"/>
    <w:rsid w:val="002B65DF"/>
    <w:rsid w:val="002B6BE4"/>
    <w:rsid w:val="002C1DF4"/>
    <w:rsid w:val="002C43DA"/>
    <w:rsid w:val="002C47D4"/>
    <w:rsid w:val="002C7B21"/>
    <w:rsid w:val="002D0B88"/>
    <w:rsid w:val="002D0F38"/>
    <w:rsid w:val="002D36A6"/>
    <w:rsid w:val="002D77E3"/>
    <w:rsid w:val="002D7905"/>
    <w:rsid w:val="002E342A"/>
    <w:rsid w:val="002E50E0"/>
    <w:rsid w:val="002F01BE"/>
    <w:rsid w:val="002F2043"/>
    <w:rsid w:val="002F2859"/>
    <w:rsid w:val="002F46AC"/>
    <w:rsid w:val="002F6E3C"/>
    <w:rsid w:val="003001FC"/>
    <w:rsid w:val="0030117D"/>
    <w:rsid w:val="00301AEA"/>
    <w:rsid w:val="00301F30"/>
    <w:rsid w:val="00303C87"/>
    <w:rsid w:val="00304D35"/>
    <w:rsid w:val="00307712"/>
    <w:rsid w:val="00307B67"/>
    <w:rsid w:val="003108E5"/>
    <w:rsid w:val="003120CB"/>
    <w:rsid w:val="00312341"/>
    <w:rsid w:val="00316C3D"/>
    <w:rsid w:val="00320153"/>
    <w:rsid w:val="00320367"/>
    <w:rsid w:val="00320DA3"/>
    <w:rsid w:val="00322871"/>
    <w:rsid w:val="00324F44"/>
    <w:rsid w:val="00325AF6"/>
    <w:rsid w:val="00326509"/>
    <w:rsid w:val="00326D1F"/>
    <w:rsid w:val="00326FB3"/>
    <w:rsid w:val="00327FBC"/>
    <w:rsid w:val="00330901"/>
    <w:rsid w:val="00331402"/>
    <w:rsid w:val="003316D4"/>
    <w:rsid w:val="00333822"/>
    <w:rsid w:val="003348AC"/>
    <w:rsid w:val="00336715"/>
    <w:rsid w:val="00340DFD"/>
    <w:rsid w:val="00344954"/>
    <w:rsid w:val="00350CD7"/>
    <w:rsid w:val="003542F0"/>
    <w:rsid w:val="00357A2F"/>
    <w:rsid w:val="00360C17"/>
    <w:rsid w:val="003621C6"/>
    <w:rsid w:val="003622B8"/>
    <w:rsid w:val="00362F51"/>
    <w:rsid w:val="00366B76"/>
    <w:rsid w:val="00373051"/>
    <w:rsid w:val="00373B8F"/>
    <w:rsid w:val="00376D95"/>
    <w:rsid w:val="00377FBB"/>
    <w:rsid w:val="00385140"/>
    <w:rsid w:val="003907F4"/>
    <w:rsid w:val="00391680"/>
    <w:rsid w:val="003927AC"/>
    <w:rsid w:val="0039437F"/>
    <w:rsid w:val="003A0E81"/>
    <w:rsid w:val="003A16FC"/>
    <w:rsid w:val="003A413D"/>
    <w:rsid w:val="003A4FCD"/>
    <w:rsid w:val="003B0944"/>
    <w:rsid w:val="003B1056"/>
    <w:rsid w:val="003B1593"/>
    <w:rsid w:val="003B4381"/>
    <w:rsid w:val="003B7752"/>
    <w:rsid w:val="003C1043"/>
    <w:rsid w:val="003C1A30"/>
    <w:rsid w:val="003C6779"/>
    <w:rsid w:val="003D2998"/>
    <w:rsid w:val="003D2A23"/>
    <w:rsid w:val="003D2F0A"/>
    <w:rsid w:val="003D3891"/>
    <w:rsid w:val="003D3C78"/>
    <w:rsid w:val="003D42F2"/>
    <w:rsid w:val="003D5AC3"/>
    <w:rsid w:val="003D5D84"/>
    <w:rsid w:val="003E0F4F"/>
    <w:rsid w:val="003E18AC"/>
    <w:rsid w:val="003E210B"/>
    <w:rsid w:val="003E2A12"/>
    <w:rsid w:val="003E3384"/>
    <w:rsid w:val="003E548E"/>
    <w:rsid w:val="003F35AE"/>
    <w:rsid w:val="003F379D"/>
    <w:rsid w:val="003F39D2"/>
    <w:rsid w:val="0040372E"/>
    <w:rsid w:val="004077CF"/>
    <w:rsid w:val="00412565"/>
    <w:rsid w:val="00413F7F"/>
    <w:rsid w:val="004148E1"/>
    <w:rsid w:val="00414CFA"/>
    <w:rsid w:val="00420BE9"/>
    <w:rsid w:val="00423AD8"/>
    <w:rsid w:val="00424C85"/>
    <w:rsid w:val="004260BD"/>
    <w:rsid w:val="0043012F"/>
    <w:rsid w:val="004306A7"/>
    <w:rsid w:val="00430F1F"/>
    <w:rsid w:val="00432169"/>
    <w:rsid w:val="004326EA"/>
    <w:rsid w:val="004340B9"/>
    <w:rsid w:val="004342FB"/>
    <w:rsid w:val="00436E99"/>
    <w:rsid w:val="0044434C"/>
    <w:rsid w:val="0044456B"/>
    <w:rsid w:val="0044582A"/>
    <w:rsid w:val="004468C9"/>
    <w:rsid w:val="00447113"/>
    <w:rsid w:val="00447BD1"/>
    <w:rsid w:val="004507F3"/>
    <w:rsid w:val="00450AF4"/>
    <w:rsid w:val="004540E2"/>
    <w:rsid w:val="004671C7"/>
    <w:rsid w:val="004713C2"/>
    <w:rsid w:val="00472F4D"/>
    <w:rsid w:val="004730BF"/>
    <w:rsid w:val="004737BB"/>
    <w:rsid w:val="00474DCB"/>
    <w:rsid w:val="0047535C"/>
    <w:rsid w:val="00480CE2"/>
    <w:rsid w:val="00483B9F"/>
    <w:rsid w:val="00485870"/>
    <w:rsid w:val="00485FE8"/>
    <w:rsid w:val="004867B3"/>
    <w:rsid w:val="0049106D"/>
    <w:rsid w:val="00492918"/>
    <w:rsid w:val="00492E4A"/>
    <w:rsid w:val="00492EB5"/>
    <w:rsid w:val="004944BA"/>
    <w:rsid w:val="00494EB1"/>
    <w:rsid w:val="00494F77"/>
    <w:rsid w:val="00496E76"/>
    <w:rsid w:val="00497721"/>
    <w:rsid w:val="004A0229"/>
    <w:rsid w:val="004A35D2"/>
    <w:rsid w:val="004A71E4"/>
    <w:rsid w:val="004B2F00"/>
    <w:rsid w:val="004B33E1"/>
    <w:rsid w:val="004B3A96"/>
    <w:rsid w:val="004B5BDE"/>
    <w:rsid w:val="004B6E31"/>
    <w:rsid w:val="004C1D66"/>
    <w:rsid w:val="004C31D7"/>
    <w:rsid w:val="004C4AD2"/>
    <w:rsid w:val="004D1F21"/>
    <w:rsid w:val="004D43BB"/>
    <w:rsid w:val="004D4DC2"/>
    <w:rsid w:val="004D51F9"/>
    <w:rsid w:val="004D59D8"/>
    <w:rsid w:val="004D5DA1"/>
    <w:rsid w:val="004E150F"/>
    <w:rsid w:val="004E1DCA"/>
    <w:rsid w:val="004E23A1"/>
    <w:rsid w:val="004E3489"/>
    <w:rsid w:val="004E358A"/>
    <w:rsid w:val="004E3AFA"/>
    <w:rsid w:val="004E6588"/>
    <w:rsid w:val="004E6EF4"/>
    <w:rsid w:val="004F48D5"/>
    <w:rsid w:val="004F5905"/>
    <w:rsid w:val="004F7C0C"/>
    <w:rsid w:val="00502A0A"/>
    <w:rsid w:val="00503162"/>
    <w:rsid w:val="00504A7D"/>
    <w:rsid w:val="00507C50"/>
    <w:rsid w:val="005112FB"/>
    <w:rsid w:val="00517C3A"/>
    <w:rsid w:val="00527BF4"/>
    <w:rsid w:val="005324BE"/>
    <w:rsid w:val="00534F6C"/>
    <w:rsid w:val="00535994"/>
    <w:rsid w:val="0053646D"/>
    <w:rsid w:val="005401EB"/>
    <w:rsid w:val="00540AAD"/>
    <w:rsid w:val="00543816"/>
    <w:rsid w:val="00543EC1"/>
    <w:rsid w:val="0054461D"/>
    <w:rsid w:val="00546458"/>
    <w:rsid w:val="00546B6A"/>
    <w:rsid w:val="0055052D"/>
    <w:rsid w:val="0055087C"/>
    <w:rsid w:val="00553413"/>
    <w:rsid w:val="00555F82"/>
    <w:rsid w:val="00560E31"/>
    <w:rsid w:val="00562EF6"/>
    <w:rsid w:val="00570965"/>
    <w:rsid w:val="00574C5A"/>
    <w:rsid w:val="00576FB2"/>
    <w:rsid w:val="00581B23"/>
    <w:rsid w:val="0058219C"/>
    <w:rsid w:val="00582EAF"/>
    <w:rsid w:val="00583A28"/>
    <w:rsid w:val="0058435B"/>
    <w:rsid w:val="0058707F"/>
    <w:rsid w:val="005876FE"/>
    <w:rsid w:val="005877B4"/>
    <w:rsid w:val="005931FE"/>
    <w:rsid w:val="005B0072"/>
    <w:rsid w:val="005B0732"/>
    <w:rsid w:val="005B1B7E"/>
    <w:rsid w:val="005B386B"/>
    <w:rsid w:val="005B38A0"/>
    <w:rsid w:val="005B3A18"/>
    <w:rsid w:val="005B491C"/>
    <w:rsid w:val="005B4DBF"/>
    <w:rsid w:val="005B5711"/>
    <w:rsid w:val="005B5DE2"/>
    <w:rsid w:val="005B674C"/>
    <w:rsid w:val="005B6F6F"/>
    <w:rsid w:val="005C0330"/>
    <w:rsid w:val="005C3FD3"/>
    <w:rsid w:val="005C5057"/>
    <w:rsid w:val="005C7561"/>
    <w:rsid w:val="005D1E57"/>
    <w:rsid w:val="005D21B5"/>
    <w:rsid w:val="005D2F57"/>
    <w:rsid w:val="005D348B"/>
    <w:rsid w:val="005D34F6"/>
    <w:rsid w:val="005D4654"/>
    <w:rsid w:val="005D4F1A"/>
    <w:rsid w:val="005D5163"/>
    <w:rsid w:val="005E0FAC"/>
    <w:rsid w:val="005E1884"/>
    <w:rsid w:val="005E5D02"/>
    <w:rsid w:val="005F373A"/>
    <w:rsid w:val="005F4F87"/>
    <w:rsid w:val="005F5710"/>
    <w:rsid w:val="005F606B"/>
    <w:rsid w:val="005F6B0E"/>
    <w:rsid w:val="005F760E"/>
    <w:rsid w:val="005F7B1D"/>
    <w:rsid w:val="0060204D"/>
    <w:rsid w:val="0060222A"/>
    <w:rsid w:val="00605538"/>
    <w:rsid w:val="0060598A"/>
    <w:rsid w:val="006067AB"/>
    <w:rsid w:val="0061079A"/>
    <w:rsid w:val="00610C21"/>
    <w:rsid w:val="006114AA"/>
    <w:rsid w:val="00611907"/>
    <w:rsid w:val="00613116"/>
    <w:rsid w:val="00614226"/>
    <w:rsid w:val="0062012C"/>
    <w:rsid w:val="006202A6"/>
    <w:rsid w:val="00620301"/>
    <w:rsid w:val="0062054B"/>
    <w:rsid w:val="00621C4E"/>
    <w:rsid w:val="006238EC"/>
    <w:rsid w:val="00624EAE"/>
    <w:rsid w:val="006305D7"/>
    <w:rsid w:val="00633A01"/>
    <w:rsid w:val="00633B97"/>
    <w:rsid w:val="006341F7"/>
    <w:rsid w:val="00634F00"/>
    <w:rsid w:val="00635014"/>
    <w:rsid w:val="006369CE"/>
    <w:rsid w:val="00636A79"/>
    <w:rsid w:val="006411CA"/>
    <w:rsid w:val="006450AC"/>
    <w:rsid w:val="006453BD"/>
    <w:rsid w:val="006508B9"/>
    <w:rsid w:val="00650DF0"/>
    <w:rsid w:val="00657B38"/>
    <w:rsid w:val="00661839"/>
    <w:rsid w:val="006619C8"/>
    <w:rsid w:val="00665411"/>
    <w:rsid w:val="00670B41"/>
    <w:rsid w:val="00671710"/>
    <w:rsid w:val="00673316"/>
    <w:rsid w:val="00673414"/>
    <w:rsid w:val="00676079"/>
    <w:rsid w:val="00676ECD"/>
    <w:rsid w:val="00677487"/>
    <w:rsid w:val="00677A4E"/>
    <w:rsid w:val="00677D0A"/>
    <w:rsid w:val="0068185F"/>
    <w:rsid w:val="00682AF3"/>
    <w:rsid w:val="00687A50"/>
    <w:rsid w:val="00690383"/>
    <w:rsid w:val="00696AD5"/>
    <w:rsid w:val="006A01CF"/>
    <w:rsid w:val="006A060E"/>
    <w:rsid w:val="006A60DD"/>
    <w:rsid w:val="006B074C"/>
    <w:rsid w:val="006B3B84"/>
    <w:rsid w:val="006B4E7C"/>
    <w:rsid w:val="006B5D8C"/>
    <w:rsid w:val="006B72D4"/>
    <w:rsid w:val="006C076C"/>
    <w:rsid w:val="006C0A86"/>
    <w:rsid w:val="006C11CC"/>
    <w:rsid w:val="006C1AEB"/>
    <w:rsid w:val="006C31FE"/>
    <w:rsid w:val="006C57FE"/>
    <w:rsid w:val="006D57D9"/>
    <w:rsid w:val="006D7A91"/>
    <w:rsid w:val="006E4B63"/>
    <w:rsid w:val="006E74EB"/>
    <w:rsid w:val="006F06E4"/>
    <w:rsid w:val="006F4418"/>
    <w:rsid w:val="006F7B41"/>
    <w:rsid w:val="006F7B7B"/>
    <w:rsid w:val="006F7D0B"/>
    <w:rsid w:val="00700A16"/>
    <w:rsid w:val="00702B5D"/>
    <w:rsid w:val="00703ED2"/>
    <w:rsid w:val="00707B8D"/>
    <w:rsid w:val="00713636"/>
    <w:rsid w:val="0071452D"/>
    <w:rsid w:val="00714B8C"/>
    <w:rsid w:val="0071675D"/>
    <w:rsid w:val="007168B0"/>
    <w:rsid w:val="00717DD9"/>
    <w:rsid w:val="007222F9"/>
    <w:rsid w:val="007234AA"/>
    <w:rsid w:val="0072520D"/>
    <w:rsid w:val="007301B7"/>
    <w:rsid w:val="007307C8"/>
    <w:rsid w:val="0073517D"/>
    <w:rsid w:val="00735CF5"/>
    <w:rsid w:val="0074063A"/>
    <w:rsid w:val="0074063B"/>
    <w:rsid w:val="00742AA4"/>
    <w:rsid w:val="00743BA1"/>
    <w:rsid w:val="00745F1E"/>
    <w:rsid w:val="0074668B"/>
    <w:rsid w:val="007515FE"/>
    <w:rsid w:val="00757A93"/>
    <w:rsid w:val="007601D0"/>
    <w:rsid w:val="0076109D"/>
    <w:rsid w:val="007617C4"/>
    <w:rsid w:val="007643E0"/>
    <w:rsid w:val="00765E3B"/>
    <w:rsid w:val="00766F6C"/>
    <w:rsid w:val="00767107"/>
    <w:rsid w:val="0076736F"/>
    <w:rsid w:val="0077194E"/>
    <w:rsid w:val="00773BFD"/>
    <w:rsid w:val="007743B3"/>
    <w:rsid w:val="00774490"/>
    <w:rsid w:val="007748B2"/>
    <w:rsid w:val="00776C87"/>
    <w:rsid w:val="0078164C"/>
    <w:rsid w:val="007819FF"/>
    <w:rsid w:val="00781A1B"/>
    <w:rsid w:val="00782714"/>
    <w:rsid w:val="00784A4C"/>
    <w:rsid w:val="00784BC6"/>
    <w:rsid w:val="0078523D"/>
    <w:rsid w:val="00787037"/>
    <w:rsid w:val="00787324"/>
    <w:rsid w:val="007929BC"/>
    <w:rsid w:val="007931DF"/>
    <w:rsid w:val="007A0172"/>
    <w:rsid w:val="007A2511"/>
    <w:rsid w:val="007A260E"/>
    <w:rsid w:val="007A2FA1"/>
    <w:rsid w:val="007A4D4C"/>
    <w:rsid w:val="007A4DD6"/>
    <w:rsid w:val="007A5CB9"/>
    <w:rsid w:val="007B0FBB"/>
    <w:rsid w:val="007B131C"/>
    <w:rsid w:val="007B1481"/>
    <w:rsid w:val="007B48A0"/>
    <w:rsid w:val="007B6B07"/>
    <w:rsid w:val="007B6D43"/>
    <w:rsid w:val="007B749A"/>
    <w:rsid w:val="007B7C6E"/>
    <w:rsid w:val="007B7ECE"/>
    <w:rsid w:val="007C3111"/>
    <w:rsid w:val="007C4A24"/>
    <w:rsid w:val="007C63C8"/>
    <w:rsid w:val="007D44D7"/>
    <w:rsid w:val="007D621A"/>
    <w:rsid w:val="007E058A"/>
    <w:rsid w:val="007E23CC"/>
    <w:rsid w:val="007E2887"/>
    <w:rsid w:val="007E3C4B"/>
    <w:rsid w:val="007E4A8A"/>
    <w:rsid w:val="007E5278"/>
    <w:rsid w:val="007E6A67"/>
    <w:rsid w:val="007E749C"/>
    <w:rsid w:val="007F1B5C"/>
    <w:rsid w:val="007F3728"/>
    <w:rsid w:val="00801257"/>
    <w:rsid w:val="00803B0A"/>
    <w:rsid w:val="00804DED"/>
    <w:rsid w:val="00805B96"/>
    <w:rsid w:val="008105BE"/>
    <w:rsid w:val="008114F9"/>
    <w:rsid w:val="008115A5"/>
    <w:rsid w:val="00811C54"/>
    <w:rsid w:val="00811D46"/>
    <w:rsid w:val="00812788"/>
    <w:rsid w:val="008128C7"/>
    <w:rsid w:val="0081415D"/>
    <w:rsid w:val="00820229"/>
    <w:rsid w:val="00822448"/>
    <w:rsid w:val="00822ABE"/>
    <w:rsid w:val="008244D1"/>
    <w:rsid w:val="00827F51"/>
    <w:rsid w:val="0083104E"/>
    <w:rsid w:val="00833E7B"/>
    <w:rsid w:val="0083436E"/>
    <w:rsid w:val="008343BE"/>
    <w:rsid w:val="00840FB4"/>
    <w:rsid w:val="008410B2"/>
    <w:rsid w:val="00847086"/>
    <w:rsid w:val="008500A0"/>
    <w:rsid w:val="008524E5"/>
    <w:rsid w:val="0085351C"/>
    <w:rsid w:val="008549CA"/>
    <w:rsid w:val="0085548B"/>
    <w:rsid w:val="008556C3"/>
    <w:rsid w:val="00856146"/>
    <w:rsid w:val="0085687C"/>
    <w:rsid w:val="008578BF"/>
    <w:rsid w:val="00860F8B"/>
    <w:rsid w:val="008706C5"/>
    <w:rsid w:val="00873707"/>
    <w:rsid w:val="00874B20"/>
    <w:rsid w:val="008763E1"/>
    <w:rsid w:val="0087775C"/>
    <w:rsid w:val="00877EC8"/>
    <w:rsid w:val="00880F36"/>
    <w:rsid w:val="00884108"/>
    <w:rsid w:val="00885530"/>
    <w:rsid w:val="00890DFC"/>
    <w:rsid w:val="008910D1"/>
    <w:rsid w:val="008912D7"/>
    <w:rsid w:val="0089296C"/>
    <w:rsid w:val="00896ABD"/>
    <w:rsid w:val="008A0E85"/>
    <w:rsid w:val="008A1CDB"/>
    <w:rsid w:val="008A279A"/>
    <w:rsid w:val="008A3380"/>
    <w:rsid w:val="008A4BFA"/>
    <w:rsid w:val="008A66AA"/>
    <w:rsid w:val="008A7A9C"/>
    <w:rsid w:val="008B1472"/>
    <w:rsid w:val="008B5218"/>
    <w:rsid w:val="008B7102"/>
    <w:rsid w:val="008B7AE1"/>
    <w:rsid w:val="008C3B7D"/>
    <w:rsid w:val="008C6992"/>
    <w:rsid w:val="008C778F"/>
    <w:rsid w:val="008D0F90"/>
    <w:rsid w:val="008D24F4"/>
    <w:rsid w:val="008D3715"/>
    <w:rsid w:val="008D5465"/>
    <w:rsid w:val="008D5A5D"/>
    <w:rsid w:val="008D5B0D"/>
    <w:rsid w:val="008D77BC"/>
    <w:rsid w:val="008D7EB7"/>
    <w:rsid w:val="008E3684"/>
    <w:rsid w:val="008E57F5"/>
    <w:rsid w:val="008E7274"/>
    <w:rsid w:val="008E7606"/>
    <w:rsid w:val="008F0909"/>
    <w:rsid w:val="008F1BE1"/>
    <w:rsid w:val="008F1DAA"/>
    <w:rsid w:val="008F3EBD"/>
    <w:rsid w:val="008F5047"/>
    <w:rsid w:val="008F571C"/>
    <w:rsid w:val="008F60B2"/>
    <w:rsid w:val="008F6FF5"/>
    <w:rsid w:val="008F7C41"/>
    <w:rsid w:val="009031E2"/>
    <w:rsid w:val="00906676"/>
    <w:rsid w:val="0091276C"/>
    <w:rsid w:val="009165AC"/>
    <w:rsid w:val="00917A8F"/>
    <w:rsid w:val="0092053F"/>
    <w:rsid w:val="0092340A"/>
    <w:rsid w:val="009313D9"/>
    <w:rsid w:val="00931EDD"/>
    <w:rsid w:val="00932C0E"/>
    <w:rsid w:val="00932F28"/>
    <w:rsid w:val="009331F6"/>
    <w:rsid w:val="00935B7F"/>
    <w:rsid w:val="00937A65"/>
    <w:rsid w:val="00941293"/>
    <w:rsid w:val="00941DFF"/>
    <w:rsid w:val="00946372"/>
    <w:rsid w:val="00950C17"/>
    <w:rsid w:val="00951BFC"/>
    <w:rsid w:val="00951C10"/>
    <w:rsid w:val="00951FAF"/>
    <w:rsid w:val="00954740"/>
    <w:rsid w:val="00955549"/>
    <w:rsid w:val="0095704F"/>
    <w:rsid w:val="00957BD9"/>
    <w:rsid w:val="009633B4"/>
    <w:rsid w:val="00963ABC"/>
    <w:rsid w:val="00964D3F"/>
    <w:rsid w:val="00965C8F"/>
    <w:rsid w:val="00965D21"/>
    <w:rsid w:val="00967764"/>
    <w:rsid w:val="00970B0E"/>
    <w:rsid w:val="00970BB9"/>
    <w:rsid w:val="009726EE"/>
    <w:rsid w:val="00972DFF"/>
    <w:rsid w:val="00974E6B"/>
    <w:rsid w:val="00975573"/>
    <w:rsid w:val="00976D03"/>
    <w:rsid w:val="00977371"/>
    <w:rsid w:val="00977B30"/>
    <w:rsid w:val="00982083"/>
    <w:rsid w:val="00982F41"/>
    <w:rsid w:val="009846F4"/>
    <w:rsid w:val="00984D11"/>
    <w:rsid w:val="00985090"/>
    <w:rsid w:val="00987710"/>
    <w:rsid w:val="00987F8A"/>
    <w:rsid w:val="009904AB"/>
    <w:rsid w:val="00991949"/>
    <w:rsid w:val="0099329A"/>
    <w:rsid w:val="00994BEE"/>
    <w:rsid w:val="00995688"/>
    <w:rsid w:val="009958A6"/>
    <w:rsid w:val="00996456"/>
    <w:rsid w:val="009A04F5"/>
    <w:rsid w:val="009A15EF"/>
    <w:rsid w:val="009A38A5"/>
    <w:rsid w:val="009A709A"/>
    <w:rsid w:val="009A7D07"/>
    <w:rsid w:val="009A7ECF"/>
    <w:rsid w:val="009B118B"/>
    <w:rsid w:val="009B1737"/>
    <w:rsid w:val="009B3514"/>
    <w:rsid w:val="009B3D4B"/>
    <w:rsid w:val="009B5B99"/>
    <w:rsid w:val="009B6EFC"/>
    <w:rsid w:val="009C2DF8"/>
    <w:rsid w:val="009C31BF"/>
    <w:rsid w:val="009C68B7"/>
    <w:rsid w:val="009C7F9F"/>
    <w:rsid w:val="009D0834"/>
    <w:rsid w:val="009D0A1E"/>
    <w:rsid w:val="009D2AE3"/>
    <w:rsid w:val="009D4161"/>
    <w:rsid w:val="009D4BE6"/>
    <w:rsid w:val="009D52BC"/>
    <w:rsid w:val="009D56F6"/>
    <w:rsid w:val="009D704F"/>
    <w:rsid w:val="009D7D0A"/>
    <w:rsid w:val="009E09D9"/>
    <w:rsid w:val="009E124C"/>
    <w:rsid w:val="009E1E22"/>
    <w:rsid w:val="009E3C43"/>
    <w:rsid w:val="009F01B1"/>
    <w:rsid w:val="009F0DBB"/>
    <w:rsid w:val="009F3887"/>
    <w:rsid w:val="009F3EF4"/>
    <w:rsid w:val="009F732B"/>
    <w:rsid w:val="009F74BB"/>
    <w:rsid w:val="009F7FD5"/>
    <w:rsid w:val="00A01131"/>
    <w:rsid w:val="00A01FE0"/>
    <w:rsid w:val="00A0327A"/>
    <w:rsid w:val="00A1010B"/>
    <w:rsid w:val="00A10656"/>
    <w:rsid w:val="00A113C0"/>
    <w:rsid w:val="00A12FA6"/>
    <w:rsid w:val="00A1339B"/>
    <w:rsid w:val="00A14ABA"/>
    <w:rsid w:val="00A14E82"/>
    <w:rsid w:val="00A211F2"/>
    <w:rsid w:val="00A21C40"/>
    <w:rsid w:val="00A24CB6"/>
    <w:rsid w:val="00A26CD2"/>
    <w:rsid w:val="00A27667"/>
    <w:rsid w:val="00A27CB3"/>
    <w:rsid w:val="00A32979"/>
    <w:rsid w:val="00A34A67"/>
    <w:rsid w:val="00A36A78"/>
    <w:rsid w:val="00A37462"/>
    <w:rsid w:val="00A3784E"/>
    <w:rsid w:val="00A459E1"/>
    <w:rsid w:val="00A45F54"/>
    <w:rsid w:val="00A46043"/>
    <w:rsid w:val="00A52296"/>
    <w:rsid w:val="00A55661"/>
    <w:rsid w:val="00A61B70"/>
    <w:rsid w:val="00A61FA8"/>
    <w:rsid w:val="00A637F4"/>
    <w:rsid w:val="00A65485"/>
    <w:rsid w:val="00A6572A"/>
    <w:rsid w:val="00A669D4"/>
    <w:rsid w:val="00A66E05"/>
    <w:rsid w:val="00A67E89"/>
    <w:rsid w:val="00A70753"/>
    <w:rsid w:val="00A712D2"/>
    <w:rsid w:val="00A745EB"/>
    <w:rsid w:val="00A74B30"/>
    <w:rsid w:val="00A77916"/>
    <w:rsid w:val="00A8192C"/>
    <w:rsid w:val="00A82C8A"/>
    <w:rsid w:val="00A8346B"/>
    <w:rsid w:val="00A83F18"/>
    <w:rsid w:val="00A8436D"/>
    <w:rsid w:val="00A852FF"/>
    <w:rsid w:val="00A87337"/>
    <w:rsid w:val="00A90C97"/>
    <w:rsid w:val="00A91B99"/>
    <w:rsid w:val="00A960C8"/>
    <w:rsid w:val="00A96604"/>
    <w:rsid w:val="00AA03DF"/>
    <w:rsid w:val="00AA1B4F"/>
    <w:rsid w:val="00AA1F0D"/>
    <w:rsid w:val="00AA1F29"/>
    <w:rsid w:val="00AA21D8"/>
    <w:rsid w:val="00AA54F3"/>
    <w:rsid w:val="00AA5E90"/>
    <w:rsid w:val="00AA6B43"/>
    <w:rsid w:val="00AB08AC"/>
    <w:rsid w:val="00AB252A"/>
    <w:rsid w:val="00AB367A"/>
    <w:rsid w:val="00AC01D1"/>
    <w:rsid w:val="00AC1B45"/>
    <w:rsid w:val="00AC2B0F"/>
    <w:rsid w:val="00AC35B1"/>
    <w:rsid w:val="00AC52A5"/>
    <w:rsid w:val="00AC53E3"/>
    <w:rsid w:val="00AC6EFD"/>
    <w:rsid w:val="00AC7151"/>
    <w:rsid w:val="00AD0B14"/>
    <w:rsid w:val="00AD460A"/>
    <w:rsid w:val="00AD4BE4"/>
    <w:rsid w:val="00AD5346"/>
    <w:rsid w:val="00AD6A05"/>
    <w:rsid w:val="00AE272B"/>
    <w:rsid w:val="00AE3E3A"/>
    <w:rsid w:val="00AE77B4"/>
    <w:rsid w:val="00AE7C1A"/>
    <w:rsid w:val="00AE7DF8"/>
    <w:rsid w:val="00AF0D9C"/>
    <w:rsid w:val="00AF13AB"/>
    <w:rsid w:val="00AF1D36"/>
    <w:rsid w:val="00AF280B"/>
    <w:rsid w:val="00AF5F75"/>
    <w:rsid w:val="00AF6001"/>
    <w:rsid w:val="00AF620A"/>
    <w:rsid w:val="00AF7B74"/>
    <w:rsid w:val="00B01744"/>
    <w:rsid w:val="00B01A16"/>
    <w:rsid w:val="00B05BAB"/>
    <w:rsid w:val="00B07F45"/>
    <w:rsid w:val="00B1021A"/>
    <w:rsid w:val="00B145C0"/>
    <w:rsid w:val="00B1481A"/>
    <w:rsid w:val="00B15A1F"/>
    <w:rsid w:val="00B15FE9"/>
    <w:rsid w:val="00B2148A"/>
    <w:rsid w:val="00B220C2"/>
    <w:rsid w:val="00B22548"/>
    <w:rsid w:val="00B23F7D"/>
    <w:rsid w:val="00B24A27"/>
    <w:rsid w:val="00B25B32"/>
    <w:rsid w:val="00B314DA"/>
    <w:rsid w:val="00B32616"/>
    <w:rsid w:val="00B3425B"/>
    <w:rsid w:val="00B35A42"/>
    <w:rsid w:val="00B36C42"/>
    <w:rsid w:val="00B374A7"/>
    <w:rsid w:val="00B37AB0"/>
    <w:rsid w:val="00B403F8"/>
    <w:rsid w:val="00B40851"/>
    <w:rsid w:val="00B42EA7"/>
    <w:rsid w:val="00B5099A"/>
    <w:rsid w:val="00B50C33"/>
    <w:rsid w:val="00B5337C"/>
    <w:rsid w:val="00B53FDE"/>
    <w:rsid w:val="00B54298"/>
    <w:rsid w:val="00B56397"/>
    <w:rsid w:val="00B6027B"/>
    <w:rsid w:val="00B6482A"/>
    <w:rsid w:val="00B65EDB"/>
    <w:rsid w:val="00B67689"/>
    <w:rsid w:val="00B67AFF"/>
    <w:rsid w:val="00B70B59"/>
    <w:rsid w:val="00B73657"/>
    <w:rsid w:val="00B8000A"/>
    <w:rsid w:val="00B8004E"/>
    <w:rsid w:val="00B84257"/>
    <w:rsid w:val="00B84D07"/>
    <w:rsid w:val="00B85199"/>
    <w:rsid w:val="00B95CF1"/>
    <w:rsid w:val="00B96441"/>
    <w:rsid w:val="00B97A34"/>
    <w:rsid w:val="00B97EE9"/>
    <w:rsid w:val="00BA1735"/>
    <w:rsid w:val="00BA19FA"/>
    <w:rsid w:val="00BA1E0E"/>
    <w:rsid w:val="00BA2D67"/>
    <w:rsid w:val="00BA4288"/>
    <w:rsid w:val="00BA62D5"/>
    <w:rsid w:val="00BA6F96"/>
    <w:rsid w:val="00BB3B38"/>
    <w:rsid w:val="00BB42CF"/>
    <w:rsid w:val="00BB48E5"/>
    <w:rsid w:val="00BB5607"/>
    <w:rsid w:val="00BB57B7"/>
    <w:rsid w:val="00BB5ACA"/>
    <w:rsid w:val="00BB627F"/>
    <w:rsid w:val="00BC08D2"/>
    <w:rsid w:val="00BC3823"/>
    <w:rsid w:val="00BC5841"/>
    <w:rsid w:val="00BD27A3"/>
    <w:rsid w:val="00BD60B4"/>
    <w:rsid w:val="00BD6E9C"/>
    <w:rsid w:val="00BD796B"/>
    <w:rsid w:val="00BE0D2F"/>
    <w:rsid w:val="00BE15BE"/>
    <w:rsid w:val="00BE36FD"/>
    <w:rsid w:val="00BE40C0"/>
    <w:rsid w:val="00BE4F1D"/>
    <w:rsid w:val="00BE5F4A"/>
    <w:rsid w:val="00BE7AEF"/>
    <w:rsid w:val="00BF09B0"/>
    <w:rsid w:val="00BF1544"/>
    <w:rsid w:val="00BF1B53"/>
    <w:rsid w:val="00BF246D"/>
    <w:rsid w:val="00BF347B"/>
    <w:rsid w:val="00BF4877"/>
    <w:rsid w:val="00BF6978"/>
    <w:rsid w:val="00C007D8"/>
    <w:rsid w:val="00C00961"/>
    <w:rsid w:val="00C00DA6"/>
    <w:rsid w:val="00C06F06"/>
    <w:rsid w:val="00C11753"/>
    <w:rsid w:val="00C20FAD"/>
    <w:rsid w:val="00C2375F"/>
    <w:rsid w:val="00C247CB"/>
    <w:rsid w:val="00C2629B"/>
    <w:rsid w:val="00C3176E"/>
    <w:rsid w:val="00C32E66"/>
    <w:rsid w:val="00C3355F"/>
    <w:rsid w:val="00C3569A"/>
    <w:rsid w:val="00C407D7"/>
    <w:rsid w:val="00C417E3"/>
    <w:rsid w:val="00C42369"/>
    <w:rsid w:val="00C42A5B"/>
    <w:rsid w:val="00C43F48"/>
    <w:rsid w:val="00C448FF"/>
    <w:rsid w:val="00C45E57"/>
    <w:rsid w:val="00C518B6"/>
    <w:rsid w:val="00C52F29"/>
    <w:rsid w:val="00C53475"/>
    <w:rsid w:val="00C56CE6"/>
    <w:rsid w:val="00C56F2C"/>
    <w:rsid w:val="00C5745F"/>
    <w:rsid w:val="00C60005"/>
    <w:rsid w:val="00C60B5B"/>
    <w:rsid w:val="00C61A98"/>
    <w:rsid w:val="00C623A3"/>
    <w:rsid w:val="00C63201"/>
    <w:rsid w:val="00C64E62"/>
    <w:rsid w:val="00C651D5"/>
    <w:rsid w:val="00C6573E"/>
    <w:rsid w:val="00C65CCC"/>
    <w:rsid w:val="00C71D4E"/>
    <w:rsid w:val="00C7265A"/>
    <w:rsid w:val="00C749D5"/>
    <w:rsid w:val="00C7618F"/>
    <w:rsid w:val="00C765A9"/>
    <w:rsid w:val="00C77C77"/>
    <w:rsid w:val="00C81155"/>
    <w:rsid w:val="00C8162D"/>
    <w:rsid w:val="00C83A0B"/>
    <w:rsid w:val="00C842D0"/>
    <w:rsid w:val="00C84ED1"/>
    <w:rsid w:val="00C9038F"/>
    <w:rsid w:val="00C92AAB"/>
    <w:rsid w:val="00C93ABE"/>
    <w:rsid w:val="00C96C68"/>
    <w:rsid w:val="00CA2435"/>
    <w:rsid w:val="00CA4068"/>
    <w:rsid w:val="00CB37F8"/>
    <w:rsid w:val="00CB5D4D"/>
    <w:rsid w:val="00CB7DC3"/>
    <w:rsid w:val="00CC15A5"/>
    <w:rsid w:val="00CD0E2F"/>
    <w:rsid w:val="00CD1D49"/>
    <w:rsid w:val="00CD2A6B"/>
    <w:rsid w:val="00CD2F20"/>
    <w:rsid w:val="00CD6657"/>
    <w:rsid w:val="00CD6B20"/>
    <w:rsid w:val="00CE1339"/>
    <w:rsid w:val="00CE22B2"/>
    <w:rsid w:val="00CE61CC"/>
    <w:rsid w:val="00CE6BD0"/>
    <w:rsid w:val="00CE6E42"/>
    <w:rsid w:val="00CE7A65"/>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07E"/>
    <w:rsid w:val="00D2243A"/>
    <w:rsid w:val="00D26C4E"/>
    <w:rsid w:val="00D27910"/>
    <w:rsid w:val="00D27D5D"/>
    <w:rsid w:val="00D33393"/>
    <w:rsid w:val="00D33D36"/>
    <w:rsid w:val="00D33E89"/>
    <w:rsid w:val="00D34D94"/>
    <w:rsid w:val="00D409E2"/>
    <w:rsid w:val="00D42702"/>
    <w:rsid w:val="00D427D7"/>
    <w:rsid w:val="00D42A53"/>
    <w:rsid w:val="00D44E62"/>
    <w:rsid w:val="00D51570"/>
    <w:rsid w:val="00D5522E"/>
    <w:rsid w:val="00D556AD"/>
    <w:rsid w:val="00D55C76"/>
    <w:rsid w:val="00D60381"/>
    <w:rsid w:val="00D616DE"/>
    <w:rsid w:val="00D62201"/>
    <w:rsid w:val="00D651D1"/>
    <w:rsid w:val="00D70824"/>
    <w:rsid w:val="00D717BB"/>
    <w:rsid w:val="00D7226B"/>
    <w:rsid w:val="00D72707"/>
    <w:rsid w:val="00D733A4"/>
    <w:rsid w:val="00D75662"/>
    <w:rsid w:val="00D75A9C"/>
    <w:rsid w:val="00D77E59"/>
    <w:rsid w:val="00D80A82"/>
    <w:rsid w:val="00D8121C"/>
    <w:rsid w:val="00D8686A"/>
    <w:rsid w:val="00D877B0"/>
    <w:rsid w:val="00D878EB"/>
    <w:rsid w:val="00D90871"/>
    <w:rsid w:val="00D9155F"/>
    <w:rsid w:val="00D9403F"/>
    <w:rsid w:val="00D959B4"/>
    <w:rsid w:val="00DA2187"/>
    <w:rsid w:val="00DA44DE"/>
    <w:rsid w:val="00DA6CE3"/>
    <w:rsid w:val="00DB5662"/>
    <w:rsid w:val="00DB620A"/>
    <w:rsid w:val="00DC3832"/>
    <w:rsid w:val="00DC3B6B"/>
    <w:rsid w:val="00DC459C"/>
    <w:rsid w:val="00DC78FB"/>
    <w:rsid w:val="00DC7A51"/>
    <w:rsid w:val="00DD0EFD"/>
    <w:rsid w:val="00DD3B1E"/>
    <w:rsid w:val="00DD42AF"/>
    <w:rsid w:val="00DE5A9B"/>
    <w:rsid w:val="00DE5B5F"/>
    <w:rsid w:val="00DF55AC"/>
    <w:rsid w:val="00DF70FD"/>
    <w:rsid w:val="00E00696"/>
    <w:rsid w:val="00E03651"/>
    <w:rsid w:val="00E03808"/>
    <w:rsid w:val="00E03CD4"/>
    <w:rsid w:val="00E045E1"/>
    <w:rsid w:val="00E0496F"/>
    <w:rsid w:val="00E058EA"/>
    <w:rsid w:val="00E060A6"/>
    <w:rsid w:val="00E060C2"/>
    <w:rsid w:val="00E06324"/>
    <w:rsid w:val="00E116F8"/>
    <w:rsid w:val="00E12886"/>
    <w:rsid w:val="00E12FB0"/>
    <w:rsid w:val="00E139B7"/>
    <w:rsid w:val="00E14814"/>
    <w:rsid w:val="00E1591B"/>
    <w:rsid w:val="00E16A50"/>
    <w:rsid w:val="00E17064"/>
    <w:rsid w:val="00E21190"/>
    <w:rsid w:val="00E2357F"/>
    <w:rsid w:val="00E249D5"/>
    <w:rsid w:val="00E262EB"/>
    <w:rsid w:val="00E26F73"/>
    <w:rsid w:val="00E31945"/>
    <w:rsid w:val="00E33C68"/>
    <w:rsid w:val="00E33E9C"/>
    <w:rsid w:val="00E34EEB"/>
    <w:rsid w:val="00E3687C"/>
    <w:rsid w:val="00E40EAD"/>
    <w:rsid w:val="00E43B5C"/>
    <w:rsid w:val="00E44EB9"/>
    <w:rsid w:val="00E45C9B"/>
    <w:rsid w:val="00E46358"/>
    <w:rsid w:val="00E465DA"/>
    <w:rsid w:val="00E471DC"/>
    <w:rsid w:val="00E50EB4"/>
    <w:rsid w:val="00E52B99"/>
    <w:rsid w:val="00E532FC"/>
    <w:rsid w:val="00E559B4"/>
    <w:rsid w:val="00E55BB0"/>
    <w:rsid w:val="00E55EDC"/>
    <w:rsid w:val="00E57334"/>
    <w:rsid w:val="00E609E5"/>
    <w:rsid w:val="00E60F27"/>
    <w:rsid w:val="00E61F70"/>
    <w:rsid w:val="00E628C7"/>
    <w:rsid w:val="00E628EA"/>
    <w:rsid w:val="00E635B5"/>
    <w:rsid w:val="00E64D93"/>
    <w:rsid w:val="00E65EDB"/>
    <w:rsid w:val="00E66927"/>
    <w:rsid w:val="00E677B8"/>
    <w:rsid w:val="00E67FA1"/>
    <w:rsid w:val="00E704F5"/>
    <w:rsid w:val="00E7077F"/>
    <w:rsid w:val="00E7387D"/>
    <w:rsid w:val="00E73D53"/>
    <w:rsid w:val="00E74BC6"/>
    <w:rsid w:val="00E75111"/>
    <w:rsid w:val="00E77296"/>
    <w:rsid w:val="00E77AA5"/>
    <w:rsid w:val="00E93763"/>
    <w:rsid w:val="00E96C4C"/>
    <w:rsid w:val="00EA1DA7"/>
    <w:rsid w:val="00EA2AAE"/>
    <w:rsid w:val="00EA2EC0"/>
    <w:rsid w:val="00EA427A"/>
    <w:rsid w:val="00EA723B"/>
    <w:rsid w:val="00EB1CB0"/>
    <w:rsid w:val="00EB4237"/>
    <w:rsid w:val="00EB6350"/>
    <w:rsid w:val="00EB687A"/>
    <w:rsid w:val="00EB7448"/>
    <w:rsid w:val="00EC2F62"/>
    <w:rsid w:val="00EC5D61"/>
    <w:rsid w:val="00EC5F9E"/>
    <w:rsid w:val="00EC62EB"/>
    <w:rsid w:val="00EC6E9F"/>
    <w:rsid w:val="00EC778F"/>
    <w:rsid w:val="00ED44F0"/>
    <w:rsid w:val="00ED4B33"/>
    <w:rsid w:val="00ED4F8C"/>
    <w:rsid w:val="00ED57F0"/>
    <w:rsid w:val="00ED6AEB"/>
    <w:rsid w:val="00ED7DD6"/>
    <w:rsid w:val="00EE060B"/>
    <w:rsid w:val="00EE1425"/>
    <w:rsid w:val="00EE15A1"/>
    <w:rsid w:val="00EE2A7C"/>
    <w:rsid w:val="00EE2C42"/>
    <w:rsid w:val="00EE341B"/>
    <w:rsid w:val="00EE4453"/>
    <w:rsid w:val="00EE5FCE"/>
    <w:rsid w:val="00EE6BBD"/>
    <w:rsid w:val="00EE6E1E"/>
    <w:rsid w:val="00EE705F"/>
    <w:rsid w:val="00EF054B"/>
    <w:rsid w:val="00EF1462"/>
    <w:rsid w:val="00EF1496"/>
    <w:rsid w:val="00EF36F1"/>
    <w:rsid w:val="00EF54FD"/>
    <w:rsid w:val="00EF6E2E"/>
    <w:rsid w:val="00F031E1"/>
    <w:rsid w:val="00F03AC0"/>
    <w:rsid w:val="00F13112"/>
    <w:rsid w:val="00F15F10"/>
    <w:rsid w:val="00F16FE6"/>
    <w:rsid w:val="00F21D04"/>
    <w:rsid w:val="00F228F1"/>
    <w:rsid w:val="00F238BD"/>
    <w:rsid w:val="00F24992"/>
    <w:rsid w:val="00F26F8F"/>
    <w:rsid w:val="00F27132"/>
    <w:rsid w:val="00F2799B"/>
    <w:rsid w:val="00F32F2F"/>
    <w:rsid w:val="00F33F3F"/>
    <w:rsid w:val="00F35BDD"/>
    <w:rsid w:val="00F403FD"/>
    <w:rsid w:val="00F41E72"/>
    <w:rsid w:val="00F44BF4"/>
    <w:rsid w:val="00F45BDF"/>
    <w:rsid w:val="00F47AE7"/>
    <w:rsid w:val="00F50300"/>
    <w:rsid w:val="00F54F9D"/>
    <w:rsid w:val="00F56E39"/>
    <w:rsid w:val="00F623E9"/>
    <w:rsid w:val="00F62A86"/>
    <w:rsid w:val="00F63951"/>
    <w:rsid w:val="00F63C86"/>
    <w:rsid w:val="00F65A3E"/>
    <w:rsid w:val="00F73ED4"/>
    <w:rsid w:val="00F74B6C"/>
    <w:rsid w:val="00F766BE"/>
    <w:rsid w:val="00F77EB9"/>
    <w:rsid w:val="00F80635"/>
    <w:rsid w:val="00F8147A"/>
    <w:rsid w:val="00F815D1"/>
    <w:rsid w:val="00F81E7E"/>
    <w:rsid w:val="00F81F0F"/>
    <w:rsid w:val="00F825F4"/>
    <w:rsid w:val="00F83C07"/>
    <w:rsid w:val="00F86326"/>
    <w:rsid w:val="00F872E5"/>
    <w:rsid w:val="00F92730"/>
    <w:rsid w:val="00F92AA1"/>
    <w:rsid w:val="00F932DE"/>
    <w:rsid w:val="00F93AB0"/>
    <w:rsid w:val="00F9483A"/>
    <w:rsid w:val="00F963DD"/>
    <w:rsid w:val="00F9641A"/>
    <w:rsid w:val="00F97004"/>
    <w:rsid w:val="00FA2045"/>
    <w:rsid w:val="00FA2DBB"/>
    <w:rsid w:val="00FA3EA2"/>
    <w:rsid w:val="00FA7A66"/>
    <w:rsid w:val="00FB1AA9"/>
    <w:rsid w:val="00FB31C9"/>
    <w:rsid w:val="00FB4B5A"/>
    <w:rsid w:val="00FB5963"/>
    <w:rsid w:val="00FB5DAA"/>
    <w:rsid w:val="00FB6360"/>
    <w:rsid w:val="00FC04B9"/>
    <w:rsid w:val="00FC161A"/>
    <w:rsid w:val="00FC23D5"/>
    <w:rsid w:val="00FC4C1A"/>
    <w:rsid w:val="00FC601D"/>
    <w:rsid w:val="00FC6468"/>
    <w:rsid w:val="00FC6D49"/>
    <w:rsid w:val="00FC750D"/>
    <w:rsid w:val="00FD1168"/>
    <w:rsid w:val="00FD4922"/>
    <w:rsid w:val="00FD5BD3"/>
    <w:rsid w:val="00FD6461"/>
    <w:rsid w:val="00FD6A5B"/>
    <w:rsid w:val="00FE0281"/>
    <w:rsid w:val="00FE1AB6"/>
    <w:rsid w:val="00FE7083"/>
    <w:rsid w:val="00FF019F"/>
    <w:rsid w:val="00FF1B2A"/>
    <w:rsid w:val="00FF30DE"/>
    <w:rsid w:val="00FF3E3B"/>
    <w:rsid w:val="00FF5F2A"/>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9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uiPriority w:val="99"/>
    <w:semiHidden/>
    <w:unhideWhenUsed/>
    <w:rsid w:val="002F46AC"/>
  </w:style>
  <w:style w:type="character" w:customStyle="1" w:styleId="UnresolvedMention1">
    <w:name w:val="Unresolved Mention1"/>
    <w:uiPriority w:val="99"/>
    <w:semiHidden/>
    <w:unhideWhenUsed/>
    <w:rsid w:val="00890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78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81FC-160A-4CC4-B7CD-4AEEFA7A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12621</Words>
  <Characters>71941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2018-08-09T03:17:00Z</cp:lastPrinted>
  <dcterms:created xsi:type="dcterms:W3CDTF">2018-08-30T16:38:00Z</dcterms:created>
  <dcterms:modified xsi:type="dcterms:W3CDTF">2018-09-10T20:25:00Z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http://www.zotero.org/styles/american-society-for-microbiology</vt:lpwstr>
  </property>
  <property fmtid="{D5CDD505-2E9C-101B-9397-08002B2CF9AE}" pid="15" name="Mendeley Recent Style Name 3_1">
    <vt:lpwstr>American Society for Microbiology</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vt:lpwstr>
  </property>
  <property fmtid="{D5CDD505-2E9C-101B-9397-08002B2CF9AE}" pid="18" name="Mendeley Recent Style Id 5_1">
    <vt:lpwstr>http://www.zotero.org/styles/cell</vt:lpwstr>
  </property>
  <property fmtid="{D5CDD505-2E9C-101B-9397-08002B2CF9AE}" pid="19" name="Mendeley Recent Style Name 5_1">
    <vt:lpwstr>Cell</vt:lpwstr>
  </property>
  <property fmtid="{D5CDD505-2E9C-101B-9397-08002B2CF9AE}" pid="20" name="Mendeley Recent Style Id 6_1">
    <vt:lpwstr>http://www.zotero.org/styles/chicago-author-date</vt:lpwstr>
  </property>
  <property fmtid="{D5CDD505-2E9C-101B-9397-08002B2CF9AE}" pid="21" name="Mendeley Recent Style Name 6_1">
    <vt:lpwstr>Chicago Manual of Style 16th edition (author-date)</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http://www.zotero.org/styles/journal-of-visualized-experiments</vt:lpwstr>
  </property>
  <property fmtid="{D5CDD505-2E9C-101B-9397-08002B2CF9AE}" pid="25" name="Mendeley Recent Style Name 8_1">
    <vt:lpwstr>Journal of Visualized Experiments</vt:lpwstr>
  </property>
  <property fmtid="{D5CDD505-2E9C-101B-9397-08002B2CF9AE}" pid="26" name="Mendeley Recent Style Id 9_1">
    <vt:lpwstr>http://www.zotero.org/styles/national-library-of-medicine</vt:lpwstr>
  </property>
  <property fmtid="{D5CDD505-2E9C-101B-9397-08002B2CF9AE}" pid="27" name="Mendeley Recent Style Name 9_1">
    <vt:lpwstr>National Library of Medicine</vt:lpwstr>
  </property>
  <property fmtid="{D5CDD505-2E9C-101B-9397-08002B2CF9AE}" pid="28" name="Mendeley Document_1">
    <vt:lpwstr>True</vt:lpwstr>
  </property>
  <property fmtid="{D5CDD505-2E9C-101B-9397-08002B2CF9AE}" pid="29" name="Mendeley Unique User Id_1">
    <vt:lpwstr>95608c01-7341-3e7a-88a1-254b9bff5786</vt:lpwstr>
  </property>
  <property fmtid="{D5CDD505-2E9C-101B-9397-08002B2CF9AE}" pid="30" name="Mendeley Citation Style_1">
    <vt:lpwstr>http://www.zotero.org/styles/journal-of-visualized-experiments</vt:lpwstr>
  </property>
</Properties>
</file>