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4DB6A" w14:textId="7846A060" w:rsidR="001906FE" w:rsidRPr="00243817" w:rsidRDefault="006305D7" w:rsidP="004F6460">
      <w:pPr>
        <w:pStyle w:val="a3"/>
        <w:spacing w:before="0" w:beforeAutospacing="0" w:after="0" w:afterAutospacing="0"/>
        <w:rPr>
          <w:rFonts w:asciiTheme="minorHAnsi" w:hAnsiTheme="minorHAnsi" w:cstheme="minorHAnsi"/>
        </w:rPr>
      </w:pPr>
      <w:r w:rsidRPr="00243817">
        <w:rPr>
          <w:rFonts w:asciiTheme="minorHAnsi" w:hAnsiTheme="minorHAnsi" w:cstheme="minorHAnsi"/>
          <w:b/>
          <w:bCs/>
        </w:rPr>
        <w:t>TITLE</w:t>
      </w:r>
      <w:r w:rsidR="00EA6AC7" w:rsidRPr="00243817">
        <w:rPr>
          <w:rFonts w:asciiTheme="minorHAnsi" w:hAnsiTheme="minorHAnsi" w:cstheme="minorHAnsi"/>
          <w:color w:val="808080"/>
        </w:rPr>
        <w:t>:</w:t>
      </w:r>
      <w:r w:rsidRPr="00243817">
        <w:rPr>
          <w:rFonts w:asciiTheme="minorHAnsi" w:hAnsiTheme="minorHAnsi" w:cstheme="minorHAnsi"/>
        </w:rPr>
        <w:t xml:space="preserve"> </w:t>
      </w:r>
    </w:p>
    <w:p w14:paraId="306833FA" w14:textId="26F650F7" w:rsidR="00AB537E" w:rsidRPr="00243817" w:rsidRDefault="00AB537E" w:rsidP="004F6460">
      <w:pPr>
        <w:pStyle w:val="aa"/>
      </w:pPr>
      <w:r w:rsidRPr="00243817">
        <w:t>How to Stabili</w:t>
      </w:r>
      <w:r w:rsidR="001E4C29" w:rsidRPr="00243817">
        <w:t>z</w:t>
      </w:r>
      <w:r w:rsidRPr="00243817">
        <w:t xml:space="preserve">e Protein: </w:t>
      </w:r>
      <w:r w:rsidR="00C041F2" w:rsidRPr="00243817">
        <w:t>Stability</w:t>
      </w:r>
      <w:r w:rsidRPr="00243817">
        <w:t xml:space="preserve"> Screens for </w:t>
      </w:r>
      <w:r w:rsidR="007B6C24" w:rsidRPr="00243817">
        <w:t xml:space="preserve">Thermal Shift Assays </w:t>
      </w:r>
      <w:r w:rsidRPr="00243817">
        <w:t xml:space="preserve">and </w:t>
      </w:r>
      <w:r w:rsidR="00D63D91" w:rsidRPr="00243817">
        <w:t>N</w:t>
      </w:r>
      <w:r w:rsidRPr="00243817">
        <w:t>ano</w:t>
      </w:r>
      <w:r w:rsidR="007B6C24" w:rsidRPr="00243817">
        <w:t xml:space="preserve"> </w:t>
      </w:r>
      <w:r w:rsidRPr="00243817">
        <w:t>D</w:t>
      </w:r>
      <w:r w:rsidR="007B6C24" w:rsidRPr="00243817">
        <w:t xml:space="preserve">ifferential </w:t>
      </w:r>
      <w:r w:rsidRPr="00243817">
        <w:t>S</w:t>
      </w:r>
      <w:r w:rsidR="007B6C24" w:rsidRPr="00243817">
        <w:t xml:space="preserve">canning </w:t>
      </w:r>
      <w:r w:rsidRPr="00243817">
        <w:t>F</w:t>
      </w:r>
      <w:r w:rsidR="007B6C24" w:rsidRPr="00243817">
        <w:t>luorimetry</w:t>
      </w:r>
      <w:r w:rsidRPr="00243817">
        <w:t xml:space="preserve"> in the V</w:t>
      </w:r>
      <w:r w:rsidR="00A56894" w:rsidRPr="00243817">
        <w:t>i</w:t>
      </w:r>
      <w:r w:rsidRPr="00243817">
        <w:t>rus-X Project</w:t>
      </w:r>
    </w:p>
    <w:p w14:paraId="2E300B21" w14:textId="77777777" w:rsidR="007A4DD6" w:rsidRPr="00243817" w:rsidRDefault="007A4DD6" w:rsidP="004F6460">
      <w:pPr>
        <w:pStyle w:val="aa"/>
        <w:rPr>
          <w:rFonts w:asciiTheme="minorHAnsi" w:hAnsiTheme="minorHAnsi" w:cstheme="minorHAnsi"/>
          <w:b/>
          <w:bCs/>
        </w:rPr>
      </w:pPr>
    </w:p>
    <w:p w14:paraId="3D080DA3" w14:textId="24EE2642" w:rsidR="006305D7" w:rsidRPr="00243817" w:rsidRDefault="006305D7" w:rsidP="004F6460">
      <w:pPr>
        <w:rPr>
          <w:rFonts w:asciiTheme="minorHAnsi" w:hAnsiTheme="minorHAnsi" w:cstheme="minorHAnsi"/>
          <w:color w:val="808080" w:themeColor="background1" w:themeShade="80"/>
        </w:rPr>
      </w:pPr>
      <w:r w:rsidRPr="00243817">
        <w:rPr>
          <w:rFonts w:asciiTheme="minorHAnsi" w:hAnsiTheme="minorHAnsi" w:cstheme="minorHAnsi"/>
          <w:b/>
          <w:bCs/>
        </w:rPr>
        <w:t>AUTHORS</w:t>
      </w:r>
      <w:r w:rsidR="000B662E" w:rsidRPr="00243817">
        <w:rPr>
          <w:rFonts w:asciiTheme="minorHAnsi" w:hAnsiTheme="minorHAnsi" w:cstheme="minorHAnsi"/>
          <w:b/>
          <w:bCs/>
        </w:rPr>
        <w:t xml:space="preserve"> </w:t>
      </w:r>
      <w:r w:rsidR="00086FF5" w:rsidRPr="00243817">
        <w:rPr>
          <w:rFonts w:asciiTheme="minorHAnsi" w:hAnsiTheme="minorHAnsi" w:cstheme="minorHAnsi"/>
          <w:b/>
          <w:bCs/>
        </w:rPr>
        <w:t xml:space="preserve">AND </w:t>
      </w:r>
      <w:r w:rsidR="000B662E" w:rsidRPr="00243817">
        <w:rPr>
          <w:rFonts w:asciiTheme="minorHAnsi" w:hAnsiTheme="minorHAnsi" w:cstheme="minorHAnsi"/>
          <w:b/>
          <w:bCs/>
        </w:rPr>
        <w:t>AFFILIATIONS</w:t>
      </w:r>
      <w:r w:rsidR="00EA6AC7" w:rsidRPr="00243817">
        <w:rPr>
          <w:rFonts w:asciiTheme="minorHAnsi" w:hAnsiTheme="minorHAnsi" w:cstheme="minorHAnsi"/>
          <w:b/>
          <w:bCs/>
        </w:rPr>
        <w:t>:</w:t>
      </w:r>
    </w:p>
    <w:p w14:paraId="6102337C" w14:textId="7814FBBF" w:rsidR="00751C42" w:rsidRPr="00243817" w:rsidRDefault="00751C42" w:rsidP="004F6460">
      <w:pPr>
        <w:rPr>
          <w:rFonts w:asciiTheme="minorHAnsi" w:hAnsiTheme="minorHAnsi" w:cstheme="minorHAnsi"/>
          <w:bCs/>
          <w:color w:val="auto"/>
        </w:rPr>
      </w:pPr>
      <w:r w:rsidRPr="00243817">
        <w:rPr>
          <w:rFonts w:asciiTheme="minorHAnsi" w:hAnsiTheme="minorHAnsi" w:cstheme="minorHAnsi"/>
          <w:bCs/>
          <w:color w:val="auto"/>
        </w:rPr>
        <w:t>Daniel Bruce</w:t>
      </w:r>
      <w:r w:rsidRPr="00243817">
        <w:rPr>
          <w:rFonts w:asciiTheme="minorHAnsi" w:hAnsiTheme="minorHAnsi" w:cstheme="minorHAnsi"/>
          <w:bCs/>
          <w:color w:val="auto"/>
          <w:vertAlign w:val="superscript"/>
        </w:rPr>
        <w:t>1</w:t>
      </w:r>
      <w:r w:rsidRPr="00243817">
        <w:rPr>
          <w:rFonts w:asciiTheme="minorHAnsi" w:hAnsiTheme="minorHAnsi" w:cstheme="minorHAnsi"/>
          <w:bCs/>
          <w:color w:val="auto"/>
        </w:rPr>
        <w:t>,</w:t>
      </w:r>
      <w:r w:rsidR="00D146E1" w:rsidRPr="00243817">
        <w:rPr>
          <w:rFonts w:asciiTheme="minorHAnsi" w:hAnsiTheme="minorHAnsi" w:cstheme="minorHAnsi"/>
          <w:bCs/>
          <w:color w:val="auto"/>
        </w:rPr>
        <w:t xml:space="preserve"> Emily Cardew</w:t>
      </w:r>
      <w:r w:rsidR="00647D8A" w:rsidRPr="00243817">
        <w:rPr>
          <w:rFonts w:asciiTheme="minorHAnsi" w:hAnsiTheme="minorHAnsi" w:cstheme="minorHAnsi"/>
          <w:bCs/>
          <w:color w:val="auto"/>
          <w:vertAlign w:val="superscript"/>
        </w:rPr>
        <w:t>1</w:t>
      </w:r>
      <w:r w:rsidR="009A48F2" w:rsidRPr="00243817">
        <w:rPr>
          <w:rFonts w:asciiTheme="minorHAnsi" w:hAnsiTheme="minorHAnsi" w:cstheme="minorHAnsi"/>
          <w:bCs/>
          <w:color w:val="auto"/>
        </w:rPr>
        <w:t xml:space="preserve">, </w:t>
      </w:r>
      <w:r w:rsidR="00D146E1" w:rsidRPr="00243817">
        <w:rPr>
          <w:rFonts w:asciiTheme="minorHAnsi" w:hAnsiTheme="minorHAnsi" w:cstheme="minorHAnsi"/>
          <w:bCs/>
          <w:color w:val="auto"/>
        </w:rPr>
        <w:t>Stefanie Fr</w:t>
      </w:r>
      <w:r w:rsidR="00C047CD" w:rsidRPr="00243817">
        <w:rPr>
          <w:rFonts w:asciiTheme="minorHAnsi" w:hAnsiTheme="minorHAnsi" w:cstheme="minorHAnsi"/>
          <w:bCs/>
          <w:color w:val="auto"/>
        </w:rPr>
        <w:t>ei</w:t>
      </w:r>
      <w:r w:rsidR="00D146E1" w:rsidRPr="00243817">
        <w:rPr>
          <w:rFonts w:asciiTheme="minorHAnsi" w:hAnsiTheme="minorHAnsi" w:cstheme="minorHAnsi"/>
          <w:bCs/>
          <w:color w:val="auto"/>
        </w:rPr>
        <w:t>tag-Pohl</w:t>
      </w:r>
      <w:r w:rsidR="006C1C04" w:rsidRPr="00243817">
        <w:rPr>
          <w:rFonts w:asciiTheme="minorHAnsi" w:hAnsiTheme="minorHAnsi" w:cstheme="minorHAnsi"/>
          <w:bCs/>
          <w:color w:val="auto"/>
          <w:vertAlign w:val="superscript"/>
        </w:rPr>
        <w:t>2</w:t>
      </w:r>
      <w:r w:rsidR="00D146E1" w:rsidRPr="00243817">
        <w:rPr>
          <w:rFonts w:asciiTheme="minorHAnsi" w:hAnsiTheme="minorHAnsi" w:cstheme="minorHAnsi"/>
          <w:bCs/>
          <w:color w:val="auto"/>
        </w:rPr>
        <w:t xml:space="preserve">, </w:t>
      </w:r>
      <w:r w:rsidRPr="00243817">
        <w:rPr>
          <w:rFonts w:asciiTheme="minorHAnsi" w:hAnsiTheme="minorHAnsi" w:cstheme="minorHAnsi"/>
          <w:bCs/>
          <w:color w:val="auto"/>
        </w:rPr>
        <w:t>Ehmke Pohl</w:t>
      </w:r>
      <w:r w:rsidR="006263AD" w:rsidRPr="00243817">
        <w:rPr>
          <w:rFonts w:asciiTheme="minorHAnsi" w:hAnsiTheme="minorHAnsi" w:cstheme="minorHAnsi"/>
          <w:bCs/>
          <w:color w:val="auto"/>
          <w:vertAlign w:val="superscript"/>
        </w:rPr>
        <w:t>1,</w:t>
      </w:r>
      <w:r w:rsidR="006C1C04" w:rsidRPr="00243817">
        <w:rPr>
          <w:rFonts w:asciiTheme="minorHAnsi" w:hAnsiTheme="minorHAnsi" w:cstheme="minorHAnsi"/>
          <w:bCs/>
          <w:color w:val="auto"/>
          <w:vertAlign w:val="superscript"/>
        </w:rPr>
        <w:t>2</w:t>
      </w:r>
    </w:p>
    <w:p w14:paraId="2C7E05EC" w14:textId="5798B0C4" w:rsidR="00751C42" w:rsidRPr="00243817" w:rsidRDefault="00751C42" w:rsidP="004F6460">
      <w:pPr>
        <w:rPr>
          <w:rFonts w:asciiTheme="minorHAnsi" w:hAnsiTheme="minorHAnsi" w:cstheme="minorHAnsi"/>
          <w:bCs/>
          <w:color w:val="auto"/>
        </w:rPr>
      </w:pPr>
      <w:r w:rsidRPr="00243817">
        <w:rPr>
          <w:rFonts w:asciiTheme="minorHAnsi" w:hAnsiTheme="minorHAnsi" w:cstheme="minorHAnsi"/>
          <w:bCs/>
          <w:color w:val="auto"/>
          <w:vertAlign w:val="superscript"/>
        </w:rPr>
        <w:t>1</w:t>
      </w:r>
      <w:r w:rsidRPr="00243817">
        <w:rPr>
          <w:rFonts w:asciiTheme="minorHAnsi" w:hAnsiTheme="minorHAnsi" w:cstheme="minorHAnsi"/>
          <w:bCs/>
          <w:color w:val="auto"/>
        </w:rPr>
        <w:t xml:space="preserve">Department of Biosciences, Durham University, </w:t>
      </w:r>
      <w:r w:rsidR="003D2829" w:rsidRPr="00243817">
        <w:rPr>
          <w:rFonts w:asciiTheme="minorHAnsi" w:hAnsiTheme="minorHAnsi" w:cstheme="minorHAnsi"/>
          <w:bCs/>
          <w:color w:val="auto"/>
        </w:rPr>
        <w:t>Stockton Road, Durham, UK</w:t>
      </w:r>
    </w:p>
    <w:p w14:paraId="5092956B" w14:textId="7CD9D048" w:rsidR="00A56894" w:rsidRPr="00243817" w:rsidRDefault="0035065E" w:rsidP="004F6460">
      <w:pPr>
        <w:rPr>
          <w:rFonts w:asciiTheme="minorHAnsi" w:hAnsiTheme="minorHAnsi" w:cstheme="minorHAnsi"/>
          <w:bCs/>
          <w:color w:val="auto"/>
        </w:rPr>
      </w:pPr>
      <w:r w:rsidRPr="00243817">
        <w:rPr>
          <w:rFonts w:asciiTheme="minorHAnsi" w:hAnsiTheme="minorHAnsi" w:cstheme="minorHAnsi"/>
          <w:bCs/>
          <w:color w:val="auto"/>
          <w:vertAlign w:val="superscript"/>
        </w:rPr>
        <w:t>2</w:t>
      </w:r>
      <w:r w:rsidR="00A56894" w:rsidRPr="00243817">
        <w:rPr>
          <w:rFonts w:asciiTheme="minorHAnsi" w:hAnsiTheme="minorHAnsi" w:cstheme="minorHAnsi"/>
          <w:bCs/>
          <w:color w:val="auto"/>
        </w:rPr>
        <w:t xml:space="preserve">Department of Chemistry, Durham University, </w:t>
      </w:r>
      <w:r w:rsidR="00647D8A" w:rsidRPr="00243817">
        <w:rPr>
          <w:rFonts w:asciiTheme="minorHAnsi" w:hAnsiTheme="minorHAnsi" w:cstheme="minorHAnsi"/>
          <w:bCs/>
          <w:color w:val="auto"/>
        </w:rPr>
        <w:t>Lower Mountjoy, Stockton Road, Durham</w:t>
      </w:r>
      <w:r w:rsidR="003D2829" w:rsidRPr="00243817">
        <w:rPr>
          <w:rFonts w:asciiTheme="minorHAnsi" w:hAnsiTheme="minorHAnsi" w:cstheme="minorHAnsi"/>
          <w:bCs/>
          <w:color w:val="auto"/>
        </w:rPr>
        <w:t>,</w:t>
      </w:r>
      <w:r w:rsidR="00647D8A" w:rsidRPr="00243817">
        <w:rPr>
          <w:rFonts w:asciiTheme="minorHAnsi" w:hAnsiTheme="minorHAnsi" w:cstheme="minorHAnsi"/>
          <w:bCs/>
          <w:color w:val="auto"/>
        </w:rPr>
        <w:t xml:space="preserve"> UK</w:t>
      </w:r>
    </w:p>
    <w:p w14:paraId="557CB7B5" w14:textId="77777777" w:rsidR="00751C42" w:rsidRPr="00243817" w:rsidRDefault="00751C42" w:rsidP="004F6460">
      <w:pPr>
        <w:rPr>
          <w:rFonts w:asciiTheme="minorHAnsi" w:hAnsiTheme="minorHAnsi" w:cstheme="minorHAnsi"/>
          <w:bCs/>
          <w:color w:val="auto"/>
        </w:rPr>
      </w:pPr>
    </w:p>
    <w:p w14:paraId="2CA06C81" w14:textId="77777777" w:rsidR="00751C42" w:rsidRPr="00243817" w:rsidRDefault="00751C42" w:rsidP="004F6460">
      <w:pPr>
        <w:rPr>
          <w:rFonts w:asciiTheme="minorHAnsi" w:hAnsiTheme="minorHAnsi" w:cstheme="minorHAnsi"/>
          <w:b/>
          <w:bCs/>
          <w:color w:val="auto"/>
        </w:rPr>
      </w:pPr>
      <w:r w:rsidRPr="00243817">
        <w:rPr>
          <w:rFonts w:asciiTheme="minorHAnsi" w:hAnsiTheme="minorHAnsi" w:cstheme="minorHAnsi"/>
          <w:b/>
          <w:bCs/>
          <w:color w:val="auto"/>
        </w:rPr>
        <w:t xml:space="preserve">Corresponding Author: </w:t>
      </w:r>
    </w:p>
    <w:p w14:paraId="216F4ADC" w14:textId="6E945E8F" w:rsidR="00751C42" w:rsidRPr="00243817" w:rsidRDefault="00E230F7" w:rsidP="004F6460">
      <w:pPr>
        <w:rPr>
          <w:rFonts w:asciiTheme="minorHAnsi" w:hAnsiTheme="minorHAnsi" w:cstheme="minorHAnsi"/>
          <w:bCs/>
          <w:color w:val="auto"/>
        </w:rPr>
      </w:pPr>
      <w:r w:rsidRPr="00243817">
        <w:rPr>
          <w:rFonts w:asciiTheme="minorHAnsi" w:hAnsiTheme="minorHAnsi" w:cstheme="minorHAnsi"/>
          <w:bCs/>
          <w:color w:val="auto"/>
        </w:rPr>
        <w:t>Ehmke Pohl</w:t>
      </w:r>
    </w:p>
    <w:p w14:paraId="4597A407" w14:textId="50C57FC9" w:rsidR="00751C42" w:rsidRPr="00243817" w:rsidRDefault="00112779" w:rsidP="004F6460">
      <w:pPr>
        <w:rPr>
          <w:rFonts w:asciiTheme="minorHAnsi" w:hAnsiTheme="minorHAnsi" w:cstheme="minorHAnsi"/>
          <w:bCs/>
          <w:color w:val="auto"/>
        </w:rPr>
      </w:pPr>
      <w:r w:rsidRPr="00243817">
        <w:rPr>
          <w:rFonts w:asciiTheme="minorHAnsi" w:hAnsiTheme="minorHAnsi" w:cstheme="minorHAnsi"/>
          <w:bCs/>
          <w:color w:val="auto"/>
        </w:rPr>
        <w:t>e</w:t>
      </w:r>
      <w:r w:rsidR="00E230F7" w:rsidRPr="00243817">
        <w:rPr>
          <w:rFonts w:asciiTheme="minorHAnsi" w:hAnsiTheme="minorHAnsi" w:cstheme="minorHAnsi"/>
          <w:bCs/>
          <w:color w:val="auto"/>
        </w:rPr>
        <w:t>hmke.</w:t>
      </w:r>
      <w:r w:rsidRPr="00243817">
        <w:rPr>
          <w:rFonts w:asciiTheme="minorHAnsi" w:hAnsiTheme="minorHAnsi" w:cstheme="minorHAnsi"/>
          <w:bCs/>
          <w:color w:val="auto"/>
        </w:rPr>
        <w:t>p</w:t>
      </w:r>
      <w:r w:rsidR="00E230F7" w:rsidRPr="00243817">
        <w:rPr>
          <w:rFonts w:asciiTheme="minorHAnsi" w:hAnsiTheme="minorHAnsi" w:cstheme="minorHAnsi"/>
          <w:bCs/>
          <w:color w:val="auto"/>
        </w:rPr>
        <w:t>ohl@durham.ac.uk</w:t>
      </w:r>
    </w:p>
    <w:p w14:paraId="657C6CAB" w14:textId="5EC30FB3" w:rsidR="00751C42" w:rsidRPr="00243817" w:rsidRDefault="00751C42" w:rsidP="004F6460">
      <w:pPr>
        <w:rPr>
          <w:rFonts w:asciiTheme="minorHAnsi" w:hAnsiTheme="minorHAnsi" w:cstheme="minorHAnsi"/>
          <w:bCs/>
          <w:color w:val="auto"/>
        </w:rPr>
      </w:pPr>
      <w:r w:rsidRPr="00243817">
        <w:rPr>
          <w:rFonts w:asciiTheme="minorHAnsi" w:hAnsiTheme="minorHAnsi" w:cstheme="minorHAnsi"/>
          <w:bCs/>
          <w:color w:val="auto"/>
        </w:rPr>
        <w:t xml:space="preserve">Tel: </w:t>
      </w:r>
      <w:r w:rsidR="006263AD" w:rsidRPr="00243817">
        <w:rPr>
          <w:rFonts w:asciiTheme="minorHAnsi" w:hAnsiTheme="minorHAnsi" w:cstheme="minorHAnsi"/>
          <w:bCs/>
          <w:color w:val="auto"/>
        </w:rPr>
        <w:t>+44 (0) 191 33 43619</w:t>
      </w:r>
    </w:p>
    <w:p w14:paraId="7161CAF0" w14:textId="77777777" w:rsidR="00751C42" w:rsidRPr="00243817" w:rsidRDefault="00751C42" w:rsidP="004F6460">
      <w:pPr>
        <w:rPr>
          <w:rFonts w:asciiTheme="minorHAnsi" w:hAnsiTheme="minorHAnsi" w:cstheme="minorHAnsi"/>
          <w:bCs/>
          <w:color w:val="auto"/>
        </w:rPr>
      </w:pPr>
    </w:p>
    <w:p w14:paraId="4FB34BD4" w14:textId="77777777" w:rsidR="00751C42" w:rsidRPr="00243817" w:rsidRDefault="00751C42" w:rsidP="004F6460">
      <w:pPr>
        <w:pStyle w:val="a3"/>
        <w:spacing w:before="0" w:beforeAutospacing="0" w:after="0" w:afterAutospacing="0"/>
        <w:rPr>
          <w:rFonts w:cs="Arial"/>
          <w:b/>
          <w:bCs/>
          <w:color w:val="auto"/>
        </w:rPr>
      </w:pPr>
      <w:r w:rsidRPr="00243817">
        <w:rPr>
          <w:rFonts w:cs="Arial"/>
          <w:b/>
          <w:bCs/>
          <w:color w:val="auto"/>
        </w:rPr>
        <w:t>Email Addresses of Co-authors:</w:t>
      </w:r>
    </w:p>
    <w:p w14:paraId="2C70DA8F" w14:textId="4F9C736E" w:rsidR="00751C42" w:rsidRPr="00243817" w:rsidRDefault="00E230F7" w:rsidP="004F6460">
      <w:pPr>
        <w:pStyle w:val="a3"/>
        <w:spacing w:before="0" w:beforeAutospacing="0" w:after="0" w:afterAutospacing="0"/>
        <w:rPr>
          <w:rFonts w:cs="Arial"/>
          <w:bCs/>
          <w:color w:val="auto"/>
        </w:rPr>
      </w:pPr>
      <w:r w:rsidRPr="00243817">
        <w:rPr>
          <w:rFonts w:cs="Arial"/>
          <w:bCs/>
          <w:color w:val="auto"/>
        </w:rPr>
        <w:t>Daniel Bruce (</w:t>
      </w:r>
      <w:r w:rsidR="003B5A19" w:rsidRPr="00243817">
        <w:t>daniel.bruce@durham.ac.uk</w:t>
      </w:r>
      <w:r w:rsidRPr="00243817">
        <w:rPr>
          <w:rFonts w:cs="Arial"/>
          <w:bCs/>
          <w:color w:val="auto"/>
        </w:rPr>
        <w:t>)</w:t>
      </w:r>
    </w:p>
    <w:p w14:paraId="3DD409CD" w14:textId="24328B00" w:rsidR="003B5A19" w:rsidRPr="00243817" w:rsidRDefault="003B5A19" w:rsidP="004F6460">
      <w:pPr>
        <w:pStyle w:val="a3"/>
        <w:spacing w:before="0" w:beforeAutospacing="0" w:after="0" w:afterAutospacing="0"/>
        <w:rPr>
          <w:rFonts w:cs="Arial"/>
          <w:bCs/>
          <w:color w:val="auto"/>
        </w:rPr>
      </w:pPr>
      <w:r w:rsidRPr="00243817">
        <w:rPr>
          <w:rFonts w:cs="Arial"/>
          <w:bCs/>
          <w:color w:val="auto"/>
        </w:rPr>
        <w:t>Emily Cardew (emily.cardew@durham.ac.uk)</w:t>
      </w:r>
    </w:p>
    <w:p w14:paraId="4ACD505F" w14:textId="5D07E4AE" w:rsidR="00B9169E" w:rsidRPr="00243817" w:rsidRDefault="00B9169E" w:rsidP="004F6460">
      <w:pPr>
        <w:pStyle w:val="a3"/>
        <w:spacing w:before="0" w:beforeAutospacing="0" w:after="0" w:afterAutospacing="0"/>
        <w:rPr>
          <w:rFonts w:cs="Arial"/>
          <w:bCs/>
          <w:color w:val="auto"/>
        </w:rPr>
      </w:pPr>
      <w:r w:rsidRPr="00243817">
        <w:rPr>
          <w:rFonts w:cs="Arial"/>
          <w:bCs/>
          <w:color w:val="auto"/>
        </w:rPr>
        <w:t>Stefanie Fre</w:t>
      </w:r>
      <w:r w:rsidR="000326C9" w:rsidRPr="00243817">
        <w:rPr>
          <w:rFonts w:cs="Arial"/>
          <w:bCs/>
          <w:color w:val="auto"/>
        </w:rPr>
        <w:t>i</w:t>
      </w:r>
      <w:r w:rsidRPr="00243817">
        <w:rPr>
          <w:rFonts w:cs="Arial"/>
          <w:bCs/>
          <w:color w:val="auto"/>
        </w:rPr>
        <w:t>tag-Pohl (stefanie.fr</w:t>
      </w:r>
      <w:r w:rsidR="000326C9" w:rsidRPr="00243817">
        <w:rPr>
          <w:rFonts w:cs="Arial"/>
          <w:bCs/>
          <w:color w:val="auto"/>
        </w:rPr>
        <w:t>ei</w:t>
      </w:r>
      <w:r w:rsidRPr="00243817">
        <w:rPr>
          <w:rFonts w:cs="Arial"/>
          <w:bCs/>
          <w:color w:val="auto"/>
        </w:rPr>
        <w:t>tag-pohl@durham.ac.uk)</w:t>
      </w:r>
    </w:p>
    <w:p w14:paraId="60FCB589" w14:textId="42D11221" w:rsidR="00D04A95" w:rsidRPr="00243817" w:rsidRDefault="00D04A95" w:rsidP="004F6460">
      <w:pPr>
        <w:rPr>
          <w:rFonts w:asciiTheme="minorHAnsi" w:hAnsiTheme="minorHAnsi" w:cstheme="minorHAnsi"/>
          <w:bCs/>
          <w:color w:val="808080" w:themeColor="background1" w:themeShade="80"/>
        </w:rPr>
      </w:pPr>
    </w:p>
    <w:p w14:paraId="71B79AC9" w14:textId="7A2035B4" w:rsidR="006305D7" w:rsidRPr="00243817" w:rsidRDefault="006305D7" w:rsidP="004F6460">
      <w:pPr>
        <w:pStyle w:val="a3"/>
        <w:spacing w:before="0" w:beforeAutospacing="0" w:after="0" w:afterAutospacing="0"/>
        <w:rPr>
          <w:rFonts w:asciiTheme="minorHAnsi" w:hAnsiTheme="minorHAnsi" w:cstheme="minorHAnsi"/>
        </w:rPr>
      </w:pPr>
      <w:r w:rsidRPr="00243817">
        <w:rPr>
          <w:rFonts w:asciiTheme="minorHAnsi" w:hAnsiTheme="minorHAnsi" w:cstheme="minorHAnsi"/>
          <w:b/>
          <w:bCs/>
        </w:rPr>
        <w:t>KEYWORDS:</w:t>
      </w:r>
    </w:p>
    <w:p w14:paraId="6C0B0781" w14:textId="5ED57E31" w:rsidR="007A4DD6" w:rsidRPr="00243817" w:rsidRDefault="002C06DE" w:rsidP="004F6460">
      <w:pPr>
        <w:rPr>
          <w:rFonts w:asciiTheme="minorHAnsi" w:hAnsiTheme="minorHAnsi" w:cstheme="minorHAnsi"/>
          <w:color w:val="auto"/>
        </w:rPr>
      </w:pPr>
      <w:r w:rsidRPr="00243817">
        <w:rPr>
          <w:rFonts w:asciiTheme="minorHAnsi" w:hAnsiTheme="minorHAnsi" w:cstheme="minorHAnsi"/>
          <w:color w:val="auto"/>
        </w:rPr>
        <w:t xml:space="preserve">DSF, </w:t>
      </w:r>
      <w:proofErr w:type="spellStart"/>
      <w:r w:rsidRPr="00243817">
        <w:rPr>
          <w:rFonts w:asciiTheme="minorHAnsi" w:hAnsiTheme="minorHAnsi" w:cstheme="minorHAnsi"/>
          <w:color w:val="auto"/>
        </w:rPr>
        <w:t>nanoDSF</w:t>
      </w:r>
      <w:proofErr w:type="spellEnd"/>
      <w:r w:rsidR="00F11822" w:rsidRPr="00243817">
        <w:rPr>
          <w:rFonts w:asciiTheme="minorHAnsi" w:hAnsiTheme="minorHAnsi" w:cstheme="minorHAnsi"/>
          <w:color w:val="auto"/>
        </w:rPr>
        <w:t xml:space="preserve">, </w:t>
      </w:r>
      <w:r w:rsidRPr="00243817">
        <w:rPr>
          <w:rFonts w:asciiTheme="minorHAnsi" w:hAnsiTheme="minorHAnsi" w:cstheme="minorHAnsi"/>
          <w:color w:val="auto"/>
        </w:rPr>
        <w:t xml:space="preserve">TSA, </w:t>
      </w:r>
      <w:r w:rsidR="001E4C29" w:rsidRPr="00243817">
        <w:rPr>
          <w:rFonts w:asciiTheme="minorHAnsi" w:hAnsiTheme="minorHAnsi" w:cstheme="minorHAnsi"/>
          <w:color w:val="auto"/>
        </w:rPr>
        <w:t>protein stability, protein purification, protein crystallography</w:t>
      </w:r>
    </w:p>
    <w:p w14:paraId="1CB4E390" w14:textId="77777777" w:rsidR="006305D7" w:rsidRPr="00243817" w:rsidRDefault="006305D7" w:rsidP="004F6460">
      <w:pPr>
        <w:pStyle w:val="a3"/>
        <w:spacing w:before="0" w:beforeAutospacing="0" w:after="0" w:afterAutospacing="0"/>
        <w:rPr>
          <w:rFonts w:asciiTheme="minorHAnsi" w:hAnsiTheme="minorHAnsi" w:cstheme="minorHAnsi"/>
        </w:rPr>
      </w:pPr>
    </w:p>
    <w:p w14:paraId="628AC4B5" w14:textId="4DA26E15" w:rsidR="006305D7" w:rsidRPr="00243817" w:rsidRDefault="00086FF5" w:rsidP="004F6460">
      <w:pPr>
        <w:rPr>
          <w:rFonts w:asciiTheme="minorHAnsi" w:hAnsiTheme="minorHAnsi" w:cstheme="minorHAnsi"/>
        </w:rPr>
      </w:pPr>
      <w:r w:rsidRPr="00243817">
        <w:rPr>
          <w:rFonts w:asciiTheme="minorHAnsi" w:hAnsiTheme="minorHAnsi" w:cstheme="minorHAnsi"/>
          <w:b/>
          <w:bCs/>
        </w:rPr>
        <w:t>SUMMARY</w:t>
      </w:r>
      <w:r w:rsidR="00EA6AC7" w:rsidRPr="00243817">
        <w:rPr>
          <w:rFonts w:asciiTheme="minorHAnsi" w:hAnsiTheme="minorHAnsi" w:cstheme="minorHAnsi"/>
          <w:b/>
          <w:bCs/>
        </w:rPr>
        <w:t>:</w:t>
      </w:r>
    </w:p>
    <w:p w14:paraId="69599D0D" w14:textId="0AE45743" w:rsidR="009A34E6" w:rsidRPr="00243817" w:rsidRDefault="00DE4C59" w:rsidP="004F6460">
      <w:pPr>
        <w:rPr>
          <w:rFonts w:asciiTheme="minorHAnsi" w:hAnsiTheme="minorHAnsi" w:cstheme="minorHAnsi"/>
        </w:rPr>
      </w:pPr>
      <w:r w:rsidRPr="00243817">
        <w:rPr>
          <w:rFonts w:asciiTheme="minorHAnsi" w:hAnsiTheme="minorHAnsi" w:cstheme="minorHAnsi"/>
        </w:rPr>
        <w:t>A</w:t>
      </w:r>
      <w:r w:rsidR="009A34E6" w:rsidRPr="00243817">
        <w:rPr>
          <w:rFonts w:asciiTheme="minorHAnsi" w:hAnsiTheme="minorHAnsi" w:cstheme="minorHAnsi"/>
        </w:rPr>
        <w:t xml:space="preserve"> protocol </w:t>
      </w:r>
      <w:r w:rsidRPr="00243817">
        <w:rPr>
          <w:rFonts w:asciiTheme="minorHAnsi" w:hAnsiTheme="minorHAnsi" w:cstheme="minorHAnsi"/>
        </w:rPr>
        <w:t xml:space="preserve">is presented </w:t>
      </w:r>
      <w:r w:rsidR="009A34E6" w:rsidRPr="00243817">
        <w:rPr>
          <w:rFonts w:asciiTheme="minorHAnsi" w:hAnsiTheme="minorHAnsi" w:cstheme="minorHAnsi"/>
        </w:rPr>
        <w:t xml:space="preserve">to rapidly test the thermal stability of proteins in a variety of conditions through thermal shift assays and </w:t>
      </w:r>
      <w:proofErr w:type="spellStart"/>
      <w:r w:rsidR="009A34E6" w:rsidRPr="00243817">
        <w:rPr>
          <w:rFonts w:asciiTheme="minorHAnsi" w:hAnsiTheme="minorHAnsi" w:cstheme="minorHAnsi"/>
        </w:rPr>
        <w:t>nano</w:t>
      </w:r>
      <w:proofErr w:type="spellEnd"/>
      <w:r w:rsidR="009A34E6" w:rsidRPr="00243817">
        <w:rPr>
          <w:rFonts w:asciiTheme="minorHAnsi" w:hAnsiTheme="minorHAnsi" w:cstheme="minorHAnsi"/>
        </w:rPr>
        <w:t xml:space="preserve"> differential scanning fluorimetry. </w:t>
      </w:r>
      <w:r w:rsidR="00C30DEF" w:rsidRPr="00243817">
        <w:rPr>
          <w:rFonts w:asciiTheme="minorHAnsi" w:hAnsiTheme="minorHAnsi" w:cstheme="minorHAnsi"/>
        </w:rPr>
        <w:t>B</w:t>
      </w:r>
      <w:r w:rsidR="009A34E6" w:rsidRPr="00243817">
        <w:rPr>
          <w:rFonts w:asciiTheme="minorHAnsi" w:hAnsiTheme="minorHAnsi" w:cstheme="minorHAnsi"/>
        </w:rPr>
        <w:t>uffer systems, salts and additives</w:t>
      </w:r>
      <w:r w:rsidR="00C30DEF" w:rsidRPr="00243817">
        <w:rPr>
          <w:rFonts w:asciiTheme="minorHAnsi" w:hAnsiTheme="minorHAnsi" w:cstheme="minorHAnsi"/>
        </w:rPr>
        <w:t xml:space="preserve">, together comprising three </w:t>
      </w:r>
      <w:r w:rsidR="00F074A5" w:rsidRPr="00243817">
        <w:rPr>
          <w:rFonts w:asciiTheme="minorHAnsi" w:hAnsiTheme="minorHAnsi" w:cstheme="minorHAnsi"/>
        </w:rPr>
        <w:t xml:space="preserve">unique </w:t>
      </w:r>
      <w:r w:rsidR="00C30DEF" w:rsidRPr="00243817">
        <w:rPr>
          <w:rFonts w:asciiTheme="minorHAnsi" w:hAnsiTheme="minorHAnsi" w:cstheme="minorHAnsi"/>
        </w:rPr>
        <w:t>stability screens,</w:t>
      </w:r>
      <w:r w:rsidR="009A34E6" w:rsidRPr="00243817">
        <w:rPr>
          <w:rFonts w:asciiTheme="minorHAnsi" w:hAnsiTheme="minorHAnsi" w:cstheme="minorHAnsi"/>
        </w:rPr>
        <w:t xml:space="preserve"> are</w:t>
      </w:r>
      <w:r w:rsidR="006378D9" w:rsidRPr="00243817">
        <w:rPr>
          <w:rFonts w:asciiTheme="minorHAnsi" w:hAnsiTheme="minorHAnsi" w:cstheme="minorHAnsi"/>
        </w:rPr>
        <w:t xml:space="preserve"> assayed with proteins to identify </w:t>
      </w:r>
      <w:r w:rsidR="00B3678C" w:rsidRPr="00243817">
        <w:rPr>
          <w:rFonts w:asciiTheme="minorHAnsi" w:hAnsiTheme="minorHAnsi" w:cstheme="minorHAnsi"/>
        </w:rPr>
        <w:t>suitable buffers for functional and structural studies.</w:t>
      </w:r>
    </w:p>
    <w:p w14:paraId="299AE9D5" w14:textId="77777777" w:rsidR="009A34E6" w:rsidRPr="00243817" w:rsidRDefault="009A34E6" w:rsidP="004F6460">
      <w:pPr>
        <w:rPr>
          <w:rFonts w:asciiTheme="minorHAnsi" w:hAnsiTheme="minorHAnsi" w:cstheme="minorHAnsi"/>
        </w:rPr>
      </w:pPr>
    </w:p>
    <w:p w14:paraId="531D611E" w14:textId="036F79DE" w:rsidR="00E21871" w:rsidRPr="00243817" w:rsidRDefault="006305D7" w:rsidP="004F6460">
      <w:pPr>
        <w:rPr>
          <w:rFonts w:asciiTheme="minorHAnsi" w:hAnsiTheme="minorHAnsi" w:cstheme="minorHAnsi"/>
          <w:color w:val="808080"/>
        </w:rPr>
      </w:pPr>
      <w:r w:rsidRPr="00243817">
        <w:rPr>
          <w:rFonts w:asciiTheme="minorHAnsi" w:hAnsiTheme="minorHAnsi" w:cstheme="minorHAnsi"/>
          <w:b/>
          <w:bCs/>
        </w:rPr>
        <w:t>ABSTRACT:</w:t>
      </w:r>
      <w:r w:rsidRPr="00243817">
        <w:rPr>
          <w:rFonts w:asciiTheme="minorHAnsi" w:hAnsiTheme="minorHAnsi" w:cstheme="minorHAnsi"/>
        </w:rPr>
        <w:t xml:space="preserve"> </w:t>
      </w:r>
    </w:p>
    <w:p w14:paraId="555F7232" w14:textId="6669CF77" w:rsidR="009B772C" w:rsidRPr="00243817" w:rsidRDefault="001B07B0" w:rsidP="004F6460">
      <w:r w:rsidRPr="00243817">
        <w:t xml:space="preserve">The </w:t>
      </w:r>
      <w:r w:rsidR="007B6C24" w:rsidRPr="00243817">
        <w:t xml:space="preserve">Horizon2020 </w:t>
      </w:r>
      <w:r w:rsidRPr="00243817">
        <w:t>Virus-X project was established in</w:t>
      </w:r>
      <w:r w:rsidR="007B6C24" w:rsidRPr="00243817">
        <w:t xml:space="preserve"> 2015 </w:t>
      </w:r>
      <w:r w:rsidRPr="00243817">
        <w:t xml:space="preserve">to explore the </w:t>
      </w:r>
      <w:r w:rsidR="007B6C24" w:rsidRPr="00243817">
        <w:t xml:space="preserve">virosphere of selected extreme biotopes and discover novel viral proteins. </w:t>
      </w:r>
      <w:r w:rsidR="002E4D91" w:rsidRPr="00243817">
        <w:t xml:space="preserve">To evaluate the potential biotechnical value of these proteins, the analysis of protein </w:t>
      </w:r>
      <w:r w:rsidRPr="00243817">
        <w:t>structure</w:t>
      </w:r>
      <w:r w:rsidR="00D63D91" w:rsidRPr="00243817">
        <w:t>s</w:t>
      </w:r>
      <w:r w:rsidRPr="00243817">
        <w:t xml:space="preserve"> and function</w:t>
      </w:r>
      <w:r w:rsidR="00D63D91" w:rsidRPr="00243817">
        <w:t>s</w:t>
      </w:r>
      <w:r w:rsidRPr="00243817">
        <w:t xml:space="preserve"> </w:t>
      </w:r>
      <w:r w:rsidR="00D63D91" w:rsidRPr="00243817">
        <w:t>is</w:t>
      </w:r>
      <w:r w:rsidR="002E4D91" w:rsidRPr="00243817">
        <w:t xml:space="preserve"> a central challenge in this program.</w:t>
      </w:r>
      <w:r w:rsidR="00262D9A" w:rsidRPr="00243817">
        <w:t xml:space="preserve"> </w:t>
      </w:r>
      <w:r w:rsidR="00D63D91" w:rsidRPr="00243817">
        <w:t xml:space="preserve">The </w:t>
      </w:r>
      <w:r w:rsidR="00D63D91" w:rsidRPr="00243817">
        <w:t>stability</w:t>
      </w:r>
      <w:r w:rsidR="00D63D91" w:rsidRPr="00243817">
        <w:t xml:space="preserve"> of p</w:t>
      </w:r>
      <w:r w:rsidR="00904D1C" w:rsidRPr="00243817">
        <w:t>rotein s</w:t>
      </w:r>
      <w:r w:rsidR="003044BB" w:rsidRPr="00243817">
        <w:t xml:space="preserve">ample </w:t>
      </w:r>
      <w:r w:rsidR="00A96CA5" w:rsidRPr="00243817">
        <w:t xml:space="preserve">is essential </w:t>
      </w:r>
      <w:r w:rsidR="003670DB" w:rsidRPr="00243817">
        <w:t xml:space="preserve">to provide </w:t>
      </w:r>
      <w:r w:rsidR="00524AC7" w:rsidRPr="00243817">
        <w:t xml:space="preserve">meaningful assay </w:t>
      </w:r>
      <w:r w:rsidR="003670DB" w:rsidRPr="00243817">
        <w:t>results</w:t>
      </w:r>
      <w:r w:rsidR="00524AC7" w:rsidRPr="00243817">
        <w:t xml:space="preserve"> </w:t>
      </w:r>
      <w:r w:rsidR="00904D1C" w:rsidRPr="00243817">
        <w:t>and</w:t>
      </w:r>
      <w:r w:rsidR="00524AC7" w:rsidRPr="00243817">
        <w:t xml:space="preserve"> </w:t>
      </w:r>
      <w:r w:rsidR="00904D1C" w:rsidRPr="00243817">
        <w:t>increase</w:t>
      </w:r>
      <w:r w:rsidR="00524AC7" w:rsidRPr="00243817">
        <w:t xml:space="preserve"> the </w:t>
      </w:r>
      <w:proofErr w:type="spellStart"/>
      <w:r w:rsidR="00E97813" w:rsidRPr="00243817">
        <w:t>crystalli</w:t>
      </w:r>
      <w:r w:rsidR="00AF77FD" w:rsidRPr="00243817">
        <w:t>z</w:t>
      </w:r>
      <w:r w:rsidR="00E97813" w:rsidRPr="00243817">
        <w:t>ability</w:t>
      </w:r>
      <w:proofErr w:type="spellEnd"/>
      <w:r w:rsidR="00E97813" w:rsidRPr="00243817">
        <w:t xml:space="preserve"> </w:t>
      </w:r>
      <w:r w:rsidR="00904D1C" w:rsidRPr="00243817">
        <w:t xml:space="preserve">of </w:t>
      </w:r>
      <w:r w:rsidR="00170E6D" w:rsidRPr="00243817">
        <w:t xml:space="preserve">the </w:t>
      </w:r>
      <w:r w:rsidR="00904D1C" w:rsidRPr="00243817">
        <w:t>targets</w:t>
      </w:r>
      <w:r w:rsidR="003670DB" w:rsidRPr="00243817">
        <w:t>.</w:t>
      </w:r>
      <w:r w:rsidR="00A80EE0" w:rsidRPr="00243817">
        <w:t xml:space="preserve"> </w:t>
      </w:r>
      <w:r w:rsidR="007A39B0" w:rsidRPr="00243817">
        <w:t>The thermal shift assay (TSA)</w:t>
      </w:r>
      <w:r w:rsidR="001A0803" w:rsidRPr="00243817">
        <w:t>, a</w:t>
      </w:r>
      <w:r w:rsidR="00BC5595" w:rsidRPr="00243817">
        <w:t xml:space="preserve"> fluorescence</w:t>
      </w:r>
      <w:r w:rsidR="001A0803" w:rsidRPr="00243817">
        <w:t>-based</w:t>
      </w:r>
      <w:r w:rsidR="00BC5595" w:rsidRPr="00243817">
        <w:t xml:space="preserve"> technique</w:t>
      </w:r>
      <w:r w:rsidR="001A0803" w:rsidRPr="00243817">
        <w:t>,</w:t>
      </w:r>
      <w:r w:rsidR="00BC5595" w:rsidRPr="00243817">
        <w:t xml:space="preserve"> is established as a popular method for </w:t>
      </w:r>
      <w:r w:rsidR="00E97813" w:rsidRPr="00243817">
        <w:t>optimi</w:t>
      </w:r>
      <w:r w:rsidR="00170E6D" w:rsidRPr="00243817">
        <w:t>z</w:t>
      </w:r>
      <w:r w:rsidR="00E97813" w:rsidRPr="00243817">
        <w:t xml:space="preserve">ing </w:t>
      </w:r>
      <w:r w:rsidR="00170E6D" w:rsidRPr="00243817">
        <w:t xml:space="preserve">the </w:t>
      </w:r>
      <w:r w:rsidR="008D03EC" w:rsidRPr="00243817">
        <w:t xml:space="preserve">conditions for </w:t>
      </w:r>
      <w:r w:rsidR="00BC5595" w:rsidRPr="00243817">
        <w:t xml:space="preserve">protein </w:t>
      </w:r>
      <w:r w:rsidR="008D03EC" w:rsidRPr="00243817">
        <w:t>stability</w:t>
      </w:r>
      <w:r w:rsidR="009663FE" w:rsidRPr="00243817">
        <w:t xml:space="preserve"> in high-throughput</w:t>
      </w:r>
      <w:r w:rsidR="001A0803" w:rsidRPr="00243817">
        <w:t xml:space="preserve">. </w:t>
      </w:r>
      <w:r w:rsidR="00524AC7" w:rsidRPr="00243817">
        <w:t>In</w:t>
      </w:r>
      <w:r w:rsidR="001A0803" w:rsidRPr="00243817">
        <w:t xml:space="preserve"> </w:t>
      </w:r>
      <w:r w:rsidR="007A39B0" w:rsidRPr="00243817">
        <w:t>TSA</w:t>
      </w:r>
      <w:r w:rsidR="003A3296" w:rsidRPr="00243817">
        <w:t>s,</w:t>
      </w:r>
      <w:r w:rsidR="001A0803" w:rsidRPr="00243817">
        <w:t xml:space="preserve"> </w:t>
      </w:r>
      <w:r w:rsidR="00824811" w:rsidRPr="00243817">
        <w:t>the employed</w:t>
      </w:r>
      <w:r w:rsidR="00524AC7" w:rsidRPr="00243817">
        <w:t xml:space="preserve"> fluorophores</w:t>
      </w:r>
      <w:r w:rsidR="00A96CA5" w:rsidRPr="00243817">
        <w:t xml:space="preserve"> </w:t>
      </w:r>
      <w:r w:rsidR="00AA5041" w:rsidRPr="00243817">
        <w:t>are</w:t>
      </w:r>
      <w:r w:rsidR="001A0803" w:rsidRPr="00243817">
        <w:t xml:space="preserve"> extrinsic,</w:t>
      </w:r>
      <w:r w:rsidR="002D2A07" w:rsidRPr="00243817">
        <w:t xml:space="preserve"> environmentally-sensitive dyes</w:t>
      </w:r>
      <w:r w:rsidR="002C25A8" w:rsidRPr="00243817">
        <w:t>.</w:t>
      </w:r>
      <w:r w:rsidR="001A0803" w:rsidRPr="00243817">
        <w:t xml:space="preserve"> </w:t>
      </w:r>
      <w:r w:rsidR="006172D3" w:rsidRPr="00243817">
        <w:t>An alternative, similar technique is</w:t>
      </w:r>
      <w:r w:rsidR="00824811" w:rsidRPr="00243817">
        <w:t xml:space="preserve"> </w:t>
      </w:r>
      <w:proofErr w:type="spellStart"/>
      <w:r w:rsidR="001A0803" w:rsidRPr="00243817">
        <w:t>nano</w:t>
      </w:r>
      <w:proofErr w:type="spellEnd"/>
      <w:r w:rsidR="005D73F0" w:rsidRPr="00243817">
        <w:t xml:space="preserve"> </w:t>
      </w:r>
      <w:r w:rsidR="00170E6D" w:rsidRPr="00243817">
        <w:t xml:space="preserve">differential scanning fluorimetry </w:t>
      </w:r>
      <w:r w:rsidR="005D73F0" w:rsidRPr="00243817">
        <w:t>(</w:t>
      </w:r>
      <w:proofErr w:type="spellStart"/>
      <w:r w:rsidR="005D73F0" w:rsidRPr="00243817">
        <w:t>nanoDSF</w:t>
      </w:r>
      <w:proofErr w:type="spellEnd"/>
      <w:r w:rsidR="005D73F0" w:rsidRPr="00243817">
        <w:t>)</w:t>
      </w:r>
      <w:r w:rsidR="001A0803" w:rsidRPr="00243817">
        <w:t xml:space="preserve">, which relies on protein native fluorescence. </w:t>
      </w:r>
      <w:r w:rsidR="00AC162E" w:rsidRPr="00243817">
        <w:t xml:space="preserve">We present </w:t>
      </w:r>
      <w:r w:rsidR="00824811" w:rsidRPr="00243817">
        <w:t xml:space="preserve">here </w:t>
      </w:r>
      <w:r w:rsidR="00380F03" w:rsidRPr="00243817">
        <w:t>a novel</w:t>
      </w:r>
      <w:r w:rsidR="00AC162E" w:rsidRPr="00243817">
        <w:t xml:space="preserve"> </w:t>
      </w:r>
      <w:r w:rsidR="00380F03" w:rsidRPr="00243817">
        <w:t>o</w:t>
      </w:r>
      <w:r w:rsidR="001A0803" w:rsidRPr="00243817">
        <w:t xml:space="preserve">smolyte </w:t>
      </w:r>
      <w:r w:rsidR="00380F03" w:rsidRPr="00243817">
        <w:t>screen</w:t>
      </w:r>
      <w:r w:rsidR="001A0803" w:rsidRPr="00243817">
        <w:t xml:space="preserve">, a 96-condition screen of organic additives designed to guide </w:t>
      </w:r>
      <w:r w:rsidR="00E97813" w:rsidRPr="00243817">
        <w:t>crystalli</w:t>
      </w:r>
      <w:r w:rsidR="00170E6D" w:rsidRPr="00243817">
        <w:t>z</w:t>
      </w:r>
      <w:r w:rsidR="00E97813" w:rsidRPr="00243817">
        <w:t xml:space="preserve">ation </w:t>
      </w:r>
      <w:r w:rsidR="001A0803" w:rsidRPr="00243817">
        <w:t xml:space="preserve">trials </w:t>
      </w:r>
      <w:r w:rsidR="009663FE" w:rsidRPr="00243817">
        <w:t>through</w:t>
      </w:r>
      <w:r w:rsidR="001A0803" w:rsidRPr="00243817">
        <w:t xml:space="preserve"> preliminary </w:t>
      </w:r>
      <w:r w:rsidR="005D73F0" w:rsidRPr="00243817">
        <w:t>TSA</w:t>
      </w:r>
      <w:r w:rsidR="001A0803" w:rsidRPr="00243817">
        <w:t xml:space="preserve"> experiments.</w:t>
      </w:r>
      <w:r w:rsidR="009663FE" w:rsidRPr="00243817">
        <w:t xml:space="preserve"> </w:t>
      </w:r>
      <w:r w:rsidR="001A0803" w:rsidRPr="00243817">
        <w:t xml:space="preserve">Together with </w:t>
      </w:r>
      <w:r w:rsidR="004D28D3" w:rsidRPr="00243817">
        <w:t>previously-developed</w:t>
      </w:r>
      <w:r w:rsidR="001A0803" w:rsidRPr="00243817">
        <w:t xml:space="preserve"> pH and </w:t>
      </w:r>
      <w:r w:rsidR="00170E6D" w:rsidRPr="00243817">
        <w:t>s</w:t>
      </w:r>
      <w:r w:rsidR="001A0803" w:rsidRPr="00243817">
        <w:t xml:space="preserve">alt screens, </w:t>
      </w:r>
      <w:r w:rsidR="00210F88" w:rsidRPr="00243817">
        <w:t>the</w:t>
      </w:r>
      <w:r w:rsidR="00AC162E" w:rsidRPr="00243817">
        <w:t xml:space="preserve"> set of three screens </w:t>
      </w:r>
      <w:r w:rsidR="00210F88" w:rsidRPr="00243817">
        <w:t>provide</w:t>
      </w:r>
      <w:r w:rsidR="004C02CA" w:rsidRPr="00243817">
        <w:t>s</w:t>
      </w:r>
      <w:r w:rsidR="00210F88" w:rsidRPr="00243817">
        <w:t xml:space="preserve"> a comprehensive analysis of </w:t>
      </w:r>
      <w:r w:rsidR="009663FE" w:rsidRPr="00243817">
        <w:t xml:space="preserve">protein stability in a wide range of buffer systems and additives. </w:t>
      </w:r>
      <w:r w:rsidR="009B772C" w:rsidRPr="00243817">
        <w:t xml:space="preserve">The utility of </w:t>
      </w:r>
      <w:r w:rsidR="005D73F0" w:rsidRPr="00243817">
        <w:t>t</w:t>
      </w:r>
      <w:r w:rsidR="009B772C" w:rsidRPr="00243817">
        <w:t xml:space="preserve">he </w:t>
      </w:r>
      <w:r w:rsidR="00BF4A9D" w:rsidRPr="00243817">
        <w:t>screen</w:t>
      </w:r>
      <w:r w:rsidR="003F040C" w:rsidRPr="00243817">
        <w:t>s</w:t>
      </w:r>
      <w:r w:rsidR="003A1DBF" w:rsidRPr="00243817">
        <w:t xml:space="preserve"> </w:t>
      </w:r>
      <w:r w:rsidR="004F6460" w:rsidRPr="00243817">
        <w:t>is</w:t>
      </w:r>
      <w:r w:rsidR="009B772C" w:rsidRPr="00243817">
        <w:t xml:space="preserve"> demonstrated </w:t>
      </w:r>
      <w:r w:rsidR="002C3337" w:rsidRPr="00243817">
        <w:t xml:space="preserve">in the </w:t>
      </w:r>
      <w:r w:rsidR="005D73F0" w:rsidRPr="00243817">
        <w:t>TSA</w:t>
      </w:r>
      <w:r w:rsidR="00B206BB" w:rsidRPr="00243817">
        <w:t xml:space="preserve"> and </w:t>
      </w:r>
      <w:proofErr w:type="spellStart"/>
      <w:r w:rsidR="00B206BB" w:rsidRPr="00243817">
        <w:t>nanoDSF</w:t>
      </w:r>
      <w:proofErr w:type="spellEnd"/>
      <w:r w:rsidR="005D73F0" w:rsidRPr="00243817">
        <w:t xml:space="preserve"> </w:t>
      </w:r>
      <w:r w:rsidR="002C3337" w:rsidRPr="00243817">
        <w:t xml:space="preserve">analysis of </w:t>
      </w:r>
      <w:r w:rsidR="00DB3A13" w:rsidRPr="00243817">
        <w:t xml:space="preserve">lysozyme and </w:t>
      </w:r>
      <w:r w:rsidR="00BB72E7" w:rsidRPr="00243817">
        <w:t xml:space="preserve">Protein </w:t>
      </w:r>
      <w:r w:rsidR="00565446" w:rsidRPr="00243817">
        <w:t>X</w:t>
      </w:r>
      <w:r w:rsidR="002C3337" w:rsidRPr="00243817">
        <w:t>, a target protein of the Virus-X project.</w:t>
      </w:r>
    </w:p>
    <w:p w14:paraId="163F13EC" w14:textId="77777777" w:rsidR="00E431B4" w:rsidRPr="00243817" w:rsidRDefault="00E431B4" w:rsidP="004F6460">
      <w:pPr>
        <w:rPr>
          <w:rFonts w:asciiTheme="minorHAnsi" w:hAnsiTheme="minorHAnsi" w:cstheme="minorHAnsi"/>
        </w:rPr>
      </w:pPr>
    </w:p>
    <w:p w14:paraId="40476EB5" w14:textId="57766CD4" w:rsidR="00725C90" w:rsidRPr="00243817" w:rsidRDefault="006305D7" w:rsidP="004F6460">
      <w:pPr>
        <w:rPr>
          <w:rFonts w:asciiTheme="minorHAnsi" w:hAnsiTheme="minorHAnsi" w:cstheme="minorHAnsi"/>
          <w:color w:val="808080"/>
        </w:rPr>
      </w:pPr>
      <w:r w:rsidRPr="00243817">
        <w:rPr>
          <w:rFonts w:asciiTheme="minorHAnsi" w:hAnsiTheme="minorHAnsi" w:cstheme="minorHAnsi"/>
          <w:b/>
        </w:rPr>
        <w:lastRenderedPageBreak/>
        <w:t>INTRODUCTION</w:t>
      </w:r>
      <w:r w:rsidRPr="00243817">
        <w:rPr>
          <w:rFonts w:asciiTheme="minorHAnsi" w:hAnsiTheme="minorHAnsi" w:cstheme="minorHAnsi"/>
          <w:b/>
          <w:bCs/>
        </w:rPr>
        <w:t>:</w:t>
      </w:r>
      <w:r w:rsidRPr="00243817">
        <w:rPr>
          <w:rFonts w:asciiTheme="minorHAnsi" w:hAnsiTheme="minorHAnsi" w:cstheme="minorHAnsi"/>
        </w:rPr>
        <w:t xml:space="preserve"> </w:t>
      </w:r>
      <w:r w:rsidRPr="00243817">
        <w:rPr>
          <w:rFonts w:asciiTheme="minorHAnsi" w:hAnsiTheme="minorHAnsi" w:cstheme="minorHAnsi"/>
          <w:color w:val="808080"/>
        </w:rPr>
        <w:t xml:space="preserve"> </w:t>
      </w:r>
    </w:p>
    <w:p w14:paraId="7D1786DF" w14:textId="6C999937" w:rsidR="00175C8C" w:rsidRPr="00243817" w:rsidRDefault="00574AC6" w:rsidP="004F6460">
      <w:r w:rsidRPr="00243817">
        <w:rPr>
          <w:rFonts w:asciiTheme="minorHAnsi" w:hAnsiTheme="minorHAnsi" w:cstheme="minorHAnsi"/>
          <w:color w:val="auto"/>
        </w:rPr>
        <w:t>Many biotechnologically</w:t>
      </w:r>
      <w:r w:rsidR="0039257F" w:rsidRPr="00243817">
        <w:rPr>
          <w:rFonts w:asciiTheme="minorHAnsi" w:hAnsiTheme="minorHAnsi" w:cstheme="minorHAnsi"/>
          <w:color w:val="auto"/>
        </w:rPr>
        <w:t>-</w:t>
      </w:r>
      <w:r w:rsidRPr="00243817">
        <w:rPr>
          <w:rFonts w:asciiTheme="minorHAnsi" w:hAnsiTheme="minorHAnsi" w:cstheme="minorHAnsi"/>
          <w:color w:val="auto"/>
        </w:rPr>
        <w:t>use</w:t>
      </w:r>
      <w:r w:rsidR="0039257F" w:rsidRPr="00243817">
        <w:rPr>
          <w:rFonts w:asciiTheme="minorHAnsi" w:hAnsiTheme="minorHAnsi" w:cstheme="minorHAnsi"/>
          <w:color w:val="auto"/>
        </w:rPr>
        <w:t>ful</w:t>
      </w:r>
      <w:r w:rsidRPr="00243817">
        <w:rPr>
          <w:rFonts w:asciiTheme="minorHAnsi" w:hAnsiTheme="minorHAnsi" w:cstheme="minorHAnsi"/>
          <w:color w:val="auto"/>
        </w:rPr>
        <w:t xml:space="preserve"> enzymes originate from viral sources</w:t>
      </w:r>
      <w:r w:rsidR="00612755" w:rsidRPr="00243817">
        <w:rPr>
          <w:rFonts w:asciiTheme="minorHAnsi" w:hAnsiTheme="minorHAnsi" w:cstheme="minorHAnsi"/>
          <w:color w:val="auto"/>
        </w:rPr>
        <w:t xml:space="preserve">, such as the </w:t>
      </w:r>
      <w:r w:rsidR="00186724" w:rsidRPr="00243817">
        <w:rPr>
          <w:rFonts w:asciiTheme="minorHAnsi" w:hAnsiTheme="minorHAnsi" w:cstheme="minorHAnsi"/>
          <w:color w:val="auto"/>
        </w:rPr>
        <w:t>tobacco etch virus</w:t>
      </w:r>
      <w:r w:rsidR="009B6B5D" w:rsidRPr="00243817">
        <w:rPr>
          <w:rFonts w:asciiTheme="minorHAnsi" w:hAnsiTheme="minorHAnsi" w:cstheme="minorHAnsi"/>
          <w:color w:val="auto"/>
        </w:rPr>
        <w:t xml:space="preserve"> (TEV)</w:t>
      </w:r>
      <w:r w:rsidR="007C137C" w:rsidRPr="00243817">
        <w:rPr>
          <w:rFonts w:asciiTheme="minorHAnsi" w:hAnsiTheme="minorHAnsi" w:cstheme="minorHAnsi"/>
          <w:color w:val="auto"/>
        </w:rPr>
        <w:t xml:space="preserve"> protease</w:t>
      </w:r>
      <w:r w:rsidR="00DF0ED6" w:rsidRPr="00243817">
        <w:rPr>
          <w:rFonts w:asciiTheme="minorHAnsi" w:hAnsiTheme="minorHAnsi" w:cstheme="minorHAnsi"/>
          <w:color w:val="auto"/>
          <w:vertAlign w:val="superscript"/>
        </w:rPr>
        <w:t>1</w:t>
      </w:r>
      <w:r w:rsidR="00612755" w:rsidRPr="00243817">
        <w:rPr>
          <w:rFonts w:asciiTheme="minorHAnsi" w:hAnsiTheme="minorHAnsi" w:cstheme="minorHAnsi"/>
          <w:color w:val="auto"/>
        </w:rPr>
        <w:t xml:space="preserve"> and </w:t>
      </w:r>
      <w:r w:rsidR="00186724" w:rsidRPr="00243817">
        <w:rPr>
          <w:rFonts w:asciiTheme="minorHAnsi" w:hAnsiTheme="minorHAnsi" w:cstheme="minorHAnsi"/>
          <w:color w:val="auto"/>
        </w:rPr>
        <w:t>human rhinovirus</w:t>
      </w:r>
      <w:r w:rsidR="007C137C" w:rsidRPr="00243817">
        <w:rPr>
          <w:rFonts w:asciiTheme="minorHAnsi" w:hAnsiTheme="minorHAnsi" w:cstheme="minorHAnsi"/>
          <w:color w:val="auto"/>
        </w:rPr>
        <w:t xml:space="preserve"> type</w:t>
      </w:r>
      <w:r w:rsidR="00612755" w:rsidRPr="00243817">
        <w:rPr>
          <w:rFonts w:asciiTheme="minorHAnsi" w:hAnsiTheme="minorHAnsi" w:cstheme="minorHAnsi"/>
          <w:color w:val="auto"/>
        </w:rPr>
        <w:t xml:space="preserve"> 3C </w:t>
      </w:r>
      <w:r w:rsidR="002A08BB" w:rsidRPr="00243817">
        <w:rPr>
          <w:rFonts w:asciiTheme="minorHAnsi" w:hAnsiTheme="minorHAnsi" w:cstheme="minorHAnsi"/>
          <w:color w:val="auto"/>
        </w:rPr>
        <w:t xml:space="preserve">(HRV 3C) </w:t>
      </w:r>
      <w:r w:rsidR="00612755" w:rsidRPr="00243817">
        <w:rPr>
          <w:rFonts w:asciiTheme="minorHAnsi" w:hAnsiTheme="minorHAnsi" w:cstheme="minorHAnsi"/>
          <w:color w:val="auto"/>
        </w:rPr>
        <w:t>protease</w:t>
      </w:r>
      <w:r w:rsidR="00DF0ED6" w:rsidRPr="00243817">
        <w:rPr>
          <w:rFonts w:asciiTheme="minorHAnsi" w:hAnsiTheme="minorHAnsi" w:cstheme="minorHAnsi"/>
          <w:color w:val="auto"/>
          <w:vertAlign w:val="superscript"/>
        </w:rPr>
        <w:t>2</w:t>
      </w:r>
      <w:r w:rsidRPr="00243817">
        <w:rPr>
          <w:rFonts w:asciiTheme="minorHAnsi" w:hAnsiTheme="minorHAnsi" w:cstheme="minorHAnsi"/>
          <w:color w:val="auto"/>
        </w:rPr>
        <w:t>.</w:t>
      </w:r>
      <w:r w:rsidR="00AD28D3" w:rsidRPr="00243817">
        <w:rPr>
          <w:rFonts w:asciiTheme="minorHAnsi" w:hAnsiTheme="minorHAnsi" w:cstheme="minorHAnsi"/>
          <w:color w:val="auto"/>
        </w:rPr>
        <w:t xml:space="preserve"> </w:t>
      </w:r>
      <w:r w:rsidR="00970278" w:rsidRPr="00243817">
        <w:rPr>
          <w:rFonts w:asciiTheme="minorHAnsi" w:hAnsiTheme="minorHAnsi" w:cstheme="minorHAnsi"/>
          <w:color w:val="auto"/>
        </w:rPr>
        <w:t xml:space="preserve">The </w:t>
      </w:r>
      <w:r w:rsidRPr="00243817">
        <w:rPr>
          <w:rFonts w:asciiTheme="minorHAnsi" w:hAnsiTheme="minorHAnsi" w:cstheme="minorHAnsi"/>
          <w:color w:val="auto"/>
        </w:rPr>
        <w:t xml:space="preserve">Horizon2020 </w:t>
      </w:r>
      <w:r w:rsidR="00970278" w:rsidRPr="00243817">
        <w:rPr>
          <w:rFonts w:asciiTheme="minorHAnsi" w:hAnsiTheme="minorHAnsi" w:cstheme="minorHAnsi"/>
          <w:color w:val="auto"/>
        </w:rPr>
        <w:t xml:space="preserve">Virus-X project </w:t>
      </w:r>
      <w:r w:rsidR="006A60BE" w:rsidRPr="00243817">
        <w:rPr>
          <w:rFonts w:asciiTheme="minorHAnsi" w:hAnsiTheme="minorHAnsi" w:cstheme="minorHAnsi"/>
          <w:color w:val="auto"/>
        </w:rPr>
        <w:t>(</w:t>
      </w:r>
      <w:r w:rsidR="006A60BE" w:rsidRPr="00243817">
        <w:rPr>
          <w:color w:val="auto"/>
        </w:rPr>
        <w:t>www.virus-x.eu</w:t>
      </w:r>
      <w:r w:rsidR="006A60BE" w:rsidRPr="00243817">
        <w:rPr>
          <w:rFonts w:asciiTheme="minorHAnsi" w:hAnsiTheme="minorHAnsi" w:cstheme="minorHAnsi"/>
          <w:color w:val="auto"/>
        </w:rPr>
        <w:t xml:space="preserve">) </w:t>
      </w:r>
      <w:r w:rsidR="00970278" w:rsidRPr="00243817">
        <w:rPr>
          <w:rFonts w:asciiTheme="minorHAnsi" w:hAnsiTheme="minorHAnsi" w:cstheme="minorHAnsi"/>
          <w:color w:val="auto"/>
        </w:rPr>
        <w:t>aims to determine the structure</w:t>
      </w:r>
      <w:r w:rsidR="00D63D91" w:rsidRPr="00243817">
        <w:rPr>
          <w:rFonts w:asciiTheme="minorHAnsi" w:hAnsiTheme="minorHAnsi" w:cstheme="minorHAnsi"/>
          <w:color w:val="auto"/>
        </w:rPr>
        <w:t>s</w:t>
      </w:r>
      <w:r w:rsidR="00970278" w:rsidRPr="00243817">
        <w:rPr>
          <w:rFonts w:asciiTheme="minorHAnsi" w:hAnsiTheme="minorHAnsi" w:cstheme="minorHAnsi"/>
          <w:color w:val="auto"/>
        </w:rPr>
        <w:t xml:space="preserve"> and function</w:t>
      </w:r>
      <w:r w:rsidR="009B0FF3" w:rsidRPr="00243817">
        <w:rPr>
          <w:rFonts w:asciiTheme="minorHAnsi" w:hAnsiTheme="minorHAnsi" w:cstheme="minorHAnsi"/>
          <w:color w:val="auto"/>
        </w:rPr>
        <w:t>s</w:t>
      </w:r>
      <w:r w:rsidR="00970278" w:rsidRPr="00243817">
        <w:rPr>
          <w:rFonts w:asciiTheme="minorHAnsi" w:hAnsiTheme="minorHAnsi" w:cstheme="minorHAnsi"/>
          <w:color w:val="auto"/>
        </w:rPr>
        <w:t xml:space="preserve"> of </w:t>
      </w:r>
      <w:r w:rsidR="003016A0" w:rsidRPr="00243817">
        <w:rPr>
          <w:rFonts w:asciiTheme="minorHAnsi" w:hAnsiTheme="minorHAnsi" w:cstheme="minorHAnsi"/>
          <w:color w:val="auto"/>
        </w:rPr>
        <w:t xml:space="preserve">novel </w:t>
      </w:r>
      <w:r w:rsidR="00970278" w:rsidRPr="00243817">
        <w:rPr>
          <w:rFonts w:asciiTheme="minorHAnsi" w:hAnsiTheme="minorHAnsi" w:cstheme="minorHAnsi"/>
          <w:color w:val="auto"/>
        </w:rPr>
        <w:t xml:space="preserve">viral proteins of selected </w:t>
      </w:r>
      <w:r w:rsidRPr="00243817">
        <w:rPr>
          <w:rFonts w:asciiTheme="minorHAnsi" w:hAnsiTheme="minorHAnsi" w:cstheme="minorHAnsi"/>
          <w:color w:val="auto"/>
        </w:rPr>
        <w:t xml:space="preserve">extreme </w:t>
      </w:r>
      <w:r w:rsidR="00970278" w:rsidRPr="00243817">
        <w:rPr>
          <w:rFonts w:asciiTheme="minorHAnsi" w:hAnsiTheme="minorHAnsi" w:cstheme="minorHAnsi"/>
          <w:color w:val="auto"/>
        </w:rPr>
        <w:t>microbial ecosystems</w:t>
      </w:r>
      <w:r w:rsidR="00AB7B2D" w:rsidRPr="00243817">
        <w:rPr>
          <w:rFonts w:asciiTheme="minorHAnsi" w:hAnsiTheme="minorHAnsi" w:cstheme="minorHAnsi"/>
          <w:color w:val="auto"/>
        </w:rPr>
        <w:t xml:space="preserve"> including deep sea vents and Icelandic hot springs </w:t>
      </w:r>
      <w:r w:rsidR="00970278" w:rsidRPr="00243817">
        <w:rPr>
          <w:rFonts w:asciiTheme="minorHAnsi" w:hAnsiTheme="minorHAnsi" w:cstheme="minorHAnsi"/>
          <w:color w:val="auto"/>
        </w:rPr>
        <w:t>for potential biotechnological applications</w:t>
      </w:r>
      <w:r w:rsidR="006A60BE" w:rsidRPr="00243817">
        <w:rPr>
          <w:rFonts w:asciiTheme="minorHAnsi" w:hAnsiTheme="minorHAnsi" w:cstheme="minorHAnsi"/>
          <w:color w:val="auto"/>
        </w:rPr>
        <w:t xml:space="preserve"> (</w:t>
      </w:r>
      <w:r w:rsidR="006A60BE" w:rsidRPr="00243817">
        <w:rPr>
          <w:rFonts w:asciiTheme="minorHAnsi" w:hAnsiTheme="minorHAnsi" w:cstheme="minorHAnsi"/>
          <w:b/>
          <w:color w:val="auto"/>
        </w:rPr>
        <w:t>Figure 1</w:t>
      </w:r>
      <w:r w:rsidR="006A60BE" w:rsidRPr="00243817">
        <w:rPr>
          <w:rFonts w:asciiTheme="minorHAnsi" w:hAnsiTheme="minorHAnsi" w:cstheme="minorHAnsi"/>
          <w:color w:val="auto"/>
        </w:rPr>
        <w:t>)</w:t>
      </w:r>
      <w:r w:rsidR="00654F48" w:rsidRPr="00243817">
        <w:rPr>
          <w:rFonts w:asciiTheme="minorHAnsi" w:hAnsiTheme="minorHAnsi" w:cstheme="minorHAnsi"/>
          <w:color w:val="auto"/>
          <w:vertAlign w:val="superscript"/>
        </w:rPr>
        <w:t>3</w:t>
      </w:r>
      <w:r w:rsidR="0064055A" w:rsidRPr="00243817">
        <w:rPr>
          <w:rFonts w:asciiTheme="minorHAnsi" w:hAnsiTheme="minorHAnsi" w:cstheme="minorHAnsi"/>
          <w:color w:val="auto"/>
        </w:rPr>
        <w:t>.</w:t>
      </w:r>
      <w:r w:rsidR="003071EA" w:rsidRPr="00243817">
        <w:rPr>
          <w:rFonts w:asciiTheme="minorHAnsi" w:hAnsiTheme="minorHAnsi" w:cstheme="minorHAnsi"/>
          <w:color w:val="auto"/>
        </w:rPr>
        <w:t xml:space="preserve"> </w:t>
      </w:r>
      <w:r w:rsidR="009B0FF3" w:rsidRPr="00243817">
        <w:rPr>
          <w:rFonts w:asciiTheme="minorHAnsi" w:hAnsiTheme="minorHAnsi" w:cstheme="minorHAnsi"/>
          <w:color w:val="auto"/>
        </w:rPr>
        <w:t xml:space="preserve">The aim of this program is (a) to extend the range of </w:t>
      </w:r>
      <w:r w:rsidR="00067DB0" w:rsidRPr="00243817">
        <w:rPr>
          <w:rFonts w:asciiTheme="minorHAnsi" w:hAnsiTheme="minorHAnsi" w:cstheme="minorHAnsi"/>
          <w:color w:val="auto"/>
        </w:rPr>
        <w:t xml:space="preserve">the </w:t>
      </w:r>
      <w:r w:rsidR="009B0FF3" w:rsidRPr="00243817">
        <w:rPr>
          <w:rFonts w:asciiTheme="minorHAnsi" w:hAnsiTheme="minorHAnsi" w:cstheme="minorHAnsi"/>
          <w:color w:val="auto"/>
        </w:rPr>
        <w:t xml:space="preserve">properties of known enzyme families and (b) to </w:t>
      </w:r>
      <w:r w:rsidR="00067DB0" w:rsidRPr="00243817">
        <w:rPr>
          <w:rFonts w:asciiTheme="minorHAnsi" w:hAnsiTheme="minorHAnsi" w:cstheme="minorHAnsi"/>
          <w:color w:val="auto"/>
        </w:rPr>
        <w:t>characterize</w:t>
      </w:r>
      <w:r w:rsidR="00F96172" w:rsidRPr="00243817">
        <w:rPr>
          <w:rFonts w:asciiTheme="minorHAnsi" w:hAnsiTheme="minorHAnsi" w:cstheme="minorHAnsi"/>
          <w:color w:val="auto"/>
        </w:rPr>
        <w:t xml:space="preserve"> </w:t>
      </w:r>
      <w:r w:rsidR="009B0FF3" w:rsidRPr="00243817">
        <w:rPr>
          <w:rFonts w:asciiTheme="minorHAnsi" w:hAnsiTheme="minorHAnsi" w:cstheme="minorHAnsi"/>
          <w:color w:val="auto"/>
        </w:rPr>
        <w:t>novel enzymes of yet unknown function</w:t>
      </w:r>
      <w:r w:rsidR="00175C8C" w:rsidRPr="00243817">
        <w:rPr>
          <w:rFonts w:asciiTheme="minorHAnsi" w:hAnsiTheme="minorHAnsi" w:cstheme="minorHAnsi"/>
          <w:color w:val="auto"/>
        </w:rPr>
        <w:t xml:space="preserve"> (Enzyme X)</w:t>
      </w:r>
      <w:r w:rsidR="009B0FF3" w:rsidRPr="00243817">
        <w:rPr>
          <w:rFonts w:asciiTheme="minorHAnsi" w:hAnsiTheme="minorHAnsi" w:cstheme="minorHAnsi"/>
          <w:color w:val="auto"/>
        </w:rPr>
        <w:t>. Crystallographic s</w:t>
      </w:r>
      <w:r w:rsidR="003071EA" w:rsidRPr="00243817">
        <w:rPr>
          <w:rFonts w:asciiTheme="minorHAnsi" w:hAnsiTheme="minorHAnsi" w:cstheme="minorHAnsi"/>
          <w:color w:val="auto"/>
        </w:rPr>
        <w:t xml:space="preserve">tructure </w:t>
      </w:r>
      <w:r w:rsidR="00175C8C" w:rsidRPr="00243817">
        <w:rPr>
          <w:rFonts w:asciiTheme="minorHAnsi" w:hAnsiTheme="minorHAnsi" w:cstheme="minorHAnsi"/>
          <w:color w:val="auto"/>
        </w:rPr>
        <w:t>determination</w:t>
      </w:r>
      <w:r w:rsidR="003071EA" w:rsidRPr="00243817">
        <w:rPr>
          <w:rFonts w:asciiTheme="minorHAnsi" w:hAnsiTheme="minorHAnsi" w:cstheme="minorHAnsi"/>
          <w:color w:val="auto"/>
        </w:rPr>
        <w:t xml:space="preserve"> play</w:t>
      </w:r>
      <w:r w:rsidR="00175C8C" w:rsidRPr="00243817">
        <w:rPr>
          <w:rFonts w:asciiTheme="minorHAnsi" w:hAnsiTheme="minorHAnsi" w:cstheme="minorHAnsi"/>
          <w:color w:val="auto"/>
        </w:rPr>
        <w:t>s</w:t>
      </w:r>
      <w:r w:rsidR="003071EA" w:rsidRPr="00243817">
        <w:rPr>
          <w:rFonts w:asciiTheme="minorHAnsi" w:hAnsiTheme="minorHAnsi" w:cstheme="minorHAnsi"/>
          <w:color w:val="auto"/>
        </w:rPr>
        <w:t xml:space="preserve"> a pivotal role in target protein </w:t>
      </w:r>
      <w:r w:rsidR="00545CBF" w:rsidRPr="00243817">
        <w:rPr>
          <w:rFonts w:asciiTheme="minorHAnsi" w:hAnsiTheme="minorHAnsi" w:cstheme="minorHAnsi"/>
          <w:color w:val="auto"/>
        </w:rPr>
        <w:t>characteri</w:t>
      </w:r>
      <w:r w:rsidR="00067DB0" w:rsidRPr="00243817">
        <w:rPr>
          <w:rFonts w:asciiTheme="minorHAnsi" w:hAnsiTheme="minorHAnsi" w:cstheme="minorHAnsi"/>
          <w:color w:val="auto"/>
        </w:rPr>
        <w:t>z</w:t>
      </w:r>
      <w:r w:rsidR="00545CBF" w:rsidRPr="00243817">
        <w:rPr>
          <w:rFonts w:asciiTheme="minorHAnsi" w:hAnsiTheme="minorHAnsi" w:cstheme="minorHAnsi"/>
          <w:color w:val="auto"/>
        </w:rPr>
        <w:t>ation</w:t>
      </w:r>
      <w:r w:rsidR="00875D09" w:rsidRPr="00243817">
        <w:t xml:space="preserve">, </w:t>
      </w:r>
      <w:proofErr w:type="gramStart"/>
      <w:r w:rsidR="00875D09" w:rsidRPr="00243817">
        <w:t>in particular in</w:t>
      </w:r>
      <w:proofErr w:type="gramEnd"/>
      <w:r w:rsidR="00875D09" w:rsidRPr="00243817">
        <w:t xml:space="preserve"> those cases where the protein sequences ha</w:t>
      </w:r>
      <w:r w:rsidR="002C3205" w:rsidRPr="00243817">
        <w:t>ve</w:t>
      </w:r>
      <w:r w:rsidR="00875D09" w:rsidRPr="00243817">
        <w:t xml:space="preserve"> evolved beyond recognition</w:t>
      </w:r>
      <w:r w:rsidR="00B5276C" w:rsidRPr="00243817">
        <w:rPr>
          <w:vertAlign w:val="superscript"/>
        </w:rPr>
        <w:t>4</w:t>
      </w:r>
      <w:r w:rsidR="00BB26B0" w:rsidRPr="00243817">
        <w:t>.</w:t>
      </w:r>
      <w:r w:rsidR="00875D09" w:rsidRPr="00243817">
        <w:t xml:space="preserve"> </w:t>
      </w:r>
      <w:r w:rsidR="003071EA" w:rsidRPr="00243817">
        <w:t>Protein</w:t>
      </w:r>
      <w:r w:rsidR="00EA0549" w:rsidRPr="00243817">
        <w:t xml:space="preserve"> stability is a key factor in the crystalli</w:t>
      </w:r>
      <w:r w:rsidR="00067DB0" w:rsidRPr="00243817">
        <w:t>z</w:t>
      </w:r>
      <w:r w:rsidR="00EA0549" w:rsidRPr="00243817">
        <w:t xml:space="preserve">ation process; samples must be conformationally homogenous and structurally sound over </w:t>
      </w:r>
      <w:proofErr w:type="gramStart"/>
      <w:r w:rsidR="00EA0549" w:rsidRPr="00243817">
        <w:t xml:space="preserve">a period of </w:t>
      </w:r>
      <w:r w:rsidR="00175C8C" w:rsidRPr="00243817">
        <w:t>time</w:t>
      </w:r>
      <w:proofErr w:type="gramEnd"/>
      <w:r w:rsidR="00EA0549" w:rsidRPr="00243817">
        <w:t xml:space="preserve"> to form high-quality</w:t>
      </w:r>
      <w:r w:rsidR="00175C8C" w:rsidRPr="00243817">
        <w:t>,</w:t>
      </w:r>
      <w:r w:rsidR="00EA0549" w:rsidRPr="00243817">
        <w:t xml:space="preserve"> diffracting crystals. </w:t>
      </w:r>
      <w:r w:rsidR="009B0FF3" w:rsidRPr="00243817">
        <w:t xml:space="preserve">Furthermore, </w:t>
      </w:r>
      <w:r w:rsidR="00175C8C" w:rsidRPr="00243817">
        <w:rPr>
          <w:rFonts w:asciiTheme="minorHAnsi" w:hAnsiTheme="minorHAnsi" w:cstheme="minorHAnsi"/>
          <w:color w:val="auto"/>
        </w:rPr>
        <w:t>i</w:t>
      </w:r>
      <w:r w:rsidR="00A463D5" w:rsidRPr="00243817">
        <w:rPr>
          <w:rFonts w:asciiTheme="minorHAnsi" w:hAnsiTheme="minorHAnsi" w:cstheme="minorHAnsi"/>
          <w:color w:val="auto"/>
        </w:rPr>
        <w:t xml:space="preserve">t is </w:t>
      </w:r>
      <w:r w:rsidR="009B0FF3" w:rsidRPr="00243817">
        <w:rPr>
          <w:rFonts w:asciiTheme="minorHAnsi" w:hAnsiTheme="minorHAnsi" w:cstheme="minorHAnsi"/>
          <w:color w:val="auto"/>
        </w:rPr>
        <w:t>essential</w:t>
      </w:r>
      <w:r w:rsidR="00A463D5" w:rsidRPr="00243817">
        <w:rPr>
          <w:rFonts w:asciiTheme="minorHAnsi" w:hAnsiTheme="minorHAnsi" w:cstheme="minorHAnsi"/>
          <w:color w:val="auto"/>
        </w:rPr>
        <w:t xml:space="preserve"> </w:t>
      </w:r>
      <w:r w:rsidR="00175C8C" w:rsidRPr="00243817">
        <w:rPr>
          <w:rFonts w:asciiTheme="minorHAnsi" w:hAnsiTheme="minorHAnsi" w:cstheme="minorHAnsi"/>
          <w:color w:val="auto"/>
        </w:rPr>
        <w:t>for activity assays that the</w:t>
      </w:r>
      <w:r w:rsidR="00A463D5" w:rsidRPr="00243817">
        <w:rPr>
          <w:rFonts w:asciiTheme="minorHAnsi" w:hAnsiTheme="minorHAnsi" w:cstheme="minorHAnsi"/>
          <w:color w:val="auto"/>
        </w:rPr>
        <w:t xml:space="preserve"> proteins </w:t>
      </w:r>
      <w:r w:rsidR="00175C8C" w:rsidRPr="00243817">
        <w:rPr>
          <w:rFonts w:asciiTheme="minorHAnsi" w:hAnsiTheme="minorHAnsi" w:cstheme="minorHAnsi"/>
          <w:color w:val="auto"/>
        </w:rPr>
        <w:t xml:space="preserve">exist </w:t>
      </w:r>
      <w:r w:rsidR="009B0FF3" w:rsidRPr="00243817">
        <w:rPr>
          <w:rFonts w:asciiTheme="minorHAnsi" w:hAnsiTheme="minorHAnsi" w:cstheme="minorHAnsi"/>
          <w:color w:val="auto"/>
        </w:rPr>
        <w:t>in the</w:t>
      </w:r>
      <w:r w:rsidR="00175C8C" w:rsidRPr="00243817">
        <w:rPr>
          <w:rFonts w:asciiTheme="minorHAnsi" w:hAnsiTheme="minorHAnsi" w:cstheme="minorHAnsi"/>
          <w:color w:val="auto"/>
        </w:rPr>
        <w:t xml:space="preserve">ir active conformation, which can also be facilitated by a </w:t>
      </w:r>
      <w:r w:rsidR="00067DB0" w:rsidRPr="00243817">
        <w:rPr>
          <w:rFonts w:asciiTheme="minorHAnsi" w:hAnsiTheme="minorHAnsi" w:cstheme="minorHAnsi"/>
          <w:color w:val="auto"/>
        </w:rPr>
        <w:t>favorable</w:t>
      </w:r>
      <w:r w:rsidR="00175C8C" w:rsidRPr="00243817">
        <w:rPr>
          <w:rFonts w:asciiTheme="minorHAnsi" w:hAnsiTheme="minorHAnsi" w:cstheme="minorHAnsi"/>
          <w:color w:val="auto"/>
        </w:rPr>
        <w:t xml:space="preserve"> molecular environment</w:t>
      </w:r>
      <w:r w:rsidR="00A463D5" w:rsidRPr="00243817">
        <w:rPr>
          <w:rFonts w:asciiTheme="minorHAnsi" w:hAnsiTheme="minorHAnsi" w:cstheme="minorHAnsi"/>
          <w:color w:val="auto"/>
        </w:rPr>
        <w:t>.</w:t>
      </w:r>
      <w:r w:rsidR="003071EA" w:rsidRPr="00243817">
        <w:rPr>
          <w:rFonts w:asciiTheme="minorHAnsi" w:hAnsiTheme="minorHAnsi" w:cstheme="minorHAnsi"/>
          <w:color w:val="auto"/>
        </w:rPr>
        <w:t xml:space="preserve"> </w:t>
      </w:r>
    </w:p>
    <w:p w14:paraId="72AF92E6" w14:textId="09BA8F5C" w:rsidR="00800F6D" w:rsidRPr="00243817" w:rsidRDefault="00800F6D" w:rsidP="004F6460">
      <w:pPr>
        <w:rPr>
          <w:rFonts w:asciiTheme="minorHAnsi" w:hAnsiTheme="minorHAnsi" w:cstheme="minorHAnsi"/>
          <w:color w:val="auto"/>
        </w:rPr>
      </w:pPr>
    </w:p>
    <w:p w14:paraId="331081DD" w14:textId="0877F498" w:rsidR="008A156A" w:rsidRPr="00243817" w:rsidRDefault="00AC162E" w:rsidP="004F6460">
      <w:pPr>
        <w:rPr>
          <w:rFonts w:asciiTheme="minorHAnsi" w:hAnsiTheme="minorHAnsi" w:cstheme="minorHAnsi"/>
          <w:color w:val="808080"/>
        </w:rPr>
      </w:pPr>
      <w:r w:rsidRPr="00243817">
        <w:rPr>
          <w:rFonts w:asciiTheme="minorHAnsi" w:hAnsiTheme="minorHAnsi" w:cstheme="minorHAnsi"/>
          <w:color w:val="auto"/>
        </w:rPr>
        <w:t xml:space="preserve">Despite </w:t>
      </w:r>
      <w:r w:rsidR="00067DB0" w:rsidRPr="00243817">
        <w:rPr>
          <w:rFonts w:asciiTheme="minorHAnsi" w:hAnsiTheme="minorHAnsi" w:cstheme="minorHAnsi"/>
          <w:color w:val="auto"/>
        </w:rPr>
        <w:t xml:space="preserve">the </w:t>
      </w:r>
      <w:r w:rsidRPr="00243817">
        <w:rPr>
          <w:rFonts w:asciiTheme="minorHAnsi" w:hAnsiTheme="minorHAnsi" w:cstheme="minorHAnsi"/>
          <w:color w:val="auto"/>
        </w:rPr>
        <w:t>development in the technology available to crystallographers, protein crystalli</w:t>
      </w:r>
      <w:r w:rsidR="00067DB0" w:rsidRPr="00243817">
        <w:rPr>
          <w:rFonts w:asciiTheme="minorHAnsi" w:hAnsiTheme="minorHAnsi" w:cstheme="minorHAnsi"/>
          <w:color w:val="auto"/>
        </w:rPr>
        <w:t>z</w:t>
      </w:r>
      <w:r w:rsidRPr="00243817">
        <w:rPr>
          <w:rFonts w:asciiTheme="minorHAnsi" w:hAnsiTheme="minorHAnsi" w:cstheme="minorHAnsi"/>
          <w:color w:val="auto"/>
        </w:rPr>
        <w:t xml:space="preserve">ation remains a </w:t>
      </w:r>
      <w:r w:rsidR="006D7D3A" w:rsidRPr="00243817">
        <w:rPr>
          <w:rFonts w:asciiTheme="minorHAnsi" w:hAnsiTheme="minorHAnsi" w:cstheme="minorHAnsi"/>
          <w:color w:val="auto"/>
        </w:rPr>
        <w:t xml:space="preserve">time-consuming and </w:t>
      </w:r>
      <w:r w:rsidR="00067DB0" w:rsidRPr="00243817">
        <w:rPr>
          <w:rFonts w:asciiTheme="minorHAnsi" w:hAnsiTheme="minorHAnsi" w:cstheme="minorHAnsi"/>
          <w:color w:val="auto"/>
        </w:rPr>
        <w:t>labor-intensive</w:t>
      </w:r>
      <w:r w:rsidRPr="00243817">
        <w:rPr>
          <w:rFonts w:asciiTheme="minorHAnsi" w:hAnsiTheme="minorHAnsi" w:cstheme="minorHAnsi"/>
          <w:color w:val="auto"/>
        </w:rPr>
        <w:t xml:space="preserve"> </w:t>
      </w:r>
      <w:r w:rsidR="008A156A" w:rsidRPr="00243817">
        <w:rPr>
          <w:rFonts w:asciiTheme="minorHAnsi" w:hAnsiTheme="minorHAnsi" w:cstheme="minorHAnsi"/>
          <w:color w:val="auto"/>
        </w:rPr>
        <w:t xml:space="preserve">empirical </w:t>
      </w:r>
      <w:r w:rsidRPr="00243817">
        <w:rPr>
          <w:rFonts w:asciiTheme="minorHAnsi" w:hAnsiTheme="minorHAnsi" w:cstheme="minorHAnsi"/>
          <w:color w:val="auto"/>
        </w:rPr>
        <w:t>process</w:t>
      </w:r>
      <w:r w:rsidR="00ED6A20" w:rsidRPr="00243817">
        <w:rPr>
          <w:rFonts w:asciiTheme="minorHAnsi" w:hAnsiTheme="minorHAnsi" w:cstheme="minorHAnsi"/>
          <w:color w:val="auto"/>
          <w:vertAlign w:val="superscript"/>
        </w:rPr>
        <w:t>5</w:t>
      </w:r>
      <w:r w:rsidR="00BB26B0" w:rsidRPr="00243817">
        <w:rPr>
          <w:rFonts w:asciiTheme="minorHAnsi" w:hAnsiTheme="minorHAnsi" w:cstheme="minorHAnsi"/>
          <w:color w:val="auto"/>
        </w:rPr>
        <w:t>.</w:t>
      </w:r>
      <w:r w:rsidRPr="00243817">
        <w:rPr>
          <w:rFonts w:asciiTheme="minorHAnsi" w:hAnsiTheme="minorHAnsi" w:cstheme="minorHAnsi"/>
          <w:color w:val="auto"/>
        </w:rPr>
        <w:t xml:space="preserve"> </w:t>
      </w:r>
      <w:r w:rsidR="008A156A" w:rsidRPr="00243817">
        <w:rPr>
          <w:rFonts w:asciiTheme="minorHAnsi" w:hAnsiTheme="minorHAnsi" w:cstheme="minorHAnsi"/>
          <w:color w:val="auto"/>
        </w:rPr>
        <w:t xml:space="preserve">Preliminary biophysical experiments to improve the protein stability in solution give clearly a better starting point for protein </w:t>
      </w:r>
      <w:r w:rsidR="00067DB0" w:rsidRPr="00243817">
        <w:rPr>
          <w:rFonts w:asciiTheme="minorHAnsi" w:hAnsiTheme="minorHAnsi" w:cstheme="minorHAnsi"/>
          <w:color w:val="auto"/>
        </w:rPr>
        <w:t>crystallization</w:t>
      </w:r>
      <w:r w:rsidR="00A71ED8" w:rsidRPr="00243817">
        <w:rPr>
          <w:rFonts w:asciiTheme="minorHAnsi" w:hAnsiTheme="minorHAnsi" w:cstheme="minorHAnsi"/>
          <w:color w:val="auto"/>
        </w:rPr>
        <w:t xml:space="preserve"> </w:t>
      </w:r>
      <w:r w:rsidR="00983EBF" w:rsidRPr="00243817">
        <w:rPr>
          <w:rFonts w:asciiTheme="minorHAnsi" w:hAnsiTheme="minorHAnsi" w:cstheme="minorHAnsi"/>
          <w:color w:val="auto"/>
        </w:rPr>
        <w:t>and</w:t>
      </w:r>
      <w:r w:rsidR="008A156A" w:rsidRPr="00243817">
        <w:rPr>
          <w:rFonts w:asciiTheme="minorHAnsi" w:hAnsiTheme="minorHAnsi" w:cstheme="minorHAnsi"/>
          <w:color w:val="auto"/>
        </w:rPr>
        <w:t xml:space="preserve"> consum</w:t>
      </w:r>
      <w:r w:rsidR="00983EBF" w:rsidRPr="00243817">
        <w:rPr>
          <w:rFonts w:asciiTheme="minorHAnsi" w:hAnsiTheme="minorHAnsi" w:cstheme="minorHAnsi"/>
          <w:color w:val="auto"/>
        </w:rPr>
        <w:t>e usually only</w:t>
      </w:r>
      <w:r w:rsidR="008A156A" w:rsidRPr="00243817">
        <w:rPr>
          <w:rFonts w:asciiTheme="minorHAnsi" w:hAnsiTheme="minorHAnsi" w:cstheme="minorHAnsi"/>
          <w:color w:val="auto"/>
        </w:rPr>
        <w:t xml:space="preserve"> a comparatively small amount of protein sample</w:t>
      </w:r>
      <w:r w:rsidR="00ED6A20" w:rsidRPr="00243817">
        <w:rPr>
          <w:rFonts w:asciiTheme="minorHAnsi" w:hAnsiTheme="minorHAnsi" w:cstheme="minorHAnsi"/>
          <w:color w:val="auto"/>
          <w:vertAlign w:val="superscript"/>
        </w:rPr>
        <w:t>6-9</w:t>
      </w:r>
      <w:r w:rsidR="00881CE8" w:rsidRPr="00243817">
        <w:rPr>
          <w:rFonts w:asciiTheme="minorHAnsi" w:hAnsiTheme="minorHAnsi" w:cstheme="minorHAnsi"/>
          <w:color w:val="auto"/>
        </w:rPr>
        <w:t>.</w:t>
      </w:r>
      <w:r w:rsidR="00983EBF" w:rsidRPr="00243817">
        <w:rPr>
          <w:rFonts w:asciiTheme="minorHAnsi" w:hAnsiTheme="minorHAnsi" w:cstheme="minorHAnsi"/>
          <w:color w:val="auto"/>
        </w:rPr>
        <w:t xml:space="preserve"> The large number of target proteins to be studied in this project also necessitates scalable, high-throughput stability assays. </w:t>
      </w:r>
      <w:r w:rsidR="008A156A" w:rsidRPr="00243817">
        <w:rPr>
          <w:rFonts w:asciiTheme="minorHAnsi" w:hAnsiTheme="minorHAnsi" w:cstheme="minorHAnsi"/>
          <w:color w:val="auto"/>
        </w:rPr>
        <w:t>One of the most popular methods for pre</w:t>
      </w:r>
      <w:r w:rsidR="00983EBF" w:rsidRPr="00243817">
        <w:rPr>
          <w:rFonts w:asciiTheme="minorHAnsi" w:hAnsiTheme="minorHAnsi" w:cstheme="minorHAnsi"/>
          <w:color w:val="auto"/>
        </w:rPr>
        <w:t>-</w:t>
      </w:r>
      <w:r w:rsidR="00067DB0" w:rsidRPr="00243817">
        <w:rPr>
          <w:rFonts w:asciiTheme="minorHAnsi" w:hAnsiTheme="minorHAnsi" w:cstheme="minorHAnsi"/>
          <w:color w:val="auto"/>
        </w:rPr>
        <w:t>crystallization</w:t>
      </w:r>
      <w:r w:rsidR="008A156A" w:rsidRPr="00243817">
        <w:rPr>
          <w:rFonts w:asciiTheme="minorHAnsi" w:hAnsiTheme="minorHAnsi" w:cstheme="minorHAnsi"/>
          <w:color w:val="auto"/>
        </w:rPr>
        <w:t xml:space="preserve"> biophysical </w:t>
      </w:r>
      <w:r w:rsidR="00067DB0" w:rsidRPr="00243817">
        <w:rPr>
          <w:rFonts w:asciiTheme="minorHAnsi" w:hAnsiTheme="minorHAnsi" w:cstheme="minorHAnsi"/>
          <w:color w:val="auto"/>
        </w:rPr>
        <w:t>characterization</w:t>
      </w:r>
      <w:r w:rsidR="008A156A" w:rsidRPr="00243817">
        <w:rPr>
          <w:rFonts w:asciiTheme="minorHAnsi" w:hAnsiTheme="minorHAnsi" w:cstheme="minorHAnsi"/>
          <w:color w:val="auto"/>
        </w:rPr>
        <w:t xml:space="preserve"> of </w:t>
      </w:r>
      <w:r w:rsidR="00067DB0" w:rsidRPr="00243817">
        <w:rPr>
          <w:rFonts w:asciiTheme="minorHAnsi" w:hAnsiTheme="minorHAnsi" w:cstheme="minorHAnsi"/>
          <w:color w:val="auto"/>
        </w:rPr>
        <w:t xml:space="preserve">the </w:t>
      </w:r>
      <w:r w:rsidR="008A156A" w:rsidRPr="00243817">
        <w:rPr>
          <w:rFonts w:asciiTheme="minorHAnsi" w:hAnsiTheme="minorHAnsi" w:cstheme="minorHAnsi"/>
          <w:color w:val="auto"/>
        </w:rPr>
        <w:t xml:space="preserve">proteins is </w:t>
      </w:r>
      <w:r w:rsidR="008A156A" w:rsidRPr="00243817">
        <w:t xml:space="preserve">the </w:t>
      </w:r>
      <w:r w:rsidR="00067DB0" w:rsidRPr="00243817">
        <w:t xml:space="preserve">thermal shift assay </w:t>
      </w:r>
      <w:r w:rsidR="008A156A" w:rsidRPr="00243817">
        <w:t xml:space="preserve">(also known as </w:t>
      </w:r>
      <w:r w:rsidR="0039257F" w:rsidRPr="00243817">
        <w:t>TSA</w:t>
      </w:r>
      <w:r w:rsidR="008A156A" w:rsidRPr="00243817">
        <w:t xml:space="preserve"> or </w:t>
      </w:r>
      <w:r w:rsidR="00067DB0" w:rsidRPr="00243817">
        <w:t>differential scanning fluorimetry</w:t>
      </w:r>
      <w:r w:rsidR="00534939" w:rsidRPr="00243817">
        <w:t>,</w:t>
      </w:r>
      <w:r w:rsidR="009B0F19" w:rsidRPr="00243817">
        <w:t xml:space="preserve"> </w:t>
      </w:r>
      <w:r w:rsidR="008A156A" w:rsidRPr="00243817">
        <w:t>DSF)</w:t>
      </w:r>
      <w:r w:rsidR="004F2B89" w:rsidRPr="00243817">
        <w:rPr>
          <w:vertAlign w:val="superscript"/>
        </w:rPr>
        <w:t>10,11</w:t>
      </w:r>
      <w:r w:rsidR="008A156A" w:rsidRPr="00243817">
        <w:t>.</w:t>
      </w:r>
      <w:r w:rsidR="00983EBF" w:rsidRPr="00243817">
        <w:t xml:space="preserve"> </w:t>
      </w:r>
    </w:p>
    <w:p w14:paraId="7136357D" w14:textId="77777777" w:rsidR="002A7C23" w:rsidRPr="00243817" w:rsidRDefault="002A7C23" w:rsidP="004F6460"/>
    <w:p w14:paraId="6B21CE18" w14:textId="24411E5A" w:rsidR="00B1067E" w:rsidRPr="00243817" w:rsidRDefault="0039257F" w:rsidP="004F6460">
      <w:r w:rsidRPr="00243817">
        <w:t>TSA</w:t>
      </w:r>
      <w:r w:rsidR="00646A16" w:rsidRPr="00243817">
        <w:t>s</w:t>
      </w:r>
      <w:r w:rsidR="00B1067E" w:rsidRPr="00243817">
        <w:t xml:space="preserve"> employ an environmentally-sensitive fluorescent dye to track the thermal denaturation of protein samples. </w:t>
      </w:r>
      <w:r w:rsidR="00B9020A" w:rsidRPr="00243817">
        <w:t>Many</w:t>
      </w:r>
      <w:r w:rsidR="00B1067E" w:rsidRPr="00243817">
        <w:t xml:space="preserve"> commonly</w:t>
      </w:r>
      <w:r w:rsidR="00B9020A" w:rsidRPr="00243817">
        <w:t>-</w:t>
      </w:r>
      <w:r w:rsidR="00B1067E" w:rsidRPr="00243817">
        <w:t xml:space="preserve">used </w:t>
      </w:r>
      <w:r w:rsidR="00B9020A" w:rsidRPr="00243817">
        <w:t>dyes have variable fluorescence activity depending on the polarity of their environment</w:t>
      </w:r>
      <w:r w:rsidR="00B1067E" w:rsidRPr="00243817">
        <w:t xml:space="preserve">, </w:t>
      </w:r>
      <w:r w:rsidR="002D71AA" w:rsidRPr="00243817">
        <w:t>often displaying a high</w:t>
      </w:r>
      <w:r w:rsidR="00B1067E" w:rsidRPr="00243817">
        <w:t xml:space="preserve"> fluorescence output in hydrophobic environments</w:t>
      </w:r>
      <w:r w:rsidR="00B126F9" w:rsidRPr="00243817">
        <w:t xml:space="preserve"> but </w:t>
      </w:r>
      <w:r w:rsidR="0088532C" w:rsidRPr="00243817">
        <w:t xml:space="preserve">undergoing rapid </w:t>
      </w:r>
      <w:r w:rsidR="00B126F9" w:rsidRPr="00243817">
        <w:t>quench</w:t>
      </w:r>
      <w:r w:rsidR="0088532C" w:rsidRPr="00243817">
        <w:t>ing</w:t>
      </w:r>
      <w:r w:rsidR="00B126F9" w:rsidRPr="00243817">
        <w:t xml:space="preserve"> in </w:t>
      </w:r>
      <w:r w:rsidR="00B7230D" w:rsidRPr="00243817">
        <w:t>polar environments</w:t>
      </w:r>
      <w:r w:rsidR="00854688" w:rsidRPr="00243817">
        <w:rPr>
          <w:vertAlign w:val="superscript"/>
        </w:rPr>
        <w:t>12</w:t>
      </w:r>
      <w:r w:rsidR="006A3DF7" w:rsidRPr="00243817">
        <w:t>.</w:t>
      </w:r>
      <w:r w:rsidR="00B1067E" w:rsidRPr="00243817">
        <w:t xml:space="preserve"> Proteins generally cause pronounced increases in dye fluorescence as their hydrophobic cores become exposed during denaturation, often followed by a decrease in dye fluorescence at very high temperatures as proteins begin to aggregate (</w:t>
      </w:r>
      <w:r w:rsidR="00B1067E" w:rsidRPr="00243817">
        <w:rPr>
          <w:b/>
        </w:rPr>
        <w:t xml:space="preserve">Figure </w:t>
      </w:r>
      <w:r w:rsidR="00B30BE7" w:rsidRPr="00243817">
        <w:rPr>
          <w:b/>
        </w:rPr>
        <w:t>2</w:t>
      </w:r>
      <w:r w:rsidR="00B1067E" w:rsidRPr="00243817">
        <w:t>).</w:t>
      </w:r>
    </w:p>
    <w:p w14:paraId="2CB3DD13" w14:textId="465461A7" w:rsidR="00675BAD" w:rsidRPr="00243817" w:rsidRDefault="00675BAD" w:rsidP="004F6460"/>
    <w:p w14:paraId="15F5083A" w14:textId="03DE55DB" w:rsidR="0006598E" w:rsidRPr="00243817" w:rsidRDefault="0006598E" w:rsidP="004F6460">
      <w:r w:rsidRPr="00243817">
        <w:t xml:space="preserve">While </w:t>
      </w:r>
      <w:r w:rsidR="000874F6" w:rsidRPr="00243817">
        <w:t>a hydrophobicity-sensitive dye is</w:t>
      </w:r>
      <w:r w:rsidRPr="00243817">
        <w:t xml:space="preserve"> often a good choice for a general-use </w:t>
      </w:r>
      <w:r w:rsidR="0039257F" w:rsidRPr="00243817">
        <w:t>TSA</w:t>
      </w:r>
      <w:r w:rsidRPr="00243817">
        <w:t xml:space="preserve"> dye, it can be unsuitable for proteins with large, solvent-exposed hydrophobic regions</w:t>
      </w:r>
      <w:r w:rsidR="00C836CC" w:rsidRPr="00243817">
        <w:t xml:space="preserve">, which often display </w:t>
      </w:r>
      <w:r w:rsidR="006736CF" w:rsidRPr="00243817">
        <w:t>detrimentally</w:t>
      </w:r>
      <w:r w:rsidR="00F379E0" w:rsidRPr="00243817">
        <w:t xml:space="preserve"> high background fluorescence</w:t>
      </w:r>
      <w:r w:rsidRPr="00243817">
        <w:t>. Fluorophores with alternative modes of action exist (see Discussion),</w:t>
      </w:r>
      <w:r w:rsidR="00C836CC" w:rsidRPr="00243817">
        <w:t xml:space="preserve"> but it may instead be desirable to </w:t>
      </w:r>
      <w:r w:rsidR="00AF178C" w:rsidRPr="00243817">
        <w:t xml:space="preserve">track denaturation through intrinsic protein fluorescence with </w:t>
      </w:r>
      <w:proofErr w:type="spellStart"/>
      <w:r w:rsidR="00AF178C" w:rsidRPr="00243817">
        <w:t>nanoDSF</w:t>
      </w:r>
      <w:proofErr w:type="spellEnd"/>
      <w:r w:rsidR="00AF178C" w:rsidRPr="00243817">
        <w:t>.</w:t>
      </w:r>
    </w:p>
    <w:p w14:paraId="7AEE87BF" w14:textId="75AAD186" w:rsidR="009970D3" w:rsidRPr="00243817" w:rsidRDefault="009970D3" w:rsidP="004F6460"/>
    <w:p w14:paraId="5A6DBADB" w14:textId="5EF96BE6" w:rsidR="001C35B8" w:rsidRPr="00243817" w:rsidRDefault="001C35B8" w:rsidP="004F6460">
      <w:r w:rsidRPr="00243817">
        <w:t xml:space="preserve">Tryptophan residues </w:t>
      </w:r>
      <w:r w:rsidR="00BC1F65" w:rsidRPr="00243817">
        <w:t>that are buried in nonpolar regions of a protein fluoresce with an emission maximum of 330 nm. As a protein sample unfolds and these residues become exposed to a polar solvent, their emission maximum undergoes a bathochromic shift to 350 nm</w:t>
      </w:r>
      <w:r w:rsidR="00E85622" w:rsidRPr="00243817">
        <w:rPr>
          <w:vertAlign w:val="superscript"/>
        </w:rPr>
        <w:t>13</w:t>
      </w:r>
      <w:r w:rsidR="006A3DF7" w:rsidRPr="00243817">
        <w:t>.</w:t>
      </w:r>
      <w:r w:rsidR="00A72692" w:rsidRPr="00243817">
        <w:rPr>
          <w:vertAlign w:val="superscript"/>
        </w:rPr>
        <w:t xml:space="preserve"> </w:t>
      </w:r>
      <w:proofErr w:type="spellStart"/>
      <w:r w:rsidR="00A72692" w:rsidRPr="00243817">
        <w:t>nanoDSF</w:t>
      </w:r>
      <w:proofErr w:type="spellEnd"/>
      <w:r w:rsidR="00A72692" w:rsidRPr="00243817">
        <w:t xml:space="preserve"> exploits this shift in emission maximum to probe the unfolding of a protein sample without the need for extrinsic fluorophores</w:t>
      </w:r>
      <w:r w:rsidR="00E503A3" w:rsidRPr="00243817">
        <w:rPr>
          <w:vertAlign w:val="superscript"/>
        </w:rPr>
        <w:t>14</w:t>
      </w:r>
      <w:r w:rsidR="00265310" w:rsidRPr="00243817">
        <w:t>.</w:t>
      </w:r>
    </w:p>
    <w:p w14:paraId="62B97295" w14:textId="174C3C04" w:rsidR="0085097D" w:rsidRPr="00243817" w:rsidRDefault="0085097D" w:rsidP="004F6460"/>
    <w:p w14:paraId="56083D91" w14:textId="1C76B678" w:rsidR="0085097D" w:rsidRPr="00243817" w:rsidRDefault="004D72E3" w:rsidP="004F6460">
      <w:r w:rsidRPr="00243817">
        <w:t xml:space="preserve">Melt </w:t>
      </w:r>
      <w:r w:rsidR="0085097D" w:rsidRPr="00243817">
        <w:t>curves showing single denaturation steps can be analy</w:t>
      </w:r>
      <w:r w:rsidR="004F6460" w:rsidRPr="00243817">
        <w:t>z</w:t>
      </w:r>
      <w:r w:rsidR="0085097D" w:rsidRPr="00243817">
        <w:t>ed by fitting data to a Boltzmann sigmoidal model. The temperature at the inflection point of the unfolding transition (T</w:t>
      </w:r>
      <w:r w:rsidR="0085097D" w:rsidRPr="00243817">
        <w:rPr>
          <w:vertAlign w:val="subscript"/>
        </w:rPr>
        <w:t>m</w:t>
      </w:r>
      <w:r w:rsidR="0085097D" w:rsidRPr="00243817">
        <w:t xml:space="preserve">) is used as a quantitative measure of protein thermal stability and a benchmark to compare the </w:t>
      </w:r>
      <w:r w:rsidR="004060DE" w:rsidRPr="00243817">
        <w:t>favorability</w:t>
      </w:r>
      <w:r w:rsidR="0085097D" w:rsidRPr="00243817">
        <w:t xml:space="preserve"> of different conditions. </w:t>
      </w:r>
    </w:p>
    <w:p w14:paraId="152ED8CB" w14:textId="77777777" w:rsidR="0085097D" w:rsidRPr="00243817" w:rsidRDefault="0085097D" w:rsidP="004F6460"/>
    <w:p w14:paraId="13055B2D" w14:textId="32AEE199" w:rsidR="0085097D" w:rsidRPr="00243817" w:rsidRDefault="00296EC6" w:rsidP="004F6460">
      <w:r w:rsidRPr="00243817">
        <w:t xml:space="preserve">Melt </w:t>
      </w:r>
      <w:r w:rsidR="0085097D" w:rsidRPr="00243817">
        <w:t>curves of the same protein in different conditions sometimes possess a degree of heterogeneity that can make a Boltzmann sigmoidal fitting unfeasible. To discern T</w:t>
      </w:r>
      <w:r w:rsidR="0085097D" w:rsidRPr="00243817">
        <w:rPr>
          <w:vertAlign w:val="subscript"/>
        </w:rPr>
        <w:t>m</w:t>
      </w:r>
      <w:r w:rsidR="0085097D" w:rsidRPr="00243817">
        <w:softHyphen/>
        <w:t xml:space="preserve"> values from data that deviates from the classic curve topology, numerical methods can be used such as those employed in NAMI, an open-source </w:t>
      </w:r>
      <w:r w:rsidR="007B1842" w:rsidRPr="00243817">
        <w:t xml:space="preserve">TSA </w:t>
      </w:r>
      <w:r w:rsidR="0085097D" w:rsidRPr="00243817">
        <w:t>data analysis program</w:t>
      </w:r>
      <w:r w:rsidR="009A7F4D" w:rsidRPr="00243817">
        <w:rPr>
          <w:vertAlign w:val="superscript"/>
        </w:rPr>
        <w:t>11</w:t>
      </w:r>
      <w:r w:rsidR="00A93F17" w:rsidRPr="00243817">
        <w:t>.</w:t>
      </w:r>
      <w:r w:rsidR="0085097D" w:rsidRPr="00243817">
        <w:t xml:space="preserve"> Alternative thermodynamic frameworks can also be used to </w:t>
      </w:r>
      <w:r w:rsidR="004060DE" w:rsidRPr="00243817">
        <w:t>analyze</w:t>
      </w:r>
      <w:r w:rsidR="0085097D" w:rsidRPr="00243817">
        <w:t xml:space="preserve"> more complex curves with multiple denaturation steps, such as the </w:t>
      </w:r>
      <w:proofErr w:type="spellStart"/>
      <w:r w:rsidR="0085097D" w:rsidRPr="00243817">
        <w:t>ProteoPlex</w:t>
      </w:r>
      <w:proofErr w:type="spellEnd"/>
      <w:r w:rsidR="0085097D" w:rsidRPr="00243817">
        <w:t xml:space="preserve"> methodology</w:t>
      </w:r>
      <w:r w:rsidR="00801666" w:rsidRPr="00243817">
        <w:rPr>
          <w:vertAlign w:val="superscript"/>
        </w:rPr>
        <w:t>15</w:t>
      </w:r>
      <w:r w:rsidR="00A93F17" w:rsidRPr="00243817">
        <w:t>.</w:t>
      </w:r>
      <w:r w:rsidR="0085097D" w:rsidRPr="00243817">
        <w:t xml:space="preserve"> </w:t>
      </w:r>
    </w:p>
    <w:p w14:paraId="749287AC" w14:textId="77777777" w:rsidR="00DC414E" w:rsidRPr="00243817" w:rsidRDefault="00DC414E" w:rsidP="004F6460"/>
    <w:p w14:paraId="3107644C" w14:textId="4D81835B" w:rsidR="00B1067E" w:rsidRPr="00243817" w:rsidRDefault="00B1067E" w:rsidP="004F6460">
      <w:r w:rsidRPr="00243817">
        <w:t xml:space="preserve">The </w:t>
      </w:r>
      <w:r w:rsidR="0091188E" w:rsidRPr="00243817">
        <w:t>stability screens</w:t>
      </w:r>
      <w:r w:rsidRPr="00243817">
        <w:t xml:space="preserve"> were designed for use in </w:t>
      </w:r>
      <w:r w:rsidR="00023941" w:rsidRPr="00243817">
        <w:t xml:space="preserve">TSA and </w:t>
      </w:r>
      <w:proofErr w:type="spellStart"/>
      <w:r w:rsidR="00023941" w:rsidRPr="00243817">
        <w:t>nanoDSF</w:t>
      </w:r>
      <w:proofErr w:type="spellEnd"/>
      <w:r w:rsidR="00023941" w:rsidRPr="00243817">
        <w:t xml:space="preserve"> </w:t>
      </w:r>
      <w:r w:rsidRPr="00243817">
        <w:t xml:space="preserve">experiments to rapidly identify </w:t>
      </w:r>
      <w:r w:rsidR="004060DE" w:rsidRPr="00243817">
        <w:t>favorable</w:t>
      </w:r>
      <w:r w:rsidRPr="00243817">
        <w:t xml:space="preserve"> conditions for a target protein</w:t>
      </w:r>
      <w:r w:rsidR="00366EE6" w:rsidRPr="00243817">
        <w:t xml:space="preserve"> (</w:t>
      </w:r>
      <w:r w:rsidR="00366EE6" w:rsidRPr="00243817">
        <w:rPr>
          <w:b/>
        </w:rPr>
        <w:t>Figure 3</w:t>
      </w:r>
      <w:r w:rsidR="0015593D" w:rsidRPr="00243817">
        <w:t xml:space="preserve">, screen compositions </w:t>
      </w:r>
      <w:r w:rsidR="007D4DE4" w:rsidRPr="00243817">
        <w:t xml:space="preserve">are </w:t>
      </w:r>
      <w:r w:rsidR="0015593D" w:rsidRPr="00243817">
        <w:t xml:space="preserve">available in </w:t>
      </w:r>
      <w:r w:rsidR="007D4DE4" w:rsidRPr="00243817">
        <w:t xml:space="preserve">the </w:t>
      </w:r>
      <w:r w:rsidR="0015593D" w:rsidRPr="00243817">
        <w:t>supplementary information</w:t>
      </w:r>
      <w:r w:rsidR="00366EE6" w:rsidRPr="00243817">
        <w:t>)</w:t>
      </w:r>
      <w:r w:rsidRPr="00243817">
        <w:t xml:space="preserve">. Information gathered with the screens can be used at many stages of the crystallographic pipeline including: </w:t>
      </w:r>
      <w:r w:rsidR="001155B8" w:rsidRPr="00243817">
        <w:t xml:space="preserve">sample storage; </w:t>
      </w:r>
      <w:r w:rsidRPr="00243817">
        <w:t>purification</w:t>
      </w:r>
      <w:r w:rsidR="001155B8" w:rsidRPr="00243817">
        <w:t xml:space="preserve">, </w:t>
      </w:r>
      <w:r w:rsidR="004060DE" w:rsidRPr="00243817">
        <w:t>minimizing</w:t>
      </w:r>
      <w:r w:rsidRPr="00243817">
        <w:t xml:space="preserve"> yield loss through protein unfolding during the purification process; assay design, reinforcing protein functionality in activity assays with thermally </w:t>
      </w:r>
      <w:r w:rsidR="004060DE" w:rsidRPr="00243817">
        <w:t>stabilizing</w:t>
      </w:r>
      <w:r w:rsidRPr="00243817">
        <w:t xml:space="preserve"> buffers and finally </w:t>
      </w:r>
      <w:r w:rsidR="004060DE" w:rsidRPr="00243817">
        <w:t>crystallization</w:t>
      </w:r>
      <w:r w:rsidRPr="00243817">
        <w:t xml:space="preserve">, guiding rationally-designed </w:t>
      </w:r>
      <w:r w:rsidR="004060DE" w:rsidRPr="00243817">
        <w:t>crystallization</w:t>
      </w:r>
      <w:r w:rsidRPr="00243817">
        <w:t xml:space="preserve"> trials</w:t>
      </w:r>
      <w:r w:rsidR="00BC737B" w:rsidRPr="00243817">
        <w:t>.</w:t>
      </w:r>
    </w:p>
    <w:p w14:paraId="73E48825" w14:textId="77777777" w:rsidR="00DC414E" w:rsidRPr="00243817" w:rsidRDefault="00DC414E" w:rsidP="004F6460"/>
    <w:p w14:paraId="1CCAE357" w14:textId="7606251F" w:rsidR="000179A6" w:rsidRPr="00243817" w:rsidRDefault="00B15472" w:rsidP="004F6460">
      <w:r w:rsidRPr="00243817">
        <w:t xml:space="preserve">Choosing a suitable buffer system basis for a protein sample is vital; incompatible pH values can lead to </w:t>
      </w:r>
      <w:r w:rsidR="006E7A68" w:rsidRPr="00243817">
        <w:t xml:space="preserve">the </w:t>
      </w:r>
      <w:r w:rsidRPr="00243817">
        <w:t>deactivation or denaturation of a protein. However, the presence of co-crystalli</w:t>
      </w:r>
      <w:r w:rsidR="006E7A68" w:rsidRPr="00243817">
        <w:t>z</w:t>
      </w:r>
      <w:r w:rsidRPr="00243817">
        <w:t xml:space="preserve">ed buffer molecules resolved in </w:t>
      </w:r>
      <w:proofErr w:type="gramStart"/>
      <w:r w:rsidR="00883560" w:rsidRPr="00243817">
        <w:t>a large number of</w:t>
      </w:r>
      <w:proofErr w:type="gramEnd"/>
      <w:r w:rsidR="00883560" w:rsidRPr="00243817">
        <w:t xml:space="preserve"> </w:t>
      </w:r>
      <w:r w:rsidRPr="00243817">
        <w:t>X-ray cry</w:t>
      </w:r>
      <w:r w:rsidR="002A42CF" w:rsidRPr="00243817">
        <w:t>stal structures (</w:t>
      </w:r>
      <w:r w:rsidRPr="00243817">
        <w:rPr>
          <w:b/>
        </w:rPr>
        <w:t>Table 1</w:t>
      </w:r>
      <w:r w:rsidRPr="00243817">
        <w:t>) could</w:t>
      </w:r>
      <w:r w:rsidR="00705959" w:rsidRPr="00243817">
        <w:t xml:space="preserve"> also</w:t>
      </w:r>
      <w:r w:rsidRPr="00243817">
        <w:t xml:space="preserve"> be indicative of a stabil</w:t>
      </w:r>
      <w:r w:rsidR="00FC2EF5" w:rsidRPr="00243817">
        <w:t>i</w:t>
      </w:r>
      <w:r w:rsidR="006E7A68" w:rsidRPr="00243817">
        <w:t>z</w:t>
      </w:r>
      <w:r w:rsidR="00FC2EF5" w:rsidRPr="00243817">
        <w:t xml:space="preserve">ing effect that is separate </w:t>
      </w:r>
      <w:proofErr w:type="spellStart"/>
      <w:r w:rsidR="00FC2EF5" w:rsidRPr="00243817">
        <w:t>to</w:t>
      </w:r>
      <w:proofErr w:type="spellEnd"/>
      <w:r w:rsidRPr="00243817">
        <w:t xml:space="preserve"> simple pH regulation and instead stems from the chemical features of the buffer molecule.</w:t>
      </w:r>
    </w:p>
    <w:p w14:paraId="41A575AD" w14:textId="77777777" w:rsidR="00FC2EF5" w:rsidRPr="00243817" w:rsidRDefault="00FC2EF5" w:rsidP="004F6460"/>
    <w:p w14:paraId="69674758" w14:textId="5B83DF11" w:rsidR="00E835B4" w:rsidRPr="00243817" w:rsidRDefault="00EE1C4A" w:rsidP="004F6460">
      <w:r w:rsidRPr="00243817">
        <w:t>Formulated using several of Good’s buffers</w:t>
      </w:r>
      <w:r w:rsidR="009B29E2" w:rsidRPr="00243817">
        <w:rPr>
          <w:vertAlign w:val="superscript"/>
        </w:rPr>
        <w:t>17-19</w:t>
      </w:r>
      <w:r w:rsidRPr="00243817">
        <w:t xml:space="preserve"> alongside other commonly biological</w:t>
      </w:r>
      <w:r w:rsidR="00FE21B7" w:rsidRPr="00243817">
        <w:t>ly-</w:t>
      </w:r>
      <w:r w:rsidRPr="00243817">
        <w:t>compatible buffer systems, t</w:t>
      </w:r>
      <w:r w:rsidR="0092643C" w:rsidRPr="00243817">
        <w:t xml:space="preserve">he pH </w:t>
      </w:r>
      <w:r w:rsidR="00E67078" w:rsidRPr="00243817">
        <w:t>s</w:t>
      </w:r>
      <w:r w:rsidR="0092643C" w:rsidRPr="00243817">
        <w:t>creen is</w:t>
      </w:r>
      <w:r w:rsidR="004D4782" w:rsidRPr="00243817">
        <w:t xml:space="preserve"> designed to deconvolute the chemical effect of a buffer molecule on protein stability from the actual pH of the resulting solution.</w:t>
      </w:r>
      <w:r w:rsidRPr="00243817">
        <w:t xml:space="preserve"> </w:t>
      </w:r>
      <w:r w:rsidR="008C6E57" w:rsidRPr="00243817">
        <w:t xml:space="preserve">By providing three pH values for each buffer system and incorporating pH value redundancy between different systems, the pH </w:t>
      </w:r>
      <w:r w:rsidR="006E7A68" w:rsidRPr="00243817">
        <w:t>s</w:t>
      </w:r>
      <w:r w:rsidR="008C6E57" w:rsidRPr="00243817">
        <w:t xml:space="preserve">creen can identify both </w:t>
      </w:r>
      <w:r w:rsidR="00A41F72" w:rsidRPr="00243817">
        <w:t>favorable</w:t>
      </w:r>
      <w:r w:rsidR="008C6E57" w:rsidRPr="00243817">
        <w:t xml:space="preserve"> pH values and </w:t>
      </w:r>
      <w:r w:rsidR="006E7A68" w:rsidRPr="00243817">
        <w:t>favorable</w:t>
      </w:r>
      <w:r w:rsidR="008C6E57" w:rsidRPr="00243817">
        <w:t xml:space="preserve"> buffer systems for a target protein.</w:t>
      </w:r>
    </w:p>
    <w:p w14:paraId="31AF0A79" w14:textId="29A83F9F" w:rsidR="00E82173" w:rsidRPr="00243817" w:rsidRDefault="00E82173" w:rsidP="004F6460"/>
    <w:p w14:paraId="1ABD1452" w14:textId="00AA039F" w:rsidR="00E82173" w:rsidRPr="00243817" w:rsidRDefault="00EC3B07" w:rsidP="004F6460">
      <w:r w:rsidRPr="00243817">
        <w:t xml:space="preserve">The </w:t>
      </w:r>
      <w:r w:rsidR="00E37A32" w:rsidRPr="00243817">
        <w:t>s</w:t>
      </w:r>
      <w:r w:rsidRPr="00243817">
        <w:t xml:space="preserve">alt screen contains commonly laboratory salts as well as </w:t>
      </w:r>
      <w:proofErr w:type="spellStart"/>
      <w:r w:rsidRPr="00243817">
        <w:t>chaotropes</w:t>
      </w:r>
      <w:proofErr w:type="spellEnd"/>
      <w:r w:rsidRPr="00243817">
        <w:t xml:space="preserve">, </w:t>
      </w:r>
      <w:proofErr w:type="spellStart"/>
      <w:r w:rsidR="00F90507" w:rsidRPr="00243817">
        <w:t>chelants</w:t>
      </w:r>
      <w:proofErr w:type="spellEnd"/>
      <w:r w:rsidR="00F90507" w:rsidRPr="00243817">
        <w:t xml:space="preserve">, </w:t>
      </w:r>
      <w:r w:rsidRPr="00243817">
        <w:t>heavy metals and reducing agents.</w:t>
      </w:r>
      <w:r w:rsidR="00F90507" w:rsidRPr="00243817">
        <w:t xml:space="preserve"> </w:t>
      </w:r>
      <w:r w:rsidR="00424BC4" w:rsidRPr="00243817">
        <w:t xml:space="preserve">The screen can give a general indication of the affinity of a protein sample to </w:t>
      </w:r>
      <w:r w:rsidR="00A41F72" w:rsidRPr="00243817">
        <w:t xml:space="preserve">the </w:t>
      </w:r>
      <w:r w:rsidR="00424BC4" w:rsidRPr="00243817">
        <w:t xml:space="preserve">environments with high ionic strengths, but each subgroup of </w:t>
      </w:r>
      <w:r w:rsidR="00A41F72" w:rsidRPr="00243817">
        <w:t xml:space="preserve">the </w:t>
      </w:r>
      <w:r w:rsidR="00424BC4" w:rsidRPr="00243817">
        <w:t xml:space="preserve">compounds can also provide information on the potential structure of a protein. For example, a </w:t>
      </w:r>
      <w:proofErr w:type="spellStart"/>
      <w:r w:rsidR="00424BC4" w:rsidRPr="00243817">
        <w:t>chelant</w:t>
      </w:r>
      <w:proofErr w:type="spellEnd"/>
      <w:r w:rsidR="00424BC4" w:rsidRPr="00243817">
        <w:t xml:space="preserve"> significantly </w:t>
      </w:r>
      <w:r w:rsidR="00A41F72" w:rsidRPr="00243817">
        <w:t>destabilizing</w:t>
      </w:r>
      <w:r w:rsidR="00424BC4" w:rsidRPr="00243817">
        <w:t xml:space="preserve"> a protein could be indicative of important structural metals within the sample. If the sample is also strongly stabili</w:t>
      </w:r>
      <w:r w:rsidR="00A41F72" w:rsidRPr="00243817">
        <w:t>z</w:t>
      </w:r>
      <w:r w:rsidR="00424BC4" w:rsidRPr="00243817">
        <w:t xml:space="preserve">ed by a metal cation within the screen, this can provide a promising starting point for further structural experiments. </w:t>
      </w:r>
    </w:p>
    <w:p w14:paraId="5BC6EBCF" w14:textId="401934BE" w:rsidR="00B1067E" w:rsidRPr="00243817" w:rsidRDefault="00B1067E" w:rsidP="004F6460">
      <w:pPr>
        <w:pStyle w:val="2"/>
      </w:pPr>
    </w:p>
    <w:p w14:paraId="795144C7" w14:textId="388F209F" w:rsidR="00B1067E" w:rsidRPr="00243817" w:rsidRDefault="00B1067E" w:rsidP="004F6460">
      <w:r w:rsidRPr="00243817">
        <w:t xml:space="preserve">Osmolytes are soluble compounds that affect the osmotic properties of their environment. In nature, they can be used as “chemical chaperones”, enforcing the folding of disordered proteins and </w:t>
      </w:r>
      <w:r w:rsidR="00A41F72" w:rsidRPr="00243817">
        <w:t>stabilizing</w:t>
      </w:r>
      <w:r w:rsidRPr="00243817">
        <w:t xml:space="preserve"> them, especially in stress conditions</w:t>
      </w:r>
      <w:r w:rsidR="0019157D" w:rsidRPr="00243817">
        <w:rPr>
          <w:vertAlign w:val="superscript"/>
        </w:rPr>
        <w:t>20-22</w:t>
      </w:r>
      <w:r w:rsidR="009870DA" w:rsidRPr="00243817">
        <w:t>.</w:t>
      </w:r>
      <w:r w:rsidRPr="00243817">
        <w:t xml:space="preserve"> These characteristics make them attractive additives in protein crystallography; usable as cryoprotectants during the crystal harvesting, mounting and storage processes</w:t>
      </w:r>
      <w:r w:rsidR="0044640B" w:rsidRPr="00243817">
        <w:rPr>
          <w:vertAlign w:val="superscript"/>
        </w:rPr>
        <w:t>2</w:t>
      </w:r>
      <w:r w:rsidR="00115959" w:rsidRPr="00243817">
        <w:rPr>
          <w:vertAlign w:val="superscript"/>
        </w:rPr>
        <w:t>3</w:t>
      </w:r>
      <w:r w:rsidR="009870DA" w:rsidRPr="00243817">
        <w:t>.</w:t>
      </w:r>
      <w:r w:rsidRPr="00243817">
        <w:t xml:space="preserve"> Osmolytes’ potential use also extends to the purification of proteins. A significant proportion of recombinant proteins expressed in </w:t>
      </w:r>
      <w:r w:rsidRPr="00243817">
        <w:rPr>
          <w:i/>
        </w:rPr>
        <w:t>E. coli</w:t>
      </w:r>
      <w:r w:rsidRPr="00243817">
        <w:t xml:space="preserve"> can be insoluble and difficult to recover in the native state using standard purification methods. Osmolytes can be used to </w:t>
      </w:r>
      <w:r w:rsidR="00A41F72" w:rsidRPr="00243817">
        <w:t>stabilize</w:t>
      </w:r>
      <w:r w:rsidRPr="00243817">
        <w:t xml:space="preserve"> and salvage proteins from insoluble fractions, increasing purification yields</w:t>
      </w:r>
      <w:r w:rsidR="0044640B" w:rsidRPr="00243817">
        <w:rPr>
          <w:vertAlign w:val="superscript"/>
        </w:rPr>
        <w:t>2</w:t>
      </w:r>
      <w:r w:rsidR="00115959" w:rsidRPr="00243817">
        <w:rPr>
          <w:vertAlign w:val="superscript"/>
        </w:rPr>
        <w:t>4</w:t>
      </w:r>
      <w:r w:rsidR="009870DA" w:rsidRPr="00243817">
        <w:t>.</w:t>
      </w:r>
      <w:r w:rsidRPr="00243817">
        <w:t xml:space="preserve"> </w:t>
      </w:r>
    </w:p>
    <w:p w14:paraId="3E53F6EF" w14:textId="77777777" w:rsidR="00CD29D0" w:rsidRPr="00243817" w:rsidRDefault="00CD29D0" w:rsidP="004F6460"/>
    <w:p w14:paraId="3DC88BAA" w14:textId="1555089E" w:rsidR="00B1067E" w:rsidRPr="00243817" w:rsidRDefault="00B1067E" w:rsidP="004F6460">
      <w:r w:rsidRPr="00243817">
        <w:t xml:space="preserve">The </w:t>
      </w:r>
      <w:r w:rsidR="001E78E9" w:rsidRPr="00243817">
        <w:t>o</w:t>
      </w:r>
      <w:r w:rsidRPr="00243817">
        <w:t xml:space="preserve">smolyte </w:t>
      </w:r>
      <w:r w:rsidR="00A41F72" w:rsidRPr="00243817">
        <w:t>s</w:t>
      </w:r>
      <w:r w:rsidRPr="00243817">
        <w:t>creen was designed using established compounds present in Protein Data Bank entries</w:t>
      </w:r>
      <w:r w:rsidR="005A6BA4" w:rsidRPr="00243817">
        <w:rPr>
          <w:vertAlign w:val="superscript"/>
        </w:rPr>
        <w:t>2</w:t>
      </w:r>
      <w:r w:rsidR="00115959" w:rsidRPr="00243817">
        <w:rPr>
          <w:vertAlign w:val="superscript"/>
        </w:rPr>
        <w:t>5</w:t>
      </w:r>
      <w:r w:rsidRPr="00243817">
        <w:t xml:space="preserve"> and the Dragon Explorer of </w:t>
      </w:r>
      <w:proofErr w:type="spellStart"/>
      <w:r w:rsidRPr="00243817">
        <w:t>Osmoprotection</w:t>
      </w:r>
      <w:proofErr w:type="spellEnd"/>
      <w:r w:rsidRPr="00243817">
        <w:t>-Associated Pathways (DEOP)</w:t>
      </w:r>
      <w:r w:rsidR="005A6BA4" w:rsidRPr="00243817">
        <w:rPr>
          <w:vertAlign w:val="superscript"/>
        </w:rPr>
        <w:t>2</w:t>
      </w:r>
      <w:r w:rsidR="00115959" w:rsidRPr="00243817">
        <w:rPr>
          <w:vertAlign w:val="superscript"/>
        </w:rPr>
        <w:t>6</w:t>
      </w:r>
      <w:r w:rsidRPr="00243817">
        <w:t xml:space="preserve"> database</w:t>
      </w:r>
      <w:r w:rsidR="00EA5887" w:rsidRPr="00243817">
        <w:t xml:space="preserve"> and iteratively </w:t>
      </w:r>
      <w:r w:rsidR="00A41F72" w:rsidRPr="00243817">
        <w:t>optimized</w:t>
      </w:r>
      <w:r w:rsidR="00A71ED8" w:rsidRPr="00243817">
        <w:t xml:space="preserve"> </w:t>
      </w:r>
      <w:r w:rsidR="00EA5887" w:rsidRPr="00243817">
        <w:t>using standard proteins</w:t>
      </w:r>
      <w:r w:rsidR="009870DA" w:rsidRPr="00243817">
        <w:t>.</w:t>
      </w:r>
      <w:r w:rsidRPr="00243817">
        <w:t xml:space="preserve"> The screen is built around eight subclasses of osmolyte: glycerol, sugars and polyols, non-detergent </w:t>
      </w:r>
      <w:proofErr w:type="spellStart"/>
      <w:r w:rsidRPr="00243817">
        <w:t>sulfobetaines</w:t>
      </w:r>
      <w:proofErr w:type="spellEnd"/>
      <w:r w:rsidRPr="00243817">
        <w:t xml:space="preserve"> (NDSBs), betaines and their analogues, organophosphates, dipeptides, amino acids and their derivatives and a final miscellaneous group. Each osmolyte is present in multiple concentrations based on its solubility and effective concentration ranges for comparison.</w:t>
      </w:r>
    </w:p>
    <w:p w14:paraId="237AD7DD" w14:textId="77777777" w:rsidR="00D15131" w:rsidRPr="00243817" w:rsidRDefault="00D15131" w:rsidP="004F6460">
      <w:pPr>
        <w:rPr>
          <w:rFonts w:asciiTheme="minorHAnsi" w:hAnsiTheme="minorHAnsi" w:cstheme="minorHAnsi"/>
          <w:b/>
        </w:rPr>
      </w:pPr>
    </w:p>
    <w:p w14:paraId="3D4CD2F3" w14:textId="657F8CA3" w:rsidR="006305D7" w:rsidRPr="00243817" w:rsidRDefault="006305D7" w:rsidP="004F6460">
      <w:pPr>
        <w:rPr>
          <w:rFonts w:asciiTheme="minorHAnsi" w:hAnsiTheme="minorHAnsi" w:cstheme="minorHAnsi"/>
          <w:b/>
        </w:rPr>
      </w:pPr>
      <w:r w:rsidRPr="00243817">
        <w:rPr>
          <w:rFonts w:asciiTheme="minorHAnsi" w:hAnsiTheme="minorHAnsi" w:cstheme="minorHAnsi"/>
          <w:b/>
        </w:rPr>
        <w:t>PROTOCOL:</w:t>
      </w:r>
    </w:p>
    <w:p w14:paraId="69432E4A" w14:textId="77777777" w:rsidR="001E4C29" w:rsidRPr="00243817" w:rsidRDefault="001E4C29" w:rsidP="004F6460">
      <w:pPr>
        <w:rPr>
          <w:rFonts w:asciiTheme="minorHAnsi" w:hAnsiTheme="minorHAnsi" w:cstheme="minorHAnsi"/>
          <w:color w:val="808080" w:themeColor="background1" w:themeShade="80"/>
        </w:rPr>
      </w:pPr>
    </w:p>
    <w:p w14:paraId="700396F0" w14:textId="77777777" w:rsidR="003E5CB6" w:rsidRPr="00243817" w:rsidRDefault="003E5CB6" w:rsidP="004F6460">
      <w:pPr>
        <w:pStyle w:val="af3"/>
        <w:widowControl/>
        <w:numPr>
          <w:ilvl w:val="0"/>
          <w:numId w:val="26"/>
        </w:numPr>
        <w:autoSpaceDE/>
        <w:autoSpaceDN/>
        <w:adjustRightInd/>
        <w:rPr>
          <w:b/>
        </w:rPr>
      </w:pPr>
      <w:r w:rsidRPr="00243817">
        <w:rPr>
          <w:b/>
        </w:rPr>
        <w:t>Preparation of Protein Sample</w:t>
      </w:r>
    </w:p>
    <w:p w14:paraId="54C26428" w14:textId="77777777" w:rsidR="003E5CB6" w:rsidRPr="00243817" w:rsidRDefault="003E5CB6" w:rsidP="004F6460">
      <w:pPr>
        <w:pStyle w:val="af3"/>
        <w:ind w:left="0"/>
        <w:rPr>
          <w:b/>
        </w:rPr>
      </w:pPr>
    </w:p>
    <w:p w14:paraId="40892CD2" w14:textId="61515715" w:rsidR="003E5CB6" w:rsidRPr="00243817" w:rsidRDefault="00A87EDF" w:rsidP="004F6460">
      <w:pPr>
        <w:pStyle w:val="af3"/>
        <w:widowControl/>
        <w:numPr>
          <w:ilvl w:val="1"/>
          <w:numId w:val="26"/>
        </w:numPr>
        <w:autoSpaceDE/>
        <w:autoSpaceDN/>
        <w:adjustRightInd/>
        <w:rPr>
          <w:highlight w:val="yellow"/>
        </w:rPr>
      </w:pPr>
      <w:r w:rsidRPr="00243817">
        <w:t>Formulate</w:t>
      </w:r>
      <w:r w:rsidR="00C34E65" w:rsidRPr="00243817">
        <w:t xml:space="preserve"> </w:t>
      </w:r>
      <w:r w:rsidR="00A825B6" w:rsidRPr="00243817">
        <w:t xml:space="preserve">the </w:t>
      </w:r>
      <w:r w:rsidR="00C34E65" w:rsidRPr="00243817">
        <w:t xml:space="preserve">stability screens </w:t>
      </w:r>
      <w:r w:rsidR="00A825B6" w:rsidRPr="00243817">
        <w:t xml:space="preserve">as 500 </w:t>
      </w:r>
      <w:r w:rsidR="00A825B6" w:rsidRPr="00243817">
        <w:rPr>
          <w:rFonts w:ascii="Times New Roman" w:hAnsi="Times New Roman" w:cs="Times New Roman"/>
        </w:rPr>
        <w:t>µ</w:t>
      </w:r>
      <w:r w:rsidR="00A825B6" w:rsidRPr="00243817">
        <w:t xml:space="preserve">L aliquots </w:t>
      </w:r>
      <w:r w:rsidR="00C34E65" w:rsidRPr="00243817">
        <w:t xml:space="preserve">in 96-well blocks and seal for storage. </w:t>
      </w:r>
      <w:r w:rsidR="003E5CB6" w:rsidRPr="00243817">
        <w:rPr>
          <w:highlight w:val="yellow"/>
        </w:rPr>
        <w:t xml:space="preserve">Transfer 10 </w:t>
      </w:r>
      <w:proofErr w:type="spellStart"/>
      <w:r w:rsidR="008841E3" w:rsidRPr="00243817">
        <w:rPr>
          <w:rFonts w:cstheme="minorHAnsi"/>
          <w:highlight w:val="yellow"/>
        </w:rPr>
        <w:t>μ</w:t>
      </w:r>
      <w:r w:rsidR="008841E3" w:rsidRPr="00243817">
        <w:rPr>
          <w:highlight w:val="yellow"/>
        </w:rPr>
        <w:t>L</w:t>
      </w:r>
      <w:proofErr w:type="spellEnd"/>
      <w:r w:rsidR="008841E3" w:rsidRPr="00243817">
        <w:rPr>
          <w:highlight w:val="yellow"/>
        </w:rPr>
        <w:t xml:space="preserve"> </w:t>
      </w:r>
      <w:r w:rsidR="003E5CB6" w:rsidRPr="00243817">
        <w:rPr>
          <w:highlight w:val="yellow"/>
        </w:rPr>
        <w:t xml:space="preserve">of each condition of </w:t>
      </w:r>
      <w:r w:rsidR="00B34C8C" w:rsidRPr="00243817">
        <w:rPr>
          <w:highlight w:val="yellow"/>
        </w:rPr>
        <w:t xml:space="preserve">a </w:t>
      </w:r>
      <w:r w:rsidR="001117F3" w:rsidRPr="00243817">
        <w:rPr>
          <w:highlight w:val="yellow"/>
        </w:rPr>
        <w:t xml:space="preserve">stability </w:t>
      </w:r>
      <w:r w:rsidR="00B34C8C" w:rsidRPr="00243817">
        <w:rPr>
          <w:highlight w:val="yellow"/>
        </w:rPr>
        <w:t>screen</w:t>
      </w:r>
      <w:r w:rsidR="003E5CB6" w:rsidRPr="00243817">
        <w:rPr>
          <w:highlight w:val="yellow"/>
        </w:rPr>
        <w:t xml:space="preserve"> into the corresponding well of a 96-well plate</w:t>
      </w:r>
      <w:r w:rsidR="00FF360B" w:rsidRPr="00243817">
        <w:rPr>
          <w:highlight w:val="yellow"/>
        </w:rPr>
        <w:t xml:space="preserve"> using a multi-channel pipette to save time</w:t>
      </w:r>
      <w:r w:rsidR="001A253E" w:rsidRPr="00243817">
        <w:rPr>
          <w:highlight w:val="yellow"/>
        </w:rPr>
        <w:t xml:space="preserve"> (</w:t>
      </w:r>
      <w:r w:rsidR="001A253E" w:rsidRPr="00243817">
        <w:rPr>
          <w:b/>
          <w:highlight w:val="yellow"/>
        </w:rPr>
        <w:t>Figure 4</w:t>
      </w:r>
      <w:r w:rsidR="00B4248E" w:rsidRPr="00243817">
        <w:rPr>
          <w:b/>
          <w:highlight w:val="yellow"/>
        </w:rPr>
        <w:t>A</w:t>
      </w:r>
      <w:r w:rsidR="001A253E" w:rsidRPr="00243817">
        <w:rPr>
          <w:highlight w:val="yellow"/>
        </w:rPr>
        <w:t>)</w:t>
      </w:r>
      <w:r w:rsidR="003E5CB6" w:rsidRPr="00243817">
        <w:rPr>
          <w:highlight w:val="yellow"/>
        </w:rPr>
        <w:t>.</w:t>
      </w:r>
      <w:r w:rsidR="00FF360B" w:rsidRPr="00243817">
        <w:rPr>
          <w:highlight w:val="yellow"/>
        </w:rPr>
        <w:t xml:space="preserve"> </w:t>
      </w:r>
    </w:p>
    <w:p w14:paraId="69894968" w14:textId="77777777" w:rsidR="003E5CB6" w:rsidRPr="00243817" w:rsidRDefault="003E5CB6" w:rsidP="004F6460">
      <w:pPr>
        <w:pStyle w:val="af3"/>
        <w:ind w:left="0"/>
      </w:pPr>
    </w:p>
    <w:p w14:paraId="4854E00B" w14:textId="445D097D" w:rsidR="00294190" w:rsidRPr="00243817" w:rsidRDefault="003E5CB6" w:rsidP="00C6152A">
      <w:pPr>
        <w:pStyle w:val="af3"/>
        <w:widowControl/>
        <w:numPr>
          <w:ilvl w:val="1"/>
          <w:numId w:val="26"/>
        </w:numPr>
        <w:autoSpaceDE/>
        <w:autoSpaceDN/>
        <w:adjustRightInd/>
      </w:pPr>
      <w:r w:rsidRPr="00243817">
        <w:rPr>
          <w:highlight w:val="yellow"/>
        </w:rPr>
        <w:t xml:space="preserve">Prepare 1 </w:t>
      </w:r>
      <w:r w:rsidR="000F4ED3" w:rsidRPr="00243817">
        <w:rPr>
          <w:highlight w:val="yellow"/>
        </w:rPr>
        <w:t>mL</w:t>
      </w:r>
      <w:r w:rsidRPr="00243817">
        <w:rPr>
          <w:highlight w:val="yellow"/>
        </w:rPr>
        <w:t xml:space="preserve"> of a</w:t>
      </w:r>
      <w:r w:rsidR="00EB0D54" w:rsidRPr="00243817">
        <w:rPr>
          <w:highlight w:val="yellow"/>
        </w:rPr>
        <w:t>n approximately</w:t>
      </w:r>
      <w:r w:rsidRPr="00243817">
        <w:rPr>
          <w:highlight w:val="yellow"/>
        </w:rPr>
        <w:t xml:space="preserve"> 1 mg </w:t>
      </w:r>
      <w:r w:rsidR="000F4ED3" w:rsidRPr="00243817">
        <w:rPr>
          <w:highlight w:val="yellow"/>
        </w:rPr>
        <w:t>mL</w:t>
      </w:r>
      <w:r w:rsidRPr="00243817">
        <w:rPr>
          <w:highlight w:val="yellow"/>
          <w:vertAlign w:val="superscript"/>
        </w:rPr>
        <w:t>-1</w:t>
      </w:r>
      <w:r w:rsidRPr="00243817">
        <w:rPr>
          <w:highlight w:val="yellow"/>
        </w:rPr>
        <w:t xml:space="preserve"> protein solution in an appropriate buffer system.</w:t>
      </w:r>
      <w:r w:rsidR="00977CD3" w:rsidRPr="00243817">
        <w:t xml:space="preserve"> While the composition of </w:t>
      </w:r>
      <w:r w:rsidR="00423566" w:rsidRPr="00243817">
        <w:t>an appropriate buffer</w:t>
      </w:r>
      <w:r w:rsidR="00977CD3" w:rsidRPr="00243817">
        <w:t xml:space="preserve"> var</w:t>
      </w:r>
      <w:r w:rsidR="00423566" w:rsidRPr="00243817">
        <w:t>ies</w:t>
      </w:r>
      <w:r w:rsidR="00977CD3" w:rsidRPr="00243817">
        <w:t xml:space="preserve"> with each protein sample, a good first buffer to try is 10 mM </w:t>
      </w:r>
      <w:r w:rsidR="000E5839" w:rsidRPr="00243817">
        <w:t>sodium phosphate with 100 mM NaCl, pH 7.2.</w:t>
      </w:r>
    </w:p>
    <w:p w14:paraId="6AFBBD43" w14:textId="2F26E68D" w:rsidR="00977CD3" w:rsidRPr="00243817" w:rsidRDefault="00977CD3" w:rsidP="00977CD3">
      <w:pPr>
        <w:pStyle w:val="af3"/>
        <w:widowControl/>
        <w:autoSpaceDE/>
        <w:autoSpaceDN/>
        <w:adjustRightInd/>
        <w:ind w:left="0"/>
      </w:pPr>
    </w:p>
    <w:p w14:paraId="52D201CF" w14:textId="661C91E0" w:rsidR="003E5CB6" w:rsidRPr="00243817" w:rsidRDefault="00294190" w:rsidP="004F6460">
      <w:pPr>
        <w:pStyle w:val="af3"/>
        <w:widowControl/>
        <w:autoSpaceDE/>
        <w:autoSpaceDN/>
        <w:adjustRightInd/>
        <w:ind w:left="0"/>
      </w:pPr>
      <w:r w:rsidRPr="00243817">
        <w:t xml:space="preserve">Note: </w:t>
      </w:r>
      <w:r w:rsidR="00EB0D54" w:rsidRPr="00243817">
        <w:t>Acceptable protein concentration</w:t>
      </w:r>
      <w:r w:rsidR="005268C6" w:rsidRPr="00243817">
        <w:t>s</w:t>
      </w:r>
      <w:r w:rsidR="00EB0D54" w:rsidRPr="00243817">
        <w:t xml:space="preserve"> vary case-by-case, but</w:t>
      </w:r>
      <w:r w:rsidR="005F421D" w:rsidRPr="00243817">
        <w:t xml:space="preserve"> </w:t>
      </w:r>
      <w:r w:rsidR="00EB0D54" w:rsidRPr="00243817">
        <w:t>concentration range</w:t>
      </w:r>
      <w:r w:rsidR="00A33015" w:rsidRPr="00243817">
        <w:t>s</w:t>
      </w:r>
      <w:r w:rsidR="00EB0D54" w:rsidRPr="00243817">
        <w:t xml:space="preserve"> of 0.5 – 5 mg </w:t>
      </w:r>
      <w:r w:rsidR="000F4ED3" w:rsidRPr="00243817">
        <w:t>mL</w:t>
      </w:r>
      <w:r w:rsidR="00EB0D54" w:rsidRPr="00243817">
        <w:rPr>
          <w:vertAlign w:val="superscript"/>
        </w:rPr>
        <w:t>-1</w:t>
      </w:r>
      <w:r w:rsidR="00A33015" w:rsidRPr="00243817">
        <w:t xml:space="preserve"> typically produce </w:t>
      </w:r>
      <w:r w:rsidR="00A22083" w:rsidRPr="00243817">
        <w:t>analyzable</w:t>
      </w:r>
      <w:r w:rsidR="00A33015" w:rsidRPr="00243817">
        <w:t xml:space="preserve"> curves</w:t>
      </w:r>
      <w:r w:rsidR="00EB0D54" w:rsidRPr="00243817">
        <w:t xml:space="preserve">. </w:t>
      </w:r>
      <w:r w:rsidR="003E5CB6" w:rsidRPr="00243817">
        <w:t xml:space="preserve">Dilute buffers are recommended for use with the </w:t>
      </w:r>
      <w:r w:rsidR="00F25F7F" w:rsidRPr="00243817">
        <w:t>stability screens</w:t>
      </w:r>
      <w:r w:rsidR="003E5CB6" w:rsidRPr="00243817">
        <w:t xml:space="preserve"> to avoid masking the effects of each condition.</w:t>
      </w:r>
      <w:r w:rsidR="009D70D5" w:rsidRPr="00243817">
        <w:t xml:space="preserve"> Typical </w:t>
      </w:r>
      <w:r w:rsidR="007759B6" w:rsidRPr="00243817">
        <w:t xml:space="preserve">buffer compositions are </w:t>
      </w:r>
      <w:r w:rsidR="001A502F" w:rsidRPr="00243817">
        <w:t>approximately</w:t>
      </w:r>
      <w:r w:rsidR="009D70D5" w:rsidRPr="00243817">
        <w:t xml:space="preserve"> 10 mM buffer with </w:t>
      </w:r>
      <w:r w:rsidR="001A502F" w:rsidRPr="00243817">
        <w:t xml:space="preserve">around </w:t>
      </w:r>
      <w:r w:rsidR="009D70D5" w:rsidRPr="00243817">
        <w:t xml:space="preserve">100 mM NaCl. </w:t>
      </w:r>
    </w:p>
    <w:p w14:paraId="76697D7F" w14:textId="77777777" w:rsidR="00FF4F7C" w:rsidRPr="00243817" w:rsidRDefault="00FF4F7C" w:rsidP="004F6460">
      <w:pPr>
        <w:pStyle w:val="af3"/>
      </w:pPr>
    </w:p>
    <w:p w14:paraId="1833B226" w14:textId="6C5A064C" w:rsidR="00FF4F7C" w:rsidRPr="00243817" w:rsidRDefault="00FF4F7C" w:rsidP="004F6460">
      <w:pPr>
        <w:pStyle w:val="af3"/>
        <w:widowControl/>
        <w:numPr>
          <w:ilvl w:val="1"/>
          <w:numId w:val="26"/>
        </w:numPr>
        <w:autoSpaceDE/>
        <w:autoSpaceDN/>
        <w:adjustRightInd/>
        <w:rPr>
          <w:highlight w:val="yellow"/>
        </w:rPr>
      </w:pPr>
      <w:r w:rsidRPr="00243817">
        <w:rPr>
          <w:highlight w:val="yellow"/>
        </w:rPr>
        <w:t>If perf</w:t>
      </w:r>
      <w:r w:rsidR="001A1166" w:rsidRPr="00243817">
        <w:rPr>
          <w:highlight w:val="yellow"/>
        </w:rPr>
        <w:t xml:space="preserve">orming a </w:t>
      </w:r>
      <w:r w:rsidR="0039257F" w:rsidRPr="00243817">
        <w:rPr>
          <w:highlight w:val="yellow"/>
        </w:rPr>
        <w:t>TSA</w:t>
      </w:r>
      <w:r w:rsidR="001A1166" w:rsidRPr="00243817">
        <w:rPr>
          <w:highlight w:val="yellow"/>
        </w:rPr>
        <w:t xml:space="preserve"> experiment</w:t>
      </w:r>
      <w:r w:rsidR="005F421D" w:rsidRPr="00243817">
        <w:rPr>
          <w:highlight w:val="yellow"/>
        </w:rPr>
        <w:t>,</w:t>
      </w:r>
      <w:r w:rsidRPr="00243817">
        <w:rPr>
          <w:highlight w:val="yellow"/>
        </w:rPr>
        <w:t xml:space="preserve"> add </w:t>
      </w:r>
      <w:r w:rsidR="009750F7" w:rsidRPr="00243817">
        <w:rPr>
          <w:highlight w:val="yellow"/>
        </w:rPr>
        <w:t>SYPRO Orange</w:t>
      </w:r>
      <w:r w:rsidR="00B96E2D" w:rsidRPr="00243817">
        <w:rPr>
          <w:highlight w:val="yellow"/>
        </w:rPr>
        <w:t xml:space="preserve"> dye</w:t>
      </w:r>
      <w:r w:rsidRPr="00243817">
        <w:rPr>
          <w:highlight w:val="yellow"/>
        </w:rPr>
        <w:t xml:space="preserve"> to the protein sample to a final concentration </w:t>
      </w:r>
      <w:r w:rsidR="0094687E" w:rsidRPr="00243817">
        <w:rPr>
          <w:highlight w:val="yellow"/>
        </w:rPr>
        <w:t>of 20</w:t>
      </w:r>
      <w:r w:rsidR="005F421D" w:rsidRPr="00243817">
        <w:rPr>
          <w:highlight w:val="yellow"/>
        </w:rPr>
        <w:t>x</w:t>
      </w:r>
      <w:r w:rsidR="00003AAA" w:rsidRPr="00243817">
        <w:rPr>
          <w:highlight w:val="yellow"/>
        </w:rPr>
        <w:t>.</w:t>
      </w:r>
      <w:r w:rsidR="009D70D5" w:rsidRPr="00243817">
        <w:rPr>
          <w:highlight w:val="yellow"/>
        </w:rPr>
        <w:t xml:space="preserve"> Mix either by inversion or brief </w:t>
      </w:r>
      <w:proofErr w:type="spellStart"/>
      <w:r w:rsidR="009D70D5" w:rsidRPr="00243817">
        <w:rPr>
          <w:highlight w:val="yellow"/>
        </w:rPr>
        <w:t>vortexing</w:t>
      </w:r>
      <w:proofErr w:type="spellEnd"/>
      <w:r w:rsidR="009D70D5" w:rsidRPr="00243817">
        <w:rPr>
          <w:highlight w:val="yellow"/>
        </w:rPr>
        <w:t>.</w:t>
      </w:r>
    </w:p>
    <w:p w14:paraId="5D9C32AC" w14:textId="77777777" w:rsidR="003E5CB6" w:rsidRPr="00243817" w:rsidRDefault="003E5CB6" w:rsidP="004F6460">
      <w:pPr>
        <w:pStyle w:val="af3"/>
        <w:ind w:left="0"/>
      </w:pPr>
    </w:p>
    <w:p w14:paraId="4C50CD78" w14:textId="763B1E27" w:rsidR="003E5CB6" w:rsidRPr="00243817" w:rsidRDefault="003E5CB6" w:rsidP="004F6460">
      <w:pPr>
        <w:pStyle w:val="af3"/>
        <w:widowControl/>
        <w:numPr>
          <w:ilvl w:val="1"/>
          <w:numId w:val="26"/>
        </w:numPr>
        <w:autoSpaceDE/>
        <w:autoSpaceDN/>
        <w:adjustRightInd/>
        <w:rPr>
          <w:highlight w:val="yellow"/>
        </w:rPr>
      </w:pPr>
      <w:r w:rsidRPr="00243817">
        <w:rPr>
          <w:highlight w:val="yellow"/>
        </w:rPr>
        <w:t xml:space="preserve">Transfer 10 </w:t>
      </w:r>
      <w:proofErr w:type="spellStart"/>
      <w:r w:rsidR="008841E3" w:rsidRPr="00243817">
        <w:rPr>
          <w:rFonts w:cstheme="minorHAnsi"/>
          <w:highlight w:val="yellow"/>
        </w:rPr>
        <w:t>μ</w:t>
      </w:r>
      <w:r w:rsidR="008841E3" w:rsidRPr="00243817">
        <w:rPr>
          <w:highlight w:val="yellow"/>
        </w:rPr>
        <w:t>L</w:t>
      </w:r>
      <w:proofErr w:type="spellEnd"/>
      <w:r w:rsidR="008841E3" w:rsidRPr="00243817">
        <w:rPr>
          <w:highlight w:val="yellow"/>
        </w:rPr>
        <w:t xml:space="preserve"> </w:t>
      </w:r>
      <w:r w:rsidRPr="00243817">
        <w:rPr>
          <w:highlight w:val="yellow"/>
        </w:rPr>
        <w:t xml:space="preserve">of </w:t>
      </w:r>
      <w:r w:rsidR="00A87EDF" w:rsidRPr="00243817">
        <w:rPr>
          <w:highlight w:val="yellow"/>
        </w:rPr>
        <w:t xml:space="preserve">the </w:t>
      </w:r>
      <w:r w:rsidRPr="00243817">
        <w:rPr>
          <w:highlight w:val="yellow"/>
        </w:rPr>
        <w:t xml:space="preserve">protein solution into each well of the 96-well plate prepared in </w:t>
      </w:r>
      <w:r w:rsidR="00AF77FD" w:rsidRPr="00243817">
        <w:rPr>
          <w:highlight w:val="yellow"/>
        </w:rPr>
        <w:t>S</w:t>
      </w:r>
      <w:r w:rsidRPr="00243817">
        <w:rPr>
          <w:highlight w:val="yellow"/>
        </w:rPr>
        <w:t>tep 1.1</w:t>
      </w:r>
      <w:r w:rsidR="00625A23" w:rsidRPr="00243817">
        <w:rPr>
          <w:highlight w:val="yellow"/>
        </w:rPr>
        <w:t xml:space="preserve"> (</w:t>
      </w:r>
      <w:r w:rsidR="00625A23" w:rsidRPr="00243817">
        <w:rPr>
          <w:b/>
          <w:highlight w:val="yellow"/>
        </w:rPr>
        <w:t>Figure 4</w:t>
      </w:r>
      <w:r w:rsidR="00B4248E" w:rsidRPr="00243817">
        <w:rPr>
          <w:b/>
          <w:highlight w:val="yellow"/>
        </w:rPr>
        <w:t>B</w:t>
      </w:r>
      <w:r w:rsidR="00625A23" w:rsidRPr="00243817">
        <w:rPr>
          <w:highlight w:val="yellow"/>
        </w:rPr>
        <w:t>)</w:t>
      </w:r>
      <w:r w:rsidRPr="00243817">
        <w:rPr>
          <w:highlight w:val="yellow"/>
        </w:rPr>
        <w:t>.</w:t>
      </w:r>
    </w:p>
    <w:p w14:paraId="52E75E64" w14:textId="77777777" w:rsidR="003E5CB6" w:rsidRPr="00243817" w:rsidRDefault="003E5CB6" w:rsidP="004F6460">
      <w:pPr>
        <w:pStyle w:val="af3"/>
        <w:ind w:left="0"/>
      </w:pPr>
    </w:p>
    <w:p w14:paraId="111D0E74" w14:textId="7F2EFD00" w:rsidR="003E5CB6" w:rsidRPr="00243817" w:rsidRDefault="00A93630" w:rsidP="004F6460">
      <w:pPr>
        <w:pStyle w:val="af3"/>
        <w:widowControl/>
        <w:numPr>
          <w:ilvl w:val="1"/>
          <w:numId w:val="26"/>
        </w:numPr>
        <w:autoSpaceDE/>
        <w:autoSpaceDN/>
        <w:adjustRightInd/>
        <w:rPr>
          <w:highlight w:val="yellow"/>
        </w:rPr>
      </w:pPr>
      <w:r w:rsidRPr="00243817">
        <w:rPr>
          <w:highlight w:val="yellow"/>
        </w:rPr>
        <w:t>Seal and c</w:t>
      </w:r>
      <w:r w:rsidR="003E5CB6" w:rsidRPr="00243817">
        <w:rPr>
          <w:highlight w:val="yellow"/>
        </w:rPr>
        <w:t>entrifuge the 96-well plate for 2 min at 600 x g</w:t>
      </w:r>
      <w:r w:rsidR="00C05DCD" w:rsidRPr="00243817">
        <w:rPr>
          <w:highlight w:val="yellow"/>
        </w:rPr>
        <w:t xml:space="preserve"> to ensure </w:t>
      </w:r>
      <w:r w:rsidR="006E22B1" w:rsidRPr="00243817">
        <w:rPr>
          <w:highlight w:val="yellow"/>
        </w:rPr>
        <w:t xml:space="preserve">the protein sample and </w:t>
      </w:r>
      <w:r w:rsidR="004178D3" w:rsidRPr="00243817">
        <w:rPr>
          <w:highlight w:val="yellow"/>
        </w:rPr>
        <w:t>s</w:t>
      </w:r>
      <w:r w:rsidR="006E22B1" w:rsidRPr="00243817">
        <w:rPr>
          <w:highlight w:val="yellow"/>
        </w:rPr>
        <w:t xml:space="preserve">creen </w:t>
      </w:r>
      <w:r w:rsidR="00F32395" w:rsidRPr="00243817">
        <w:rPr>
          <w:highlight w:val="yellow"/>
        </w:rPr>
        <w:t xml:space="preserve">component </w:t>
      </w:r>
      <w:r w:rsidR="00C05DCD" w:rsidRPr="00243817">
        <w:rPr>
          <w:highlight w:val="yellow"/>
        </w:rPr>
        <w:t>are mixed</w:t>
      </w:r>
      <w:r w:rsidR="005857AC" w:rsidRPr="00243817">
        <w:rPr>
          <w:highlight w:val="yellow"/>
        </w:rPr>
        <w:t xml:space="preserve"> (</w:t>
      </w:r>
      <w:r w:rsidR="005857AC" w:rsidRPr="00243817">
        <w:rPr>
          <w:b/>
          <w:highlight w:val="yellow"/>
        </w:rPr>
        <w:t>Figure 4</w:t>
      </w:r>
      <w:r w:rsidR="00B4248E" w:rsidRPr="00243817">
        <w:rPr>
          <w:b/>
          <w:highlight w:val="yellow"/>
        </w:rPr>
        <w:t>C</w:t>
      </w:r>
      <w:r w:rsidR="005857AC" w:rsidRPr="00243817">
        <w:rPr>
          <w:highlight w:val="yellow"/>
        </w:rPr>
        <w:t>)</w:t>
      </w:r>
      <w:r w:rsidR="003E5CB6" w:rsidRPr="00243817">
        <w:rPr>
          <w:highlight w:val="yellow"/>
        </w:rPr>
        <w:t>.</w:t>
      </w:r>
    </w:p>
    <w:p w14:paraId="0972DC7A" w14:textId="77777777" w:rsidR="008C0777" w:rsidRPr="00243817" w:rsidRDefault="008C0777" w:rsidP="004F6460">
      <w:pPr>
        <w:pStyle w:val="af3"/>
      </w:pPr>
    </w:p>
    <w:p w14:paraId="6A75F297" w14:textId="6F538CDB" w:rsidR="008C0777" w:rsidRPr="00243817" w:rsidRDefault="008C0777" w:rsidP="004F6460">
      <w:pPr>
        <w:pStyle w:val="af3"/>
        <w:widowControl/>
        <w:numPr>
          <w:ilvl w:val="1"/>
          <w:numId w:val="26"/>
        </w:numPr>
        <w:autoSpaceDE/>
        <w:autoSpaceDN/>
        <w:adjustRightInd/>
        <w:rPr>
          <w:highlight w:val="yellow"/>
        </w:rPr>
      </w:pPr>
      <w:r w:rsidRPr="00243817">
        <w:rPr>
          <w:highlight w:val="yellow"/>
        </w:rPr>
        <w:t xml:space="preserve">Re-seal the </w:t>
      </w:r>
      <w:r w:rsidR="00C92951" w:rsidRPr="00243817">
        <w:rPr>
          <w:highlight w:val="yellow"/>
        </w:rPr>
        <w:t>stability screen</w:t>
      </w:r>
      <w:r w:rsidRPr="00243817">
        <w:rPr>
          <w:highlight w:val="yellow"/>
        </w:rPr>
        <w:t xml:space="preserve"> deep well block and store the screen at 4 </w:t>
      </w:r>
      <w:r w:rsidR="00AF77FD" w:rsidRPr="00243817">
        <w:rPr>
          <w:highlight w:val="yellow"/>
        </w:rPr>
        <w:t>°</w:t>
      </w:r>
      <w:r w:rsidRPr="00243817">
        <w:rPr>
          <w:highlight w:val="yellow"/>
        </w:rPr>
        <w:t>C</w:t>
      </w:r>
      <w:r w:rsidR="00D40C2D" w:rsidRPr="00243817">
        <w:rPr>
          <w:highlight w:val="yellow"/>
        </w:rPr>
        <w:t xml:space="preserve"> for up to 4 months.</w:t>
      </w:r>
      <w:r w:rsidR="0015230C" w:rsidRPr="00243817">
        <w:rPr>
          <w:highlight w:val="yellow"/>
        </w:rPr>
        <w:t xml:space="preserve"> </w:t>
      </w:r>
      <w:r w:rsidR="00D66402" w:rsidRPr="00243817">
        <w:rPr>
          <w:highlight w:val="yellow"/>
        </w:rPr>
        <w:t>S</w:t>
      </w:r>
      <w:r w:rsidR="0015230C" w:rsidRPr="00243817">
        <w:rPr>
          <w:highlight w:val="yellow"/>
        </w:rPr>
        <w:t xml:space="preserve">tore the </w:t>
      </w:r>
      <w:r w:rsidR="00C92951" w:rsidRPr="00243817">
        <w:rPr>
          <w:highlight w:val="yellow"/>
        </w:rPr>
        <w:t>salt</w:t>
      </w:r>
      <w:r w:rsidR="0015230C" w:rsidRPr="00243817">
        <w:rPr>
          <w:highlight w:val="yellow"/>
        </w:rPr>
        <w:t xml:space="preserve"> screen in darkness, as some components are photosensitive.</w:t>
      </w:r>
    </w:p>
    <w:p w14:paraId="110C8491" w14:textId="77777777" w:rsidR="001A1166" w:rsidRPr="00243817" w:rsidRDefault="001A1166" w:rsidP="004F6460">
      <w:pPr>
        <w:pStyle w:val="af3"/>
      </w:pPr>
    </w:p>
    <w:p w14:paraId="5EE3758D" w14:textId="69318ED3" w:rsidR="001A1166" w:rsidRPr="00243817" w:rsidRDefault="001A1166" w:rsidP="004F6460">
      <w:pPr>
        <w:pStyle w:val="af3"/>
        <w:widowControl/>
        <w:numPr>
          <w:ilvl w:val="1"/>
          <w:numId w:val="26"/>
        </w:numPr>
        <w:autoSpaceDE/>
        <w:autoSpaceDN/>
        <w:adjustRightInd/>
        <w:rPr>
          <w:highlight w:val="yellow"/>
        </w:rPr>
      </w:pPr>
      <w:r w:rsidRPr="00243817">
        <w:rPr>
          <w:highlight w:val="yellow"/>
        </w:rPr>
        <w:t xml:space="preserve">If performing a </w:t>
      </w:r>
      <w:proofErr w:type="spellStart"/>
      <w:r w:rsidRPr="00243817">
        <w:rPr>
          <w:highlight w:val="yellow"/>
        </w:rPr>
        <w:t>nanoDSF</w:t>
      </w:r>
      <w:proofErr w:type="spellEnd"/>
      <w:r w:rsidRPr="00243817">
        <w:rPr>
          <w:highlight w:val="yellow"/>
        </w:rPr>
        <w:t xml:space="preserve"> experiment</w:t>
      </w:r>
      <w:r w:rsidR="00736671" w:rsidRPr="00243817">
        <w:rPr>
          <w:highlight w:val="yellow"/>
        </w:rPr>
        <w:t>,</w:t>
      </w:r>
      <w:r w:rsidRPr="00243817">
        <w:rPr>
          <w:highlight w:val="yellow"/>
        </w:rPr>
        <w:t xml:space="preserve"> continue to s</w:t>
      </w:r>
      <w:r w:rsidR="00736671" w:rsidRPr="00243817">
        <w:rPr>
          <w:highlight w:val="yellow"/>
        </w:rPr>
        <w:t>tep</w:t>
      </w:r>
      <w:r w:rsidRPr="00243817">
        <w:rPr>
          <w:highlight w:val="yellow"/>
        </w:rPr>
        <w:t xml:space="preserve"> 2. If performing a </w:t>
      </w:r>
      <w:r w:rsidR="0039257F" w:rsidRPr="00243817">
        <w:rPr>
          <w:highlight w:val="yellow"/>
        </w:rPr>
        <w:t>TSA</w:t>
      </w:r>
      <w:r w:rsidRPr="00243817">
        <w:rPr>
          <w:highlight w:val="yellow"/>
        </w:rPr>
        <w:t xml:space="preserve"> experiment</w:t>
      </w:r>
      <w:r w:rsidR="00736671" w:rsidRPr="00243817">
        <w:rPr>
          <w:highlight w:val="yellow"/>
        </w:rPr>
        <w:t>,</w:t>
      </w:r>
      <w:r w:rsidRPr="00243817">
        <w:rPr>
          <w:highlight w:val="yellow"/>
        </w:rPr>
        <w:t xml:space="preserve"> skip to s</w:t>
      </w:r>
      <w:r w:rsidR="00736671" w:rsidRPr="00243817">
        <w:rPr>
          <w:highlight w:val="yellow"/>
        </w:rPr>
        <w:t>tep</w:t>
      </w:r>
      <w:r w:rsidRPr="00243817">
        <w:rPr>
          <w:highlight w:val="yellow"/>
        </w:rPr>
        <w:t xml:space="preserve"> 4.</w:t>
      </w:r>
    </w:p>
    <w:p w14:paraId="0AF2D7AF" w14:textId="77777777" w:rsidR="00581961" w:rsidRPr="00243817" w:rsidRDefault="00581961" w:rsidP="004F6460">
      <w:pPr>
        <w:pStyle w:val="af3"/>
      </w:pPr>
    </w:p>
    <w:p w14:paraId="41F436F5" w14:textId="5E70CC54" w:rsidR="003E5CB6" w:rsidRPr="00243817" w:rsidRDefault="003E5CB6" w:rsidP="004F6460">
      <w:pPr>
        <w:pStyle w:val="af3"/>
        <w:widowControl/>
        <w:numPr>
          <w:ilvl w:val="0"/>
          <w:numId w:val="26"/>
        </w:numPr>
        <w:autoSpaceDE/>
        <w:autoSpaceDN/>
        <w:adjustRightInd/>
      </w:pPr>
      <w:r w:rsidRPr="00243817">
        <w:rPr>
          <w:b/>
          <w:highlight w:val="yellow"/>
        </w:rPr>
        <w:t xml:space="preserve">Preparing </w:t>
      </w:r>
      <w:r w:rsidR="0051036F" w:rsidRPr="00243817">
        <w:rPr>
          <w:b/>
          <w:highlight w:val="yellow"/>
        </w:rPr>
        <w:t xml:space="preserve">a </w:t>
      </w:r>
      <w:proofErr w:type="spellStart"/>
      <w:r w:rsidR="0051036F" w:rsidRPr="00243817">
        <w:rPr>
          <w:b/>
          <w:highlight w:val="yellow"/>
        </w:rPr>
        <w:t>nanoDSF</w:t>
      </w:r>
      <w:proofErr w:type="spellEnd"/>
      <w:r w:rsidR="0051036F" w:rsidRPr="00243817">
        <w:rPr>
          <w:b/>
          <w:highlight w:val="yellow"/>
        </w:rPr>
        <w:t xml:space="preserve"> Experiment</w:t>
      </w:r>
    </w:p>
    <w:p w14:paraId="50ED31EA" w14:textId="77777777" w:rsidR="003E5CB6" w:rsidRPr="00243817" w:rsidRDefault="003E5CB6" w:rsidP="004F6460">
      <w:pPr>
        <w:pStyle w:val="af3"/>
        <w:ind w:left="0"/>
      </w:pPr>
    </w:p>
    <w:p w14:paraId="36A0C0D7" w14:textId="68F659DC" w:rsidR="003E5CB6" w:rsidRPr="00243817" w:rsidRDefault="003E5CB6" w:rsidP="004F6460">
      <w:pPr>
        <w:pStyle w:val="af3"/>
        <w:widowControl/>
        <w:numPr>
          <w:ilvl w:val="1"/>
          <w:numId w:val="26"/>
        </w:numPr>
        <w:autoSpaceDE/>
        <w:autoSpaceDN/>
        <w:adjustRightInd/>
        <w:rPr>
          <w:highlight w:val="yellow"/>
        </w:rPr>
      </w:pPr>
      <w:r w:rsidRPr="00243817">
        <w:rPr>
          <w:highlight w:val="yellow"/>
        </w:rPr>
        <w:t xml:space="preserve">Ensure </w:t>
      </w:r>
      <w:r w:rsidR="00736671" w:rsidRPr="00243817">
        <w:rPr>
          <w:highlight w:val="yellow"/>
        </w:rPr>
        <w:t xml:space="preserve">that the </w:t>
      </w:r>
      <w:r w:rsidRPr="00243817">
        <w:rPr>
          <w:highlight w:val="yellow"/>
        </w:rPr>
        <w:t xml:space="preserve">equipment is clean, paying </w:t>
      </w:r>
      <w:proofErr w:type="gramStart"/>
      <w:r w:rsidRPr="00243817">
        <w:rPr>
          <w:highlight w:val="yellow"/>
        </w:rPr>
        <w:t>particular attention</w:t>
      </w:r>
      <w:proofErr w:type="gramEnd"/>
      <w:r w:rsidRPr="00243817">
        <w:rPr>
          <w:highlight w:val="yellow"/>
        </w:rPr>
        <w:t xml:space="preserve"> to any dust near the sample rack. </w:t>
      </w:r>
      <w:r w:rsidR="000F1C59" w:rsidRPr="00243817">
        <w:rPr>
          <w:highlight w:val="yellow"/>
        </w:rPr>
        <w:t xml:space="preserve">If </w:t>
      </w:r>
      <w:r w:rsidR="00FC7F89" w:rsidRPr="00243817">
        <w:rPr>
          <w:highlight w:val="yellow"/>
        </w:rPr>
        <w:t xml:space="preserve">the </w:t>
      </w:r>
      <w:r w:rsidR="000F1C59" w:rsidRPr="00243817">
        <w:rPr>
          <w:highlight w:val="yellow"/>
        </w:rPr>
        <w:t xml:space="preserve">system has a </w:t>
      </w:r>
      <w:r w:rsidRPr="00243817">
        <w:rPr>
          <w:highlight w:val="yellow"/>
        </w:rPr>
        <w:t>backscattering mirror</w:t>
      </w:r>
      <w:r w:rsidR="000F1C59" w:rsidRPr="00243817">
        <w:rPr>
          <w:highlight w:val="yellow"/>
        </w:rPr>
        <w:t>, clean it</w:t>
      </w:r>
      <w:r w:rsidRPr="00243817">
        <w:rPr>
          <w:highlight w:val="yellow"/>
        </w:rPr>
        <w:t xml:space="preserve"> using ethanol and a lint-free tissue.</w:t>
      </w:r>
    </w:p>
    <w:p w14:paraId="5B91366D" w14:textId="77777777" w:rsidR="0036752F" w:rsidRPr="00243817" w:rsidRDefault="0036752F" w:rsidP="004F6460">
      <w:pPr>
        <w:pStyle w:val="af3"/>
        <w:widowControl/>
        <w:autoSpaceDE/>
        <w:autoSpaceDN/>
        <w:adjustRightInd/>
        <w:ind w:left="0"/>
      </w:pPr>
    </w:p>
    <w:p w14:paraId="26392A10" w14:textId="0D231084" w:rsidR="0036752F" w:rsidRPr="00243817" w:rsidRDefault="0036752F" w:rsidP="004F6460">
      <w:pPr>
        <w:pStyle w:val="af3"/>
        <w:widowControl/>
        <w:numPr>
          <w:ilvl w:val="1"/>
          <w:numId w:val="26"/>
        </w:numPr>
        <w:autoSpaceDE/>
        <w:autoSpaceDN/>
        <w:adjustRightInd/>
        <w:rPr>
          <w:highlight w:val="yellow"/>
        </w:rPr>
      </w:pPr>
      <w:r w:rsidRPr="00243817">
        <w:rPr>
          <w:highlight w:val="yellow"/>
        </w:rPr>
        <w:t xml:space="preserve">Open the sample drawer by pressing the </w:t>
      </w:r>
      <w:r w:rsidRPr="00243817">
        <w:rPr>
          <w:b/>
          <w:highlight w:val="yellow"/>
        </w:rPr>
        <w:t>Open Drawer</w:t>
      </w:r>
      <w:r w:rsidRPr="00243817">
        <w:rPr>
          <w:highlight w:val="yellow"/>
        </w:rPr>
        <w:t xml:space="preserve"> button</w:t>
      </w:r>
      <w:r w:rsidR="00DA5491" w:rsidRPr="00243817">
        <w:rPr>
          <w:highlight w:val="yellow"/>
        </w:rPr>
        <w:t>.</w:t>
      </w:r>
      <w:r w:rsidR="00DA2CA4" w:rsidRPr="00243817">
        <w:rPr>
          <w:highlight w:val="yellow"/>
        </w:rPr>
        <w:t xml:space="preserve"> (</w:t>
      </w:r>
      <w:r w:rsidR="00DA2CA4" w:rsidRPr="00243817">
        <w:rPr>
          <w:b/>
          <w:highlight w:val="yellow"/>
        </w:rPr>
        <w:t>Figure 5</w:t>
      </w:r>
      <w:r w:rsidR="00780AC9" w:rsidRPr="00243817">
        <w:rPr>
          <w:b/>
          <w:highlight w:val="yellow"/>
        </w:rPr>
        <w:t>A</w:t>
      </w:r>
      <w:r w:rsidR="00DA2CA4" w:rsidRPr="00243817">
        <w:rPr>
          <w:highlight w:val="yellow"/>
        </w:rPr>
        <w:t>)</w:t>
      </w:r>
      <w:r w:rsidR="00736671" w:rsidRPr="00243817">
        <w:rPr>
          <w:highlight w:val="yellow"/>
        </w:rPr>
        <w:t>.</w:t>
      </w:r>
    </w:p>
    <w:p w14:paraId="5012C1FC" w14:textId="77777777" w:rsidR="003E5CB6" w:rsidRPr="00243817" w:rsidRDefault="003E5CB6" w:rsidP="004F6460">
      <w:pPr>
        <w:pStyle w:val="af3"/>
        <w:ind w:left="0"/>
      </w:pPr>
    </w:p>
    <w:p w14:paraId="7AA8BE21" w14:textId="79554973" w:rsidR="003E5CB6" w:rsidRPr="00243817" w:rsidRDefault="00736671" w:rsidP="004F6460">
      <w:pPr>
        <w:pStyle w:val="af3"/>
        <w:widowControl/>
        <w:numPr>
          <w:ilvl w:val="1"/>
          <w:numId w:val="26"/>
        </w:numPr>
        <w:autoSpaceDE/>
        <w:autoSpaceDN/>
        <w:adjustRightInd/>
        <w:rPr>
          <w:highlight w:val="yellow"/>
        </w:rPr>
      </w:pPr>
      <w:r w:rsidRPr="00243817">
        <w:rPr>
          <w:highlight w:val="yellow"/>
        </w:rPr>
        <w:t>L</w:t>
      </w:r>
      <w:r w:rsidR="003E5CB6" w:rsidRPr="00243817">
        <w:rPr>
          <w:highlight w:val="yellow"/>
        </w:rPr>
        <w:t xml:space="preserve">oad </w:t>
      </w:r>
      <w:r w:rsidRPr="00243817">
        <w:rPr>
          <w:highlight w:val="yellow"/>
        </w:rPr>
        <w:t xml:space="preserve">the </w:t>
      </w:r>
      <w:r w:rsidR="003E5CB6" w:rsidRPr="00243817">
        <w:rPr>
          <w:highlight w:val="yellow"/>
        </w:rPr>
        <w:t xml:space="preserve">capillaries with approximately 10 </w:t>
      </w:r>
      <w:proofErr w:type="spellStart"/>
      <w:r w:rsidR="008841E3" w:rsidRPr="00243817">
        <w:rPr>
          <w:rFonts w:cstheme="minorHAnsi"/>
          <w:highlight w:val="yellow"/>
        </w:rPr>
        <w:t>μ</w:t>
      </w:r>
      <w:r w:rsidR="008841E3" w:rsidRPr="00243817">
        <w:rPr>
          <w:highlight w:val="yellow"/>
        </w:rPr>
        <w:t>L</w:t>
      </w:r>
      <w:proofErr w:type="spellEnd"/>
      <w:r w:rsidR="008841E3" w:rsidRPr="00243817">
        <w:rPr>
          <w:highlight w:val="yellow"/>
        </w:rPr>
        <w:t xml:space="preserve"> </w:t>
      </w:r>
      <w:r w:rsidR="003E5CB6" w:rsidRPr="00243817">
        <w:rPr>
          <w:highlight w:val="yellow"/>
        </w:rPr>
        <w:t xml:space="preserve">from each well of the 96-well plate </w:t>
      </w:r>
      <w:r w:rsidR="00775CE5" w:rsidRPr="00243817">
        <w:rPr>
          <w:highlight w:val="yellow"/>
        </w:rPr>
        <w:t xml:space="preserve">by touching one end of the capillary into the solution, then </w:t>
      </w:r>
      <w:r w:rsidR="003E5CB6" w:rsidRPr="00243817">
        <w:rPr>
          <w:highlight w:val="yellow"/>
        </w:rPr>
        <w:t>place them into the corresponding capillary holders of the sample rack</w:t>
      </w:r>
      <w:r w:rsidR="00167452" w:rsidRPr="00243817">
        <w:rPr>
          <w:highlight w:val="yellow"/>
        </w:rPr>
        <w:t xml:space="preserve"> (</w:t>
      </w:r>
      <w:r w:rsidR="005A1023" w:rsidRPr="00243817">
        <w:rPr>
          <w:b/>
          <w:highlight w:val="yellow"/>
        </w:rPr>
        <w:t>Figure</w:t>
      </w:r>
      <w:r w:rsidR="00167452" w:rsidRPr="00243817">
        <w:rPr>
          <w:b/>
          <w:highlight w:val="yellow"/>
        </w:rPr>
        <w:t xml:space="preserve"> 5</w:t>
      </w:r>
      <w:r w:rsidR="00780AC9" w:rsidRPr="00243817">
        <w:rPr>
          <w:b/>
          <w:highlight w:val="yellow"/>
        </w:rPr>
        <w:t>B</w:t>
      </w:r>
      <w:r w:rsidR="00167452" w:rsidRPr="00243817">
        <w:rPr>
          <w:highlight w:val="yellow"/>
        </w:rPr>
        <w:t>)</w:t>
      </w:r>
      <w:r w:rsidR="003E5CB6" w:rsidRPr="00243817">
        <w:rPr>
          <w:highlight w:val="yellow"/>
        </w:rPr>
        <w:t>.</w:t>
      </w:r>
      <w:r w:rsidR="001073EF" w:rsidRPr="00243817">
        <w:rPr>
          <w:highlight w:val="yellow"/>
        </w:rPr>
        <w:t xml:space="preserve"> Be careful not to contaminate the middle of the capillaries with fingerprints</w:t>
      </w:r>
      <w:r w:rsidRPr="00243817">
        <w:rPr>
          <w:highlight w:val="yellow"/>
        </w:rPr>
        <w:t>,</w:t>
      </w:r>
      <w:r w:rsidR="001073EF" w:rsidRPr="00243817">
        <w:rPr>
          <w:highlight w:val="yellow"/>
        </w:rPr>
        <w:t xml:space="preserve"> </w:t>
      </w:r>
      <w:r w:rsidR="001073EF" w:rsidRPr="00243817">
        <w:rPr>
          <w:i/>
          <w:highlight w:val="yellow"/>
        </w:rPr>
        <w:t>etc</w:t>
      </w:r>
      <w:r w:rsidR="001073EF" w:rsidRPr="00243817">
        <w:rPr>
          <w:highlight w:val="yellow"/>
        </w:rPr>
        <w:t>.</w:t>
      </w:r>
      <w:r w:rsidRPr="00243817">
        <w:rPr>
          <w:highlight w:val="yellow"/>
        </w:rPr>
        <w:t>,</w:t>
      </w:r>
      <w:r w:rsidR="001073EF" w:rsidRPr="00243817">
        <w:rPr>
          <w:highlight w:val="yellow"/>
        </w:rPr>
        <w:t xml:space="preserve"> as this could interfere with fluorescence readings throughout the experiment.</w:t>
      </w:r>
    </w:p>
    <w:p w14:paraId="5682A745" w14:textId="77777777" w:rsidR="00FE3088" w:rsidRPr="00243817" w:rsidRDefault="00FE3088" w:rsidP="004F6460">
      <w:pPr>
        <w:pStyle w:val="af3"/>
        <w:rPr>
          <w:highlight w:val="yellow"/>
        </w:rPr>
      </w:pPr>
    </w:p>
    <w:p w14:paraId="1B04782A" w14:textId="15C88C74" w:rsidR="00FE3088" w:rsidRPr="00243817" w:rsidRDefault="00736671" w:rsidP="004F6460">
      <w:pPr>
        <w:pStyle w:val="af3"/>
        <w:widowControl/>
        <w:numPr>
          <w:ilvl w:val="1"/>
          <w:numId w:val="26"/>
        </w:numPr>
        <w:autoSpaceDE/>
        <w:autoSpaceDN/>
        <w:adjustRightInd/>
        <w:rPr>
          <w:highlight w:val="yellow"/>
        </w:rPr>
      </w:pPr>
      <w:r w:rsidRPr="00243817">
        <w:rPr>
          <w:highlight w:val="yellow"/>
        </w:rPr>
        <w:t>I</w:t>
      </w:r>
      <w:r w:rsidR="00FE3088" w:rsidRPr="00243817">
        <w:rPr>
          <w:highlight w:val="yellow"/>
        </w:rPr>
        <w:t>mmobili</w:t>
      </w:r>
      <w:r w:rsidR="005F421D" w:rsidRPr="00243817">
        <w:rPr>
          <w:highlight w:val="yellow"/>
        </w:rPr>
        <w:t>z</w:t>
      </w:r>
      <w:r w:rsidR="00FE3088" w:rsidRPr="00243817">
        <w:rPr>
          <w:highlight w:val="yellow"/>
        </w:rPr>
        <w:t>e the capillaries with the magnetic sealing strip</w:t>
      </w:r>
      <w:r w:rsidR="00780AC9" w:rsidRPr="00243817">
        <w:rPr>
          <w:highlight w:val="yellow"/>
        </w:rPr>
        <w:t xml:space="preserve"> (</w:t>
      </w:r>
      <w:r w:rsidR="00780AC9" w:rsidRPr="00243817">
        <w:rPr>
          <w:b/>
          <w:highlight w:val="yellow"/>
        </w:rPr>
        <w:t>Figure 5C</w:t>
      </w:r>
      <w:r w:rsidR="00A072E9" w:rsidRPr="00243817">
        <w:rPr>
          <w:b/>
          <w:highlight w:val="yellow"/>
        </w:rPr>
        <w:t>)</w:t>
      </w:r>
      <w:r w:rsidR="00FE3088" w:rsidRPr="00243817">
        <w:rPr>
          <w:b/>
          <w:highlight w:val="yellow"/>
        </w:rPr>
        <w:t>.</w:t>
      </w:r>
    </w:p>
    <w:p w14:paraId="49D92AF3" w14:textId="77777777" w:rsidR="00BD26DB" w:rsidRPr="00243817" w:rsidRDefault="00BD26DB" w:rsidP="004F6460">
      <w:pPr>
        <w:pStyle w:val="af3"/>
      </w:pPr>
    </w:p>
    <w:p w14:paraId="3E87AA23" w14:textId="285B9CFE" w:rsidR="003E5CB6" w:rsidRPr="00243817" w:rsidRDefault="003E5CB6" w:rsidP="004F6460">
      <w:pPr>
        <w:pStyle w:val="af3"/>
        <w:widowControl/>
        <w:numPr>
          <w:ilvl w:val="0"/>
          <w:numId w:val="26"/>
        </w:numPr>
        <w:autoSpaceDE/>
        <w:autoSpaceDN/>
        <w:adjustRightInd/>
        <w:rPr>
          <w:highlight w:val="yellow"/>
        </w:rPr>
      </w:pPr>
      <w:r w:rsidRPr="00243817">
        <w:rPr>
          <w:b/>
          <w:highlight w:val="yellow"/>
        </w:rPr>
        <w:t xml:space="preserve">Programming </w:t>
      </w:r>
      <w:r w:rsidR="0051036F" w:rsidRPr="00243817">
        <w:rPr>
          <w:b/>
          <w:highlight w:val="yellow"/>
        </w:rPr>
        <w:t xml:space="preserve">a </w:t>
      </w:r>
      <w:proofErr w:type="spellStart"/>
      <w:r w:rsidR="0051036F" w:rsidRPr="00243817">
        <w:rPr>
          <w:b/>
          <w:highlight w:val="yellow"/>
        </w:rPr>
        <w:t>nano</w:t>
      </w:r>
      <w:r w:rsidRPr="00243817">
        <w:rPr>
          <w:b/>
          <w:highlight w:val="yellow"/>
        </w:rPr>
        <w:t>DSF</w:t>
      </w:r>
      <w:proofErr w:type="spellEnd"/>
      <w:r w:rsidRPr="00243817">
        <w:rPr>
          <w:b/>
          <w:highlight w:val="yellow"/>
        </w:rPr>
        <w:t xml:space="preserve"> Experiment</w:t>
      </w:r>
    </w:p>
    <w:p w14:paraId="7596E1AB" w14:textId="675453CE" w:rsidR="003E5CB6" w:rsidRPr="00243817" w:rsidRDefault="003E5CB6" w:rsidP="004F6460">
      <w:pPr>
        <w:pStyle w:val="af3"/>
        <w:ind w:left="0"/>
      </w:pPr>
    </w:p>
    <w:p w14:paraId="385C5EF9" w14:textId="18E337EB" w:rsidR="003E5CB6" w:rsidRPr="00243817" w:rsidRDefault="003E5CB6" w:rsidP="004F6460">
      <w:pPr>
        <w:pStyle w:val="af3"/>
        <w:widowControl/>
        <w:numPr>
          <w:ilvl w:val="1"/>
          <w:numId w:val="26"/>
        </w:numPr>
        <w:autoSpaceDE/>
        <w:autoSpaceDN/>
        <w:adjustRightInd/>
        <w:rPr>
          <w:highlight w:val="yellow"/>
        </w:rPr>
      </w:pPr>
      <w:r w:rsidRPr="00243817">
        <w:rPr>
          <w:highlight w:val="yellow"/>
        </w:rPr>
        <w:t>Launch a preliminary scan to detect the position and intensity of each capillary</w:t>
      </w:r>
      <w:r w:rsidR="003D6A14" w:rsidRPr="00243817">
        <w:rPr>
          <w:highlight w:val="yellow"/>
        </w:rPr>
        <w:t xml:space="preserve"> by pressing the </w:t>
      </w:r>
      <w:r w:rsidR="003D6A14" w:rsidRPr="00243817">
        <w:rPr>
          <w:b/>
          <w:highlight w:val="yellow"/>
        </w:rPr>
        <w:t>Start Discovery Scan</w:t>
      </w:r>
      <w:r w:rsidR="003D6A14" w:rsidRPr="00243817">
        <w:rPr>
          <w:highlight w:val="yellow"/>
        </w:rPr>
        <w:t xml:space="preserve"> button</w:t>
      </w:r>
      <w:r w:rsidR="006B5CAD" w:rsidRPr="00243817">
        <w:rPr>
          <w:highlight w:val="yellow"/>
        </w:rPr>
        <w:t xml:space="preserve"> in the </w:t>
      </w:r>
      <w:r w:rsidR="006B5CAD" w:rsidRPr="00243817">
        <w:rPr>
          <w:b/>
          <w:highlight w:val="yellow"/>
        </w:rPr>
        <w:t>Discovery Scan</w:t>
      </w:r>
      <w:r w:rsidR="006B5CAD" w:rsidRPr="00243817">
        <w:rPr>
          <w:highlight w:val="yellow"/>
        </w:rPr>
        <w:t xml:space="preserve"> tab</w:t>
      </w:r>
      <w:r w:rsidRPr="00243817">
        <w:rPr>
          <w:highlight w:val="yellow"/>
        </w:rPr>
        <w:t xml:space="preserve">. Increase or decrease the incident excitation strength </w:t>
      </w:r>
      <w:r w:rsidR="00B77E20" w:rsidRPr="00243817">
        <w:rPr>
          <w:highlight w:val="yellow"/>
        </w:rPr>
        <w:t xml:space="preserve">from an initial power of 10% </w:t>
      </w:r>
      <w:r w:rsidRPr="00243817">
        <w:rPr>
          <w:highlight w:val="yellow"/>
        </w:rPr>
        <w:t>until the peak of every capillary scan is between 4000-12000 units</w:t>
      </w:r>
      <w:r w:rsidR="00B80693" w:rsidRPr="00243817">
        <w:rPr>
          <w:highlight w:val="yellow"/>
        </w:rPr>
        <w:t xml:space="preserve"> (</w:t>
      </w:r>
      <w:r w:rsidR="00B80693" w:rsidRPr="00243817">
        <w:rPr>
          <w:b/>
          <w:highlight w:val="yellow"/>
        </w:rPr>
        <w:t>Figure 5D</w:t>
      </w:r>
      <w:r w:rsidR="00B80693" w:rsidRPr="00243817">
        <w:rPr>
          <w:highlight w:val="yellow"/>
        </w:rPr>
        <w:t>)</w:t>
      </w:r>
      <w:r w:rsidRPr="00243817">
        <w:rPr>
          <w:highlight w:val="yellow"/>
        </w:rPr>
        <w:t>.</w:t>
      </w:r>
    </w:p>
    <w:p w14:paraId="47C69826" w14:textId="77777777" w:rsidR="00B2435C" w:rsidRPr="00243817" w:rsidRDefault="00B2435C" w:rsidP="004F6460">
      <w:pPr>
        <w:pStyle w:val="af3"/>
        <w:widowControl/>
        <w:autoSpaceDE/>
        <w:autoSpaceDN/>
        <w:adjustRightInd/>
        <w:ind w:left="0"/>
      </w:pPr>
    </w:p>
    <w:p w14:paraId="0FCBF8B5" w14:textId="0856BD2E" w:rsidR="00B2435C" w:rsidRPr="00243817" w:rsidRDefault="00B2435C" w:rsidP="001560B5">
      <w:pPr>
        <w:pStyle w:val="af3"/>
        <w:widowControl/>
        <w:numPr>
          <w:ilvl w:val="1"/>
          <w:numId w:val="26"/>
        </w:numPr>
        <w:autoSpaceDE/>
        <w:autoSpaceDN/>
        <w:adjustRightInd/>
      </w:pPr>
      <w:r w:rsidRPr="00243817">
        <w:t xml:space="preserve">To ensure the sample is folded and sufficiently concentrated, an initial melt scan with a steep temperature gradient is recommended. </w:t>
      </w:r>
      <w:r w:rsidR="00332E83" w:rsidRPr="00243817">
        <w:rPr>
          <w:highlight w:val="yellow"/>
        </w:rPr>
        <w:t xml:space="preserve">In the </w:t>
      </w:r>
      <w:r w:rsidR="00332E83" w:rsidRPr="00243817">
        <w:rPr>
          <w:b/>
          <w:highlight w:val="yellow"/>
        </w:rPr>
        <w:t>Melting Scan</w:t>
      </w:r>
      <w:r w:rsidR="00332E83" w:rsidRPr="00243817">
        <w:rPr>
          <w:highlight w:val="yellow"/>
        </w:rPr>
        <w:t xml:space="preserve"> tab, program a melt scan by setting the </w:t>
      </w:r>
      <w:r w:rsidR="00332E83" w:rsidRPr="00243817">
        <w:rPr>
          <w:b/>
          <w:highlight w:val="yellow"/>
        </w:rPr>
        <w:t>Temperature Slope</w:t>
      </w:r>
      <w:r w:rsidR="00332E83" w:rsidRPr="00243817">
        <w:rPr>
          <w:highlight w:val="yellow"/>
        </w:rPr>
        <w:t xml:space="preserve"> option to 7.0 °C min</w:t>
      </w:r>
      <w:r w:rsidR="00332E83" w:rsidRPr="00243817">
        <w:rPr>
          <w:highlight w:val="yellow"/>
          <w:vertAlign w:val="superscript"/>
        </w:rPr>
        <w:t>-1</w:t>
      </w:r>
      <w:r w:rsidR="00332E83" w:rsidRPr="00243817">
        <w:rPr>
          <w:highlight w:val="yellow"/>
        </w:rPr>
        <w:t xml:space="preserve">, </w:t>
      </w:r>
      <w:r w:rsidR="00332E83" w:rsidRPr="00243817">
        <w:rPr>
          <w:b/>
          <w:highlight w:val="yellow"/>
        </w:rPr>
        <w:t>Start Temperature</w:t>
      </w:r>
      <w:r w:rsidR="00332E83" w:rsidRPr="00243817">
        <w:rPr>
          <w:highlight w:val="yellow"/>
        </w:rPr>
        <w:t xml:space="preserve"> to 25 °C and </w:t>
      </w:r>
      <w:r w:rsidR="00332E83" w:rsidRPr="00243817">
        <w:rPr>
          <w:b/>
          <w:highlight w:val="yellow"/>
        </w:rPr>
        <w:t>End Temperature</w:t>
      </w:r>
      <w:r w:rsidR="00332E83" w:rsidRPr="00243817">
        <w:rPr>
          <w:highlight w:val="yellow"/>
        </w:rPr>
        <w:t xml:space="preserve"> to 95 °C, then launch the </w:t>
      </w:r>
      <w:proofErr w:type="spellStart"/>
      <w:r w:rsidR="00332E83" w:rsidRPr="00243817">
        <w:rPr>
          <w:highlight w:val="yellow"/>
        </w:rPr>
        <w:t>nanoDSF</w:t>
      </w:r>
      <w:proofErr w:type="spellEnd"/>
      <w:r w:rsidR="00332E83" w:rsidRPr="00243817">
        <w:rPr>
          <w:highlight w:val="yellow"/>
        </w:rPr>
        <w:t xml:space="preserve"> experiment by pressing the </w:t>
      </w:r>
      <w:r w:rsidR="00332E83" w:rsidRPr="00243817">
        <w:rPr>
          <w:b/>
          <w:highlight w:val="yellow"/>
        </w:rPr>
        <w:t>Start Melting</w:t>
      </w:r>
      <w:r w:rsidR="00332E83" w:rsidRPr="00243817">
        <w:rPr>
          <w:highlight w:val="yellow"/>
        </w:rPr>
        <w:t xml:space="preserve"> button.</w:t>
      </w:r>
      <w:r w:rsidRPr="00243817">
        <w:t xml:space="preserve"> If the resulting </w:t>
      </w:r>
      <w:r w:rsidR="00340262" w:rsidRPr="00243817">
        <w:t xml:space="preserve">melt </w:t>
      </w:r>
      <w:r w:rsidRPr="00243817">
        <w:t xml:space="preserve">curves do not show a detectable inflection point, consider concentrating </w:t>
      </w:r>
      <w:r w:rsidR="00D60A6A" w:rsidRPr="00243817">
        <w:t xml:space="preserve">the </w:t>
      </w:r>
      <w:r w:rsidRPr="00243817">
        <w:t xml:space="preserve">sample further or checking </w:t>
      </w:r>
      <w:r w:rsidR="007505A1" w:rsidRPr="00243817">
        <w:t>if</w:t>
      </w:r>
      <w:r w:rsidRPr="00243817">
        <w:t xml:space="preserve"> the protein is folded properly. </w:t>
      </w:r>
    </w:p>
    <w:p w14:paraId="4AB4480E" w14:textId="039013CE" w:rsidR="003E5CB6" w:rsidRPr="00243817" w:rsidRDefault="003E5CB6" w:rsidP="004F6460">
      <w:pPr>
        <w:pStyle w:val="af3"/>
        <w:ind w:left="0"/>
      </w:pPr>
    </w:p>
    <w:p w14:paraId="6B2AA307" w14:textId="7EE6200E" w:rsidR="00471242" w:rsidRPr="00243817" w:rsidRDefault="00B2435C" w:rsidP="004F6460">
      <w:pPr>
        <w:pStyle w:val="af3"/>
        <w:widowControl/>
        <w:numPr>
          <w:ilvl w:val="1"/>
          <w:numId w:val="26"/>
        </w:numPr>
        <w:autoSpaceDE/>
        <w:autoSpaceDN/>
        <w:adjustRightInd/>
        <w:rPr>
          <w:highlight w:val="yellow"/>
        </w:rPr>
      </w:pPr>
      <w:r w:rsidRPr="00243817">
        <w:rPr>
          <w:highlight w:val="yellow"/>
        </w:rPr>
        <w:t>Repeat steps 2.1-</w:t>
      </w:r>
      <w:r w:rsidR="00883C0F" w:rsidRPr="00243817">
        <w:rPr>
          <w:highlight w:val="yellow"/>
        </w:rPr>
        <w:t>2</w:t>
      </w:r>
      <w:r w:rsidR="00293CFA" w:rsidRPr="00243817">
        <w:rPr>
          <w:highlight w:val="yellow"/>
        </w:rPr>
        <w:t>.4</w:t>
      </w:r>
      <w:r w:rsidRPr="00243817">
        <w:rPr>
          <w:highlight w:val="yellow"/>
        </w:rPr>
        <w:t xml:space="preserve"> to </w:t>
      </w:r>
      <w:r w:rsidR="00293CFA" w:rsidRPr="00243817">
        <w:rPr>
          <w:highlight w:val="yellow"/>
        </w:rPr>
        <w:t>prepare</w:t>
      </w:r>
      <w:r w:rsidRPr="00243817">
        <w:rPr>
          <w:highlight w:val="yellow"/>
        </w:rPr>
        <w:t xml:space="preserve"> </w:t>
      </w:r>
      <w:r w:rsidR="00471242" w:rsidRPr="00243817">
        <w:rPr>
          <w:highlight w:val="yellow"/>
        </w:rPr>
        <w:t xml:space="preserve">the samples for </w:t>
      </w:r>
      <w:r w:rsidRPr="00243817">
        <w:rPr>
          <w:highlight w:val="yellow"/>
        </w:rPr>
        <w:t xml:space="preserve">a full experiment. </w:t>
      </w:r>
    </w:p>
    <w:p w14:paraId="35EB56D1" w14:textId="77777777" w:rsidR="00471242" w:rsidRPr="00243817" w:rsidRDefault="00471242" w:rsidP="004F6460">
      <w:pPr>
        <w:pStyle w:val="af3"/>
      </w:pPr>
    </w:p>
    <w:p w14:paraId="013D1383" w14:textId="474528F6" w:rsidR="003E5CB6" w:rsidRPr="00243817" w:rsidRDefault="00D374A0" w:rsidP="004F6460">
      <w:pPr>
        <w:pStyle w:val="af3"/>
        <w:widowControl/>
        <w:numPr>
          <w:ilvl w:val="1"/>
          <w:numId w:val="26"/>
        </w:numPr>
        <w:autoSpaceDE/>
        <w:autoSpaceDN/>
        <w:adjustRightInd/>
        <w:rPr>
          <w:highlight w:val="yellow"/>
        </w:rPr>
      </w:pPr>
      <w:r w:rsidRPr="00243817">
        <w:rPr>
          <w:highlight w:val="yellow"/>
        </w:rPr>
        <w:t xml:space="preserve">In the </w:t>
      </w:r>
      <w:r w:rsidRPr="00243817">
        <w:rPr>
          <w:b/>
          <w:highlight w:val="yellow"/>
        </w:rPr>
        <w:t>Melting Scan</w:t>
      </w:r>
      <w:r w:rsidRPr="00243817">
        <w:rPr>
          <w:highlight w:val="yellow"/>
        </w:rPr>
        <w:t xml:space="preserve"> tab, p</w:t>
      </w:r>
      <w:r w:rsidR="00471242" w:rsidRPr="00243817">
        <w:rPr>
          <w:highlight w:val="yellow"/>
        </w:rPr>
        <w:t xml:space="preserve">rogram </w:t>
      </w:r>
      <w:r w:rsidR="003E5CB6" w:rsidRPr="00243817">
        <w:rPr>
          <w:highlight w:val="yellow"/>
        </w:rPr>
        <w:t xml:space="preserve">a melt scan </w:t>
      </w:r>
      <w:r w:rsidR="009C1979" w:rsidRPr="00243817">
        <w:rPr>
          <w:highlight w:val="yellow"/>
        </w:rPr>
        <w:t xml:space="preserve">by setting the </w:t>
      </w:r>
      <w:r w:rsidR="009C1979" w:rsidRPr="00243817">
        <w:rPr>
          <w:b/>
          <w:highlight w:val="yellow"/>
        </w:rPr>
        <w:t>Temperature Slope</w:t>
      </w:r>
      <w:r w:rsidR="009C1979" w:rsidRPr="00243817">
        <w:rPr>
          <w:highlight w:val="yellow"/>
        </w:rPr>
        <w:t xml:space="preserve"> option to 1.0 °C min</w:t>
      </w:r>
      <w:r w:rsidR="009C1979" w:rsidRPr="00243817">
        <w:rPr>
          <w:highlight w:val="yellow"/>
          <w:vertAlign w:val="superscript"/>
        </w:rPr>
        <w:t>-1</w:t>
      </w:r>
      <w:r w:rsidR="009C1979" w:rsidRPr="00243817">
        <w:rPr>
          <w:highlight w:val="yellow"/>
        </w:rPr>
        <w:t xml:space="preserve">, </w:t>
      </w:r>
      <w:r w:rsidR="009C1979" w:rsidRPr="00243817">
        <w:rPr>
          <w:b/>
          <w:highlight w:val="yellow"/>
        </w:rPr>
        <w:t>Start Temperature</w:t>
      </w:r>
      <w:r w:rsidR="009C1979" w:rsidRPr="00243817">
        <w:rPr>
          <w:highlight w:val="yellow"/>
        </w:rPr>
        <w:t xml:space="preserve"> to</w:t>
      </w:r>
      <w:r w:rsidR="003E5CB6" w:rsidRPr="00243817">
        <w:rPr>
          <w:highlight w:val="yellow"/>
        </w:rPr>
        <w:t xml:space="preserve"> 25 °C </w:t>
      </w:r>
      <w:r w:rsidR="009C1979" w:rsidRPr="00243817">
        <w:rPr>
          <w:highlight w:val="yellow"/>
        </w:rPr>
        <w:t xml:space="preserve">and </w:t>
      </w:r>
      <w:r w:rsidR="009C1979" w:rsidRPr="00243817">
        <w:rPr>
          <w:b/>
          <w:highlight w:val="yellow"/>
        </w:rPr>
        <w:t>End Temperature</w:t>
      </w:r>
      <w:r w:rsidR="009C1979" w:rsidRPr="00243817">
        <w:rPr>
          <w:highlight w:val="yellow"/>
        </w:rPr>
        <w:t xml:space="preserve"> </w:t>
      </w:r>
      <w:r w:rsidR="003E5CB6" w:rsidRPr="00243817">
        <w:rPr>
          <w:highlight w:val="yellow"/>
        </w:rPr>
        <w:t>to 95 °C</w:t>
      </w:r>
      <w:r w:rsidR="00471242" w:rsidRPr="00243817">
        <w:rPr>
          <w:highlight w:val="yellow"/>
        </w:rPr>
        <w:t xml:space="preserve">, then launch the </w:t>
      </w:r>
      <w:proofErr w:type="spellStart"/>
      <w:r w:rsidR="00471242" w:rsidRPr="00243817">
        <w:rPr>
          <w:highlight w:val="yellow"/>
        </w:rPr>
        <w:t>nanoDSF</w:t>
      </w:r>
      <w:proofErr w:type="spellEnd"/>
      <w:r w:rsidR="00471242" w:rsidRPr="00243817">
        <w:rPr>
          <w:highlight w:val="yellow"/>
        </w:rPr>
        <w:t xml:space="preserve"> experiment by pressing the </w:t>
      </w:r>
      <w:r w:rsidR="00471242" w:rsidRPr="00243817">
        <w:rPr>
          <w:b/>
          <w:highlight w:val="yellow"/>
        </w:rPr>
        <w:t>Start Melting</w:t>
      </w:r>
      <w:r w:rsidR="00471242" w:rsidRPr="00243817">
        <w:rPr>
          <w:highlight w:val="yellow"/>
        </w:rPr>
        <w:t xml:space="preserve"> button.</w:t>
      </w:r>
    </w:p>
    <w:p w14:paraId="0DC1C1F9" w14:textId="77777777" w:rsidR="00BE413D" w:rsidRPr="00243817" w:rsidRDefault="00BE413D" w:rsidP="004F6460">
      <w:pPr>
        <w:pStyle w:val="af3"/>
      </w:pPr>
    </w:p>
    <w:p w14:paraId="2373670D" w14:textId="4A66A1DF" w:rsidR="00BE413D" w:rsidRPr="00243817" w:rsidRDefault="00AF2BE8" w:rsidP="004F6460">
      <w:pPr>
        <w:pStyle w:val="af3"/>
        <w:widowControl/>
        <w:numPr>
          <w:ilvl w:val="0"/>
          <w:numId w:val="26"/>
        </w:numPr>
        <w:autoSpaceDE/>
        <w:autoSpaceDN/>
        <w:adjustRightInd/>
        <w:rPr>
          <w:highlight w:val="yellow"/>
        </w:rPr>
      </w:pPr>
      <w:r w:rsidRPr="00243817">
        <w:rPr>
          <w:b/>
          <w:highlight w:val="yellow"/>
        </w:rPr>
        <w:t>Performing</w:t>
      </w:r>
      <w:r w:rsidR="00BE413D" w:rsidRPr="00243817">
        <w:rPr>
          <w:b/>
          <w:highlight w:val="yellow"/>
        </w:rPr>
        <w:t xml:space="preserve"> a </w:t>
      </w:r>
      <w:r w:rsidR="001613C5" w:rsidRPr="00243817">
        <w:rPr>
          <w:b/>
          <w:highlight w:val="yellow"/>
        </w:rPr>
        <w:t xml:space="preserve">TSA </w:t>
      </w:r>
      <w:r w:rsidR="007505A1" w:rsidRPr="00243817">
        <w:rPr>
          <w:b/>
          <w:highlight w:val="yellow"/>
        </w:rPr>
        <w:t>E</w:t>
      </w:r>
      <w:r w:rsidR="00BE413D" w:rsidRPr="00243817">
        <w:rPr>
          <w:b/>
          <w:highlight w:val="yellow"/>
        </w:rPr>
        <w:t>xperiment</w:t>
      </w:r>
    </w:p>
    <w:p w14:paraId="7C81A23F" w14:textId="77777777" w:rsidR="00BE413D" w:rsidRPr="00243817" w:rsidRDefault="00BE413D" w:rsidP="004F6460">
      <w:pPr>
        <w:pStyle w:val="af3"/>
        <w:widowControl/>
        <w:autoSpaceDE/>
        <w:autoSpaceDN/>
        <w:adjustRightInd/>
        <w:ind w:left="0"/>
      </w:pPr>
    </w:p>
    <w:p w14:paraId="71151C2F" w14:textId="20829D4E" w:rsidR="00BE413D" w:rsidRPr="00243817" w:rsidRDefault="00D4481B" w:rsidP="004F6460">
      <w:pPr>
        <w:pStyle w:val="af3"/>
        <w:widowControl/>
        <w:numPr>
          <w:ilvl w:val="1"/>
          <w:numId w:val="26"/>
        </w:numPr>
        <w:autoSpaceDE/>
        <w:autoSpaceDN/>
        <w:adjustRightInd/>
        <w:rPr>
          <w:highlight w:val="yellow"/>
        </w:rPr>
      </w:pPr>
      <w:r w:rsidRPr="00243817">
        <w:rPr>
          <w:highlight w:val="yellow"/>
        </w:rPr>
        <w:t xml:space="preserve">Open the sample drawer by firmly pressing the indent on the </w:t>
      </w:r>
      <w:r w:rsidR="00AF77FD" w:rsidRPr="00243817">
        <w:rPr>
          <w:highlight w:val="yellow"/>
        </w:rPr>
        <w:t>right-hand</w:t>
      </w:r>
      <w:r w:rsidRPr="00243817">
        <w:rPr>
          <w:highlight w:val="yellow"/>
        </w:rPr>
        <w:t xml:space="preserve"> side of the drawer. </w:t>
      </w:r>
      <w:r w:rsidR="0006395F" w:rsidRPr="00243817">
        <w:rPr>
          <w:highlight w:val="yellow"/>
        </w:rPr>
        <w:t>Place</w:t>
      </w:r>
      <w:r w:rsidR="00BE413D" w:rsidRPr="00243817">
        <w:rPr>
          <w:highlight w:val="yellow"/>
        </w:rPr>
        <w:t xml:space="preserve"> the 96-well tray </w:t>
      </w:r>
      <w:r w:rsidR="0006395F" w:rsidRPr="00243817">
        <w:rPr>
          <w:highlight w:val="yellow"/>
        </w:rPr>
        <w:t>in</w:t>
      </w:r>
      <w:r w:rsidR="00BE413D" w:rsidRPr="00243817">
        <w:rPr>
          <w:highlight w:val="yellow"/>
        </w:rPr>
        <w:t xml:space="preserve"> the RT-PCR system</w:t>
      </w:r>
      <w:r w:rsidR="00A94CC6" w:rsidRPr="00243817">
        <w:rPr>
          <w:highlight w:val="yellow"/>
        </w:rPr>
        <w:t xml:space="preserve"> with well A1 to the </w:t>
      </w:r>
      <w:r w:rsidR="00925FBB" w:rsidRPr="00243817">
        <w:rPr>
          <w:highlight w:val="yellow"/>
        </w:rPr>
        <w:t>back</w:t>
      </w:r>
      <w:r w:rsidR="00A94CC6" w:rsidRPr="00243817">
        <w:rPr>
          <w:highlight w:val="yellow"/>
        </w:rPr>
        <w:t>-left</w:t>
      </w:r>
      <w:r w:rsidR="00352706" w:rsidRPr="00243817">
        <w:rPr>
          <w:highlight w:val="yellow"/>
        </w:rPr>
        <w:t xml:space="preserve"> (</w:t>
      </w:r>
      <w:r w:rsidR="00352706" w:rsidRPr="00243817">
        <w:rPr>
          <w:b/>
          <w:highlight w:val="yellow"/>
        </w:rPr>
        <w:t>Figure 4</w:t>
      </w:r>
      <w:r w:rsidR="00B4248E" w:rsidRPr="00243817">
        <w:rPr>
          <w:b/>
          <w:highlight w:val="yellow"/>
        </w:rPr>
        <w:t>D</w:t>
      </w:r>
      <w:r w:rsidR="00352706" w:rsidRPr="00243817">
        <w:rPr>
          <w:highlight w:val="yellow"/>
        </w:rPr>
        <w:t>)</w:t>
      </w:r>
      <w:r w:rsidR="00BE413D" w:rsidRPr="00243817">
        <w:rPr>
          <w:highlight w:val="yellow"/>
        </w:rPr>
        <w:t>.</w:t>
      </w:r>
    </w:p>
    <w:p w14:paraId="7D6A44F8" w14:textId="77777777" w:rsidR="00FB5F1B" w:rsidRPr="00243817" w:rsidRDefault="00FB5F1B" w:rsidP="004F6460">
      <w:pPr>
        <w:pStyle w:val="af3"/>
        <w:widowControl/>
        <w:autoSpaceDE/>
        <w:autoSpaceDN/>
        <w:adjustRightInd/>
        <w:ind w:left="0"/>
      </w:pPr>
    </w:p>
    <w:p w14:paraId="4E7BFFEE" w14:textId="197D1BDB" w:rsidR="00FB5F1B" w:rsidRPr="00243817" w:rsidRDefault="00FB5F1B" w:rsidP="004F6460">
      <w:pPr>
        <w:pStyle w:val="af3"/>
        <w:widowControl/>
        <w:numPr>
          <w:ilvl w:val="1"/>
          <w:numId w:val="26"/>
        </w:numPr>
        <w:autoSpaceDE/>
        <w:autoSpaceDN/>
        <w:adjustRightInd/>
        <w:rPr>
          <w:highlight w:val="yellow"/>
        </w:rPr>
      </w:pPr>
      <w:r w:rsidRPr="00243817">
        <w:rPr>
          <w:highlight w:val="yellow"/>
        </w:rPr>
        <w:t xml:space="preserve">Click the </w:t>
      </w:r>
      <w:r w:rsidRPr="00243817">
        <w:rPr>
          <w:b/>
          <w:highlight w:val="yellow"/>
        </w:rPr>
        <w:t>New Experiment</w:t>
      </w:r>
      <w:r w:rsidRPr="00243817">
        <w:rPr>
          <w:highlight w:val="yellow"/>
        </w:rPr>
        <w:t xml:space="preserve"> button to begin setting up a TSA experiment.</w:t>
      </w:r>
    </w:p>
    <w:p w14:paraId="6EA6058B" w14:textId="77777777" w:rsidR="00FB5F1B" w:rsidRPr="00243817" w:rsidRDefault="00FB5F1B" w:rsidP="004F6460">
      <w:pPr>
        <w:pStyle w:val="af3"/>
      </w:pPr>
    </w:p>
    <w:p w14:paraId="50D464BE" w14:textId="2E4C9D91" w:rsidR="00BA6B67" w:rsidRPr="00243817" w:rsidRDefault="00CC4FE3" w:rsidP="004F6460">
      <w:pPr>
        <w:pStyle w:val="af3"/>
        <w:widowControl/>
        <w:numPr>
          <w:ilvl w:val="1"/>
          <w:numId w:val="26"/>
        </w:numPr>
        <w:autoSpaceDE/>
        <w:autoSpaceDN/>
        <w:adjustRightInd/>
        <w:rPr>
          <w:highlight w:val="yellow"/>
        </w:rPr>
      </w:pPr>
      <w:r w:rsidRPr="00243817">
        <w:rPr>
          <w:highlight w:val="yellow"/>
        </w:rPr>
        <w:t xml:space="preserve">In the </w:t>
      </w:r>
      <w:r w:rsidRPr="00243817">
        <w:rPr>
          <w:b/>
          <w:highlight w:val="yellow"/>
        </w:rPr>
        <w:t>Experiment Properties</w:t>
      </w:r>
      <w:r w:rsidRPr="00243817">
        <w:rPr>
          <w:highlight w:val="yellow"/>
        </w:rPr>
        <w:t xml:space="preserve"> tab, c</w:t>
      </w:r>
      <w:r w:rsidR="00FB5F1B" w:rsidRPr="00243817">
        <w:rPr>
          <w:highlight w:val="yellow"/>
        </w:rPr>
        <w:t xml:space="preserve">lick the </w:t>
      </w:r>
      <w:r w:rsidR="00FB5F1B" w:rsidRPr="00243817">
        <w:rPr>
          <w:b/>
          <w:highlight w:val="yellow"/>
        </w:rPr>
        <w:t>Melt Curve</w:t>
      </w:r>
      <w:r w:rsidR="00FB5F1B" w:rsidRPr="00243817">
        <w:rPr>
          <w:highlight w:val="yellow"/>
        </w:rPr>
        <w:t xml:space="preserve"> option when asked </w:t>
      </w:r>
      <w:r w:rsidR="00FB5F1B" w:rsidRPr="00243817">
        <w:rPr>
          <w:b/>
          <w:highlight w:val="yellow"/>
        </w:rPr>
        <w:t>What type of experiment do you want to set up</w:t>
      </w:r>
      <w:r w:rsidR="00FB5F1B" w:rsidRPr="00243817">
        <w:rPr>
          <w:highlight w:val="yellow"/>
        </w:rPr>
        <w:t>?</w:t>
      </w:r>
      <w:r w:rsidR="00BA6B67" w:rsidRPr="00243817">
        <w:rPr>
          <w:highlight w:val="yellow"/>
        </w:rPr>
        <w:t xml:space="preserve"> and the </w:t>
      </w:r>
      <w:r w:rsidR="00BA6B67" w:rsidRPr="00243817">
        <w:rPr>
          <w:b/>
          <w:highlight w:val="yellow"/>
        </w:rPr>
        <w:t>Other</w:t>
      </w:r>
      <w:r w:rsidR="00BA6B67" w:rsidRPr="00243817">
        <w:rPr>
          <w:highlight w:val="yellow"/>
        </w:rPr>
        <w:t xml:space="preserve"> option when asked </w:t>
      </w:r>
      <w:r w:rsidR="00BA6B67" w:rsidRPr="00243817">
        <w:rPr>
          <w:b/>
          <w:highlight w:val="yellow"/>
        </w:rPr>
        <w:t>Which reagents do you want to use to detect the target sequence</w:t>
      </w:r>
      <w:r w:rsidR="00BA6B67" w:rsidRPr="00243817">
        <w:rPr>
          <w:highlight w:val="yellow"/>
        </w:rPr>
        <w:t>?</w:t>
      </w:r>
    </w:p>
    <w:p w14:paraId="5B0CFCED" w14:textId="77777777" w:rsidR="008B219F" w:rsidRPr="00243817" w:rsidRDefault="008B219F" w:rsidP="004F6460">
      <w:pPr>
        <w:pStyle w:val="af3"/>
      </w:pPr>
    </w:p>
    <w:p w14:paraId="572B8758" w14:textId="1BE08BE2" w:rsidR="008B219F" w:rsidRPr="00243817" w:rsidRDefault="008B219F" w:rsidP="004F6460">
      <w:pPr>
        <w:pStyle w:val="af3"/>
        <w:widowControl/>
        <w:numPr>
          <w:ilvl w:val="1"/>
          <w:numId w:val="26"/>
        </w:numPr>
        <w:autoSpaceDE/>
        <w:autoSpaceDN/>
        <w:adjustRightInd/>
        <w:rPr>
          <w:highlight w:val="yellow"/>
        </w:rPr>
      </w:pPr>
      <w:r w:rsidRPr="00243817">
        <w:rPr>
          <w:highlight w:val="yellow"/>
        </w:rPr>
        <w:t xml:space="preserve">In the </w:t>
      </w:r>
      <w:r w:rsidRPr="00243817">
        <w:rPr>
          <w:b/>
          <w:highlight w:val="yellow"/>
        </w:rPr>
        <w:t>Plate Setup</w:t>
      </w:r>
      <w:r w:rsidR="00F711F6" w:rsidRPr="00243817">
        <w:rPr>
          <w:b/>
          <w:highlight w:val="yellow"/>
        </w:rPr>
        <w:t>/ Define Targets and Samples</w:t>
      </w:r>
      <w:r w:rsidRPr="00243817">
        <w:rPr>
          <w:highlight w:val="yellow"/>
        </w:rPr>
        <w:t xml:space="preserve"> tab, </w:t>
      </w:r>
      <w:r w:rsidR="00F1573A" w:rsidRPr="00243817">
        <w:rPr>
          <w:highlight w:val="yellow"/>
        </w:rPr>
        <w:t>enter a target name</w:t>
      </w:r>
      <w:r w:rsidR="00BA6977" w:rsidRPr="00243817">
        <w:rPr>
          <w:highlight w:val="yellow"/>
        </w:rPr>
        <w:t xml:space="preserve"> then</w:t>
      </w:r>
      <w:r w:rsidR="00F1573A" w:rsidRPr="00243817">
        <w:rPr>
          <w:highlight w:val="yellow"/>
        </w:rPr>
        <w:t xml:space="preserve"> </w:t>
      </w:r>
      <w:r w:rsidRPr="00243817">
        <w:rPr>
          <w:highlight w:val="yellow"/>
        </w:rPr>
        <w:t xml:space="preserve">set </w:t>
      </w:r>
      <w:r w:rsidR="00B7508D" w:rsidRPr="00243817">
        <w:rPr>
          <w:b/>
          <w:highlight w:val="yellow"/>
        </w:rPr>
        <w:t>R</w:t>
      </w:r>
      <w:r w:rsidRPr="00243817">
        <w:rPr>
          <w:b/>
          <w:highlight w:val="yellow"/>
        </w:rPr>
        <w:t>eporter</w:t>
      </w:r>
      <w:r w:rsidRPr="00243817">
        <w:rPr>
          <w:highlight w:val="yellow"/>
        </w:rPr>
        <w:t xml:space="preserve"> as </w:t>
      </w:r>
      <w:r w:rsidR="00B7508D" w:rsidRPr="00243817">
        <w:rPr>
          <w:b/>
          <w:highlight w:val="yellow"/>
        </w:rPr>
        <w:t>ROX</w:t>
      </w:r>
      <w:r w:rsidR="00B7508D" w:rsidRPr="00243817">
        <w:rPr>
          <w:highlight w:val="yellow"/>
        </w:rPr>
        <w:t xml:space="preserve"> and </w:t>
      </w:r>
      <w:r w:rsidR="00B7508D" w:rsidRPr="00243817">
        <w:rPr>
          <w:b/>
          <w:highlight w:val="yellow"/>
        </w:rPr>
        <w:t>Quencher</w:t>
      </w:r>
      <w:r w:rsidR="00B7508D" w:rsidRPr="00243817">
        <w:rPr>
          <w:highlight w:val="yellow"/>
        </w:rPr>
        <w:t xml:space="preserve"> as </w:t>
      </w:r>
      <w:r w:rsidR="00B7508D" w:rsidRPr="00243817">
        <w:rPr>
          <w:b/>
          <w:highlight w:val="yellow"/>
        </w:rPr>
        <w:t>None</w:t>
      </w:r>
      <w:r w:rsidR="00F711F6" w:rsidRPr="00243817">
        <w:rPr>
          <w:highlight w:val="yellow"/>
        </w:rPr>
        <w:t>.</w:t>
      </w:r>
    </w:p>
    <w:p w14:paraId="60DA4071" w14:textId="77777777" w:rsidR="00F1573A" w:rsidRPr="00243817" w:rsidRDefault="00F1573A" w:rsidP="004F6460">
      <w:pPr>
        <w:pStyle w:val="af3"/>
      </w:pPr>
    </w:p>
    <w:p w14:paraId="412B5081" w14:textId="05194192" w:rsidR="00F1573A" w:rsidRPr="00243817" w:rsidRDefault="00F1573A" w:rsidP="004F6460">
      <w:pPr>
        <w:pStyle w:val="af3"/>
        <w:widowControl/>
        <w:numPr>
          <w:ilvl w:val="1"/>
          <w:numId w:val="26"/>
        </w:numPr>
        <w:autoSpaceDE/>
        <w:autoSpaceDN/>
        <w:adjustRightInd/>
        <w:rPr>
          <w:highlight w:val="yellow"/>
        </w:rPr>
      </w:pPr>
      <w:r w:rsidRPr="00243817">
        <w:rPr>
          <w:highlight w:val="yellow"/>
        </w:rPr>
        <w:t xml:space="preserve">In the </w:t>
      </w:r>
      <w:r w:rsidRPr="00243817">
        <w:rPr>
          <w:b/>
          <w:highlight w:val="yellow"/>
        </w:rPr>
        <w:t>Plate Setup/ Assign Targets and Samples</w:t>
      </w:r>
      <w:r w:rsidRPr="00243817">
        <w:rPr>
          <w:highlight w:val="yellow"/>
        </w:rPr>
        <w:t xml:space="preserve"> tab, </w:t>
      </w:r>
      <w:r w:rsidR="00D4127C" w:rsidRPr="00243817">
        <w:rPr>
          <w:highlight w:val="yellow"/>
        </w:rPr>
        <w:t>assign every well of the 96-well plate to the target name entered in the previous step.</w:t>
      </w:r>
      <w:r w:rsidR="00DE4B25" w:rsidRPr="00243817">
        <w:rPr>
          <w:highlight w:val="yellow"/>
        </w:rPr>
        <w:t xml:space="preserve"> In the same tab, set </w:t>
      </w:r>
      <w:r w:rsidR="00DE4B25" w:rsidRPr="00243817">
        <w:rPr>
          <w:b/>
          <w:highlight w:val="yellow"/>
        </w:rPr>
        <w:t>Select the dye to use as the passive reference</w:t>
      </w:r>
      <w:r w:rsidR="00DE4B25" w:rsidRPr="00243817">
        <w:rPr>
          <w:highlight w:val="yellow"/>
        </w:rPr>
        <w:t xml:space="preserve"> </w:t>
      </w:r>
      <w:r w:rsidR="0006073C" w:rsidRPr="00243817">
        <w:rPr>
          <w:highlight w:val="yellow"/>
        </w:rPr>
        <w:t xml:space="preserve">as </w:t>
      </w:r>
      <w:r w:rsidR="00DE4B25" w:rsidRPr="00243817">
        <w:rPr>
          <w:b/>
          <w:highlight w:val="yellow"/>
        </w:rPr>
        <w:t>None</w:t>
      </w:r>
      <w:r w:rsidR="0006073C" w:rsidRPr="00243817">
        <w:rPr>
          <w:highlight w:val="yellow"/>
        </w:rPr>
        <w:t>.</w:t>
      </w:r>
    </w:p>
    <w:p w14:paraId="1D0932A3" w14:textId="77777777" w:rsidR="005A327E" w:rsidRPr="00243817" w:rsidRDefault="005A327E" w:rsidP="004F6460">
      <w:pPr>
        <w:pStyle w:val="af3"/>
      </w:pPr>
    </w:p>
    <w:p w14:paraId="2A85B26E" w14:textId="536B2336" w:rsidR="005A327E" w:rsidRPr="00243817" w:rsidRDefault="005A327E" w:rsidP="004F6460">
      <w:pPr>
        <w:pStyle w:val="af3"/>
        <w:widowControl/>
        <w:numPr>
          <w:ilvl w:val="1"/>
          <w:numId w:val="26"/>
        </w:numPr>
        <w:autoSpaceDE/>
        <w:autoSpaceDN/>
        <w:adjustRightInd/>
        <w:rPr>
          <w:highlight w:val="yellow"/>
        </w:rPr>
      </w:pPr>
      <w:r w:rsidRPr="00243817">
        <w:rPr>
          <w:highlight w:val="yellow"/>
        </w:rPr>
        <w:t xml:space="preserve">In the </w:t>
      </w:r>
      <w:r w:rsidRPr="00243817">
        <w:rPr>
          <w:b/>
          <w:highlight w:val="yellow"/>
        </w:rPr>
        <w:t>Run Method</w:t>
      </w:r>
      <w:r w:rsidRPr="00243817">
        <w:rPr>
          <w:highlight w:val="yellow"/>
        </w:rPr>
        <w:t xml:space="preserve"> tab, delete </w:t>
      </w:r>
      <w:r w:rsidR="00385499" w:rsidRPr="00243817">
        <w:rPr>
          <w:highlight w:val="yellow"/>
        </w:rPr>
        <w:t>steps</w:t>
      </w:r>
      <w:r w:rsidRPr="00243817">
        <w:rPr>
          <w:highlight w:val="yellow"/>
        </w:rPr>
        <w:t xml:space="preserve"> until there is a total of three. Set the first </w:t>
      </w:r>
      <w:r w:rsidR="00385499" w:rsidRPr="00243817">
        <w:rPr>
          <w:highlight w:val="yellow"/>
        </w:rPr>
        <w:t>step</w:t>
      </w:r>
      <w:r w:rsidRPr="00243817">
        <w:rPr>
          <w:highlight w:val="yellow"/>
        </w:rPr>
        <w:t xml:space="preserve"> to 25.0 °C, ramp rate 100%, time 00:05; the second st</w:t>
      </w:r>
      <w:r w:rsidR="00385499" w:rsidRPr="00243817">
        <w:rPr>
          <w:highlight w:val="yellow"/>
        </w:rPr>
        <w:t>ep</w:t>
      </w:r>
      <w:r w:rsidRPr="00243817">
        <w:rPr>
          <w:highlight w:val="yellow"/>
        </w:rPr>
        <w:t xml:space="preserve"> to 95.0 °C, ramp rate 1%, time 01:00</w:t>
      </w:r>
      <w:r w:rsidR="00243817" w:rsidRPr="00243817">
        <w:rPr>
          <w:highlight w:val="yellow"/>
        </w:rPr>
        <w:t>;</w:t>
      </w:r>
      <w:r w:rsidRPr="00243817">
        <w:rPr>
          <w:highlight w:val="yellow"/>
        </w:rPr>
        <w:t xml:space="preserve"> the third </w:t>
      </w:r>
      <w:r w:rsidR="00385499" w:rsidRPr="00243817">
        <w:rPr>
          <w:highlight w:val="yellow"/>
        </w:rPr>
        <w:t>step</w:t>
      </w:r>
      <w:r w:rsidRPr="00243817">
        <w:rPr>
          <w:highlight w:val="yellow"/>
        </w:rPr>
        <w:t xml:space="preserve"> to 95.0 °C, ramp rate 100%, time 00:05.</w:t>
      </w:r>
      <w:r w:rsidR="00385499" w:rsidRPr="00243817">
        <w:rPr>
          <w:highlight w:val="yellow"/>
        </w:rPr>
        <w:t xml:space="preserve"> Choose to collect data using the </w:t>
      </w:r>
      <w:r w:rsidR="00385499" w:rsidRPr="00243817">
        <w:rPr>
          <w:b/>
          <w:highlight w:val="yellow"/>
        </w:rPr>
        <w:t>Collect Data</w:t>
      </w:r>
      <w:r w:rsidR="00385499" w:rsidRPr="00243817">
        <w:rPr>
          <w:highlight w:val="yellow"/>
        </w:rPr>
        <w:t xml:space="preserve"> dropdown menu</w:t>
      </w:r>
      <w:r w:rsidR="002A4F67" w:rsidRPr="00243817">
        <w:rPr>
          <w:highlight w:val="yellow"/>
        </w:rPr>
        <w:t xml:space="preserve"> or by pressing the </w:t>
      </w:r>
      <w:r w:rsidR="002A4F67" w:rsidRPr="00243817">
        <w:rPr>
          <w:b/>
          <w:highlight w:val="yellow"/>
        </w:rPr>
        <w:t>Data Collection</w:t>
      </w:r>
      <w:r w:rsidR="002A4F67" w:rsidRPr="00243817">
        <w:rPr>
          <w:highlight w:val="yellow"/>
        </w:rPr>
        <w:t xml:space="preserve"> icon (</w:t>
      </w:r>
      <w:r w:rsidR="002A4F67" w:rsidRPr="00243817">
        <w:rPr>
          <w:b/>
          <w:highlight w:val="yellow"/>
        </w:rPr>
        <w:t>Figure 6</w:t>
      </w:r>
      <w:r w:rsidR="002A4F67" w:rsidRPr="00243817">
        <w:rPr>
          <w:highlight w:val="yellow"/>
        </w:rPr>
        <w:t>)</w:t>
      </w:r>
      <w:r w:rsidR="00385499" w:rsidRPr="00243817">
        <w:rPr>
          <w:highlight w:val="yellow"/>
        </w:rPr>
        <w:t>.</w:t>
      </w:r>
    </w:p>
    <w:p w14:paraId="7BD02335" w14:textId="77777777" w:rsidR="006E7C44" w:rsidRPr="00243817" w:rsidRDefault="006E7C44" w:rsidP="004F6460">
      <w:pPr>
        <w:pStyle w:val="af3"/>
      </w:pPr>
    </w:p>
    <w:p w14:paraId="58914289" w14:textId="2D69F09D" w:rsidR="00F860E1" w:rsidRPr="00243817" w:rsidRDefault="006E7C44" w:rsidP="004F6460">
      <w:pPr>
        <w:pStyle w:val="af3"/>
        <w:widowControl/>
        <w:numPr>
          <w:ilvl w:val="1"/>
          <w:numId w:val="26"/>
        </w:numPr>
        <w:autoSpaceDE/>
        <w:autoSpaceDN/>
        <w:adjustRightInd/>
        <w:rPr>
          <w:highlight w:val="yellow"/>
        </w:rPr>
      </w:pPr>
      <w:r w:rsidRPr="00243817">
        <w:rPr>
          <w:highlight w:val="yellow"/>
        </w:rPr>
        <w:t>S</w:t>
      </w:r>
      <w:r w:rsidR="00F860E1" w:rsidRPr="00243817">
        <w:rPr>
          <w:highlight w:val="yellow"/>
        </w:rPr>
        <w:t>et</w:t>
      </w:r>
      <w:r w:rsidRPr="00243817">
        <w:rPr>
          <w:highlight w:val="yellow"/>
        </w:rPr>
        <w:t xml:space="preserve"> the </w:t>
      </w:r>
      <w:r w:rsidRPr="00243817">
        <w:rPr>
          <w:b/>
          <w:highlight w:val="yellow"/>
        </w:rPr>
        <w:t>Reaction Volume Per Well</w:t>
      </w:r>
      <w:r w:rsidRPr="00243817">
        <w:rPr>
          <w:highlight w:val="yellow"/>
        </w:rPr>
        <w:t xml:space="preserve"> to 20 </w:t>
      </w:r>
      <w:r w:rsidRPr="00243817">
        <w:rPr>
          <w:rFonts w:ascii="Times New Roman" w:hAnsi="Times New Roman" w:cs="Times New Roman"/>
          <w:highlight w:val="yellow"/>
        </w:rPr>
        <w:t>µ</w:t>
      </w:r>
      <w:r w:rsidRPr="00243817">
        <w:rPr>
          <w:highlight w:val="yellow"/>
        </w:rPr>
        <w:t>L</w:t>
      </w:r>
      <w:r w:rsidR="009533FB" w:rsidRPr="00243817">
        <w:rPr>
          <w:highlight w:val="yellow"/>
        </w:rPr>
        <w:t>.</w:t>
      </w:r>
      <w:r w:rsidR="00F860E1" w:rsidRPr="00243817">
        <w:rPr>
          <w:highlight w:val="yellow"/>
        </w:rPr>
        <w:t xml:space="preserve"> </w:t>
      </w:r>
    </w:p>
    <w:p w14:paraId="7FDCD4C3" w14:textId="77777777" w:rsidR="007149B5" w:rsidRPr="00243817" w:rsidRDefault="007149B5" w:rsidP="004F6460">
      <w:pPr>
        <w:pStyle w:val="af3"/>
        <w:widowControl/>
        <w:autoSpaceDE/>
        <w:autoSpaceDN/>
        <w:adjustRightInd/>
        <w:ind w:left="0"/>
      </w:pPr>
    </w:p>
    <w:p w14:paraId="07D9FBFA" w14:textId="43B07889" w:rsidR="007149B5" w:rsidRPr="00243817" w:rsidRDefault="007149B5" w:rsidP="004F6460">
      <w:pPr>
        <w:pStyle w:val="af3"/>
        <w:widowControl/>
        <w:numPr>
          <w:ilvl w:val="1"/>
          <w:numId w:val="26"/>
        </w:numPr>
        <w:autoSpaceDE/>
        <w:autoSpaceDN/>
        <w:adjustRightInd/>
        <w:rPr>
          <w:highlight w:val="yellow"/>
        </w:rPr>
      </w:pPr>
      <w:r w:rsidRPr="00243817">
        <w:rPr>
          <w:highlight w:val="yellow"/>
        </w:rPr>
        <w:t xml:space="preserve">Press the </w:t>
      </w:r>
      <w:r w:rsidRPr="00243817">
        <w:rPr>
          <w:b/>
          <w:highlight w:val="yellow"/>
        </w:rPr>
        <w:t>Start Run</w:t>
      </w:r>
      <w:r w:rsidRPr="00243817">
        <w:rPr>
          <w:highlight w:val="yellow"/>
        </w:rPr>
        <w:t xml:space="preserve"> button to begin the TSA experiment.</w:t>
      </w:r>
    </w:p>
    <w:p w14:paraId="326D25EC" w14:textId="77777777" w:rsidR="00790ADD" w:rsidRPr="00243817" w:rsidRDefault="00790ADD" w:rsidP="004F6460"/>
    <w:p w14:paraId="7E47B6C7" w14:textId="2069FD7D" w:rsidR="003E5CB6" w:rsidRPr="00243817" w:rsidRDefault="003E5CB6" w:rsidP="004F6460">
      <w:pPr>
        <w:pStyle w:val="af3"/>
        <w:widowControl/>
        <w:numPr>
          <w:ilvl w:val="0"/>
          <w:numId w:val="26"/>
        </w:numPr>
        <w:autoSpaceDE/>
        <w:autoSpaceDN/>
        <w:adjustRightInd/>
      </w:pPr>
      <w:r w:rsidRPr="00243817">
        <w:rPr>
          <w:b/>
        </w:rPr>
        <w:t>Data Analysis</w:t>
      </w:r>
    </w:p>
    <w:p w14:paraId="203BF1A9" w14:textId="77777777" w:rsidR="003E5CB6" w:rsidRPr="00243817" w:rsidRDefault="003E5CB6" w:rsidP="004F6460">
      <w:pPr>
        <w:pStyle w:val="af3"/>
        <w:ind w:left="0"/>
      </w:pPr>
    </w:p>
    <w:p w14:paraId="3B5EFDE0" w14:textId="354C134B" w:rsidR="00B6150C" w:rsidRPr="00243817" w:rsidRDefault="00B720CF" w:rsidP="004F6460">
      <w:pPr>
        <w:pStyle w:val="af3"/>
        <w:widowControl/>
        <w:numPr>
          <w:ilvl w:val="1"/>
          <w:numId w:val="26"/>
        </w:numPr>
        <w:autoSpaceDE/>
        <w:autoSpaceDN/>
        <w:adjustRightInd/>
      </w:pPr>
      <w:r w:rsidRPr="00243817">
        <w:t xml:space="preserve">Choose a wavelength to plot a melt curve with. </w:t>
      </w:r>
      <w:r w:rsidR="003E5CB6" w:rsidRPr="00243817">
        <w:t>For</w:t>
      </w:r>
      <w:r w:rsidR="00C36DF3" w:rsidRPr="00243817">
        <w:t xml:space="preserve"> </w:t>
      </w:r>
      <w:proofErr w:type="spellStart"/>
      <w:r w:rsidR="00003AAA" w:rsidRPr="00243817">
        <w:t>nano</w:t>
      </w:r>
      <w:r w:rsidR="003E5CB6" w:rsidRPr="00243817">
        <w:t>DSF</w:t>
      </w:r>
      <w:proofErr w:type="spellEnd"/>
      <w:r w:rsidR="003E5CB6" w:rsidRPr="00243817">
        <w:t xml:space="preserve"> experiments, </w:t>
      </w:r>
      <w:r w:rsidR="00F7480A" w:rsidRPr="00243817">
        <w:t>the ratio of fluorescence intensities at 3</w:t>
      </w:r>
      <w:r w:rsidR="001A762D" w:rsidRPr="00243817">
        <w:t>3</w:t>
      </w:r>
      <w:r w:rsidR="00F7480A" w:rsidRPr="00243817">
        <w:t>0 nm and 350 nm</w:t>
      </w:r>
      <w:r w:rsidR="00E317AD" w:rsidRPr="00243817">
        <w:t xml:space="preserve"> (corresponding to tryptophan in nonpolar and polar environments, respectively</w:t>
      </w:r>
      <w:r w:rsidR="002C403C" w:rsidRPr="00243817">
        <w:t>)</w:t>
      </w:r>
      <w:r w:rsidR="00115959" w:rsidRPr="00243817">
        <w:rPr>
          <w:vertAlign w:val="superscript"/>
        </w:rPr>
        <w:t>13</w:t>
      </w:r>
      <w:r w:rsidR="00A51833" w:rsidRPr="00243817">
        <w:t xml:space="preserve"> is commonly used.</w:t>
      </w:r>
      <w:r w:rsidR="00817170" w:rsidRPr="00243817">
        <w:t xml:space="preserve"> For </w:t>
      </w:r>
      <w:r w:rsidR="00A8313F" w:rsidRPr="00243817">
        <w:t xml:space="preserve">most </w:t>
      </w:r>
      <w:r w:rsidR="0039257F" w:rsidRPr="00243817">
        <w:t>TSA</w:t>
      </w:r>
      <w:r w:rsidR="00A8313F" w:rsidRPr="00243817">
        <w:t>s</w:t>
      </w:r>
      <w:r w:rsidR="00312D21" w:rsidRPr="00243817">
        <w:t>,</w:t>
      </w:r>
      <w:r w:rsidR="00817170" w:rsidRPr="00243817">
        <w:t xml:space="preserve"> the</w:t>
      </w:r>
      <w:r w:rsidR="00312D21" w:rsidRPr="00243817">
        <w:t xml:space="preserve"> dye</w:t>
      </w:r>
      <w:r w:rsidR="00817170" w:rsidRPr="00243817">
        <w:t xml:space="preserve"> emission maximum </w:t>
      </w:r>
      <w:r w:rsidR="008A2DDA" w:rsidRPr="00243817">
        <w:t>is suitable for</w:t>
      </w:r>
      <w:r w:rsidR="00817170" w:rsidRPr="00243817">
        <w:t xml:space="preserve"> </w:t>
      </w:r>
      <w:r w:rsidR="003842F7" w:rsidRPr="00243817">
        <w:t xml:space="preserve">melt </w:t>
      </w:r>
      <w:r w:rsidR="00817170" w:rsidRPr="00243817">
        <w:t>curve</w:t>
      </w:r>
      <w:r w:rsidR="008A2DDA" w:rsidRPr="00243817">
        <w:t xml:space="preserve"> plotting</w:t>
      </w:r>
      <w:r w:rsidR="00A0413F" w:rsidRPr="00243817">
        <w:t xml:space="preserve"> (the emission maximum of SYPRO Orange is 5</w:t>
      </w:r>
      <w:r w:rsidR="00EB3080" w:rsidRPr="00243817">
        <w:t>69</w:t>
      </w:r>
      <w:r w:rsidR="00A0413F" w:rsidRPr="00243817">
        <w:t xml:space="preserve"> nm)</w:t>
      </w:r>
      <w:r w:rsidR="00EB3080" w:rsidRPr="00243817">
        <w:rPr>
          <w:vertAlign w:val="superscript"/>
        </w:rPr>
        <w:t>12</w:t>
      </w:r>
      <w:r w:rsidR="00817170" w:rsidRPr="00243817">
        <w:t>.</w:t>
      </w:r>
      <w:r w:rsidR="006F22DA" w:rsidRPr="00243817" w:rsidDel="006F22DA">
        <w:t xml:space="preserve"> </w:t>
      </w:r>
    </w:p>
    <w:p w14:paraId="22948F0D" w14:textId="77777777" w:rsidR="006F6B4E" w:rsidRPr="00243817" w:rsidRDefault="006F6B4E" w:rsidP="004F6460">
      <w:pPr>
        <w:pStyle w:val="af3"/>
        <w:widowControl/>
        <w:autoSpaceDE/>
        <w:autoSpaceDN/>
        <w:adjustRightInd/>
        <w:ind w:left="0"/>
      </w:pPr>
    </w:p>
    <w:p w14:paraId="1071A010" w14:textId="6EC4FDA0" w:rsidR="003E5CB6" w:rsidRPr="00243817" w:rsidRDefault="00547991" w:rsidP="004F6460">
      <w:pPr>
        <w:pStyle w:val="af3"/>
        <w:widowControl/>
        <w:numPr>
          <w:ilvl w:val="1"/>
          <w:numId w:val="26"/>
        </w:numPr>
        <w:autoSpaceDE/>
        <w:autoSpaceDN/>
        <w:adjustRightInd/>
      </w:pPr>
      <w:r w:rsidRPr="00243817">
        <w:t>Calculate the T</w:t>
      </w:r>
      <w:r w:rsidRPr="00243817">
        <w:softHyphen/>
      </w:r>
      <w:r w:rsidRPr="00243817">
        <w:rPr>
          <w:vertAlign w:val="subscript"/>
        </w:rPr>
        <w:t>m</w:t>
      </w:r>
      <w:r w:rsidRPr="00243817">
        <w:softHyphen/>
        <w:t xml:space="preserve"> values of each condition by determining the inflection point(s) of each melt curve. </w:t>
      </w:r>
      <w:r w:rsidR="00276902" w:rsidRPr="00243817">
        <w:t>Most</w:t>
      </w:r>
      <w:r w:rsidR="006F6B4E" w:rsidRPr="00243817">
        <w:t xml:space="preserve"> </w:t>
      </w:r>
      <w:proofErr w:type="spellStart"/>
      <w:r w:rsidR="006F6B4E" w:rsidRPr="00243817">
        <w:t>nanoDSF</w:t>
      </w:r>
      <w:proofErr w:type="spellEnd"/>
      <w:r w:rsidR="006F6B4E" w:rsidRPr="00243817">
        <w:t xml:space="preserve"> </w:t>
      </w:r>
      <w:r w:rsidR="00276902" w:rsidRPr="00243817">
        <w:t xml:space="preserve">systems </w:t>
      </w:r>
      <w:r w:rsidR="006F6B4E" w:rsidRPr="00243817">
        <w:t>automatically calculate</w:t>
      </w:r>
      <w:r w:rsidR="00276902" w:rsidRPr="00243817">
        <w:t xml:space="preserve"> T</w:t>
      </w:r>
      <w:r w:rsidR="00276902" w:rsidRPr="00243817">
        <w:rPr>
          <w:vertAlign w:val="subscript"/>
        </w:rPr>
        <w:t>m</w:t>
      </w:r>
      <w:r w:rsidR="00276902" w:rsidRPr="00243817">
        <w:t xml:space="preserve"> values</w:t>
      </w:r>
      <w:r w:rsidR="006F6B4E" w:rsidRPr="00243817">
        <w:t xml:space="preserve"> by numerical differentiation of melt curves after data acquisition.</w:t>
      </w:r>
      <w:r w:rsidR="006F0515" w:rsidRPr="00243817">
        <w:t xml:space="preserve"> </w:t>
      </w:r>
      <w:r w:rsidRPr="00243817">
        <w:t>If the software used does not automatically calculate T</w:t>
      </w:r>
      <w:r w:rsidRPr="00243817">
        <w:rPr>
          <w:vertAlign w:val="subscript"/>
        </w:rPr>
        <w:t>m</w:t>
      </w:r>
      <w:r w:rsidRPr="00243817">
        <w:softHyphen/>
        <w:t xml:space="preserve"> values, </w:t>
      </w:r>
      <w:r w:rsidR="007C67DE" w:rsidRPr="00243817">
        <w:t xml:space="preserve">free, </w:t>
      </w:r>
      <w:r w:rsidR="002F481C" w:rsidRPr="00243817">
        <w:t>alternative</w:t>
      </w:r>
      <w:r w:rsidR="003E5CB6" w:rsidRPr="00243817">
        <w:t xml:space="preserve"> GUI-driven software such as NAMI</w:t>
      </w:r>
      <w:r w:rsidR="00F70A83" w:rsidRPr="00243817">
        <w:rPr>
          <w:vertAlign w:val="superscript"/>
        </w:rPr>
        <w:t>11</w:t>
      </w:r>
      <w:r w:rsidR="003E5CB6" w:rsidRPr="00243817">
        <w:t xml:space="preserve"> can automate data analysis and downstream processing, giving the option to produce a heatmap </w:t>
      </w:r>
      <w:r w:rsidR="00236A70" w:rsidRPr="00243817">
        <w:t>summarizing</w:t>
      </w:r>
      <w:r w:rsidR="003E5CB6" w:rsidRPr="00243817">
        <w:t xml:space="preserve"> T</w:t>
      </w:r>
      <w:r w:rsidR="003E5CB6" w:rsidRPr="00243817">
        <w:rPr>
          <w:vertAlign w:val="subscript"/>
        </w:rPr>
        <w:t>m</w:t>
      </w:r>
      <w:r w:rsidR="003E5CB6" w:rsidRPr="00243817">
        <w:rPr>
          <w:vertAlign w:val="subscript"/>
        </w:rPr>
        <w:softHyphen/>
      </w:r>
      <w:r w:rsidR="003E5CB6" w:rsidRPr="00243817">
        <w:t xml:space="preserve"> values for the entire 96-well experiment</w:t>
      </w:r>
      <w:r w:rsidR="00730203" w:rsidRPr="00243817">
        <w:t xml:space="preserve"> (the accompanying reference provides guidance and resources for data processing with NAMI)</w:t>
      </w:r>
      <w:r w:rsidR="003E5CB6" w:rsidRPr="00243817">
        <w:t>.</w:t>
      </w:r>
    </w:p>
    <w:p w14:paraId="721641FA" w14:textId="77777777" w:rsidR="003E5CB6" w:rsidRPr="00243817" w:rsidRDefault="003E5CB6" w:rsidP="004F6460">
      <w:pPr>
        <w:pStyle w:val="af3"/>
      </w:pPr>
    </w:p>
    <w:p w14:paraId="496AB0B4" w14:textId="0DE687A0" w:rsidR="001C1E49" w:rsidRPr="00243817" w:rsidRDefault="003E5CB6" w:rsidP="004F6460">
      <w:pPr>
        <w:pStyle w:val="af3"/>
        <w:widowControl/>
        <w:numPr>
          <w:ilvl w:val="1"/>
          <w:numId w:val="26"/>
        </w:numPr>
        <w:autoSpaceDE/>
        <w:autoSpaceDN/>
        <w:adjustRightInd/>
      </w:pPr>
      <w:r w:rsidRPr="00243817">
        <w:t>Compare T</w:t>
      </w:r>
      <w:r w:rsidRPr="00243817">
        <w:rPr>
          <w:vertAlign w:val="subscript"/>
        </w:rPr>
        <w:t>m</w:t>
      </w:r>
      <w:r w:rsidRPr="00243817">
        <w:t xml:space="preserve"> values of all conditions surveyed.</w:t>
      </w:r>
      <w:r w:rsidR="00A053B2" w:rsidRPr="00243817">
        <w:t xml:space="preserve"> The </w:t>
      </w:r>
      <w:r w:rsidR="00BE4681" w:rsidRPr="00243817">
        <w:t>stability screens</w:t>
      </w:r>
      <w:r w:rsidR="00A053B2" w:rsidRPr="00243817">
        <w:t xml:space="preserve"> contain two wells in each screen (A1 and A2) that contain only water. Taking the water-only values as a benchmark allows </w:t>
      </w:r>
      <w:r w:rsidR="001F1BB8" w:rsidRPr="00243817">
        <w:t>calculation</w:t>
      </w:r>
      <w:r w:rsidR="00A053B2" w:rsidRPr="00243817">
        <w:t xml:space="preserve"> of </w:t>
      </w:r>
      <w:proofErr w:type="spellStart"/>
      <w:r w:rsidR="00A053B2" w:rsidRPr="00243817">
        <w:t>ΔT</w:t>
      </w:r>
      <w:r w:rsidR="00A053B2" w:rsidRPr="00243817">
        <w:rPr>
          <w:vertAlign w:val="subscript"/>
        </w:rPr>
        <w:t>m</w:t>
      </w:r>
      <w:proofErr w:type="spellEnd"/>
      <w:r w:rsidR="00A053B2" w:rsidRPr="00243817">
        <w:t xml:space="preserve"> values, addressing systematic errors and allowing easy comparison of stabili</w:t>
      </w:r>
      <w:r w:rsidR="005F421D" w:rsidRPr="00243817">
        <w:t>z</w:t>
      </w:r>
      <w:r w:rsidR="00A053B2" w:rsidRPr="00243817">
        <w:t>ing effects.</w:t>
      </w:r>
      <w:r w:rsidRPr="00243817">
        <w:t xml:space="preserve"> Higher T</w:t>
      </w:r>
      <w:r w:rsidRPr="00243817">
        <w:rPr>
          <w:vertAlign w:val="subscript"/>
        </w:rPr>
        <w:t>m</w:t>
      </w:r>
      <w:r w:rsidRPr="00243817">
        <w:t xml:space="preserve"> values indicate thermally stabili</w:t>
      </w:r>
      <w:r w:rsidR="005F421D" w:rsidRPr="00243817">
        <w:t>z</w:t>
      </w:r>
      <w:r w:rsidRPr="00243817">
        <w:t xml:space="preserve">ing conditions which are recommended for downstream use. Promising conditions often show a concentration dependence in their </w:t>
      </w:r>
      <w:r w:rsidR="00236A70" w:rsidRPr="00243817">
        <w:t>stabilization</w:t>
      </w:r>
      <w:r w:rsidR="00914BDB" w:rsidRPr="00243817">
        <w:t>.</w:t>
      </w:r>
    </w:p>
    <w:p w14:paraId="442879AA" w14:textId="7E813930" w:rsidR="00DC414E" w:rsidRPr="00243817" w:rsidRDefault="00DC414E" w:rsidP="004F6460">
      <w:pPr>
        <w:pStyle w:val="af3"/>
        <w:widowControl/>
        <w:autoSpaceDE/>
        <w:autoSpaceDN/>
        <w:adjustRightInd/>
        <w:ind w:left="0"/>
      </w:pPr>
    </w:p>
    <w:p w14:paraId="54D0F244" w14:textId="5FBB598D" w:rsidR="001A4D5B" w:rsidRPr="00243817" w:rsidRDefault="006305D7" w:rsidP="004F6460">
      <w:pPr>
        <w:pStyle w:val="a3"/>
        <w:spacing w:before="0" w:beforeAutospacing="0" w:after="0" w:afterAutospacing="0"/>
        <w:rPr>
          <w:rFonts w:asciiTheme="minorHAnsi" w:hAnsiTheme="minorHAnsi" w:cstheme="minorHAnsi"/>
          <w:b/>
          <w:bCs/>
        </w:rPr>
      </w:pPr>
      <w:r w:rsidRPr="00243817">
        <w:rPr>
          <w:rFonts w:asciiTheme="minorHAnsi" w:hAnsiTheme="minorHAnsi" w:cstheme="minorHAnsi"/>
          <w:b/>
        </w:rPr>
        <w:t>REPRESENTATIVE RESULTS</w:t>
      </w:r>
      <w:r w:rsidR="00EF1462" w:rsidRPr="00243817">
        <w:rPr>
          <w:rFonts w:asciiTheme="minorHAnsi" w:hAnsiTheme="minorHAnsi" w:cstheme="minorHAnsi"/>
          <w:b/>
        </w:rPr>
        <w:t>:</w:t>
      </w:r>
      <w:r w:rsidRPr="00243817">
        <w:rPr>
          <w:rFonts w:asciiTheme="minorHAnsi" w:hAnsiTheme="minorHAnsi" w:cstheme="minorHAnsi"/>
          <w:b/>
          <w:bCs/>
        </w:rPr>
        <w:t xml:space="preserve"> </w:t>
      </w:r>
    </w:p>
    <w:p w14:paraId="4353C940" w14:textId="2BA8DC61" w:rsidR="001A4D5B" w:rsidRPr="00243817" w:rsidRDefault="001A1CB8" w:rsidP="004F6460">
      <w:r w:rsidRPr="00243817">
        <w:t xml:space="preserve">Lysozyme was assayed with the </w:t>
      </w:r>
      <w:r w:rsidR="00BE4681" w:rsidRPr="00243817">
        <w:t>stability screens</w:t>
      </w:r>
      <w:r w:rsidRPr="00243817">
        <w:t xml:space="preserve"> and </w:t>
      </w:r>
      <w:r w:rsidR="00565446" w:rsidRPr="00243817">
        <w:t>Protein</w:t>
      </w:r>
      <w:r w:rsidR="00685BFF" w:rsidRPr="00243817">
        <w:t xml:space="preserve"> X</w:t>
      </w:r>
      <w:r w:rsidR="001A63E1" w:rsidRPr="00243817">
        <w:t>, a target protein in the Virus-X project,</w:t>
      </w:r>
      <w:r w:rsidR="00685BFF" w:rsidRPr="00243817">
        <w:t xml:space="preserve"> </w:t>
      </w:r>
      <w:r w:rsidRPr="00243817">
        <w:t xml:space="preserve">was assayed with the </w:t>
      </w:r>
      <w:r w:rsidR="00F95926" w:rsidRPr="00243817">
        <w:t>o</w:t>
      </w:r>
      <w:r w:rsidRPr="00243817">
        <w:t xml:space="preserve">smolyte </w:t>
      </w:r>
      <w:r w:rsidR="00B9593C" w:rsidRPr="00243817">
        <w:t>s</w:t>
      </w:r>
      <w:r w:rsidRPr="00243817">
        <w:t xml:space="preserve">creen. Both proteins </w:t>
      </w:r>
      <w:r w:rsidR="00AB0904" w:rsidRPr="00243817">
        <w:t xml:space="preserve">generally </w:t>
      </w:r>
      <w:r w:rsidRPr="00243817">
        <w:t xml:space="preserve">produced </w:t>
      </w:r>
      <w:r w:rsidR="00954AE7" w:rsidRPr="00243817">
        <w:t xml:space="preserve">melt </w:t>
      </w:r>
      <w:r w:rsidRPr="00243817">
        <w:t xml:space="preserve">curves with clearly-defined denaturation transitions in both </w:t>
      </w:r>
      <w:r w:rsidR="00FE4590" w:rsidRPr="00243817">
        <w:t xml:space="preserve">TSA </w:t>
      </w:r>
      <w:r w:rsidRPr="00243817">
        <w:t xml:space="preserve">and </w:t>
      </w:r>
      <w:proofErr w:type="spellStart"/>
      <w:r w:rsidRPr="00243817">
        <w:t>nanoDSF</w:t>
      </w:r>
      <w:proofErr w:type="spellEnd"/>
      <w:r w:rsidRPr="00243817">
        <w:t xml:space="preserve"> experiments (see accompanying figures for representative curves). </w:t>
      </w:r>
      <w:r w:rsidR="00685BFF" w:rsidRPr="00243817">
        <w:t xml:space="preserve">In a few cases where </w:t>
      </w:r>
      <w:r w:rsidR="00243817" w:rsidRPr="00243817">
        <w:t xml:space="preserve">the </w:t>
      </w:r>
      <w:r w:rsidR="00685BFF" w:rsidRPr="00243817">
        <w:t xml:space="preserve">samples </w:t>
      </w:r>
      <w:r w:rsidRPr="00243817">
        <w:t>that did not</w:t>
      </w:r>
      <w:r w:rsidR="00AB0904" w:rsidRPr="00243817">
        <w:t xml:space="preserve"> produce </w:t>
      </w:r>
      <w:r w:rsidR="00685BFF" w:rsidRPr="00243817">
        <w:t xml:space="preserve">interpretable </w:t>
      </w:r>
      <w:r w:rsidR="00AB0904" w:rsidRPr="00243817">
        <w:t>curves with a defined denaturation transition</w:t>
      </w:r>
      <w:r w:rsidRPr="00243817">
        <w:t xml:space="preserve"> were interpreted as </w:t>
      </w:r>
      <w:r w:rsidR="00AB0904" w:rsidRPr="00243817">
        <w:t>denatured and not included in T</w:t>
      </w:r>
      <w:r w:rsidR="00AB0904" w:rsidRPr="00243817">
        <w:rPr>
          <w:vertAlign w:val="subscript"/>
        </w:rPr>
        <w:t>m</w:t>
      </w:r>
      <w:r w:rsidR="00AB0904" w:rsidRPr="00243817">
        <w:t xml:space="preserve"> comparisons.</w:t>
      </w:r>
    </w:p>
    <w:p w14:paraId="06DD20BE" w14:textId="6A24041C" w:rsidR="007F1940" w:rsidRPr="00243817" w:rsidRDefault="001A4D5B" w:rsidP="004F6460">
      <w:pPr>
        <w:tabs>
          <w:tab w:val="left" w:pos="7920"/>
        </w:tabs>
      </w:pPr>
      <w:r w:rsidRPr="00243817">
        <w:tab/>
      </w:r>
    </w:p>
    <w:p w14:paraId="148F628D" w14:textId="286CEE88" w:rsidR="00B23F42" w:rsidRPr="00243817" w:rsidRDefault="00E53AE9" w:rsidP="004F6460">
      <w:r w:rsidRPr="00243817">
        <w:rPr>
          <w:b/>
        </w:rPr>
        <w:t>Figure 7</w:t>
      </w:r>
      <w:r w:rsidR="00B23F42" w:rsidRPr="00243817">
        <w:t xml:space="preserve"> shows sample results from the </w:t>
      </w:r>
      <w:r w:rsidR="00422BF8" w:rsidRPr="00243817">
        <w:t>s</w:t>
      </w:r>
      <w:r w:rsidR="00B23F42" w:rsidRPr="00243817">
        <w:t xml:space="preserve">alt </w:t>
      </w:r>
      <w:r w:rsidR="00AB0776" w:rsidRPr="00243817">
        <w:t>screen</w:t>
      </w:r>
      <w:r w:rsidR="00B23F42" w:rsidRPr="00243817">
        <w:t>, exemplifying the thermally-</w:t>
      </w:r>
      <w:proofErr w:type="spellStart"/>
      <w:r w:rsidR="00B23F42" w:rsidRPr="00243817">
        <w:t>stabilising</w:t>
      </w:r>
      <w:proofErr w:type="spellEnd"/>
      <w:r w:rsidR="00B23F42" w:rsidRPr="00243817">
        <w:t xml:space="preserve"> properties of ammonium chloride towards lysozyme. Concentration dependencies such as that shown above are often indicative of promising conditions, but it can be useful to compare the results of increasing ion concentration with several different salts to see if thermal </w:t>
      </w:r>
      <w:proofErr w:type="spellStart"/>
      <w:r w:rsidR="00B23F42" w:rsidRPr="00243817">
        <w:t>stabilisation</w:t>
      </w:r>
      <w:proofErr w:type="spellEnd"/>
      <w:r w:rsidR="00B23F42" w:rsidRPr="00243817">
        <w:t xml:space="preserve"> generally arises from an increase in buffer ionic strength or if the presence of specific ions confers additional stability. </w:t>
      </w:r>
    </w:p>
    <w:p w14:paraId="628BC930" w14:textId="77777777" w:rsidR="00EE2B8E" w:rsidRPr="00243817" w:rsidRDefault="00EE2B8E" w:rsidP="004F6460">
      <w:pPr>
        <w:rPr>
          <w:rFonts w:asciiTheme="minorHAnsi" w:eastAsiaTheme="minorHAnsi" w:hAnsiTheme="minorHAnsi" w:cstheme="minorBidi"/>
          <w:i/>
          <w:iCs/>
          <w:color w:val="1F497D" w:themeColor="text2"/>
          <w:sz w:val="18"/>
          <w:szCs w:val="18"/>
        </w:rPr>
      </w:pPr>
    </w:p>
    <w:p w14:paraId="2A7B4EB6" w14:textId="5D724E64" w:rsidR="00EA249B" w:rsidRPr="00243817" w:rsidRDefault="000F5741" w:rsidP="004F6460">
      <w:r w:rsidRPr="00243817">
        <w:t>Comparison of T</w:t>
      </w:r>
      <w:r w:rsidRPr="00243817">
        <w:rPr>
          <w:vertAlign w:val="subscript"/>
        </w:rPr>
        <w:t>m</w:t>
      </w:r>
      <w:r w:rsidRPr="00243817">
        <w:t xml:space="preserve"> values of lysozyme with </w:t>
      </w:r>
      <w:r w:rsidR="00E03047" w:rsidRPr="00243817">
        <w:t>t</w:t>
      </w:r>
      <w:r w:rsidRPr="00243817">
        <w:t xml:space="preserve">he pH </w:t>
      </w:r>
      <w:r w:rsidR="00B93BAC" w:rsidRPr="00243817">
        <w:t xml:space="preserve">screen </w:t>
      </w:r>
      <w:r w:rsidR="00EA249B" w:rsidRPr="00243817">
        <w:t>(</w:t>
      </w:r>
      <w:r w:rsidR="001C336D" w:rsidRPr="00243817">
        <w:rPr>
          <w:b/>
        </w:rPr>
        <w:t>Figure 8</w:t>
      </w:r>
      <w:r w:rsidR="00EA249B" w:rsidRPr="00243817">
        <w:t xml:space="preserve">) </w:t>
      </w:r>
      <w:r w:rsidRPr="00243817">
        <w:t xml:space="preserve">reveals </w:t>
      </w:r>
      <w:r w:rsidR="002E70A7" w:rsidRPr="00243817">
        <w:t>two</w:t>
      </w:r>
      <w:r w:rsidRPr="00243817">
        <w:t xml:space="preserve"> pieces of information. Firstly, there is a general trend of increasing stability with decreasing pH values. </w:t>
      </w:r>
      <w:r w:rsidR="007357FA" w:rsidRPr="00243817">
        <w:t>Secondly, the range of T</w:t>
      </w:r>
      <w:r w:rsidR="007357FA" w:rsidRPr="00243817">
        <w:rPr>
          <w:vertAlign w:val="subscript"/>
        </w:rPr>
        <w:t>m</w:t>
      </w:r>
      <w:r w:rsidR="007357FA" w:rsidRPr="00243817">
        <w:t xml:space="preserve"> values obtained using different buffer systems with </w:t>
      </w:r>
      <w:r w:rsidR="00494C8D" w:rsidRPr="00243817">
        <w:t xml:space="preserve">identical pH values can be significant. </w:t>
      </w:r>
    </w:p>
    <w:p w14:paraId="4686A61D" w14:textId="77777777" w:rsidR="00EE2B8E" w:rsidRPr="00243817" w:rsidRDefault="00EE2B8E" w:rsidP="004F6460"/>
    <w:p w14:paraId="7B55500A" w14:textId="35E0E4EE" w:rsidR="000C5428" w:rsidRPr="00243817" w:rsidRDefault="000C5428" w:rsidP="004F6460">
      <w:r w:rsidRPr="00243817">
        <w:t xml:space="preserve">Data in </w:t>
      </w:r>
      <w:r w:rsidR="008203EE" w:rsidRPr="00243817">
        <w:rPr>
          <w:b/>
        </w:rPr>
        <w:t>Figure 8</w:t>
      </w:r>
      <w:r w:rsidRPr="00243817">
        <w:t xml:space="preserve"> suggests that </w:t>
      </w:r>
      <w:r w:rsidR="00243817" w:rsidRPr="00243817">
        <w:t xml:space="preserve">the </w:t>
      </w:r>
      <w:r w:rsidRPr="00243817">
        <w:t xml:space="preserve">agreement between </w:t>
      </w:r>
      <w:r w:rsidR="0039257F" w:rsidRPr="00243817">
        <w:t>TSA</w:t>
      </w:r>
      <w:r w:rsidRPr="00243817">
        <w:t xml:space="preserve"> and </w:t>
      </w:r>
      <w:proofErr w:type="spellStart"/>
      <w:r w:rsidRPr="00243817">
        <w:t>nanoDSF</w:t>
      </w:r>
      <w:proofErr w:type="spellEnd"/>
      <w:r w:rsidRPr="00243817">
        <w:t xml:space="preserve"> in this experiment is generally good, but </w:t>
      </w:r>
      <w:proofErr w:type="spellStart"/>
      <w:r w:rsidRPr="00243817">
        <w:t>nanoDSF</w:t>
      </w:r>
      <w:proofErr w:type="spellEnd"/>
      <w:r w:rsidRPr="00243817">
        <w:t xml:space="preserve"> shows a tendency to identify slightly higher T</w:t>
      </w:r>
      <w:r w:rsidRPr="00243817">
        <w:rPr>
          <w:vertAlign w:val="subscript"/>
        </w:rPr>
        <w:t>m</w:t>
      </w:r>
      <w:r w:rsidRPr="00243817">
        <w:rPr>
          <w:vertAlign w:val="subscript"/>
        </w:rPr>
        <w:softHyphen/>
      </w:r>
      <w:r w:rsidRPr="00243817">
        <w:t xml:space="preserve"> values </w:t>
      </w:r>
      <w:r w:rsidR="00F47324" w:rsidRPr="00243817">
        <w:t>and slightly larger T</w:t>
      </w:r>
      <w:r w:rsidR="00F47324" w:rsidRPr="00243817">
        <w:rPr>
          <w:vertAlign w:val="subscript"/>
        </w:rPr>
        <w:t>m</w:t>
      </w:r>
      <w:r w:rsidR="00F47324" w:rsidRPr="00243817">
        <w:t xml:space="preserve"> shifts </w:t>
      </w:r>
      <w:r w:rsidRPr="00243817">
        <w:t xml:space="preserve">than </w:t>
      </w:r>
      <w:r w:rsidR="0039257F" w:rsidRPr="00243817">
        <w:t>TSA</w:t>
      </w:r>
      <w:r w:rsidRPr="00243817">
        <w:t>. However, some wells with pH values above 8.5 show large discrepancies between T</w:t>
      </w:r>
      <w:r w:rsidRPr="00243817">
        <w:rPr>
          <w:vertAlign w:val="subscript"/>
        </w:rPr>
        <w:t>m</w:t>
      </w:r>
      <w:r w:rsidRPr="00243817">
        <w:t xml:space="preserve"> values obtained from </w:t>
      </w:r>
      <w:r w:rsidR="0039257F" w:rsidRPr="00243817">
        <w:t>TSA</w:t>
      </w:r>
      <w:r w:rsidRPr="00243817">
        <w:t xml:space="preserve"> and </w:t>
      </w:r>
      <w:proofErr w:type="spellStart"/>
      <w:r w:rsidRPr="00243817">
        <w:t>nanoDSF</w:t>
      </w:r>
      <w:proofErr w:type="spellEnd"/>
      <w:r w:rsidRPr="00243817">
        <w:t xml:space="preserve">. Differences could potentially be attributed to the denaturation mechanism of the protein at different pH values; for example, </w:t>
      </w:r>
      <w:r w:rsidR="00A2015E" w:rsidRPr="00243817">
        <w:t>a hydrophobicity-</w:t>
      </w:r>
      <w:r w:rsidR="00B5015F" w:rsidRPr="00243817">
        <w:t>sensitive</w:t>
      </w:r>
      <w:r w:rsidR="00A2015E" w:rsidRPr="00243817">
        <w:t xml:space="preserve"> dye</w:t>
      </w:r>
      <w:r w:rsidRPr="00243817">
        <w:t xml:space="preserve"> could give a comparatively low T</w:t>
      </w:r>
      <w:r w:rsidRPr="00243817">
        <w:rPr>
          <w:vertAlign w:val="subscript"/>
        </w:rPr>
        <w:t>m</w:t>
      </w:r>
      <w:r w:rsidRPr="00243817">
        <w:rPr>
          <w:vertAlign w:val="subscript"/>
        </w:rPr>
        <w:softHyphen/>
      </w:r>
      <w:r w:rsidRPr="00243817">
        <w:t xml:space="preserve"> reading if hydrophobic regions of a protein become exposed to solvent significantly faster than the environment of tryptophan residues changes in polarity.</w:t>
      </w:r>
    </w:p>
    <w:p w14:paraId="492361D1" w14:textId="77777777" w:rsidR="000F5741" w:rsidRPr="00243817" w:rsidRDefault="000F5741" w:rsidP="004F6460"/>
    <w:p w14:paraId="0AB06C3C" w14:textId="78249AA4" w:rsidR="00A91504" w:rsidRPr="00243817" w:rsidRDefault="00A35CFA" w:rsidP="004F6460">
      <w:pPr>
        <w:rPr>
          <w:b/>
        </w:rPr>
      </w:pPr>
      <w:r w:rsidRPr="00243817">
        <w:rPr>
          <w:b/>
        </w:rPr>
        <w:t>Figure 9</w:t>
      </w:r>
      <w:r w:rsidR="0031550F" w:rsidRPr="00243817">
        <w:t xml:space="preserve"> shows a heatmap of T</w:t>
      </w:r>
      <w:r w:rsidR="0031550F" w:rsidRPr="00243817">
        <w:rPr>
          <w:vertAlign w:val="subscript"/>
        </w:rPr>
        <w:t>m</w:t>
      </w:r>
      <w:r w:rsidR="0031550F" w:rsidRPr="00243817">
        <w:rPr>
          <w:vertAlign w:val="subscript"/>
        </w:rPr>
        <w:softHyphen/>
      </w:r>
      <w:r w:rsidR="0031550F" w:rsidRPr="00243817">
        <w:t xml:space="preserve"> values obtained with lysozyme using </w:t>
      </w:r>
      <w:r w:rsidR="004A64DB" w:rsidRPr="00243817">
        <w:t>the</w:t>
      </w:r>
      <w:r w:rsidR="0031550F" w:rsidRPr="00243817">
        <w:t xml:space="preserve"> </w:t>
      </w:r>
      <w:r w:rsidR="004A64DB" w:rsidRPr="00243817">
        <w:t xml:space="preserve">osmolyte </w:t>
      </w:r>
      <w:r w:rsidR="0031550F" w:rsidRPr="00243817">
        <w:t>screen. Conditions with the highest T</w:t>
      </w:r>
      <w:r w:rsidR="0031550F" w:rsidRPr="00243817">
        <w:rPr>
          <w:vertAlign w:val="subscript"/>
        </w:rPr>
        <w:t>m</w:t>
      </w:r>
      <w:r w:rsidR="0031550F" w:rsidRPr="00243817">
        <w:t xml:space="preserve"> increases compared to the control wells (wells A1 and A2, containing </w:t>
      </w:r>
      <w:r w:rsidR="0073482A" w:rsidRPr="00243817">
        <w:t>deioni</w:t>
      </w:r>
      <w:r w:rsidR="00243817" w:rsidRPr="00243817">
        <w:t>z</w:t>
      </w:r>
      <w:r w:rsidR="0073482A" w:rsidRPr="00243817">
        <w:t xml:space="preserve">ed </w:t>
      </w:r>
      <w:r w:rsidR="0031550F" w:rsidRPr="00243817">
        <w:t xml:space="preserve">water) are colored dark blue. Especially </w:t>
      </w:r>
      <w:r w:rsidR="0073482A" w:rsidRPr="00243817">
        <w:t>stabili</w:t>
      </w:r>
      <w:r w:rsidR="00243817" w:rsidRPr="00243817">
        <w:t>z</w:t>
      </w:r>
      <w:r w:rsidR="0073482A" w:rsidRPr="00243817">
        <w:t xml:space="preserve">ing </w:t>
      </w:r>
      <w:r w:rsidR="0031550F" w:rsidRPr="00243817">
        <w:t xml:space="preserve">conditions identified in </w:t>
      </w:r>
      <w:r w:rsidR="008118E7" w:rsidRPr="00243817">
        <w:rPr>
          <w:b/>
        </w:rPr>
        <w:t>Figure 9</w:t>
      </w:r>
      <w:r w:rsidR="0031550F" w:rsidRPr="00243817">
        <w:t xml:space="preserve"> include glycerol, 1 M D-sorbitol, 100 mM </w:t>
      </w:r>
      <w:proofErr w:type="spellStart"/>
      <w:r w:rsidR="0031550F" w:rsidRPr="00243817">
        <w:t>hypotaurine</w:t>
      </w:r>
      <w:proofErr w:type="spellEnd"/>
      <w:r w:rsidR="0031550F" w:rsidRPr="00243817">
        <w:t xml:space="preserve"> and 10 mM Ala-</w:t>
      </w:r>
      <w:proofErr w:type="spellStart"/>
      <w:r w:rsidR="0031550F" w:rsidRPr="00243817">
        <w:t>Gly</w:t>
      </w:r>
      <w:proofErr w:type="spellEnd"/>
      <w:r w:rsidR="0031550F" w:rsidRPr="00243817">
        <w:t xml:space="preserve"> (wells A4-A6, A9, E7 and F8, respectively).</w:t>
      </w:r>
      <w:r w:rsidR="00FE4590" w:rsidRPr="00243817">
        <w:t xml:space="preserve"> </w:t>
      </w:r>
    </w:p>
    <w:p w14:paraId="0F4B20A5" w14:textId="77777777" w:rsidR="00EE2B8E" w:rsidRPr="00243817" w:rsidRDefault="00EE2B8E" w:rsidP="004F6460"/>
    <w:p w14:paraId="0648F3DF" w14:textId="7D037883" w:rsidR="00A32D7E" w:rsidRPr="00243817" w:rsidRDefault="00482035" w:rsidP="004F6460">
      <w:r w:rsidRPr="00243817">
        <w:rPr>
          <w:b/>
        </w:rPr>
        <w:t>Figure 10</w:t>
      </w:r>
      <w:r w:rsidR="00A32D7E" w:rsidRPr="00243817">
        <w:t xml:space="preserve"> shows a heatmap of T</w:t>
      </w:r>
      <w:r w:rsidR="00A32D7E" w:rsidRPr="00243817">
        <w:rPr>
          <w:vertAlign w:val="subscript"/>
        </w:rPr>
        <w:t>m</w:t>
      </w:r>
      <w:r w:rsidR="00A32D7E" w:rsidRPr="00243817">
        <w:rPr>
          <w:vertAlign w:val="subscript"/>
        </w:rPr>
        <w:softHyphen/>
      </w:r>
      <w:r w:rsidR="00A32D7E" w:rsidRPr="00243817">
        <w:t xml:space="preserve"> values obtained with </w:t>
      </w:r>
      <w:r w:rsidR="00BB72E7" w:rsidRPr="00243817">
        <w:t>Protein X</w:t>
      </w:r>
      <w:r w:rsidR="00A32D7E" w:rsidRPr="00243817">
        <w:t xml:space="preserve">. </w:t>
      </w:r>
      <w:r w:rsidR="00576F91" w:rsidRPr="00243817">
        <w:t xml:space="preserve">TSA and </w:t>
      </w:r>
      <w:proofErr w:type="spellStart"/>
      <w:r w:rsidR="00576F91" w:rsidRPr="00243817">
        <w:t>nanoDSF</w:t>
      </w:r>
      <w:proofErr w:type="spellEnd"/>
      <w:r w:rsidR="00576F91" w:rsidRPr="00243817">
        <w:t xml:space="preserve"> </w:t>
      </w:r>
      <w:r w:rsidR="00A32D7E" w:rsidRPr="00243817">
        <w:t>experiments with the Osmolyte screen reveal that the majority of osmolytes tested give either a minor increase in T</w:t>
      </w:r>
      <w:r w:rsidR="00A32D7E" w:rsidRPr="00243817">
        <w:rPr>
          <w:vertAlign w:val="subscript"/>
        </w:rPr>
        <w:t>m</w:t>
      </w:r>
      <w:r w:rsidR="00A32D7E" w:rsidRPr="00243817">
        <w:t xml:space="preserve"> (within 1 </w:t>
      </w:r>
      <w:r w:rsidR="00A32D7E" w:rsidRPr="00243817">
        <w:rPr>
          <w:rFonts w:ascii="Arial" w:hAnsi="Arial" w:cs="Arial"/>
        </w:rPr>
        <w:t>°</w:t>
      </w:r>
      <w:r w:rsidR="00A32D7E" w:rsidRPr="00243817">
        <w:t xml:space="preserve">C) or have a detrimental effect on </w:t>
      </w:r>
      <w:r w:rsidR="00BB72E7" w:rsidRPr="00243817">
        <w:t>Protein X</w:t>
      </w:r>
      <w:r w:rsidR="00A32D7E" w:rsidRPr="00243817">
        <w:t xml:space="preserve">’s stability. </w:t>
      </w:r>
      <w:proofErr w:type="gramStart"/>
      <w:r w:rsidR="00A32D7E" w:rsidRPr="00243817">
        <w:t xml:space="preserve">In particular, </w:t>
      </w:r>
      <w:proofErr w:type="spellStart"/>
      <w:r w:rsidR="00A32D7E" w:rsidRPr="00243817">
        <w:t>dipicolinic</w:t>
      </w:r>
      <w:proofErr w:type="spellEnd"/>
      <w:proofErr w:type="gramEnd"/>
      <w:r w:rsidR="00A32D7E" w:rsidRPr="00243817">
        <w:t xml:space="preserve"> acid at a concentration of 10 mM (well D1) appears to denature the sample at room temperature. The </w:t>
      </w:r>
      <w:r w:rsidR="001463F1" w:rsidRPr="00243817">
        <w:t xml:space="preserve">TSA and </w:t>
      </w:r>
      <w:proofErr w:type="spellStart"/>
      <w:r w:rsidR="001463F1" w:rsidRPr="00243817">
        <w:t>nanoDSF</w:t>
      </w:r>
      <w:proofErr w:type="spellEnd"/>
      <w:r w:rsidR="001463F1" w:rsidRPr="00243817">
        <w:t xml:space="preserve"> </w:t>
      </w:r>
      <w:r w:rsidR="00A32D7E" w:rsidRPr="00243817">
        <w:t>result</w:t>
      </w:r>
      <w:r w:rsidR="001463F1" w:rsidRPr="00243817">
        <w:t>s</w:t>
      </w:r>
      <w:r w:rsidR="00A32D7E" w:rsidRPr="00243817">
        <w:t xml:space="preserve"> quickly identif</w:t>
      </w:r>
      <w:r w:rsidR="001463F1" w:rsidRPr="00243817">
        <w:t>y</w:t>
      </w:r>
      <w:r w:rsidR="00A32D7E" w:rsidRPr="00243817">
        <w:t xml:space="preserve"> </w:t>
      </w:r>
      <w:proofErr w:type="spellStart"/>
      <w:r w:rsidR="00A32D7E" w:rsidRPr="00243817">
        <w:t>dipicolinic</w:t>
      </w:r>
      <w:proofErr w:type="spellEnd"/>
      <w:r w:rsidR="00A32D7E" w:rsidRPr="00243817">
        <w:t xml:space="preserve"> acid as an incompatible additive for </w:t>
      </w:r>
      <w:r w:rsidR="00BB72E7" w:rsidRPr="00243817">
        <w:t>Protein X</w:t>
      </w:r>
      <w:r w:rsidR="00A32D7E" w:rsidRPr="00243817">
        <w:t xml:space="preserve"> which should be avoided when working with the protein. Nevertheless, high concentrations of D-sorbitol and arabinose (wells A9 and B9, both at 1 M) as well as glycerol and TMAO (wells A4-A6 and E1, respectively) were identified as thermally-stabili</w:t>
      </w:r>
      <w:r w:rsidR="006557CC">
        <w:t>z</w:t>
      </w:r>
      <w:r w:rsidR="00A32D7E" w:rsidRPr="00243817">
        <w:t>ing.</w:t>
      </w:r>
    </w:p>
    <w:p w14:paraId="2FC186B7" w14:textId="77777777" w:rsidR="00EE2B8E" w:rsidRPr="00243817" w:rsidRDefault="00EE2B8E" w:rsidP="004F6460">
      <w:pPr>
        <w:rPr>
          <w:b/>
        </w:rPr>
      </w:pPr>
    </w:p>
    <w:p w14:paraId="0DEBD845" w14:textId="51CCB7BF" w:rsidR="00744329" w:rsidRPr="00243817" w:rsidRDefault="00744329" w:rsidP="004F6460">
      <w:r w:rsidRPr="00243817">
        <w:t xml:space="preserve">For lysozyme, </w:t>
      </w:r>
      <w:r w:rsidR="00936F36" w:rsidRPr="00243817">
        <w:t>combinations of</w:t>
      </w:r>
      <w:r w:rsidRPr="00243817">
        <w:t xml:space="preserve"> conditions yielding the highest T</w:t>
      </w:r>
      <w:r w:rsidRPr="00243817">
        <w:rPr>
          <w:vertAlign w:val="subscript"/>
        </w:rPr>
        <w:t>m</w:t>
      </w:r>
      <w:r w:rsidRPr="00243817">
        <w:t xml:space="preserve"> values </w:t>
      </w:r>
      <w:r w:rsidR="00E34A4E" w:rsidRPr="00243817">
        <w:t xml:space="preserve">from each </w:t>
      </w:r>
      <w:r w:rsidR="00342936" w:rsidRPr="00243817">
        <w:t>stability s</w:t>
      </w:r>
      <w:r w:rsidR="00E34A4E" w:rsidRPr="00243817">
        <w:t xml:space="preserve">creen </w:t>
      </w:r>
      <w:r w:rsidRPr="00243817">
        <w:t xml:space="preserve">were </w:t>
      </w:r>
      <w:r w:rsidR="00936F36" w:rsidRPr="00243817">
        <w:t>tested</w:t>
      </w:r>
      <w:r w:rsidRPr="00243817">
        <w:t xml:space="preserve"> to probe for </w:t>
      </w:r>
      <w:r w:rsidR="00C27546" w:rsidRPr="00243817">
        <w:t>a synergistic combined effect.</w:t>
      </w:r>
      <w:r w:rsidR="008C4677" w:rsidRPr="00243817">
        <w:t xml:space="preserve"> </w:t>
      </w:r>
      <w:r w:rsidR="00D06467" w:rsidRPr="006557CC">
        <w:rPr>
          <w:b/>
        </w:rPr>
        <w:t>Figure 11</w:t>
      </w:r>
      <w:r w:rsidR="00957546" w:rsidRPr="00243817">
        <w:t xml:space="preserve"> </w:t>
      </w:r>
      <w:r w:rsidR="00950C3F" w:rsidRPr="00243817">
        <w:t>shows</w:t>
      </w:r>
      <w:r w:rsidR="008C4677" w:rsidRPr="00243817">
        <w:t xml:space="preserve"> a</w:t>
      </w:r>
      <w:r w:rsidR="00950C3F" w:rsidRPr="00243817">
        <w:t xml:space="preserve"> general increase in T</w:t>
      </w:r>
      <w:r w:rsidR="00950C3F" w:rsidRPr="00243817">
        <w:rPr>
          <w:vertAlign w:val="subscript"/>
        </w:rPr>
        <w:t>m</w:t>
      </w:r>
      <w:r w:rsidR="00950C3F" w:rsidRPr="00243817">
        <w:t xml:space="preserve"> values as more components of the buffer system (pH, salt and osmolyte) are added. In the case of MES, ammonium sulphate and D-sorbitol, a T</w:t>
      </w:r>
      <w:r w:rsidR="00950C3F" w:rsidRPr="00243817">
        <w:rPr>
          <w:vertAlign w:val="subscript"/>
        </w:rPr>
        <w:t>m</w:t>
      </w:r>
      <w:r w:rsidR="00950C3F" w:rsidRPr="00243817">
        <w:t xml:space="preserve"> increase as large as 10 </w:t>
      </w:r>
      <w:r w:rsidR="00950C3F" w:rsidRPr="006557CC">
        <w:t>°</w:t>
      </w:r>
      <w:r w:rsidR="00950C3F" w:rsidRPr="00243817">
        <w:t xml:space="preserve">C can be observed when all components are present compared to MES alone. </w:t>
      </w:r>
      <w:r w:rsidR="009947F3" w:rsidRPr="006557CC">
        <w:rPr>
          <w:b/>
        </w:rPr>
        <w:t>Figure 11</w:t>
      </w:r>
      <w:r w:rsidR="009947F3" w:rsidRPr="00243817">
        <w:t xml:space="preserve"> shows that a noticeable synergistic effect can occur when individual components of a buffer are optimi</w:t>
      </w:r>
      <w:r w:rsidR="006557CC">
        <w:t>z</w:t>
      </w:r>
      <w:r w:rsidR="009947F3" w:rsidRPr="00243817">
        <w:t xml:space="preserve">ed and combined with the </w:t>
      </w:r>
      <w:r w:rsidR="00E9706F" w:rsidRPr="00243817">
        <w:t xml:space="preserve">stability </w:t>
      </w:r>
      <w:r w:rsidR="00B93BAC" w:rsidRPr="00243817">
        <w:t>screens</w:t>
      </w:r>
      <w:r w:rsidR="009947F3" w:rsidRPr="00243817">
        <w:t>.</w:t>
      </w:r>
    </w:p>
    <w:p w14:paraId="4DBA94EA" w14:textId="69C6965C" w:rsidR="00F73254" w:rsidRPr="00243817" w:rsidRDefault="00F73254" w:rsidP="004F6460"/>
    <w:p w14:paraId="02833D23" w14:textId="49B1DD87" w:rsidR="00F73254" w:rsidRPr="00243817" w:rsidRDefault="00F56CC3" w:rsidP="004F6460">
      <w:r w:rsidRPr="00243817">
        <w:t xml:space="preserve">On a more general note, </w:t>
      </w:r>
      <w:r w:rsidRPr="006557CC">
        <w:rPr>
          <w:b/>
        </w:rPr>
        <w:t>Figure 11</w:t>
      </w:r>
      <w:r w:rsidRPr="00243817">
        <w:t xml:space="preserve"> also illustrate</w:t>
      </w:r>
      <w:r w:rsidR="00ED3FC8" w:rsidRPr="00243817">
        <w:t xml:space="preserve">s the magnitude of </w:t>
      </w:r>
      <w:proofErr w:type="spellStart"/>
      <w:r w:rsidR="00ED3FC8" w:rsidRPr="00243817">
        <w:t>ΔT</w:t>
      </w:r>
      <w:r w:rsidR="00ED3FC8" w:rsidRPr="00243817">
        <w:rPr>
          <w:vertAlign w:val="subscript"/>
        </w:rPr>
        <w:t>m</w:t>
      </w:r>
      <w:proofErr w:type="spellEnd"/>
      <w:r w:rsidR="00ED3FC8" w:rsidRPr="00243817">
        <w:t xml:space="preserve"> values that can be observed in TSA and </w:t>
      </w:r>
      <w:proofErr w:type="spellStart"/>
      <w:r w:rsidR="00ED3FC8" w:rsidRPr="00243817">
        <w:t>nanoDSF</w:t>
      </w:r>
      <w:proofErr w:type="spellEnd"/>
      <w:r w:rsidR="00ED3FC8" w:rsidRPr="00243817">
        <w:t xml:space="preserve"> experiments.</w:t>
      </w:r>
      <w:r w:rsidR="00F03DFD" w:rsidRPr="00243817">
        <w:t xml:space="preserve"> The magnitude of </w:t>
      </w:r>
      <w:proofErr w:type="spellStart"/>
      <w:r w:rsidR="00152E0C" w:rsidRPr="00243817">
        <w:t>ΔT</w:t>
      </w:r>
      <w:r w:rsidR="00152E0C" w:rsidRPr="00243817">
        <w:rPr>
          <w:vertAlign w:val="subscript"/>
        </w:rPr>
        <w:t>m</w:t>
      </w:r>
      <w:proofErr w:type="spellEnd"/>
      <w:r w:rsidR="00152E0C" w:rsidRPr="00243817">
        <w:t xml:space="preserve"> achievable varies significantly based on the protein system, but any </w:t>
      </w:r>
      <w:proofErr w:type="spellStart"/>
      <w:r w:rsidR="00152E0C" w:rsidRPr="00243817">
        <w:t>ΔT</w:t>
      </w:r>
      <w:r w:rsidR="00152E0C" w:rsidRPr="00243817">
        <w:rPr>
          <w:vertAlign w:val="subscript"/>
        </w:rPr>
        <w:t>m</w:t>
      </w:r>
      <w:proofErr w:type="spellEnd"/>
      <w:r w:rsidR="00152E0C" w:rsidRPr="00243817">
        <w:t xml:space="preserve"> value around and above 5 </w:t>
      </w:r>
      <w:r w:rsidR="00152E0C" w:rsidRPr="006557CC">
        <w:t>°</w:t>
      </w:r>
      <w:r w:rsidR="00152E0C" w:rsidRPr="00243817">
        <w:t>C is often indicative of a beneficial stabili</w:t>
      </w:r>
      <w:r w:rsidR="006557CC">
        <w:t>z</w:t>
      </w:r>
      <w:r w:rsidR="00152E0C" w:rsidRPr="00243817">
        <w:t>ing effect.</w:t>
      </w:r>
    </w:p>
    <w:p w14:paraId="60A89E5E" w14:textId="4F145D30" w:rsidR="00E7444D" w:rsidRPr="00243817" w:rsidRDefault="00E7444D" w:rsidP="004F6460"/>
    <w:p w14:paraId="2E74DD45" w14:textId="3F4CB559" w:rsidR="00B13E23" w:rsidRPr="00243817" w:rsidRDefault="00B13E23" w:rsidP="004F6460">
      <w:pPr>
        <w:rPr>
          <w:rFonts w:asciiTheme="minorHAnsi" w:hAnsiTheme="minorHAnsi" w:cstheme="minorHAnsi"/>
          <w:bCs/>
          <w:color w:val="auto"/>
        </w:rPr>
      </w:pPr>
      <w:r w:rsidRPr="00243817">
        <w:rPr>
          <w:rFonts w:asciiTheme="minorHAnsi" w:hAnsiTheme="minorHAnsi" w:cstheme="minorHAnsi"/>
          <w:b/>
          <w:color w:val="auto"/>
        </w:rPr>
        <w:t>FIGURE AND TABLE LEGENDS:</w:t>
      </w:r>
      <w:r w:rsidRPr="00243817">
        <w:rPr>
          <w:rFonts w:asciiTheme="minorHAnsi" w:hAnsiTheme="minorHAnsi" w:cstheme="minorHAnsi"/>
          <w:color w:val="auto"/>
        </w:rPr>
        <w:t xml:space="preserve"> </w:t>
      </w:r>
    </w:p>
    <w:p w14:paraId="54596560" w14:textId="1461E1CE" w:rsidR="00B13E23" w:rsidRPr="00243817" w:rsidRDefault="00B13E23" w:rsidP="004F6460">
      <w:pPr>
        <w:rPr>
          <w:rFonts w:asciiTheme="minorHAnsi" w:hAnsiTheme="minorHAnsi" w:cstheme="minorHAnsi"/>
          <w:color w:val="auto"/>
        </w:rPr>
      </w:pPr>
      <w:r w:rsidRPr="00243817">
        <w:rPr>
          <w:rFonts w:asciiTheme="minorHAnsi" w:hAnsiTheme="minorHAnsi" w:cstheme="minorHAnsi"/>
          <w:b/>
          <w:color w:val="auto"/>
        </w:rPr>
        <w:t>Figure 1</w:t>
      </w:r>
      <w:r w:rsidR="00AF77FD" w:rsidRPr="00243817">
        <w:rPr>
          <w:rFonts w:asciiTheme="minorHAnsi" w:hAnsiTheme="minorHAnsi" w:cstheme="minorHAnsi"/>
          <w:color w:val="auto"/>
        </w:rPr>
        <w:t>:</w:t>
      </w:r>
      <w:r w:rsidRPr="00243817">
        <w:rPr>
          <w:rFonts w:asciiTheme="minorHAnsi" w:hAnsiTheme="minorHAnsi" w:cstheme="minorHAnsi"/>
          <w:color w:val="auto"/>
        </w:rPr>
        <w:t xml:space="preserve"> </w:t>
      </w:r>
      <w:r w:rsidRPr="00243817">
        <w:rPr>
          <w:rFonts w:asciiTheme="minorHAnsi" w:hAnsiTheme="minorHAnsi" w:cstheme="minorHAnsi"/>
          <w:b/>
          <w:color w:val="auto"/>
        </w:rPr>
        <w:t xml:space="preserve">Bioprospecting. </w:t>
      </w:r>
      <w:r w:rsidRPr="00243817">
        <w:rPr>
          <w:rFonts w:asciiTheme="minorHAnsi" w:hAnsiTheme="minorHAnsi" w:cstheme="minorHAnsi"/>
          <w:color w:val="auto"/>
        </w:rPr>
        <w:t>Sample collection from an extreme environment in the Virus-X Project</w:t>
      </w:r>
      <w:r w:rsidR="001E4C29" w:rsidRPr="00243817">
        <w:rPr>
          <w:rFonts w:asciiTheme="minorHAnsi" w:hAnsiTheme="minorHAnsi" w:cstheme="minorHAnsi"/>
          <w:color w:val="auto"/>
        </w:rPr>
        <w:t>.</w:t>
      </w:r>
    </w:p>
    <w:p w14:paraId="60AB01BA" w14:textId="77777777" w:rsidR="001E4C29" w:rsidRPr="00243817" w:rsidRDefault="001E4C29" w:rsidP="004F6460">
      <w:pPr>
        <w:rPr>
          <w:rFonts w:asciiTheme="minorHAnsi" w:hAnsiTheme="minorHAnsi" w:cstheme="minorHAnsi"/>
          <w:b/>
          <w:color w:val="auto"/>
        </w:rPr>
      </w:pPr>
    </w:p>
    <w:p w14:paraId="0492EE64" w14:textId="777933E5" w:rsidR="00B13E23" w:rsidRPr="00243817" w:rsidRDefault="00B13E23" w:rsidP="004F6460">
      <w:pPr>
        <w:rPr>
          <w:rFonts w:asciiTheme="minorHAnsi" w:hAnsiTheme="minorHAnsi" w:cstheme="minorHAnsi"/>
          <w:color w:val="auto"/>
        </w:rPr>
      </w:pPr>
      <w:r w:rsidRPr="00243817">
        <w:rPr>
          <w:rFonts w:asciiTheme="minorHAnsi" w:hAnsiTheme="minorHAnsi" w:cstheme="minorHAnsi"/>
          <w:b/>
          <w:color w:val="auto"/>
        </w:rPr>
        <w:t>Figure 2</w:t>
      </w:r>
      <w:r w:rsidR="00AF77FD" w:rsidRPr="00243817">
        <w:rPr>
          <w:rFonts w:asciiTheme="minorHAnsi" w:hAnsiTheme="minorHAnsi" w:cstheme="minorHAnsi"/>
          <w:b/>
          <w:color w:val="auto"/>
        </w:rPr>
        <w:t>:</w:t>
      </w:r>
      <w:r w:rsidRPr="00243817">
        <w:rPr>
          <w:rFonts w:asciiTheme="minorHAnsi" w:hAnsiTheme="minorHAnsi" w:cstheme="minorHAnsi"/>
          <w:color w:val="auto"/>
        </w:rPr>
        <w:t xml:space="preserve"> </w:t>
      </w:r>
      <w:r w:rsidRPr="00243817">
        <w:rPr>
          <w:rFonts w:asciiTheme="minorHAnsi" w:hAnsiTheme="minorHAnsi" w:cstheme="minorHAnsi"/>
          <w:b/>
          <w:color w:val="auto"/>
        </w:rPr>
        <w:t xml:space="preserve">TSA </w:t>
      </w:r>
      <w:r w:rsidR="00635E0B" w:rsidRPr="00243817">
        <w:rPr>
          <w:rFonts w:asciiTheme="minorHAnsi" w:hAnsiTheme="minorHAnsi" w:cstheme="minorHAnsi"/>
          <w:b/>
          <w:color w:val="auto"/>
        </w:rPr>
        <w:t>schematic</w:t>
      </w:r>
      <w:r w:rsidRPr="00243817">
        <w:rPr>
          <w:rFonts w:asciiTheme="minorHAnsi" w:hAnsiTheme="minorHAnsi" w:cstheme="minorHAnsi"/>
          <w:b/>
          <w:color w:val="auto"/>
        </w:rPr>
        <w:t xml:space="preserve">. </w:t>
      </w:r>
      <w:r w:rsidRPr="00243817">
        <w:rPr>
          <w:rFonts w:asciiTheme="minorHAnsi" w:hAnsiTheme="minorHAnsi" w:cstheme="minorHAnsi"/>
          <w:color w:val="auto"/>
        </w:rPr>
        <w:t xml:space="preserve">Annotated example of a </w:t>
      </w:r>
      <w:r w:rsidR="00E94453" w:rsidRPr="00243817">
        <w:rPr>
          <w:rFonts w:asciiTheme="minorHAnsi" w:hAnsiTheme="minorHAnsi" w:cstheme="minorHAnsi"/>
          <w:color w:val="auto"/>
        </w:rPr>
        <w:t xml:space="preserve">typical </w:t>
      </w:r>
      <w:r w:rsidRPr="00243817">
        <w:rPr>
          <w:rFonts w:asciiTheme="minorHAnsi" w:hAnsiTheme="minorHAnsi" w:cstheme="minorHAnsi"/>
          <w:color w:val="auto"/>
        </w:rPr>
        <w:t>melt curve obtained from a TSA experiment. This curve is characteristic of classic “two-state” protein unfolding, where the sample population transitions from folded to denatured without detectable partially-folded intermediates.</w:t>
      </w:r>
    </w:p>
    <w:p w14:paraId="7D87B100" w14:textId="77777777" w:rsidR="001E4C29" w:rsidRPr="00243817" w:rsidRDefault="001E4C29" w:rsidP="004F6460">
      <w:pPr>
        <w:rPr>
          <w:rFonts w:asciiTheme="minorHAnsi" w:hAnsiTheme="minorHAnsi" w:cstheme="minorHAnsi"/>
          <w:color w:val="auto"/>
        </w:rPr>
      </w:pPr>
    </w:p>
    <w:p w14:paraId="13D035FE" w14:textId="674D1DD7" w:rsidR="00B13E23" w:rsidRPr="00243817" w:rsidRDefault="00B13E23" w:rsidP="004F6460">
      <w:pPr>
        <w:rPr>
          <w:rFonts w:asciiTheme="minorHAnsi" w:hAnsiTheme="minorHAnsi" w:cstheme="minorHAnsi"/>
          <w:color w:val="auto"/>
        </w:rPr>
      </w:pPr>
      <w:r w:rsidRPr="00243817">
        <w:rPr>
          <w:rFonts w:asciiTheme="minorHAnsi" w:hAnsiTheme="minorHAnsi" w:cstheme="minorHAnsi"/>
          <w:b/>
          <w:color w:val="auto"/>
        </w:rPr>
        <w:t>Figure 3</w:t>
      </w:r>
      <w:r w:rsidR="00AF77FD" w:rsidRPr="00243817">
        <w:rPr>
          <w:rFonts w:asciiTheme="minorHAnsi" w:hAnsiTheme="minorHAnsi" w:cstheme="minorHAnsi"/>
          <w:b/>
          <w:color w:val="auto"/>
        </w:rPr>
        <w:t>:</w:t>
      </w:r>
      <w:r w:rsidRPr="00243817">
        <w:rPr>
          <w:rFonts w:asciiTheme="minorHAnsi" w:hAnsiTheme="minorHAnsi" w:cstheme="minorHAnsi"/>
          <w:b/>
          <w:color w:val="auto"/>
        </w:rPr>
        <w:t xml:space="preserve"> </w:t>
      </w:r>
      <w:r w:rsidR="00736343" w:rsidRPr="00243817">
        <w:rPr>
          <w:rFonts w:asciiTheme="minorHAnsi" w:hAnsiTheme="minorHAnsi" w:cstheme="minorHAnsi"/>
          <w:b/>
          <w:color w:val="auto"/>
        </w:rPr>
        <w:t xml:space="preserve">Stability </w:t>
      </w:r>
      <w:r w:rsidR="00635E0B" w:rsidRPr="00243817">
        <w:rPr>
          <w:rFonts w:asciiTheme="minorHAnsi" w:hAnsiTheme="minorHAnsi" w:cstheme="minorHAnsi"/>
          <w:b/>
          <w:color w:val="auto"/>
        </w:rPr>
        <w:t>screens w</w:t>
      </w:r>
      <w:r w:rsidR="002249D8" w:rsidRPr="00243817">
        <w:rPr>
          <w:rFonts w:asciiTheme="minorHAnsi" w:hAnsiTheme="minorHAnsi" w:cstheme="minorHAnsi"/>
          <w:b/>
          <w:color w:val="auto"/>
        </w:rPr>
        <w:t>orkflow</w:t>
      </w:r>
      <w:r w:rsidRPr="00243817">
        <w:rPr>
          <w:rFonts w:asciiTheme="minorHAnsi" w:hAnsiTheme="minorHAnsi" w:cstheme="minorHAnsi"/>
          <w:b/>
          <w:color w:val="auto"/>
        </w:rPr>
        <w:t xml:space="preserve">. </w:t>
      </w:r>
      <w:r w:rsidRPr="00243817">
        <w:rPr>
          <w:rFonts w:asciiTheme="minorHAnsi" w:hAnsiTheme="minorHAnsi" w:cstheme="minorHAnsi"/>
          <w:color w:val="auto"/>
        </w:rPr>
        <w:t>Standard workflow of buffer optimi</w:t>
      </w:r>
      <w:r w:rsidR="006557CC">
        <w:rPr>
          <w:rFonts w:asciiTheme="minorHAnsi" w:hAnsiTheme="minorHAnsi" w:cstheme="minorHAnsi"/>
          <w:color w:val="auto"/>
        </w:rPr>
        <w:t>z</w:t>
      </w:r>
      <w:r w:rsidRPr="00243817">
        <w:rPr>
          <w:rFonts w:asciiTheme="minorHAnsi" w:hAnsiTheme="minorHAnsi" w:cstheme="minorHAnsi"/>
          <w:color w:val="auto"/>
        </w:rPr>
        <w:t xml:space="preserve">ation using </w:t>
      </w:r>
      <w:r w:rsidR="00E166BD" w:rsidRPr="00243817">
        <w:rPr>
          <w:rFonts w:asciiTheme="minorHAnsi" w:hAnsiTheme="minorHAnsi" w:cstheme="minorHAnsi"/>
          <w:color w:val="auto"/>
        </w:rPr>
        <w:t>the stability screens</w:t>
      </w:r>
      <w:r w:rsidR="009F29DD" w:rsidRPr="00243817">
        <w:rPr>
          <w:rFonts w:asciiTheme="minorHAnsi" w:hAnsiTheme="minorHAnsi" w:cstheme="minorHAnsi"/>
          <w:color w:val="auto"/>
        </w:rPr>
        <w:t>.</w:t>
      </w:r>
    </w:p>
    <w:p w14:paraId="60C06F54" w14:textId="77777777" w:rsidR="001E4C29" w:rsidRPr="00243817" w:rsidRDefault="001E4C29" w:rsidP="004F6460">
      <w:pPr>
        <w:rPr>
          <w:rFonts w:asciiTheme="minorHAnsi" w:hAnsiTheme="minorHAnsi" w:cstheme="minorHAnsi"/>
          <w:color w:val="auto"/>
        </w:rPr>
      </w:pPr>
    </w:p>
    <w:p w14:paraId="5646AA00" w14:textId="2571B586" w:rsidR="00B13E23" w:rsidRPr="00243817" w:rsidRDefault="00B13E23" w:rsidP="004F6460">
      <w:pPr>
        <w:rPr>
          <w:rFonts w:asciiTheme="minorHAnsi" w:hAnsiTheme="minorHAnsi" w:cstheme="minorHAnsi"/>
          <w:color w:val="auto"/>
        </w:rPr>
      </w:pPr>
      <w:r w:rsidRPr="00243817">
        <w:rPr>
          <w:rFonts w:asciiTheme="minorHAnsi" w:hAnsiTheme="minorHAnsi" w:cstheme="minorHAnsi"/>
          <w:b/>
          <w:color w:val="auto"/>
        </w:rPr>
        <w:t>Figure 4</w:t>
      </w:r>
      <w:r w:rsidR="00AF77FD" w:rsidRPr="00243817">
        <w:rPr>
          <w:rFonts w:asciiTheme="minorHAnsi" w:hAnsiTheme="minorHAnsi" w:cstheme="minorHAnsi"/>
          <w:b/>
          <w:color w:val="auto"/>
        </w:rPr>
        <w:t>:</w:t>
      </w:r>
      <w:r w:rsidRPr="00243817">
        <w:rPr>
          <w:rFonts w:asciiTheme="minorHAnsi" w:hAnsiTheme="minorHAnsi" w:cstheme="minorHAnsi"/>
          <w:b/>
          <w:color w:val="auto"/>
        </w:rPr>
        <w:t xml:space="preserve"> Workflow of a standard TSA experiment with the </w:t>
      </w:r>
      <w:r w:rsidR="00770DAA" w:rsidRPr="00243817">
        <w:rPr>
          <w:rFonts w:asciiTheme="minorHAnsi" w:hAnsiTheme="minorHAnsi" w:cstheme="minorHAnsi"/>
          <w:b/>
          <w:color w:val="auto"/>
        </w:rPr>
        <w:t>stability screens</w:t>
      </w:r>
      <w:r w:rsidRPr="00243817">
        <w:rPr>
          <w:rFonts w:asciiTheme="minorHAnsi" w:hAnsiTheme="minorHAnsi" w:cstheme="minorHAnsi"/>
          <w:b/>
          <w:color w:val="auto"/>
        </w:rPr>
        <w:t xml:space="preserve">. </w:t>
      </w:r>
      <w:r w:rsidRPr="00243817">
        <w:rPr>
          <w:rFonts w:asciiTheme="minorHAnsi" w:hAnsiTheme="minorHAnsi" w:cstheme="minorHAnsi"/>
          <w:color w:val="auto"/>
        </w:rPr>
        <w:t xml:space="preserve">From left to right: </w:t>
      </w:r>
      <w:r w:rsidR="006557CC">
        <w:rPr>
          <w:rFonts w:asciiTheme="minorHAnsi" w:hAnsiTheme="minorHAnsi" w:cstheme="minorHAnsi"/>
          <w:color w:val="auto"/>
        </w:rPr>
        <w:t>(</w:t>
      </w:r>
      <w:r w:rsidR="00C97CD3" w:rsidRPr="00243817">
        <w:rPr>
          <w:rFonts w:asciiTheme="minorHAnsi" w:hAnsiTheme="minorHAnsi" w:cstheme="minorHAnsi"/>
          <w:color w:val="auto"/>
        </w:rPr>
        <w:t>A</w:t>
      </w:r>
      <w:r w:rsidRPr="00243817">
        <w:rPr>
          <w:rFonts w:asciiTheme="minorHAnsi" w:hAnsiTheme="minorHAnsi" w:cstheme="minorHAnsi"/>
          <w:color w:val="auto"/>
        </w:rPr>
        <w:t xml:space="preserve">) Pipetting aliquots of the </w:t>
      </w:r>
      <w:r w:rsidR="00DC510E" w:rsidRPr="00243817">
        <w:rPr>
          <w:rFonts w:asciiTheme="minorHAnsi" w:hAnsiTheme="minorHAnsi" w:cstheme="minorHAnsi"/>
          <w:color w:val="auto"/>
        </w:rPr>
        <w:t>stability s</w:t>
      </w:r>
      <w:r w:rsidRPr="00243817">
        <w:rPr>
          <w:rFonts w:asciiTheme="minorHAnsi" w:hAnsiTheme="minorHAnsi" w:cstheme="minorHAnsi"/>
          <w:color w:val="auto"/>
        </w:rPr>
        <w:t xml:space="preserve">creens into a 96-well plate. </w:t>
      </w:r>
      <w:r w:rsidR="006557CC">
        <w:rPr>
          <w:rFonts w:asciiTheme="minorHAnsi" w:hAnsiTheme="minorHAnsi" w:cstheme="minorHAnsi"/>
          <w:color w:val="auto"/>
        </w:rPr>
        <w:t>(</w:t>
      </w:r>
      <w:r w:rsidR="00C97CD3" w:rsidRPr="00243817">
        <w:rPr>
          <w:rFonts w:asciiTheme="minorHAnsi" w:hAnsiTheme="minorHAnsi" w:cstheme="minorHAnsi"/>
          <w:color w:val="auto"/>
        </w:rPr>
        <w:t>B</w:t>
      </w:r>
      <w:r w:rsidRPr="00243817">
        <w:rPr>
          <w:rFonts w:asciiTheme="minorHAnsi" w:hAnsiTheme="minorHAnsi" w:cstheme="minorHAnsi"/>
          <w:color w:val="auto"/>
        </w:rPr>
        <w:t xml:space="preserve">) Pipetting protein sample with </w:t>
      </w:r>
      <w:r w:rsidR="00AF0CC7" w:rsidRPr="00243817">
        <w:rPr>
          <w:rFonts w:asciiTheme="minorHAnsi" w:hAnsiTheme="minorHAnsi" w:cstheme="minorHAnsi"/>
          <w:color w:val="auto"/>
        </w:rPr>
        <w:t>fluorescent</w:t>
      </w:r>
      <w:r w:rsidRPr="00243817">
        <w:rPr>
          <w:rFonts w:asciiTheme="minorHAnsi" w:hAnsiTheme="minorHAnsi" w:cstheme="minorHAnsi"/>
          <w:color w:val="auto"/>
        </w:rPr>
        <w:t xml:space="preserve"> dye into the plate. </w:t>
      </w:r>
      <w:r w:rsidR="006557CC">
        <w:rPr>
          <w:rFonts w:asciiTheme="minorHAnsi" w:hAnsiTheme="minorHAnsi" w:cstheme="minorHAnsi"/>
          <w:color w:val="auto"/>
        </w:rPr>
        <w:t>(</w:t>
      </w:r>
      <w:r w:rsidR="00C97CD3" w:rsidRPr="00243817">
        <w:rPr>
          <w:rFonts w:asciiTheme="minorHAnsi" w:hAnsiTheme="minorHAnsi" w:cstheme="minorHAnsi"/>
          <w:color w:val="auto"/>
        </w:rPr>
        <w:t>C</w:t>
      </w:r>
      <w:r w:rsidRPr="00243817">
        <w:rPr>
          <w:rFonts w:asciiTheme="minorHAnsi" w:hAnsiTheme="minorHAnsi" w:cstheme="minorHAnsi"/>
          <w:color w:val="auto"/>
        </w:rPr>
        <w:t>) Sealing the plate before centrifugation</w:t>
      </w:r>
      <w:r w:rsidR="006557CC">
        <w:rPr>
          <w:rFonts w:asciiTheme="minorHAnsi" w:hAnsiTheme="minorHAnsi" w:cstheme="minorHAnsi"/>
          <w:color w:val="auto"/>
        </w:rPr>
        <w:t>.</w:t>
      </w:r>
      <w:r w:rsidRPr="00243817">
        <w:rPr>
          <w:rFonts w:asciiTheme="minorHAnsi" w:hAnsiTheme="minorHAnsi" w:cstheme="minorHAnsi"/>
          <w:color w:val="auto"/>
        </w:rPr>
        <w:t xml:space="preserve"> </w:t>
      </w:r>
      <w:r w:rsidR="006557CC">
        <w:rPr>
          <w:rFonts w:asciiTheme="minorHAnsi" w:hAnsiTheme="minorHAnsi" w:cstheme="minorHAnsi"/>
          <w:color w:val="auto"/>
        </w:rPr>
        <w:t>(</w:t>
      </w:r>
      <w:r w:rsidR="00C97CD3" w:rsidRPr="00243817">
        <w:rPr>
          <w:rFonts w:asciiTheme="minorHAnsi" w:hAnsiTheme="minorHAnsi" w:cstheme="minorHAnsi"/>
          <w:color w:val="auto"/>
        </w:rPr>
        <w:t>D</w:t>
      </w:r>
      <w:r w:rsidRPr="00243817">
        <w:rPr>
          <w:rFonts w:asciiTheme="minorHAnsi" w:hAnsiTheme="minorHAnsi" w:cstheme="minorHAnsi"/>
          <w:color w:val="auto"/>
        </w:rPr>
        <w:t>) Placing the plate into an RT-PCR system.</w:t>
      </w:r>
    </w:p>
    <w:p w14:paraId="03C47A4E" w14:textId="77777777" w:rsidR="001E4C29" w:rsidRPr="00243817" w:rsidRDefault="001E4C29" w:rsidP="004F6460">
      <w:pPr>
        <w:rPr>
          <w:rFonts w:asciiTheme="minorHAnsi" w:hAnsiTheme="minorHAnsi" w:cstheme="minorHAnsi"/>
          <w:color w:val="auto"/>
        </w:rPr>
      </w:pPr>
    </w:p>
    <w:p w14:paraId="6FF4946B" w14:textId="6A196018" w:rsidR="00B13E23" w:rsidRPr="00243817" w:rsidRDefault="00B13E23" w:rsidP="004F6460">
      <w:pPr>
        <w:rPr>
          <w:rFonts w:asciiTheme="minorHAnsi" w:hAnsiTheme="minorHAnsi" w:cstheme="minorHAnsi"/>
          <w:color w:val="auto"/>
        </w:rPr>
      </w:pPr>
      <w:r w:rsidRPr="00243817">
        <w:rPr>
          <w:rFonts w:asciiTheme="minorHAnsi" w:hAnsiTheme="minorHAnsi" w:cstheme="minorHAnsi"/>
          <w:b/>
          <w:color w:val="auto"/>
        </w:rPr>
        <w:t>Figure 5</w:t>
      </w:r>
      <w:r w:rsidR="00AF77FD" w:rsidRPr="00243817">
        <w:rPr>
          <w:rFonts w:asciiTheme="minorHAnsi" w:hAnsiTheme="minorHAnsi" w:cstheme="minorHAnsi"/>
          <w:b/>
          <w:color w:val="auto"/>
        </w:rPr>
        <w:t>:</w:t>
      </w:r>
      <w:r w:rsidRPr="00243817">
        <w:rPr>
          <w:rFonts w:asciiTheme="minorHAnsi" w:hAnsiTheme="minorHAnsi" w:cstheme="minorHAnsi"/>
          <w:color w:val="auto"/>
        </w:rPr>
        <w:t xml:space="preserve"> </w:t>
      </w:r>
      <w:r w:rsidRPr="00243817">
        <w:rPr>
          <w:rFonts w:asciiTheme="minorHAnsi" w:hAnsiTheme="minorHAnsi" w:cstheme="minorHAnsi"/>
          <w:b/>
          <w:color w:val="auto"/>
        </w:rPr>
        <w:t xml:space="preserve">Workflow of a standard </w:t>
      </w:r>
      <w:proofErr w:type="spellStart"/>
      <w:r w:rsidRPr="00243817">
        <w:rPr>
          <w:rFonts w:asciiTheme="minorHAnsi" w:hAnsiTheme="minorHAnsi" w:cstheme="minorHAnsi"/>
          <w:b/>
          <w:color w:val="auto"/>
        </w:rPr>
        <w:t>nanoDSF</w:t>
      </w:r>
      <w:proofErr w:type="spellEnd"/>
      <w:r w:rsidRPr="00243817">
        <w:rPr>
          <w:rFonts w:asciiTheme="minorHAnsi" w:hAnsiTheme="minorHAnsi" w:cstheme="minorHAnsi"/>
          <w:b/>
          <w:color w:val="auto"/>
        </w:rPr>
        <w:t xml:space="preserve"> experiment.</w:t>
      </w:r>
      <w:r w:rsidRPr="00243817">
        <w:rPr>
          <w:rFonts w:asciiTheme="minorHAnsi" w:hAnsiTheme="minorHAnsi" w:cstheme="minorHAnsi"/>
          <w:color w:val="auto"/>
        </w:rPr>
        <w:t xml:space="preserve"> </w:t>
      </w:r>
      <w:r w:rsidR="006557CC">
        <w:rPr>
          <w:rFonts w:asciiTheme="minorHAnsi" w:hAnsiTheme="minorHAnsi" w:cstheme="minorHAnsi"/>
          <w:color w:val="auto"/>
        </w:rPr>
        <w:t>(</w:t>
      </w:r>
      <w:r w:rsidR="00712EA3" w:rsidRPr="00243817">
        <w:rPr>
          <w:rFonts w:asciiTheme="minorHAnsi" w:hAnsiTheme="minorHAnsi" w:cstheme="minorHAnsi"/>
          <w:color w:val="auto"/>
        </w:rPr>
        <w:t>A</w:t>
      </w:r>
      <w:r w:rsidRPr="00243817">
        <w:rPr>
          <w:rFonts w:asciiTheme="minorHAnsi" w:hAnsiTheme="minorHAnsi" w:cstheme="minorHAnsi"/>
          <w:color w:val="auto"/>
        </w:rPr>
        <w:t xml:space="preserve">) Opening the capillary loading rack. </w:t>
      </w:r>
      <w:r w:rsidR="006557CC">
        <w:rPr>
          <w:rFonts w:asciiTheme="minorHAnsi" w:hAnsiTheme="minorHAnsi" w:cstheme="minorHAnsi"/>
          <w:color w:val="auto"/>
        </w:rPr>
        <w:t>(</w:t>
      </w:r>
      <w:r w:rsidR="00712EA3" w:rsidRPr="00243817">
        <w:rPr>
          <w:rFonts w:asciiTheme="minorHAnsi" w:hAnsiTheme="minorHAnsi" w:cstheme="minorHAnsi"/>
          <w:color w:val="auto"/>
        </w:rPr>
        <w:t>B</w:t>
      </w:r>
      <w:r w:rsidRPr="00243817">
        <w:rPr>
          <w:rFonts w:asciiTheme="minorHAnsi" w:hAnsiTheme="minorHAnsi" w:cstheme="minorHAnsi"/>
          <w:color w:val="auto"/>
        </w:rPr>
        <w:t xml:space="preserve">) Loading </w:t>
      </w:r>
      <w:r w:rsidR="006557CC">
        <w:rPr>
          <w:rFonts w:asciiTheme="minorHAnsi" w:hAnsiTheme="minorHAnsi" w:cstheme="minorHAnsi"/>
          <w:color w:val="auto"/>
        </w:rPr>
        <w:t xml:space="preserve">the </w:t>
      </w:r>
      <w:r w:rsidRPr="00243817">
        <w:rPr>
          <w:rFonts w:asciiTheme="minorHAnsi" w:hAnsiTheme="minorHAnsi" w:cstheme="minorHAnsi"/>
          <w:color w:val="auto"/>
        </w:rPr>
        <w:t xml:space="preserve">capillaries into the rack. </w:t>
      </w:r>
      <w:r w:rsidR="006557CC">
        <w:rPr>
          <w:rFonts w:asciiTheme="minorHAnsi" w:hAnsiTheme="minorHAnsi" w:cstheme="minorHAnsi"/>
          <w:color w:val="auto"/>
        </w:rPr>
        <w:t>(</w:t>
      </w:r>
      <w:r w:rsidR="00712EA3" w:rsidRPr="00243817">
        <w:rPr>
          <w:rFonts w:asciiTheme="minorHAnsi" w:hAnsiTheme="minorHAnsi" w:cstheme="minorHAnsi"/>
          <w:color w:val="auto"/>
        </w:rPr>
        <w:t>C</w:t>
      </w:r>
      <w:r w:rsidRPr="00243817">
        <w:rPr>
          <w:rFonts w:asciiTheme="minorHAnsi" w:hAnsiTheme="minorHAnsi" w:cstheme="minorHAnsi"/>
          <w:color w:val="auto"/>
        </w:rPr>
        <w:t>) Immobili</w:t>
      </w:r>
      <w:r w:rsidR="006557CC">
        <w:rPr>
          <w:rFonts w:asciiTheme="minorHAnsi" w:hAnsiTheme="minorHAnsi" w:cstheme="minorHAnsi"/>
          <w:color w:val="auto"/>
        </w:rPr>
        <w:t>z</w:t>
      </w:r>
      <w:r w:rsidRPr="00243817">
        <w:rPr>
          <w:rFonts w:asciiTheme="minorHAnsi" w:hAnsiTheme="minorHAnsi" w:cstheme="minorHAnsi"/>
          <w:color w:val="auto"/>
        </w:rPr>
        <w:t xml:space="preserve">ing the capillaries with the magnetic sealing strip. </w:t>
      </w:r>
      <w:r w:rsidR="006557CC">
        <w:rPr>
          <w:rFonts w:asciiTheme="minorHAnsi" w:hAnsiTheme="minorHAnsi" w:cstheme="minorHAnsi"/>
          <w:color w:val="auto"/>
        </w:rPr>
        <w:t>(</w:t>
      </w:r>
      <w:r w:rsidR="00712EA3" w:rsidRPr="00243817">
        <w:rPr>
          <w:rFonts w:asciiTheme="minorHAnsi" w:hAnsiTheme="minorHAnsi" w:cstheme="minorHAnsi"/>
          <w:color w:val="auto"/>
        </w:rPr>
        <w:t>D</w:t>
      </w:r>
      <w:r w:rsidRPr="00243817">
        <w:rPr>
          <w:rFonts w:asciiTheme="minorHAnsi" w:hAnsiTheme="minorHAnsi" w:cstheme="minorHAnsi"/>
          <w:color w:val="auto"/>
        </w:rPr>
        <w:t>) Programming an experiment.</w:t>
      </w:r>
    </w:p>
    <w:p w14:paraId="32D1BA0B" w14:textId="77777777" w:rsidR="001E4C29" w:rsidRPr="00243817" w:rsidRDefault="001E4C29" w:rsidP="004F6460">
      <w:pPr>
        <w:rPr>
          <w:rFonts w:asciiTheme="minorHAnsi" w:hAnsiTheme="minorHAnsi" w:cstheme="minorHAnsi"/>
          <w:color w:val="auto"/>
        </w:rPr>
      </w:pPr>
    </w:p>
    <w:p w14:paraId="14EEC595" w14:textId="2A443FA2" w:rsidR="00B13E23" w:rsidRPr="00243817" w:rsidRDefault="00B13E23" w:rsidP="004F6460">
      <w:pPr>
        <w:rPr>
          <w:rFonts w:asciiTheme="minorHAnsi" w:hAnsiTheme="minorHAnsi" w:cstheme="minorHAnsi"/>
          <w:color w:val="auto"/>
        </w:rPr>
      </w:pPr>
      <w:r w:rsidRPr="00243817">
        <w:rPr>
          <w:rFonts w:asciiTheme="minorHAnsi" w:hAnsiTheme="minorHAnsi" w:cstheme="minorHAnsi"/>
          <w:b/>
          <w:color w:val="auto"/>
        </w:rPr>
        <w:t>Figure 6</w:t>
      </w:r>
      <w:r w:rsidR="00AF77FD" w:rsidRPr="00243817">
        <w:rPr>
          <w:rFonts w:asciiTheme="minorHAnsi" w:hAnsiTheme="minorHAnsi" w:cstheme="minorHAnsi"/>
          <w:b/>
          <w:color w:val="auto"/>
        </w:rPr>
        <w:t>:</w:t>
      </w:r>
      <w:r w:rsidRPr="00243817">
        <w:rPr>
          <w:rFonts w:asciiTheme="minorHAnsi" w:hAnsiTheme="minorHAnsi" w:cstheme="minorHAnsi"/>
          <w:b/>
          <w:color w:val="auto"/>
        </w:rPr>
        <w:t xml:space="preserve"> User interface for the RT-PCR system</w:t>
      </w:r>
      <w:r w:rsidR="00CA589A" w:rsidRPr="00243817">
        <w:rPr>
          <w:rFonts w:asciiTheme="minorHAnsi" w:hAnsiTheme="minorHAnsi" w:cstheme="minorHAnsi"/>
          <w:b/>
          <w:color w:val="auto"/>
        </w:rPr>
        <w:t>.</w:t>
      </w:r>
      <w:r w:rsidRPr="00243817">
        <w:rPr>
          <w:rFonts w:asciiTheme="minorHAnsi" w:hAnsiTheme="minorHAnsi" w:cstheme="minorHAnsi"/>
          <w:b/>
          <w:color w:val="auto"/>
        </w:rPr>
        <w:t xml:space="preserve"> </w:t>
      </w:r>
      <w:r w:rsidR="00CA589A" w:rsidRPr="00243817">
        <w:rPr>
          <w:rFonts w:asciiTheme="minorHAnsi" w:hAnsiTheme="minorHAnsi" w:cstheme="minorHAnsi"/>
          <w:color w:val="auto"/>
        </w:rPr>
        <w:t>A</w:t>
      </w:r>
      <w:r w:rsidRPr="00243817">
        <w:rPr>
          <w:rFonts w:asciiTheme="minorHAnsi" w:hAnsiTheme="minorHAnsi" w:cstheme="minorHAnsi"/>
          <w:color w:val="auto"/>
        </w:rPr>
        <w:t xml:space="preserve"> </w:t>
      </w:r>
      <w:r w:rsidR="00CA589A" w:rsidRPr="00243817">
        <w:rPr>
          <w:rFonts w:asciiTheme="minorHAnsi" w:hAnsiTheme="minorHAnsi" w:cstheme="minorHAnsi"/>
          <w:color w:val="auto"/>
        </w:rPr>
        <w:t>TSA experiment has been</w:t>
      </w:r>
      <w:r w:rsidRPr="00243817">
        <w:rPr>
          <w:rFonts w:asciiTheme="minorHAnsi" w:hAnsiTheme="minorHAnsi" w:cstheme="minorHAnsi"/>
          <w:color w:val="auto"/>
        </w:rPr>
        <w:t xml:space="preserve"> programmed.</w:t>
      </w:r>
    </w:p>
    <w:p w14:paraId="73355A8B" w14:textId="77777777" w:rsidR="001E4C29" w:rsidRPr="00243817" w:rsidRDefault="001E4C29" w:rsidP="004F6460">
      <w:pPr>
        <w:rPr>
          <w:rFonts w:asciiTheme="minorHAnsi" w:hAnsiTheme="minorHAnsi" w:cstheme="minorHAnsi"/>
          <w:color w:val="auto"/>
        </w:rPr>
      </w:pPr>
    </w:p>
    <w:p w14:paraId="271EB095" w14:textId="66820868" w:rsidR="00B13E23" w:rsidRPr="00243817" w:rsidRDefault="00B13E23" w:rsidP="004F6460">
      <w:pPr>
        <w:rPr>
          <w:rFonts w:asciiTheme="minorHAnsi" w:hAnsiTheme="minorHAnsi" w:cstheme="minorHAnsi"/>
          <w:color w:val="auto"/>
        </w:rPr>
      </w:pPr>
      <w:r w:rsidRPr="00243817">
        <w:rPr>
          <w:rFonts w:asciiTheme="minorHAnsi" w:hAnsiTheme="minorHAnsi" w:cstheme="minorHAnsi"/>
          <w:b/>
          <w:color w:val="auto"/>
        </w:rPr>
        <w:t>Figure 7</w:t>
      </w:r>
      <w:r w:rsidR="00AF77FD" w:rsidRPr="00243817">
        <w:rPr>
          <w:rFonts w:asciiTheme="minorHAnsi" w:hAnsiTheme="minorHAnsi" w:cstheme="minorHAnsi"/>
          <w:b/>
          <w:color w:val="auto"/>
        </w:rPr>
        <w:t>:</w:t>
      </w:r>
      <w:r w:rsidRPr="00243817">
        <w:rPr>
          <w:rFonts w:asciiTheme="minorHAnsi" w:hAnsiTheme="minorHAnsi" w:cstheme="minorHAnsi"/>
          <w:b/>
          <w:color w:val="auto"/>
        </w:rPr>
        <w:t xml:space="preserve"> Salt </w:t>
      </w:r>
      <w:r w:rsidR="00576386" w:rsidRPr="00243817">
        <w:rPr>
          <w:rFonts w:asciiTheme="minorHAnsi" w:hAnsiTheme="minorHAnsi" w:cstheme="minorHAnsi"/>
          <w:b/>
          <w:color w:val="auto"/>
        </w:rPr>
        <w:t>screen sample data</w:t>
      </w:r>
      <w:r w:rsidRPr="00243817">
        <w:rPr>
          <w:rFonts w:asciiTheme="minorHAnsi" w:hAnsiTheme="minorHAnsi" w:cstheme="minorHAnsi"/>
          <w:b/>
          <w:color w:val="auto"/>
        </w:rPr>
        <w:t>.</w:t>
      </w:r>
      <w:r w:rsidRPr="00C53F8D">
        <w:rPr>
          <w:rFonts w:asciiTheme="minorHAnsi" w:hAnsiTheme="minorHAnsi" w:cstheme="minorHAnsi"/>
          <w:color w:val="auto"/>
        </w:rPr>
        <w:t xml:space="preserve"> </w:t>
      </w:r>
      <w:r w:rsidR="006557CC" w:rsidRPr="00C53F8D">
        <w:rPr>
          <w:rFonts w:asciiTheme="minorHAnsi" w:hAnsiTheme="minorHAnsi" w:cstheme="minorHAnsi"/>
          <w:color w:val="auto"/>
        </w:rPr>
        <w:t>(</w:t>
      </w:r>
      <w:r w:rsidRPr="00243817">
        <w:rPr>
          <w:rFonts w:asciiTheme="minorHAnsi" w:hAnsiTheme="minorHAnsi" w:cstheme="minorHAnsi"/>
          <w:color w:val="auto"/>
        </w:rPr>
        <w:t xml:space="preserve">A) Ratio of fluorescence intensities at 350 nm vs 330 nm for a label-free </w:t>
      </w:r>
      <w:proofErr w:type="spellStart"/>
      <w:r w:rsidRPr="00243817">
        <w:rPr>
          <w:rFonts w:asciiTheme="minorHAnsi" w:hAnsiTheme="minorHAnsi" w:cstheme="minorHAnsi"/>
          <w:color w:val="auto"/>
        </w:rPr>
        <w:t>nanoDSF</w:t>
      </w:r>
      <w:proofErr w:type="spellEnd"/>
      <w:r w:rsidRPr="00243817">
        <w:rPr>
          <w:rFonts w:asciiTheme="minorHAnsi" w:hAnsiTheme="minorHAnsi" w:cstheme="minorHAnsi"/>
          <w:color w:val="auto"/>
        </w:rPr>
        <w:t xml:space="preserve"> experiment with lysozyme. Samples correspond to </w:t>
      </w:r>
      <w:r w:rsidR="006557CC">
        <w:rPr>
          <w:rFonts w:asciiTheme="minorHAnsi" w:hAnsiTheme="minorHAnsi" w:cstheme="minorHAnsi"/>
          <w:color w:val="auto"/>
        </w:rPr>
        <w:t xml:space="preserve">the </w:t>
      </w:r>
      <w:r w:rsidRPr="00243817">
        <w:rPr>
          <w:rFonts w:asciiTheme="minorHAnsi" w:hAnsiTheme="minorHAnsi" w:cstheme="minorHAnsi"/>
          <w:color w:val="auto"/>
        </w:rPr>
        <w:t xml:space="preserve">wells C7-C12 of </w:t>
      </w:r>
      <w:r w:rsidR="00D7435A" w:rsidRPr="00243817">
        <w:rPr>
          <w:rFonts w:asciiTheme="minorHAnsi" w:hAnsiTheme="minorHAnsi" w:cstheme="minorHAnsi"/>
          <w:color w:val="auto"/>
        </w:rPr>
        <w:t>t</w:t>
      </w:r>
      <w:r w:rsidRPr="00243817">
        <w:rPr>
          <w:rFonts w:asciiTheme="minorHAnsi" w:hAnsiTheme="minorHAnsi" w:cstheme="minorHAnsi"/>
          <w:color w:val="auto"/>
        </w:rPr>
        <w:t xml:space="preserve">he </w:t>
      </w:r>
      <w:r w:rsidR="000E4D7F" w:rsidRPr="00243817">
        <w:rPr>
          <w:rFonts w:asciiTheme="minorHAnsi" w:hAnsiTheme="minorHAnsi" w:cstheme="minorHAnsi"/>
          <w:color w:val="auto"/>
        </w:rPr>
        <w:t>s</w:t>
      </w:r>
      <w:r w:rsidRPr="00243817">
        <w:rPr>
          <w:rFonts w:asciiTheme="minorHAnsi" w:hAnsiTheme="minorHAnsi" w:cstheme="minorHAnsi"/>
          <w:color w:val="auto"/>
        </w:rPr>
        <w:t xml:space="preserve">alt </w:t>
      </w:r>
      <w:r w:rsidR="00887B52" w:rsidRPr="00243817">
        <w:rPr>
          <w:rFonts w:asciiTheme="minorHAnsi" w:hAnsiTheme="minorHAnsi" w:cstheme="minorHAnsi"/>
          <w:color w:val="auto"/>
        </w:rPr>
        <w:t>s</w:t>
      </w:r>
      <w:r w:rsidRPr="00243817">
        <w:rPr>
          <w:rFonts w:asciiTheme="minorHAnsi" w:hAnsiTheme="minorHAnsi" w:cstheme="minorHAnsi"/>
          <w:color w:val="auto"/>
        </w:rPr>
        <w:t>creen (1.5 M – 0.2 M ammonium chloride). Calculated T</w:t>
      </w:r>
      <w:r w:rsidRPr="00243817">
        <w:rPr>
          <w:rFonts w:asciiTheme="minorHAnsi" w:hAnsiTheme="minorHAnsi" w:cstheme="minorHAnsi"/>
          <w:color w:val="auto"/>
          <w:vertAlign w:val="subscript"/>
        </w:rPr>
        <w:t>m</w:t>
      </w:r>
      <w:r w:rsidRPr="00243817">
        <w:rPr>
          <w:rFonts w:asciiTheme="minorHAnsi" w:hAnsiTheme="minorHAnsi" w:cstheme="minorHAnsi"/>
          <w:color w:val="auto"/>
        </w:rPr>
        <w:t xml:space="preserve"> values for each condition are superimposed on the plot. </w:t>
      </w:r>
      <w:r w:rsidR="006557CC">
        <w:rPr>
          <w:rFonts w:asciiTheme="minorHAnsi" w:hAnsiTheme="minorHAnsi" w:cstheme="minorHAnsi"/>
          <w:color w:val="auto"/>
        </w:rPr>
        <w:t>(</w:t>
      </w:r>
      <w:r w:rsidRPr="00243817">
        <w:rPr>
          <w:rFonts w:asciiTheme="minorHAnsi" w:hAnsiTheme="minorHAnsi" w:cstheme="minorHAnsi"/>
          <w:color w:val="auto"/>
        </w:rPr>
        <w:t>B) Summary of T</w:t>
      </w:r>
      <w:r w:rsidRPr="00243817">
        <w:rPr>
          <w:rFonts w:asciiTheme="minorHAnsi" w:hAnsiTheme="minorHAnsi" w:cstheme="minorHAnsi"/>
          <w:color w:val="auto"/>
          <w:vertAlign w:val="subscript"/>
        </w:rPr>
        <w:t>m</w:t>
      </w:r>
      <w:r w:rsidRPr="00243817">
        <w:rPr>
          <w:rFonts w:asciiTheme="minorHAnsi" w:hAnsiTheme="minorHAnsi" w:cstheme="minorHAnsi"/>
          <w:color w:val="auto"/>
        </w:rPr>
        <w:t xml:space="preserve"> values calculated from the data presented in </w:t>
      </w:r>
      <w:r w:rsidRPr="00C53F8D">
        <w:rPr>
          <w:rFonts w:asciiTheme="minorHAnsi" w:hAnsiTheme="minorHAnsi" w:cstheme="minorHAnsi"/>
          <w:b/>
          <w:color w:val="auto"/>
        </w:rPr>
        <w:t>Fig</w:t>
      </w:r>
      <w:r w:rsidR="00C53F8D" w:rsidRPr="00C53F8D">
        <w:rPr>
          <w:rFonts w:asciiTheme="minorHAnsi" w:hAnsiTheme="minorHAnsi" w:cstheme="minorHAnsi"/>
          <w:b/>
          <w:color w:val="auto"/>
        </w:rPr>
        <w:t>ure</w:t>
      </w:r>
      <w:r w:rsidRPr="00C53F8D">
        <w:rPr>
          <w:rFonts w:asciiTheme="minorHAnsi" w:hAnsiTheme="minorHAnsi" w:cstheme="minorHAnsi"/>
          <w:b/>
          <w:color w:val="auto"/>
        </w:rPr>
        <w:t xml:space="preserve"> </w:t>
      </w:r>
      <w:r w:rsidR="00FF6D25" w:rsidRPr="00C53F8D">
        <w:rPr>
          <w:rFonts w:asciiTheme="minorHAnsi" w:hAnsiTheme="minorHAnsi" w:cstheme="minorHAnsi"/>
          <w:b/>
          <w:color w:val="auto"/>
        </w:rPr>
        <w:t>7A</w:t>
      </w:r>
      <w:r w:rsidRPr="00243817">
        <w:rPr>
          <w:rFonts w:asciiTheme="minorHAnsi" w:hAnsiTheme="minorHAnsi" w:cstheme="minorHAnsi"/>
          <w:color w:val="auto"/>
        </w:rPr>
        <w:t xml:space="preserve">. </w:t>
      </w:r>
      <w:r w:rsidR="00C53F8D">
        <w:rPr>
          <w:rFonts w:asciiTheme="minorHAnsi" w:hAnsiTheme="minorHAnsi" w:cstheme="minorHAnsi"/>
          <w:color w:val="auto"/>
        </w:rPr>
        <w:t>(</w:t>
      </w:r>
      <w:r w:rsidRPr="00243817">
        <w:rPr>
          <w:rFonts w:asciiTheme="minorHAnsi" w:hAnsiTheme="minorHAnsi" w:cstheme="minorHAnsi"/>
          <w:color w:val="auto"/>
        </w:rPr>
        <w:t xml:space="preserve">C) Fluorescence intensities at 590 nm for a TSA experiment using lysozyme with </w:t>
      </w:r>
      <w:r w:rsidR="0005079A" w:rsidRPr="00243817">
        <w:rPr>
          <w:rFonts w:asciiTheme="minorHAnsi" w:hAnsiTheme="minorHAnsi" w:cstheme="minorHAnsi"/>
          <w:color w:val="auto"/>
        </w:rPr>
        <w:t xml:space="preserve">a </w:t>
      </w:r>
      <w:r w:rsidR="001E014E" w:rsidRPr="00243817">
        <w:rPr>
          <w:rFonts w:asciiTheme="minorHAnsi" w:hAnsiTheme="minorHAnsi" w:cstheme="minorHAnsi"/>
          <w:color w:val="auto"/>
        </w:rPr>
        <w:t>hydrophobicity</w:t>
      </w:r>
      <w:r w:rsidR="0005079A" w:rsidRPr="00243817">
        <w:rPr>
          <w:rFonts w:asciiTheme="minorHAnsi" w:hAnsiTheme="minorHAnsi" w:cstheme="minorHAnsi"/>
          <w:color w:val="auto"/>
        </w:rPr>
        <w:t>-sensitive</w:t>
      </w:r>
      <w:r w:rsidRPr="00243817">
        <w:rPr>
          <w:rFonts w:asciiTheme="minorHAnsi" w:hAnsiTheme="minorHAnsi" w:cstheme="minorHAnsi"/>
          <w:color w:val="auto"/>
        </w:rPr>
        <w:t xml:space="preserve"> reporter dye. Like </w:t>
      </w:r>
      <w:r w:rsidRPr="00C53F8D">
        <w:rPr>
          <w:rFonts w:asciiTheme="minorHAnsi" w:hAnsiTheme="minorHAnsi" w:cstheme="minorHAnsi"/>
          <w:b/>
          <w:color w:val="auto"/>
        </w:rPr>
        <w:t>Fig</w:t>
      </w:r>
      <w:r w:rsidR="00C53F8D" w:rsidRPr="00C53F8D">
        <w:rPr>
          <w:rFonts w:asciiTheme="minorHAnsi" w:hAnsiTheme="minorHAnsi" w:cstheme="minorHAnsi"/>
          <w:b/>
          <w:color w:val="auto"/>
        </w:rPr>
        <w:t>ure</w:t>
      </w:r>
      <w:r w:rsidRPr="00C53F8D">
        <w:rPr>
          <w:rFonts w:asciiTheme="minorHAnsi" w:hAnsiTheme="minorHAnsi" w:cstheme="minorHAnsi"/>
          <w:b/>
          <w:color w:val="auto"/>
        </w:rPr>
        <w:t xml:space="preserve"> </w:t>
      </w:r>
      <w:r w:rsidR="00A24E67" w:rsidRPr="00C53F8D">
        <w:rPr>
          <w:rFonts w:asciiTheme="minorHAnsi" w:hAnsiTheme="minorHAnsi" w:cstheme="minorHAnsi"/>
          <w:b/>
          <w:color w:val="auto"/>
        </w:rPr>
        <w:t>7A</w:t>
      </w:r>
      <w:r w:rsidRPr="00243817">
        <w:rPr>
          <w:rFonts w:asciiTheme="minorHAnsi" w:hAnsiTheme="minorHAnsi" w:cstheme="minorHAnsi"/>
          <w:color w:val="auto"/>
        </w:rPr>
        <w:t xml:space="preserve">, the </w:t>
      </w:r>
      <w:r w:rsidR="00160F82" w:rsidRPr="00243817">
        <w:rPr>
          <w:rFonts w:asciiTheme="minorHAnsi" w:hAnsiTheme="minorHAnsi" w:cstheme="minorHAnsi"/>
          <w:color w:val="auto"/>
        </w:rPr>
        <w:t xml:space="preserve">samples </w:t>
      </w:r>
      <w:r w:rsidRPr="00243817">
        <w:rPr>
          <w:rFonts w:asciiTheme="minorHAnsi" w:hAnsiTheme="minorHAnsi" w:cstheme="minorHAnsi"/>
          <w:color w:val="auto"/>
        </w:rPr>
        <w:t xml:space="preserve">correspond to </w:t>
      </w:r>
      <w:r w:rsidR="00C53F8D">
        <w:rPr>
          <w:rFonts w:asciiTheme="minorHAnsi" w:hAnsiTheme="minorHAnsi" w:cstheme="minorHAnsi"/>
          <w:color w:val="auto"/>
        </w:rPr>
        <w:t xml:space="preserve">the </w:t>
      </w:r>
      <w:r w:rsidRPr="00243817">
        <w:rPr>
          <w:rFonts w:asciiTheme="minorHAnsi" w:hAnsiTheme="minorHAnsi" w:cstheme="minorHAnsi"/>
          <w:color w:val="auto"/>
        </w:rPr>
        <w:t xml:space="preserve">wells C7-C12 of </w:t>
      </w:r>
      <w:r w:rsidR="006B3BF8" w:rsidRPr="00243817">
        <w:rPr>
          <w:rFonts w:asciiTheme="minorHAnsi" w:hAnsiTheme="minorHAnsi" w:cstheme="minorHAnsi"/>
          <w:color w:val="auto"/>
        </w:rPr>
        <w:t xml:space="preserve">the </w:t>
      </w:r>
      <w:r w:rsidR="00596652" w:rsidRPr="00243817">
        <w:rPr>
          <w:rFonts w:asciiTheme="minorHAnsi" w:hAnsiTheme="minorHAnsi" w:cstheme="minorHAnsi"/>
          <w:color w:val="auto"/>
        </w:rPr>
        <w:t>salt screen</w:t>
      </w:r>
      <w:r w:rsidRPr="00243817">
        <w:rPr>
          <w:rFonts w:asciiTheme="minorHAnsi" w:hAnsiTheme="minorHAnsi" w:cstheme="minorHAnsi"/>
          <w:color w:val="auto"/>
        </w:rPr>
        <w:t>. Calculated T</w:t>
      </w:r>
      <w:r w:rsidRPr="00243817">
        <w:rPr>
          <w:rFonts w:asciiTheme="minorHAnsi" w:hAnsiTheme="minorHAnsi" w:cstheme="minorHAnsi"/>
          <w:color w:val="auto"/>
          <w:vertAlign w:val="subscript"/>
        </w:rPr>
        <w:t>m</w:t>
      </w:r>
      <w:r w:rsidRPr="00243817">
        <w:rPr>
          <w:rFonts w:asciiTheme="minorHAnsi" w:hAnsiTheme="minorHAnsi" w:cstheme="minorHAnsi"/>
          <w:color w:val="auto"/>
        </w:rPr>
        <w:t xml:space="preserve"> values are superimposed on the graph. </w:t>
      </w:r>
      <w:r w:rsidR="00C53F8D">
        <w:rPr>
          <w:rFonts w:asciiTheme="minorHAnsi" w:hAnsiTheme="minorHAnsi" w:cstheme="minorHAnsi"/>
          <w:color w:val="auto"/>
        </w:rPr>
        <w:t>(</w:t>
      </w:r>
      <w:r w:rsidRPr="00243817">
        <w:rPr>
          <w:rFonts w:asciiTheme="minorHAnsi" w:hAnsiTheme="minorHAnsi" w:cstheme="minorHAnsi"/>
          <w:color w:val="auto"/>
        </w:rPr>
        <w:t>D) Summary of T</w:t>
      </w:r>
      <w:r w:rsidRPr="00243817">
        <w:rPr>
          <w:rFonts w:asciiTheme="minorHAnsi" w:hAnsiTheme="minorHAnsi" w:cstheme="minorHAnsi"/>
          <w:color w:val="auto"/>
          <w:vertAlign w:val="subscript"/>
        </w:rPr>
        <w:t>m</w:t>
      </w:r>
      <w:r w:rsidRPr="00243817">
        <w:rPr>
          <w:rFonts w:asciiTheme="minorHAnsi" w:hAnsiTheme="minorHAnsi" w:cstheme="minorHAnsi"/>
          <w:color w:val="auto"/>
        </w:rPr>
        <w:t xml:space="preserve"> values calculated from data present in </w:t>
      </w:r>
      <w:r w:rsidRPr="00C53F8D">
        <w:rPr>
          <w:rFonts w:asciiTheme="minorHAnsi" w:hAnsiTheme="minorHAnsi" w:cstheme="minorHAnsi"/>
          <w:b/>
          <w:color w:val="auto"/>
        </w:rPr>
        <w:t>Fig</w:t>
      </w:r>
      <w:r w:rsidR="00C53F8D" w:rsidRPr="00C53F8D">
        <w:rPr>
          <w:rFonts w:asciiTheme="minorHAnsi" w:hAnsiTheme="minorHAnsi" w:cstheme="minorHAnsi"/>
          <w:b/>
          <w:color w:val="auto"/>
        </w:rPr>
        <w:t>ure</w:t>
      </w:r>
      <w:r w:rsidRPr="00C53F8D">
        <w:rPr>
          <w:rFonts w:asciiTheme="minorHAnsi" w:hAnsiTheme="minorHAnsi" w:cstheme="minorHAnsi"/>
          <w:b/>
          <w:color w:val="auto"/>
        </w:rPr>
        <w:t xml:space="preserve"> </w:t>
      </w:r>
      <w:r w:rsidR="00F5778F" w:rsidRPr="00C53F8D">
        <w:rPr>
          <w:rFonts w:asciiTheme="minorHAnsi" w:hAnsiTheme="minorHAnsi" w:cstheme="minorHAnsi"/>
          <w:b/>
          <w:color w:val="auto"/>
        </w:rPr>
        <w:t>7C</w:t>
      </w:r>
      <w:r w:rsidRPr="00243817">
        <w:rPr>
          <w:rFonts w:asciiTheme="minorHAnsi" w:hAnsiTheme="minorHAnsi" w:cstheme="minorHAnsi"/>
          <w:color w:val="auto"/>
        </w:rPr>
        <w:t>.</w:t>
      </w:r>
    </w:p>
    <w:p w14:paraId="79D6F4C2" w14:textId="77777777" w:rsidR="001E4C29" w:rsidRPr="00243817" w:rsidRDefault="001E4C29" w:rsidP="004F6460">
      <w:pPr>
        <w:rPr>
          <w:rFonts w:asciiTheme="minorHAnsi" w:hAnsiTheme="minorHAnsi" w:cstheme="minorHAnsi"/>
          <w:color w:val="auto"/>
        </w:rPr>
      </w:pPr>
    </w:p>
    <w:p w14:paraId="5F691A98" w14:textId="5140B12D" w:rsidR="00B13E23" w:rsidRPr="00243817" w:rsidRDefault="00B13E23" w:rsidP="004F6460">
      <w:pPr>
        <w:rPr>
          <w:rFonts w:asciiTheme="minorHAnsi" w:hAnsiTheme="minorHAnsi" w:cstheme="minorHAnsi"/>
          <w:color w:val="auto"/>
        </w:rPr>
      </w:pPr>
      <w:r w:rsidRPr="00243817">
        <w:rPr>
          <w:rFonts w:asciiTheme="minorHAnsi" w:hAnsiTheme="minorHAnsi" w:cstheme="minorHAnsi"/>
          <w:b/>
          <w:color w:val="auto"/>
        </w:rPr>
        <w:t>Figure 8</w:t>
      </w:r>
      <w:r w:rsidR="00AF77FD" w:rsidRPr="00243817">
        <w:rPr>
          <w:rFonts w:asciiTheme="minorHAnsi" w:hAnsiTheme="minorHAnsi" w:cstheme="minorHAnsi"/>
          <w:b/>
          <w:color w:val="auto"/>
        </w:rPr>
        <w:t>:</w:t>
      </w:r>
      <w:r w:rsidRPr="00243817">
        <w:rPr>
          <w:rFonts w:asciiTheme="minorHAnsi" w:hAnsiTheme="minorHAnsi" w:cstheme="minorHAnsi"/>
          <w:color w:val="auto"/>
        </w:rPr>
        <w:t xml:space="preserve"> </w:t>
      </w:r>
      <w:r w:rsidRPr="00243817">
        <w:rPr>
          <w:rFonts w:asciiTheme="minorHAnsi" w:hAnsiTheme="minorHAnsi" w:cstheme="minorHAnsi"/>
          <w:b/>
          <w:color w:val="auto"/>
        </w:rPr>
        <w:t xml:space="preserve">pH </w:t>
      </w:r>
      <w:r w:rsidR="001E588D" w:rsidRPr="00243817">
        <w:rPr>
          <w:rFonts w:asciiTheme="minorHAnsi" w:hAnsiTheme="minorHAnsi" w:cstheme="minorHAnsi"/>
          <w:b/>
          <w:color w:val="auto"/>
        </w:rPr>
        <w:t>screen sample data</w:t>
      </w:r>
      <w:r w:rsidRPr="00243817">
        <w:rPr>
          <w:rFonts w:asciiTheme="minorHAnsi" w:hAnsiTheme="minorHAnsi" w:cstheme="minorHAnsi"/>
          <w:b/>
          <w:color w:val="auto"/>
        </w:rPr>
        <w:t xml:space="preserve">. </w:t>
      </w:r>
      <w:r w:rsidRPr="00243817">
        <w:rPr>
          <w:rFonts w:asciiTheme="minorHAnsi" w:hAnsiTheme="minorHAnsi" w:cstheme="minorHAnsi"/>
          <w:color w:val="auto"/>
        </w:rPr>
        <w:t>Summary of T</w:t>
      </w:r>
      <w:r w:rsidRPr="00243817">
        <w:rPr>
          <w:rFonts w:asciiTheme="minorHAnsi" w:hAnsiTheme="minorHAnsi" w:cstheme="minorHAnsi"/>
          <w:color w:val="auto"/>
        </w:rPr>
        <w:softHyphen/>
      </w:r>
      <w:r w:rsidRPr="00243817">
        <w:rPr>
          <w:rFonts w:asciiTheme="minorHAnsi" w:hAnsiTheme="minorHAnsi" w:cstheme="minorHAnsi"/>
          <w:color w:val="auto"/>
          <w:vertAlign w:val="subscript"/>
        </w:rPr>
        <w:t>m</w:t>
      </w:r>
      <w:r w:rsidRPr="00243817">
        <w:rPr>
          <w:rFonts w:asciiTheme="minorHAnsi" w:hAnsiTheme="minorHAnsi" w:cstheme="minorHAnsi"/>
          <w:color w:val="auto"/>
        </w:rPr>
        <w:t xml:space="preserve"> shifts obtained with lysozyme and </w:t>
      </w:r>
      <w:r w:rsidR="006176A5" w:rsidRPr="00243817">
        <w:rPr>
          <w:rFonts w:asciiTheme="minorHAnsi" w:hAnsiTheme="minorHAnsi" w:cstheme="minorHAnsi"/>
          <w:color w:val="auto"/>
        </w:rPr>
        <w:t>the pH screen</w:t>
      </w:r>
      <w:r w:rsidRPr="00243817">
        <w:rPr>
          <w:rFonts w:asciiTheme="minorHAnsi" w:hAnsiTheme="minorHAnsi" w:cstheme="minorHAnsi"/>
          <w:color w:val="auto"/>
        </w:rPr>
        <w:t xml:space="preserve">. Each point represents an independent condition; points at the same pH value are of different buffer systems at the same </w:t>
      </w:r>
      <w:proofErr w:type="spellStart"/>
      <w:r w:rsidRPr="00243817">
        <w:rPr>
          <w:rFonts w:asciiTheme="minorHAnsi" w:hAnsiTheme="minorHAnsi" w:cstheme="minorHAnsi"/>
          <w:color w:val="auto"/>
        </w:rPr>
        <w:t>pH.</w:t>
      </w:r>
      <w:proofErr w:type="spellEnd"/>
      <w:r w:rsidRPr="00243817">
        <w:rPr>
          <w:rFonts w:asciiTheme="minorHAnsi" w:hAnsiTheme="minorHAnsi" w:cstheme="minorHAnsi"/>
          <w:color w:val="auto"/>
        </w:rPr>
        <w:t xml:space="preserve"> T</w:t>
      </w:r>
      <w:r w:rsidRPr="00243817">
        <w:rPr>
          <w:rFonts w:asciiTheme="minorHAnsi" w:hAnsiTheme="minorHAnsi" w:cstheme="minorHAnsi"/>
          <w:color w:val="auto"/>
          <w:vertAlign w:val="subscript"/>
        </w:rPr>
        <w:t>m</w:t>
      </w:r>
      <w:r w:rsidRPr="00243817">
        <w:rPr>
          <w:rFonts w:asciiTheme="minorHAnsi" w:hAnsiTheme="minorHAnsi" w:cstheme="minorHAnsi"/>
          <w:color w:val="auto"/>
          <w:vertAlign w:val="subscript"/>
        </w:rPr>
        <w:softHyphen/>
      </w:r>
      <w:r w:rsidRPr="00243817">
        <w:rPr>
          <w:rFonts w:asciiTheme="minorHAnsi" w:hAnsiTheme="minorHAnsi" w:cstheme="minorHAnsi"/>
          <w:color w:val="auto"/>
        </w:rPr>
        <w:t xml:space="preserve"> shifts are calculated relative to a control T</w:t>
      </w:r>
      <w:r w:rsidRPr="00243817">
        <w:rPr>
          <w:rFonts w:asciiTheme="minorHAnsi" w:hAnsiTheme="minorHAnsi" w:cstheme="minorHAnsi"/>
          <w:color w:val="auto"/>
          <w:vertAlign w:val="subscript"/>
        </w:rPr>
        <w:t>m</w:t>
      </w:r>
      <w:r w:rsidRPr="00243817">
        <w:rPr>
          <w:rFonts w:asciiTheme="minorHAnsi" w:hAnsiTheme="minorHAnsi" w:cstheme="minorHAnsi"/>
          <w:color w:val="auto"/>
        </w:rPr>
        <w:t xml:space="preserve"> of 68.0 °C for TSA experiments and 71.9 °C for </w:t>
      </w:r>
      <w:proofErr w:type="spellStart"/>
      <w:r w:rsidRPr="00243817">
        <w:rPr>
          <w:rFonts w:asciiTheme="minorHAnsi" w:hAnsiTheme="minorHAnsi" w:cstheme="minorHAnsi"/>
          <w:color w:val="auto"/>
        </w:rPr>
        <w:t>nanoDSF</w:t>
      </w:r>
      <w:proofErr w:type="spellEnd"/>
      <w:r w:rsidRPr="00243817">
        <w:rPr>
          <w:rFonts w:asciiTheme="minorHAnsi" w:hAnsiTheme="minorHAnsi" w:cstheme="minorHAnsi"/>
          <w:color w:val="auto"/>
        </w:rPr>
        <w:t xml:space="preserve"> experiments.</w:t>
      </w:r>
    </w:p>
    <w:p w14:paraId="0B97E56F" w14:textId="77777777" w:rsidR="001E4C29" w:rsidRPr="00243817" w:rsidRDefault="001E4C29" w:rsidP="004F6460">
      <w:pPr>
        <w:rPr>
          <w:rFonts w:asciiTheme="minorHAnsi" w:hAnsiTheme="minorHAnsi" w:cstheme="minorHAnsi"/>
          <w:b/>
          <w:color w:val="auto"/>
        </w:rPr>
      </w:pPr>
    </w:p>
    <w:p w14:paraId="5E2E2A95" w14:textId="37DBA08E" w:rsidR="00B13E23" w:rsidRPr="00243817" w:rsidRDefault="00B13E23" w:rsidP="004F6460">
      <w:pPr>
        <w:rPr>
          <w:rFonts w:asciiTheme="minorHAnsi" w:hAnsiTheme="minorHAnsi" w:cstheme="minorHAnsi"/>
          <w:color w:val="auto"/>
        </w:rPr>
      </w:pPr>
      <w:r w:rsidRPr="00243817">
        <w:rPr>
          <w:rFonts w:asciiTheme="minorHAnsi" w:hAnsiTheme="minorHAnsi" w:cstheme="minorHAnsi"/>
          <w:b/>
          <w:color w:val="auto"/>
        </w:rPr>
        <w:t>Figure 9</w:t>
      </w:r>
      <w:r w:rsidR="00AF77FD" w:rsidRPr="00243817">
        <w:rPr>
          <w:rFonts w:asciiTheme="minorHAnsi" w:hAnsiTheme="minorHAnsi" w:cstheme="minorHAnsi"/>
          <w:b/>
          <w:color w:val="auto"/>
        </w:rPr>
        <w:t>:</w:t>
      </w:r>
      <w:r w:rsidRPr="00243817">
        <w:rPr>
          <w:rFonts w:asciiTheme="minorHAnsi" w:hAnsiTheme="minorHAnsi" w:cstheme="minorHAnsi"/>
          <w:b/>
          <w:color w:val="auto"/>
        </w:rPr>
        <w:t xml:space="preserve"> Osmolyte </w:t>
      </w:r>
      <w:r w:rsidR="001E588D" w:rsidRPr="00243817">
        <w:rPr>
          <w:rFonts w:asciiTheme="minorHAnsi" w:hAnsiTheme="minorHAnsi" w:cstheme="minorHAnsi"/>
          <w:b/>
          <w:color w:val="auto"/>
        </w:rPr>
        <w:t xml:space="preserve">screen sample data </w:t>
      </w:r>
      <w:r w:rsidRPr="00243817">
        <w:rPr>
          <w:rFonts w:asciiTheme="minorHAnsi" w:hAnsiTheme="minorHAnsi" w:cstheme="minorHAnsi"/>
          <w:b/>
          <w:color w:val="auto"/>
        </w:rPr>
        <w:t>(</w:t>
      </w:r>
      <w:r w:rsidR="001E588D" w:rsidRPr="00243817">
        <w:rPr>
          <w:rFonts w:asciiTheme="minorHAnsi" w:hAnsiTheme="minorHAnsi" w:cstheme="minorHAnsi"/>
          <w:b/>
          <w:color w:val="auto"/>
        </w:rPr>
        <w:t>lysozyme</w:t>
      </w:r>
      <w:r w:rsidRPr="00243817">
        <w:rPr>
          <w:rFonts w:asciiTheme="minorHAnsi" w:hAnsiTheme="minorHAnsi" w:cstheme="minorHAnsi"/>
          <w:b/>
          <w:color w:val="auto"/>
        </w:rPr>
        <w:t xml:space="preserve">). </w:t>
      </w:r>
      <w:r w:rsidRPr="00243817">
        <w:rPr>
          <w:rFonts w:asciiTheme="minorHAnsi" w:hAnsiTheme="minorHAnsi" w:cstheme="minorHAnsi"/>
          <w:color w:val="auto"/>
        </w:rPr>
        <w:t>Summary of T</w:t>
      </w:r>
      <w:r w:rsidRPr="00243817">
        <w:rPr>
          <w:rFonts w:asciiTheme="minorHAnsi" w:hAnsiTheme="minorHAnsi" w:cstheme="minorHAnsi"/>
          <w:color w:val="auto"/>
          <w:vertAlign w:val="subscript"/>
        </w:rPr>
        <w:t>m</w:t>
      </w:r>
      <w:r w:rsidRPr="00243817">
        <w:rPr>
          <w:rFonts w:asciiTheme="minorHAnsi" w:hAnsiTheme="minorHAnsi" w:cstheme="minorHAnsi"/>
          <w:color w:val="auto"/>
        </w:rPr>
        <w:t xml:space="preserve"> values obtained from a label-free </w:t>
      </w:r>
      <w:proofErr w:type="spellStart"/>
      <w:r w:rsidRPr="00243817">
        <w:rPr>
          <w:rFonts w:asciiTheme="minorHAnsi" w:hAnsiTheme="minorHAnsi" w:cstheme="minorHAnsi"/>
          <w:color w:val="auto"/>
        </w:rPr>
        <w:t>nanoDSF</w:t>
      </w:r>
      <w:proofErr w:type="spellEnd"/>
      <w:r w:rsidRPr="00243817">
        <w:rPr>
          <w:rFonts w:asciiTheme="minorHAnsi" w:hAnsiTheme="minorHAnsi" w:cstheme="minorHAnsi"/>
          <w:color w:val="auto"/>
        </w:rPr>
        <w:t xml:space="preserve"> experiment with lysozyme and each well of </w:t>
      </w:r>
      <w:r w:rsidR="00D44513" w:rsidRPr="00243817">
        <w:rPr>
          <w:rFonts w:asciiTheme="minorHAnsi" w:hAnsiTheme="minorHAnsi" w:cstheme="minorHAnsi"/>
          <w:color w:val="auto"/>
        </w:rPr>
        <w:t>the osmolyte screen</w:t>
      </w:r>
      <w:r w:rsidRPr="00243817">
        <w:rPr>
          <w:rFonts w:asciiTheme="minorHAnsi" w:hAnsiTheme="minorHAnsi" w:cstheme="minorHAnsi"/>
          <w:color w:val="auto"/>
        </w:rPr>
        <w:t>. T</w:t>
      </w:r>
      <w:r w:rsidRPr="00243817">
        <w:rPr>
          <w:rFonts w:asciiTheme="minorHAnsi" w:hAnsiTheme="minorHAnsi" w:cstheme="minorHAnsi"/>
          <w:color w:val="auto"/>
          <w:vertAlign w:val="subscript"/>
        </w:rPr>
        <w:t>m</w:t>
      </w:r>
      <w:r w:rsidRPr="00243817">
        <w:rPr>
          <w:rFonts w:asciiTheme="minorHAnsi" w:hAnsiTheme="minorHAnsi" w:cstheme="minorHAnsi"/>
          <w:color w:val="auto"/>
        </w:rPr>
        <w:t xml:space="preserve"> values (in °C) are compared to </w:t>
      </w:r>
      <w:r w:rsidR="00C53F8D">
        <w:rPr>
          <w:rFonts w:asciiTheme="minorHAnsi" w:hAnsiTheme="minorHAnsi" w:cstheme="minorHAnsi"/>
          <w:color w:val="auto"/>
        </w:rPr>
        <w:t xml:space="preserve">the </w:t>
      </w:r>
      <w:r w:rsidRPr="00243817">
        <w:rPr>
          <w:rFonts w:asciiTheme="minorHAnsi" w:hAnsiTheme="minorHAnsi" w:cstheme="minorHAnsi"/>
          <w:color w:val="auto"/>
        </w:rPr>
        <w:t xml:space="preserve">wells A1 and A2 which contain water as a control. A heatmap was generated based on </w:t>
      </w:r>
      <w:proofErr w:type="spellStart"/>
      <w:r w:rsidRPr="00243817">
        <w:rPr>
          <w:rFonts w:asciiTheme="minorHAnsi" w:hAnsiTheme="minorHAnsi" w:cstheme="minorHAnsi"/>
          <w:color w:val="auto"/>
        </w:rPr>
        <w:t>ΔT</w:t>
      </w:r>
      <w:r w:rsidRPr="00243817">
        <w:rPr>
          <w:rFonts w:asciiTheme="minorHAnsi" w:hAnsiTheme="minorHAnsi" w:cstheme="minorHAnsi"/>
          <w:color w:val="auto"/>
          <w:vertAlign w:val="subscript"/>
        </w:rPr>
        <w:t>m</w:t>
      </w:r>
      <w:proofErr w:type="spellEnd"/>
      <w:r w:rsidRPr="00243817">
        <w:rPr>
          <w:rFonts w:asciiTheme="minorHAnsi" w:hAnsiTheme="minorHAnsi" w:cstheme="minorHAnsi"/>
          <w:color w:val="auto"/>
        </w:rPr>
        <w:t xml:space="preserve"> values compared (blue denotes a T</w:t>
      </w:r>
      <w:r w:rsidRPr="00243817">
        <w:rPr>
          <w:rFonts w:asciiTheme="minorHAnsi" w:hAnsiTheme="minorHAnsi" w:cstheme="minorHAnsi"/>
          <w:color w:val="auto"/>
          <w:vertAlign w:val="subscript"/>
        </w:rPr>
        <w:t>m</w:t>
      </w:r>
      <w:r w:rsidRPr="00243817">
        <w:rPr>
          <w:rFonts w:asciiTheme="minorHAnsi" w:hAnsiTheme="minorHAnsi" w:cstheme="minorHAnsi"/>
          <w:color w:val="auto"/>
        </w:rPr>
        <w:softHyphen/>
        <w:t xml:space="preserve"> increase and red a T</w:t>
      </w:r>
      <w:r w:rsidRPr="00243817">
        <w:rPr>
          <w:rFonts w:asciiTheme="minorHAnsi" w:hAnsiTheme="minorHAnsi" w:cstheme="minorHAnsi"/>
          <w:color w:val="auto"/>
          <w:vertAlign w:val="subscript"/>
        </w:rPr>
        <w:t>m</w:t>
      </w:r>
      <w:r w:rsidRPr="00243817">
        <w:rPr>
          <w:rFonts w:asciiTheme="minorHAnsi" w:hAnsiTheme="minorHAnsi" w:cstheme="minorHAnsi"/>
          <w:color w:val="auto"/>
        </w:rPr>
        <w:t xml:space="preserve"> decrease). </w:t>
      </w:r>
    </w:p>
    <w:p w14:paraId="08B89C9F" w14:textId="77777777" w:rsidR="001E4C29" w:rsidRPr="00243817" w:rsidRDefault="001E4C29" w:rsidP="004F6460">
      <w:pPr>
        <w:rPr>
          <w:rFonts w:asciiTheme="minorHAnsi" w:hAnsiTheme="minorHAnsi" w:cstheme="minorHAnsi"/>
          <w:color w:val="auto"/>
        </w:rPr>
      </w:pPr>
    </w:p>
    <w:p w14:paraId="2C248F84" w14:textId="7F319633" w:rsidR="00B13E23" w:rsidRPr="00243817" w:rsidRDefault="00B13E23" w:rsidP="004F6460">
      <w:pPr>
        <w:rPr>
          <w:rFonts w:asciiTheme="minorHAnsi" w:hAnsiTheme="minorHAnsi" w:cstheme="minorHAnsi"/>
          <w:color w:val="auto"/>
        </w:rPr>
      </w:pPr>
      <w:r w:rsidRPr="00243817">
        <w:rPr>
          <w:rFonts w:asciiTheme="minorHAnsi" w:hAnsiTheme="minorHAnsi" w:cstheme="minorHAnsi"/>
          <w:b/>
          <w:color w:val="auto"/>
        </w:rPr>
        <w:t>Figure 10</w:t>
      </w:r>
      <w:r w:rsidR="00AF77FD" w:rsidRPr="00243817">
        <w:rPr>
          <w:rFonts w:asciiTheme="minorHAnsi" w:hAnsiTheme="minorHAnsi" w:cstheme="minorHAnsi"/>
          <w:b/>
          <w:color w:val="auto"/>
        </w:rPr>
        <w:t>:</w:t>
      </w:r>
      <w:r w:rsidRPr="00243817">
        <w:rPr>
          <w:rFonts w:asciiTheme="minorHAnsi" w:hAnsiTheme="minorHAnsi" w:cstheme="minorHAnsi"/>
          <w:color w:val="auto"/>
        </w:rPr>
        <w:t xml:space="preserve"> </w:t>
      </w:r>
      <w:r w:rsidRPr="00243817">
        <w:rPr>
          <w:rFonts w:asciiTheme="minorHAnsi" w:hAnsiTheme="minorHAnsi" w:cstheme="minorHAnsi"/>
          <w:b/>
          <w:color w:val="auto"/>
        </w:rPr>
        <w:t xml:space="preserve">Osmolyte </w:t>
      </w:r>
      <w:r w:rsidR="00023888" w:rsidRPr="00243817">
        <w:rPr>
          <w:rFonts w:asciiTheme="minorHAnsi" w:hAnsiTheme="minorHAnsi" w:cstheme="minorHAnsi"/>
          <w:b/>
          <w:color w:val="auto"/>
        </w:rPr>
        <w:t xml:space="preserve">screen sample data </w:t>
      </w:r>
      <w:r w:rsidRPr="00243817">
        <w:rPr>
          <w:rFonts w:asciiTheme="minorHAnsi" w:hAnsiTheme="minorHAnsi" w:cstheme="minorHAnsi"/>
          <w:b/>
          <w:color w:val="auto"/>
        </w:rPr>
        <w:t>(</w:t>
      </w:r>
      <w:r w:rsidR="00BB30D7" w:rsidRPr="00243817">
        <w:rPr>
          <w:rFonts w:asciiTheme="minorHAnsi" w:hAnsiTheme="minorHAnsi" w:cstheme="minorHAnsi"/>
          <w:b/>
          <w:color w:val="auto"/>
        </w:rPr>
        <w:t>Protein X</w:t>
      </w:r>
      <w:r w:rsidRPr="00243817">
        <w:rPr>
          <w:rFonts w:asciiTheme="minorHAnsi" w:hAnsiTheme="minorHAnsi" w:cstheme="minorHAnsi"/>
          <w:b/>
          <w:color w:val="auto"/>
        </w:rPr>
        <w:t xml:space="preserve">). </w:t>
      </w:r>
      <w:r w:rsidR="00C53F8D" w:rsidRPr="00C53F8D">
        <w:rPr>
          <w:rFonts w:asciiTheme="minorHAnsi" w:hAnsiTheme="minorHAnsi" w:cstheme="minorHAnsi"/>
          <w:color w:val="auto"/>
        </w:rPr>
        <w:t>(</w:t>
      </w:r>
      <w:r w:rsidRPr="00C53F8D">
        <w:rPr>
          <w:rFonts w:asciiTheme="minorHAnsi" w:hAnsiTheme="minorHAnsi" w:cstheme="minorHAnsi"/>
          <w:color w:val="auto"/>
        </w:rPr>
        <w:t>A)</w:t>
      </w:r>
      <w:r w:rsidRPr="00243817">
        <w:rPr>
          <w:rFonts w:asciiTheme="minorHAnsi" w:hAnsiTheme="minorHAnsi" w:cstheme="minorHAnsi"/>
          <w:color w:val="auto"/>
        </w:rPr>
        <w:t xml:space="preserve"> Summary of T</w:t>
      </w:r>
      <w:r w:rsidRPr="00243817">
        <w:rPr>
          <w:rFonts w:asciiTheme="minorHAnsi" w:hAnsiTheme="minorHAnsi" w:cstheme="minorHAnsi"/>
          <w:color w:val="auto"/>
          <w:vertAlign w:val="subscript"/>
        </w:rPr>
        <w:t>m</w:t>
      </w:r>
      <w:r w:rsidRPr="00243817">
        <w:rPr>
          <w:rFonts w:asciiTheme="minorHAnsi" w:hAnsiTheme="minorHAnsi" w:cstheme="minorHAnsi"/>
          <w:color w:val="auto"/>
        </w:rPr>
        <w:t xml:space="preserve"> values obtained from a label-free </w:t>
      </w:r>
      <w:proofErr w:type="spellStart"/>
      <w:r w:rsidRPr="00243817">
        <w:rPr>
          <w:rFonts w:asciiTheme="minorHAnsi" w:hAnsiTheme="minorHAnsi" w:cstheme="minorHAnsi"/>
          <w:color w:val="auto"/>
        </w:rPr>
        <w:t>nanoDSF</w:t>
      </w:r>
      <w:proofErr w:type="spellEnd"/>
      <w:r w:rsidRPr="00243817">
        <w:rPr>
          <w:rFonts w:asciiTheme="minorHAnsi" w:hAnsiTheme="minorHAnsi" w:cstheme="minorHAnsi"/>
          <w:color w:val="auto"/>
        </w:rPr>
        <w:t xml:space="preserve"> experiment with </w:t>
      </w:r>
      <w:r w:rsidR="00BB30D7" w:rsidRPr="00243817">
        <w:rPr>
          <w:rFonts w:asciiTheme="minorHAnsi" w:hAnsiTheme="minorHAnsi" w:cstheme="minorHAnsi"/>
          <w:color w:val="auto"/>
        </w:rPr>
        <w:t xml:space="preserve">Protein X </w:t>
      </w:r>
      <w:r w:rsidRPr="00243817">
        <w:rPr>
          <w:rFonts w:asciiTheme="minorHAnsi" w:hAnsiTheme="minorHAnsi" w:cstheme="minorHAnsi"/>
          <w:color w:val="auto"/>
        </w:rPr>
        <w:t xml:space="preserve">and </w:t>
      </w:r>
      <w:r w:rsidR="00016DD3" w:rsidRPr="00243817">
        <w:rPr>
          <w:rFonts w:asciiTheme="minorHAnsi" w:hAnsiTheme="minorHAnsi" w:cstheme="minorHAnsi"/>
          <w:color w:val="auto"/>
        </w:rPr>
        <w:t>the osmolyte screen</w:t>
      </w:r>
      <w:r w:rsidRPr="00243817">
        <w:rPr>
          <w:rFonts w:asciiTheme="minorHAnsi" w:hAnsiTheme="minorHAnsi" w:cstheme="minorHAnsi"/>
          <w:color w:val="auto"/>
        </w:rPr>
        <w:t>. T</w:t>
      </w:r>
      <w:r w:rsidRPr="00243817">
        <w:rPr>
          <w:rFonts w:asciiTheme="minorHAnsi" w:hAnsiTheme="minorHAnsi" w:cstheme="minorHAnsi"/>
          <w:color w:val="auto"/>
          <w:vertAlign w:val="subscript"/>
        </w:rPr>
        <w:t>m</w:t>
      </w:r>
      <w:r w:rsidRPr="00243817">
        <w:rPr>
          <w:rFonts w:asciiTheme="minorHAnsi" w:hAnsiTheme="minorHAnsi" w:cstheme="minorHAnsi"/>
          <w:color w:val="auto"/>
        </w:rPr>
        <w:t xml:space="preserve"> values are compared to wells A1 and A2 which contain water as a control. A heatmap was generated based on </w:t>
      </w:r>
      <w:proofErr w:type="spellStart"/>
      <w:r w:rsidRPr="00243817">
        <w:rPr>
          <w:rFonts w:asciiTheme="minorHAnsi" w:hAnsiTheme="minorHAnsi" w:cstheme="minorHAnsi"/>
          <w:color w:val="auto"/>
        </w:rPr>
        <w:t>ΔT</w:t>
      </w:r>
      <w:r w:rsidRPr="00243817">
        <w:rPr>
          <w:rFonts w:asciiTheme="minorHAnsi" w:hAnsiTheme="minorHAnsi" w:cstheme="minorHAnsi"/>
          <w:color w:val="auto"/>
          <w:vertAlign w:val="subscript"/>
        </w:rPr>
        <w:t>m</w:t>
      </w:r>
      <w:proofErr w:type="spellEnd"/>
      <w:r w:rsidRPr="00243817">
        <w:rPr>
          <w:rFonts w:asciiTheme="minorHAnsi" w:hAnsiTheme="minorHAnsi" w:cstheme="minorHAnsi"/>
          <w:color w:val="auto"/>
        </w:rPr>
        <w:t xml:space="preserve"> values compared (blue denotes a T</w:t>
      </w:r>
      <w:r w:rsidRPr="00243817">
        <w:rPr>
          <w:rFonts w:asciiTheme="minorHAnsi" w:hAnsiTheme="minorHAnsi" w:cstheme="minorHAnsi"/>
          <w:color w:val="auto"/>
          <w:vertAlign w:val="subscript"/>
        </w:rPr>
        <w:t>m</w:t>
      </w:r>
      <w:r w:rsidRPr="00243817">
        <w:rPr>
          <w:rFonts w:asciiTheme="minorHAnsi" w:hAnsiTheme="minorHAnsi" w:cstheme="minorHAnsi"/>
          <w:color w:val="auto"/>
        </w:rPr>
        <w:softHyphen/>
        <w:t xml:space="preserve"> increase and red a T</w:t>
      </w:r>
      <w:r w:rsidRPr="00243817">
        <w:rPr>
          <w:rFonts w:asciiTheme="minorHAnsi" w:hAnsiTheme="minorHAnsi" w:cstheme="minorHAnsi"/>
          <w:color w:val="auto"/>
          <w:vertAlign w:val="subscript"/>
        </w:rPr>
        <w:t>m</w:t>
      </w:r>
      <w:r w:rsidRPr="00243817">
        <w:rPr>
          <w:rFonts w:asciiTheme="minorHAnsi" w:hAnsiTheme="minorHAnsi" w:cstheme="minorHAnsi"/>
          <w:color w:val="auto"/>
        </w:rPr>
        <w:t xml:space="preserve"> decrease). </w:t>
      </w:r>
      <w:r w:rsidR="00C53F8D">
        <w:rPr>
          <w:rFonts w:asciiTheme="minorHAnsi" w:hAnsiTheme="minorHAnsi" w:cstheme="minorHAnsi"/>
          <w:color w:val="auto"/>
        </w:rPr>
        <w:t>(</w:t>
      </w:r>
      <w:r w:rsidRPr="00243817">
        <w:rPr>
          <w:rFonts w:asciiTheme="minorHAnsi" w:hAnsiTheme="minorHAnsi" w:cstheme="minorHAnsi"/>
          <w:color w:val="auto"/>
        </w:rPr>
        <w:t xml:space="preserve">B) </w:t>
      </w:r>
      <w:proofErr w:type="spellStart"/>
      <w:r w:rsidRPr="00243817">
        <w:rPr>
          <w:rFonts w:asciiTheme="minorHAnsi" w:hAnsiTheme="minorHAnsi" w:cstheme="minorHAnsi"/>
          <w:color w:val="auto"/>
        </w:rPr>
        <w:t>nanoDSF</w:t>
      </w:r>
      <w:proofErr w:type="spellEnd"/>
      <w:r w:rsidRPr="00243817">
        <w:rPr>
          <w:rFonts w:asciiTheme="minorHAnsi" w:hAnsiTheme="minorHAnsi" w:cstheme="minorHAnsi"/>
          <w:color w:val="auto"/>
        </w:rPr>
        <w:t xml:space="preserve"> curves obtained from well A9 (1 M D-sorbitol, a stabili</w:t>
      </w:r>
      <w:r w:rsidR="00C53F8D">
        <w:rPr>
          <w:rFonts w:asciiTheme="minorHAnsi" w:hAnsiTheme="minorHAnsi" w:cstheme="minorHAnsi"/>
          <w:color w:val="auto"/>
        </w:rPr>
        <w:t>z</w:t>
      </w:r>
      <w:r w:rsidRPr="00243817">
        <w:rPr>
          <w:rFonts w:asciiTheme="minorHAnsi" w:hAnsiTheme="minorHAnsi" w:cstheme="minorHAnsi"/>
          <w:color w:val="auto"/>
        </w:rPr>
        <w:t xml:space="preserve">ing condition) and D1 (10 mM </w:t>
      </w:r>
      <w:proofErr w:type="spellStart"/>
      <w:r w:rsidRPr="00243817">
        <w:rPr>
          <w:rFonts w:asciiTheme="minorHAnsi" w:hAnsiTheme="minorHAnsi" w:cstheme="minorHAnsi"/>
          <w:color w:val="auto"/>
        </w:rPr>
        <w:t>dipicolinic</w:t>
      </w:r>
      <w:proofErr w:type="spellEnd"/>
      <w:r w:rsidRPr="00243817">
        <w:rPr>
          <w:rFonts w:asciiTheme="minorHAnsi" w:hAnsiTheme="minorHAnsi" w:cstheme="minorHAnsi"/>
          <w:color w:val="auto"/>
        </w:rPr>
        <w:t xml:space="preserve"> acid, a destabili</w:t>
      </w:r>
      <w:r w:rsidR="00C53F8D">
        <w:rPr>
          <w:rFonts w:asciiTheme="minorHAnsi" w:hAnsiTheme="minorHAnsi" w:cstheme="minorHAnsi"/>
          <w:color w:val="auto"/>
        </w:rPr>
        <w:t>z</w:t>
      </w:r>
      <w:r w:rsidRPr="00243817">
        <w:rPr>
          <w:rFonts w:asciiTheme="minorHAnsi" w:hAnsiTheme="minorHAnsi" w:cstheme="minorHAnsi"/>
          <w:color w:val="auto"/>
        </w:rPr>
        <w:t>ing condition).</w:t>
      </w:r>
    </w:p>
    <w:p w14:paraId="784263EA" w14:textId="77777777" w:rsidR="001E4C29" w:rsidRPr="00243817" w:rsidRDefault="001E4C29" w:rsidP="004F6460">
      <w:pPr>
        <w:rPr>
          <w:rFonts w:asciiTheme="minorHAnsi" w:hAnsiTheme="minorHAnsi" w:cstheme="minorHAnsi"/>
          <w:color w:val="auto"/>
        </w:rPr>
      </w:pPr>
    </w:p>
    <w:p w14:paraId="11A27853" w14:textId="2B103152" w:rsidR="00B13E23" w:rsidRPr="00243817" w:rsidRDefault="00B13E23" w:rsidP="004F6460">
      <w:pPr>
        <w:rPr>
          <w:rFonts w:asciiTheme="minorHAnsi" w:hAnsiTheme="minorHAnsi" w:cstheme="minorHAnsi"/>
          <w:color w:val="auto"/>
        </w:rPr>
      </w:pPr>
      <w:r w:rsidRPr="00243817">
        <w:rPr>
          <w:rFonts w:asciiTheme="minorHAnsi" w:hAnsiTheme="minorHAnsi" w:cstheme="minorHAnsi"/>
          <w:b/>
          <w:color w:val="auto"/>
        </w:rPr>
        <w:t>Figure 11</w:t>
      </w:r>
      <w:r w:rsidR="00AF77FD" w:rsidRPr="00243817">
        <w:rPr>
          <w:rFonts w:asciiTheme="minorHAnsi" w:hAnsiTheme="minorHAnsi" w:cstheme="minorHAnsi"/>
          <w:b/>
          <w:color w:val="auto"/>
        </w:rPr>
        <w:t>:</w:t>
      </w:r>
      <w:r w:rsidRPr="00243817">
        <w:rPr>
          <w:rFonts w:asciiTheme="minorHAnsi" w:hAnsiTheme="minorHAnsi" w:cstheme="minorHAnsi"/>
          <w:b/>
          <w:color w:val="auto"/>
        </w:rPr>
        <w:t xml:space="preserve"> Buffer </w:t>
      </w:r>
      <w:r w:rsidR="00026A08" w:rsidRPr="00243817">
        <w:rPr>
          <w:rFonts w:asciiTheme="minorHAnsi" w:hAnsiTheme="minorHAnsi" w:cstheme="minorHAnsi"/>
          <w:b/>
          <w:color w:val="auto"/>
        </w:rPr>
        <w:t>optimi</w:t>
      </w:r>
      <w:r w:rsidR="00AF77FD" w:rsidRPr="00243817">
        <w:rPr>
          <w:rFonts w:asciiTheme="minorHAnsi" w:hAnsiTheme="minorHAnsi" w:cstheme="minorHAnsi"/>
          <w:b/>
          <w:color w:val="auto"/>
        </w:rPr>
        <w:t>z</w:t>
      </w:r>
      <w:r w:rsidR="00026A08" w:rsidRPr="00243817">
        <w:rPr>
          <w:rFonts w:asciiTheme="minorHAnsi" w:hAnsiTheme="minorHAnsi" w:cstheme="minorHAnsi"/>
          <w:b/>
          <w:color w:val="auto"/>
        </w:rPr>
        <w:t xml:space="preserve">ation effect </w:t>
      </w:r>
      <w:r w:rsidRPr="00243817">
        <w:rPr>
          <w:rFonts w:asciiTheme="minorHAnsi" w:hAnsiTheme="minorHAnsi" w:cstheme="minorHAnsi"/>
          <w:b/>
          <w:color w:val="auto"/>
        </w:rPr>
        <w:t>on T</w:t>
      </w:r>
      <w:r w:rsidRPr="00243817">
        <w:rPr>
          <w:rFonts w:asciiTheme="minorHAnsi" w:hAnsiTheme="minorHAnsi" w:cstheme="minorHAnsi"/>
          <w:b/>
          <w:color w:val="auto"/>
          <w:vertAlign w:val="subscript"/>
        </w:rPr>
        <w:t>m</w:t>
      </w:r>
      <w:r w:rsidRPr="00243817">
        <w:rPr>
          <w:rFonts w:asciiTheme="minorHAnsi" w:hAnsiTheme="minorHAnsi" w:cstheme="minorHAnsi"/>
          <w:b/>
          <w:color w:val="auto"/>
        </w:rPr>
        <w:t xml:space="preserve">. </w:t>
      </w:r>
      <w:r w:rsidRPr="00243817">
        <w:rPr>
          <w:rFonts w:asciiTheme="minorHAnsi" w:hAnsiTheme="minorHAnsi" w:cstheme="minorHAnsi"/>
          <w:color w:val="auto"/>
        </w:rPr>
        <w:t>TSA T</w:t>
      </w:r>
      <w:r w:rsidRPr="00243817">
        <w:rPr>
          <w:rFonts w:asciiTheme="minorHAnsi" w:hAnsiTheme="minorHAnsi" w:cstheme="minorHAnsi"/>
          <w:color w:val="auto"/>
          <w:vertAlign w:val="subscript"/>
        </w:rPr>
        <w:t>m</w:t>
      </w:r>
      <w:r w:rsidRPr="00243817">
        <w:rPr>
          <w:rFonts w:asciiTheme="minorHAnsi" w:hAnsiTheme="minorHAnsi" w:cstheme="minorHAnsi"/>
          <w:color w:val="auto"/>
        </w:rPr>
        <w:t xml:space="preserve"> values of lysozyme combined with the conditions of each screen that afforded the largest increase in T</w:t>
      </w:r>
      <w:r w:rsidRPr="00243817">
        <w:rPr>
          <w:rFonts w:asciiTheme="minorHAnsi" w:hAnsiTheme="minorHAnsi" w:cstheme="minorHAnsi"/>
          <w:color w:val="auto"/>
          <w:vertAlign w:val="subscript"/>
        </w:rPr>
        <w:t>m</w:t>
      </w:r>
      <w:r w:rsidRPr="00243817">
        <w:rPr>
          <w:rFonts w:asciiTheme="minorHAnsi" w:hAnsiTheme="minorHAnsi" w:cstheme="minorHAnsi"/>
          <w:color w:val="auto"/>
        </w:rPr>
        <w:t xml:space="preserve">. 100 mM acetic acid, pH 4.2, and 100 mM MES, pH 5.6, were chosen as the buffer systems, alongside 1.5 M ammonium sulphate as the salt. Osmolyte concentrations were identical to those found in the </w:t>
      </w:r>
      <w:r w:rsidR="00735AB3" w:rsidRPr="00243817">
        <w:rPr>
          <w:rFonts w:asciiTheme="minorHAnsi" w:hAnsiTheme="minorHAnsi" w:cstheme="minorHAnsi"/>
          <w:color w:val="auto"/>
        </w:rPr>
        <w:t>o</w:t>
      </w:r>
      <w:r w:rsidRPr="00243817">
        <w:rPr>
          <w:rFonts w:asciiTheme="minorHAnsi" w:hAnsiTheme="minorHAnsi" w:cstheme="minorHAnsi"/>
          <w:color w:val="auto"/>
        </w:rPr>
        <w:t xml:space="preserve">smolyte </w:t>
      </w:r>
      <w:r w:rsidR="00735AB3" w:rsidRPr="00243817">
        <w:rPr>
          <w:rFonts w:asciiTheme="minorHAnsi" w:hAnsiTheme="minorHAnsi" w:cstheme="minorHAnsi"/>
          <w:color w:val="auto"/>
        </w:rPr>
        <w:t>screen</w:t>
      </w:r>
      <w:r w:rsidRPr="00243817">
        <w:rPr>
          <w:rFonts w:asciiTheme="minorHAnsi" w:hAnsiTheme="minorHAnsi" w:cstheme="minorHAnsi"/>
          <w:color w:val="auto"/>
        </w:rPr>
        <w:t>: 10 mM Ala-</w:t>
      </w:r>
      <w:proofErr w:type="spellStart"/>
      <w:r w:rsidRPr="00243817">
        <w:rPr>
          <w:rFonts w:asciiTheme="minorHAnsi" w:hAnsiTheme="minorHAnsi" w:cstheme="minorHAnsi"/>
          <w:color w:val="auto"/>
        </w:rPr>
        <w:t>Gly</w:t>
      </w:r>
      <w:proofErr w:type="spellEnd"/>
      <w:r w:rsidRPr="00243817">
        <w:rPr>
          <w:rFonts w:asciiTheme="minorHAnsi" w:hAnsiTheme="minorHAnsi" w:cstheme="minorHAnsi"/>
          <w:color w:val="auto"/>
        </w:rPr>
        <w:t xml:space="preserve">, 1 M D-sorbitol, 50 mM L-lysine and 100 mM </w:t>
      </w:r>
      <w:proofErr w:type="spellStart"/>
      <w:r w:rsidRPr="00243817">
        <w:rPr>
          <w:rFonts w:asciiTheme="minorHAnsi" w:hAnsiTheme="minorHAnsi" w:cstheme="minorHAnsi"/>
          <w:color w:val="auto"/>
        </w:rPr>
        <w:t>hypotaurine</w:t>
      </w:r>
      <w:proofErr w:type="spellEnd"/>
      <w:r w:rsidRPr="00243817">
        <w:rPr>
          <w:rFonts w:asciiTheme="minorHAnsi" w:hAnsiTheme="minorHAnsi" w:cstheme="minorHAnsi"/>
          <w:color w:val="auto"/>
        </w:rPr>
        <w:t>. Error bars represent the standard deviation of six replicates.</w:t>
      </w:r>
    </w:p>
    <w:p w14:paraId="75182EC3" w14:textId="65F76420" w:rsidR="00B32616" w:rsidRDefault="00B32616" w:rsidP="004F6460">
      <w:pPr>
        <w:rPr>
          <w:rFonts w:asciiTheme="minorHAnsi" w:hAnsiTheme="minorHAnsi" w:cstheme="minorHAnsi"/>
          <w:color w:val="808080"/>
          <w:highlight w:val="cyan"/>
        </w:rPr>
      </w:pPr>
    </w:p>
    <w:p w14:paraId="7BA1351C" w14:textId="77777777" w:rsidR="006557CC" w:rsidRPr="00243817" w:rsidRDefault="006557CC" w:rsidP="006557CC">
      <w:pPr>
        <w:rPr>
          <w:rFonts w:asciiTheme="minorHAnsi" w:hAnsiTheme="minorHAnsi" w:cstheme="minorHAnsi"/>
          <w:color w:val="auto"/>
        </w:rPr>
      </w:pPr>
      <w:r w:rsidRPr="00243817">
        <w:rPr>
          <w:rFonts w:asciiTheme="minorHAnsi" w:hAnsiTheme="minorHAnsi" w:cstheme="minorHAnsi"/>
          <w:b/>
          <w:color w:val="auto"/>
        </w:rPr>
        <w:t>Table 1: Summary of buffer molecule co-crystalli</w:t>
      </w:r>
      <w:r>
        <w:rPr>
          <w:rFonts w:asciiTheme="minorHAnsi" w:hAnsiTheme="minorHAnsi" w:cstheme="minorHAnsi"/>
          <w:b/>
          <w:color w:val="auto"/>
        </w:rPr>
        <w:t>z</w:t>
      </w:r>
      <w:r w:rsidRPr="00243817">
        <w:rPr>
          <w:rFonts w:asciiTheme="minorHAnsi" w:hAnsiTheme="minorHAnsi" w:cstheme="minorHAnsi"/>
          <w:b/>
          <w:color w:val="auto"/>
        </w:rPr>
        <w:t>ation frequency in Protein Data Bank (PDB) entries.</w:t>
      </w:r>
      <w:r w:rsidRPr="00243817">
        <w:rPr>
          <w:rFonts w:asciiTheme="minorHAnsi" w:hAnsiTheme="minorHAnsi" w:cstheme="minorHAnsi"/>
          <w:color w:val="auto"/>
        </w:rPr>
        <w:t xml:space="preserve"> Data obtained through PDBsum</w:t>
      </w:r>
      <w:r w:rsidRPr="00243817">
        <w:rPr>
          <w:rFonts w:asciiTheme="minorHAnsi" w:hAnsiTheme="minorHAnsi" w:cstheme="minorHAnsi"/>
          <w:color w:val="auto"/>
          <w:vertAlign w:val="superscript"/>
        </w:rPr>
        <w:t>16</w:t>
      </w:r>
      <w:r w:rsidRPr="00243817">
        <w:rPr>
          <w:rFonts w:asciiTheme="minorHAnsi" w:hAnsiTheme="minorHAnsi" w:cstheme="minorHAnsi"/>
          <w:color w:val="auto"/>
        </w:rPr>
        <w:t xml:space="preserve"> from a total of 144,868 entries (correct as of 12-5-18).</w:t>
      </w:r>
    </w:p>
    <w:p w14:paraId="5EC8F9D6" w14:textId="77777777" w:rsidR="006557CC" w:rsidRPr="00243817" w:rsidRDefault="006557CC" w:rsidP="004F6460">
      <w:pPr>
        <w:rPr>
          <w:rFonts w:asciiTheme="minorHAnsi" w:hAnsiTheme="minorHAnsi" w:cstheme="minorHAnsi"/>
          <w:color w:val="808080"/>
          <w:highlight w:val="cyan"/>
        </w:rPr>
      </w:pPr>
    </w:p>
    <w:p w14:paraId="2365F150" w14:textId="0BCD821F" w:rsidR="004F6460" w:rsidRPr="009D664B" w:rsidRDefault="009D664B" w:rsidP="004F6460">
      <w:pPr>
        <w:rPr>
          <w:rFonts w:asciiTheme="minorHAnsi" w:hAnsiTheme="minorHAnsi" w:cstheme="minorHAnsi"/>
          <w:b/>
          <w:color w:val="auto"/>
        </w:rPr>
      </w:pPr>
      <w:r w:rsidRPr="00243817">
        <w:rPr>
          <w:rFonts w:asciiTheme="minorHAnsi" w:hAnsiTheme="minorHAnsi" w:cstheme="minorHAnsi"/>
          <w:b/>
          <w:color w:val="auto"/>
        </w:rPr>
        <w:t xml:space="preserve">Supplementary </w:t>
      </w:r>
      <w:r>
        <w:rPr>
          <w:rFonts w:asciiTheme="minorHAnsi" w:hAnsiTheme="minorHAnsi" w:cstheme="minorHAnsi"/>
          <w:b/>
          <w:color w:val="auto"/>
        </w:rPr>
        <w:t xml:space="preserve">File. </w:t>
      </w:r>
      <w:r w:rsidR="004F6460" w:rsidRPr="00243817">
        <w:rPr>
          <w:rFonts w:asciiTheme="minorHAnsi" w:hAnsiTheme="minorHAnsi" w:cstheme="minorHAnsi"/>
          <w:color w:val="auto"/>
        </w:rPr>
        <w:t xml:space="preserve">See attached file: “Supplementary_Information.docx” and Supplementary </w:t>
      </w:r>
      <w:r>
        <w:rPr>
          <w:rFonts w:asciiTheme="minorHAnsi" w:hAnsiTheme="minorHAnsi" w:cstheme="minorHAnsi"/>
          <w:color w:val="auto"/>
        </w:rPr>
        <w:t>T</w:t>
      </w:r>
      <w:r w:rsidR="004F6460" w:rsidRPr="00243817">
        <w:rPr>
          <w:rFonts w:asciiTheme="minorHAnsi" w:hAnsiTheme="minorHAnsi" w:cstheme="minorHAnsi"/>
          <w:color w:val="auto"/>
        </w:rPr>
        <w:t>able 1-3 files.</w:t>
      </w:r>
    </w:p>
    <w:p w14:paraId="3C710E1B" w14:textId="77777777" w:rsidR="004F6460" w:rsidRPr="00243817" w:rsidRDefault="004F6460" w:rsidP="004F6460">
      <w:pPr>
        <w:rPr>
          <w:rFonts w:asciiTheme="minorHAnsi" w:hAnsiTheme="minorHAnsi" w:cstheme="minorHAnsi"/>
          <w:color w:val="808080" w:themeColor="background1" w:themeShade="80"/>
        </w:rPr>
      </w:pPr>
    </w:p>
    <w:p w14:paraId="64B8CF78" w14:textId="0D8A32F3" w:rsidR="006305D7" w:rsidRPr="00243817" w:rsidRDefault="006305D7" w:rsidP="004F6460">
      <w:pPr>
        <w:rPr>
          <w:rFonts w:asciiTheme="minorHAnsi" w:hAnsiTheme="minorHAnsi" w:cstheme="minorHAnsi"/>
          <w:b/>
          <w:bCs/>
        </w:rPr>
      </w:pPr>
      <w:r w:rsidRPr="00243817">
        <w:rPr>
          <w:rFonts w:asciiTheme="minorHAnsi" w:hAnsiTheme="minorHAnsi" w:cstheme="minorHAnsi"/>
          <w:b/>
        </w:rPr>
        <w:t>DISCUSSION</w:t>
      </w:r>
      <w:r w:rsidRPr="00243817">
        <w:rPr>
          <w:rFonts w:asciiTheme="minorHAnsi" w:hAnsiTheme="minorHAnsi" w:cstheme="minorHAnsi"/>
          <w:b/>
          <w:bCs/>
        </w:rPr>
        <w:t xml:space="preserve">: </w:t>
      </w:r>
    </w:p>
    <w:p w14:paraId="09D15013" w14:textId="61DC5F52" w:rsidR="003811A8" w:rsidRPr="00243817" w:rsidRDefault="003811A8" w:rsidP="004F6460">
      <w:pPr>
        <w:rPr>
          <w:rFonts w:asciiTheme="minorHAnsi" w:hAnsiTheme="minorHAnsi" w:cstheme="minorHAnsi"/>
          <w:bCs/>
          <w:color w:val="auto"/>
        </w:rPr>
      </w:pPr>
      <w:r w:rsidRPr="00243817">
        <w:rPr>
          <w:rFonts w:asciiTheme="minorHAnsi" w:hAnsiTheme="minorHAnsi" w:cstheme="minorHAnsi"/>
          <w:bCs/>
          <w:color w:val="auto"/>
        </w:rPr>
        <w:t>Critical</w:t>
      </w:r>
      <w:r w:rsidR="001D498A" w:rsidRPr="00243817">
        <w:rPr>
          <w:rFonts w:asciiTheme="minorHAnsi" w:hAnsiTheme="minorHAnsi" w:cstheme="minorHAnsi"/>
          <w:bCs/>
          <w:color w:val="auto"/>
        </w:rPr>
        <w:t xml:space="preserve"> aspects within the protocol include the centrifugation step and </w:t>
      </w:r>
      <w:r w:rsidR="00CF5398" w:rsidRPr="00243817">
        <w:rPr>
          <w:rFonts w:asciiTheme="minorHAnsi" w:hAnsiTheme="minorHAnsi" w:cstheme="minorHAnsi"/>
          <w:bCs/>
          <w:color w:val="auto"/>
        </w:rPr>
        <w:t xml:space="preserve">proper </w:t>
      </w:r>
      <w:r w:rsidR="001D498A" w:rsidRPr="00243817">
        <w:rPr>
          <w:rFonts w:asciiTheme="minorHAnsi" w:hAnsiTheme="minorHAnsi" w:cstheme="minorHAnsi"/>
          <w:bCs/>
          <w:color w:val="auto"/>
        </w:rPr>
        <w:t>sealing of the 96-well plate for TSA experiments (</w:t>
      </w:r>
      <w:r w:rsidR="009D664B">
        <w:rPr>
          <w:rFonts w:asciiTheme="minorHAnsi" w:hAnsiTheme="minorHAnsi" w:cstheme="minorHAnsi"/>
          <w:bCs/>
          <w:color w:val="auto"/>
        </w:rPr>
        <w:t xml:space="preserve">step </w:t>
      </w:r>
      <w:r w:rsidR="001D498A" w:rsidRPr="00243817">
        <w:rPr>
          <w:rFonts w:asciiTheme="minorHAnsi" w:hAnsiTheme="minorHAnsi" w:cstheme="minorHAnsi"/>
          <w:bCs/>
          <w:color w:val="auto"/>
        </w:rPr>
        <w:t xml:space="preserve">1.5). </w:t>
      </w:r>
      <w:r w:rsidR="00492EA7" w:rsidRPr="00243817">
        <w:rPr>
          <w:rFonts w:asciiTheme="minorHAnsi" w:hAnsiTheme="minorHAnsi" w:cstheme="minorHAnsi"/>
          <w:bCs/>
          <w:color w:val="auto"/>
        </w:rPr>
        <w:t xml:space="preserve">Centrifugation ensures that the protein sample and screen condition come into contact and mix. </w:t>
      </w:r>
      <w:r w:rsidR="00CF6FD9" w:rsidRPr="00243817">
        <w:rPr>
          <w:rFonts w:asciiTheme="minorHAnsi" w:hAnsiTheme="minorHAnsi" w:cstheme="minorHAnsi"/>
          <w:bCs/>
          <w:color w:val="auto"/>
        </w:rPr>
        <w:t>Additionally, i</w:t>
      </w:r>
      <w:r w:rsidR="00492EA7" w:rsidRPr="00243817">
        <w:rPr>
          <w:rFonts w:asciiTheme="minorHAnsi" w:hAnsiTheme="minorHAnsi" w:cstheme="minorHAnsi"/>
          <w:bCs/>
          <w:color w:val="auto"/>
        </w:rPr>
        <w:t xml:space="preserve">f an unsealed plate is used </w:t>
      </w:r>
      <w:r w:rsidR="00CF5398" w:rsidRPr="00243817">
        <w:rPr>
          <w:rFonts w:asciiTheme="minorHAnsi" w:hAnsiTheme="minorHAnsi" w:cstheme="minorHAnsi"/>
          <w:bCs/>
          <w:color w:val="auto"/>
        </w:rPr>
        <w:t xml:space="preserve">for a TSA experiment, there is a significant risk of </w:t>
      </w:r>
      <w:r w:rsidR="00F318B4" w:rsidRPr="00243817">
        <w:rPr>
          <w:rFonts w:asciiTheme="minorHAnsi" w:hAnsiTheme="minorHAnsi" w:cstheme="minorHAnsi"/>
          <w:bCs/>
          <w:color w:val="auto"/>
        </w:rPr>
        <w:t xml:space="preserve">solvent evaporating throughout the experiment, </w:t>
      </w:r>
      <w:r w:rsidR="00184A93" w:rsidRPr="00243817">
        <w:rPr>
          <w:rFonts w:asciiTheme="minorHAnsi" w:hAnsiTheme="minorHAnsi" w:cstheme="minorHAnsi"/>
          <w:bCs/>
          <w:color w:val="auto"/>
        </w:rPr>
        <w:t xml:space="preserve">causing an increase in </w:t>
      </w:r>
      <w:r w:rsidR="009251F9" w:rsidRPr="00243817">
        <w:rPr>
          <w:rFonts w:asciiTheme="minorHAnsi" w:hAnsiTheme="minorHAnsi" w:cstheme="minorHAnsi"/>
          <w:bCs/>
          <w:color w:val="auto"/>
        </w:rPr>
        <w:t>sample</w:t>
      </w:r>
      <w:r w:rsidR="00184A93" w:rsidRPr="00243817">
        <w:rPr>
          <w:rFonts w:asciiTheme="minorHAnsi" w:hAnsiTheme="minorHAnsi" w:cstheme="minorHAnsi"/>
          <w:bCs/>
          <w:color w:val="auto"/>
        </w:rPr>
        <w:t xml:space="preserve"> concentration</w:t>
      </w:r>
      <w:r w:rsidR="009251F9" w:rsidRPr="00243817">
        <w:rPr>
          <w:rFonts w:asciiTheme="minorHAnsi" w:hAnsiTheme="minorHAnsi" w:cstheme="minorHAnsi"/>
          <w:bCs/>
          <w:color w:val="auto"/>
        </w:rPr>
        <w:t xml:space="preserve"> </w:t>
      </w:r>
      <w:r w:rsidR="00184A93" w:rsidRPr="00243817">
        <w:rPr>
          <w:rFonts w:asciiTheme="minorHAnsi" w:hAnsiTheme="minorHAnsi" w:cstheme="minorHAnsi"/>
          <w:bCs/>
          <w:color w:val="auto"/>
        </w:rPr>
        <w:t>and increasing the chance of premature protein aggregation.</w:t>
      </w:r>
      <w:r w:rsidR="00F318B4" w:rsidRPr="00243817">
        <w:rPr>
          <w:rFonts w:asciiTheme="minorHAnsi" w:hAnsiTheme="minorHAnsi" w:cstheme="minorHAnsi"/>
          <w:bCs/>
          <w:color w:val="auto"/>
        </w:rPr>
        <w:t xml:space="preserve"> </w:t>
      </w:r>
    </w:p>
    <w:p w14:paraId="7B88AB4D" w14:textId="77777777" w:rsidR="003811A8" w:rsidRPr="00243817" w:rsidRDefault="003811A8" w:rsidP="004F6460">
      <w:pPr>
        <w:rPr>
          <w:rFonts w:asciiTheme="minorHAnsi" w:hAnsiTheme="minorHAnsi" w:cstheme="minorHAnsi"/>
          <w:bCs/>
          <w:color w:val="808080"/>
        </w:rPr>
      </w:pPr>
    </w:p>
    <w:p w14:paraId="35E63FDD" w14:textId="57D8B41C" w:rsidR="00730203" w:rsidRPr="00243817" w:rsidRDefault="0063452A" w:rsidP="004F6460">
      <w:pPr>
        <w:rPr>
          <w:rFonts w:asciiTheme="minorHAnsi" w:hAnsiTheme="minorHAnsi" w:cstheme="minorHAnsi"/>
          <w:color w:val="auto"/>
        </w:rPr>
      </w:pPr>
      <w:r w:rsidRPr="00243817">
        <w:rPr>
          <w:rFonts w:asciiTheme="minorHAnsi" w:hAnsiTheme="minorHAnsi" w:cstheme="minorHAnsi"/>
          <w:color w:val="auto"/>
        </w:rPr>
        <w:t>TSA</w:t>
      </w:r>
      <w:r w:rsidR="00A87D02" w:rsidRPr="00243817">
        <w:rPr>
          <w:rFonts w:asciiTheme="minorHAnsi" w:hAnsiTheme="minorHAnsi" w:cstheme="minorHAnsi"/>
          <w:color w:val="auto"/>
        </w:rPr>
        <w:t xml:space="preserve">s and </w:t>
      </w:r>
      <w:proofErr w:type="spellStart"/>
      <w:r w:rsidR="00A87D02" w:rsidRPr="00243817">
        <w:rPr>
          <w:rFonts w:asciiTheme="minorHAnsi" w:hAnsiTheme="minorHAnsi" w:cstheme="minorHAnsi"/>
          <w:color w:val="auto"/>
        </w:rPr>
        <w:t>nanoDSF</w:t>
      </w:r>
      <w:proofErr w:type="spellEnd"/>
      <w:r w:rsidRPr="00243817">
        <w:rPr>
          <w:rFonts w:asciiTheme="minorHAnsi" w:hAnsiTheme="minorHAnsi" w:cstheme="minorHAnsi"/>
          <w:color w:val="auto"/>
        </w:rPr>
        <w:t xml:space="preserve"> </w:t>
      </w:r>
      <w:r w:rsidR="00A87D02" w:rsidRPr="00243817">
        <w:rPr>
          <w:rFonts w:asciiTheme="minorHAnsi" w:hAnsiTheme="minorHAnsi" w:cstheme="minorHAnsi"/>
          <w:color w:val="auto"/>
        </w:rPr>
        <w:t xml:space="preserve">are </w:t>
      </w:r>
      <w:r w:rsidR="00472516" w:rsidRPr="00243817">
        <w:rPr>
          <w:rFonts w:asciiTheme="minorHAnsi" w:hAnsiTheme="minorHAnsi" w:cstheme="minorHAnsi"/>
          <w:color w:val="auto"/>
        </w:rPr>
        <w:t>amenable to a wide range of protein samples;</w:t>
      </w:r>
      <w:r w:rsidR="00885AB4" w:rsidRPr="00243817">
        <w:rPr>
          <w:rFonts w:asciiTheme="minorHAnsi" w:hAnsiTheme="minorHAnsi" w:cstheme="minorHAnsi"/>
          <w:color w:val="auto"/>
        </w:rPr>
        <w:t xml:space="preserve"> the </w:t>
      </w:r>
      <w:proofErr w:type="gramStart"/>
      <w:r w:rsidR="00885AB4" w:rsidRPr="00243817">
        <w:rPr>
          <w:rFonts w:asciiTheme="minorHAnsi" w:hAnsiTheme="minorHAnsi" w:cstheme="minorHAnsi"/>
          <w:color w:val="auto"/>
        </w:rPr>
        <w:t>vast majority</w:t>
      </w:r>
      <w:proofErr w:type="gramEnd"/>
      <w:r w:rsidR="00885AB4" w:rsidRPr="00243817">
        <w:rPr>
          <w:rFonts w:asciiTheme="minorHAnsi" w:hAnsiTheme="minorHAnsi" w:cstheme="minorHAnsi"/>
          <w:color w:val="auto"/>
        </w:rPr>
        <w:t xml:space="preserve"> of samples can produce interpretable </w:t>
      </w:r>
      <w:r w:rsidRPr="00243817">
        <w:rPr>
          <w:rFonts w:asciiTheme="minorHAnsi" w:hAnsiTheme="minorHAnsi" w:cstheme="minorHAnsi"/>
          <w:color w:val="auto"/>
        </w:rPr>
        <w:t xml:space="preserve">melt </w:t>
      </w:r>
      <w:r w:rsidR="00885AB4" w:rsidRPr="00243817">
        <w:rPr>
          <w:rFonts w:asciiTheme="minorHAnsi" w:hAnsiTheme="minorHAnsi" w:cstheme="minorHAnsi"/>
          <w:color w:val="auto"/>
        </w:rPr>
        <w:t xml:space="preserve">curves </w:t>
      </w:r>
      <w:r w:rsidR="008F6400" w:rsidRPr="00243817">
        <w:rPr>
          <w:rFonts w:asciiTheme="minorHAnsi" w:hAnsiTheme="minorHAnsi" w:cstheme="minorHAnsi"/>
          <w:color w:val="auto"/>
        </w:rPr>
        <w:t>with</w:t>
      </w:r>
      <w:r w:rsidR="00885AB4" w:rsidRPr="00243817">
        <w:rPr>
          <w:rFonts w:asciiTheme="minorHAnsi" w:hAnsiTheme="minorHAnsi" w:cstheme="minorHAnsi"/>
          <w:color w:val="auto"/>
        </w:rPr>
        <w:t xml:space="preserve"> a </w:t>
      </w:r>
      <w:r w:rsidR="00400928" w:rsidRPr="00243817">
        <w:rPr>
          <w:rFonts w:asciiTheme="minorHAnsi" w:hAnsiTheme="minorHAnsi" w:cstheme="minorHAnsi"/>
          <w:color w:val="auto"/>
        </w:rPr>
        <w:t>hydrophobicity-based</w:t>
      </w:r>
      <w:r w:rsidR="00885AB4" w:rsidRPr="00243817">
        <w:rPr>
          <w:rFonts w:asciiTheme="minorHAnsi" w:hAnsiTheme="minorHAnsi" w:cstheme="minorHAnsi"/>
          <w:color w:val="auto"/>
        </w:rPr>
        <w:t xml:space="preserve"> reporter dye or through dye-free </w:t>
      </w:r>
      <w:proofErr w:type="spellStart"/>
      <w:r w:rsidRPr="00243817">
        <w:rPr>
          <w:rFonts w:asciiTheme="minorHAnsi" w:hAnsiTheme="minorHAnsi" w:cstheme="minorHAnsi"/>
          <w:color w:val="auto"/>
        </w:rPr>
        <w:t>nano</w:t>
      </w:r>
      <w:r w:rsidR="00885AB4" w:rsidRPr="00243817">
        <w:rPr>
          <w:rFonts w:asciiTheme="minorHAnsi" w:hAnsiTheme="minorHAnsi" w:cstheme="minorHAnsi"/>
          <w:color w:val="auto"/>
        </w:rPr>
        <w:t>DSF</w:t>
      </w:r>
      <w:proofErr w:type="spellEnd"/>
      <w:r w:rsidR="00885AB4" w:rsidRPr="00243817">
        <w:rPr>
          <w:rFonts w:asciiTheme="minorHAnsi" w:hAnsiTheme="minorHAnsi" w:cstheme="minorHAnsi"/>
          <w:color w:val="auto"/>
        </w:rPr>
        <w:t>.</w:t>
      </w:r>
      <w:r w:rsidR="00B46B94" w:rsidRPr="00243817">
        <w:rPr>
          <w:rFonts w:asciiTheme="minorHAnsi" w:hAnsiTheme="minorHAnsi" w:cstheme="minorHAnsi"/>
          <w:color w:val="auto"/>
        </w:rPr>
        <w:t xml:space="preserve"> If standard fluorescence sources are not suitable for your protein, </w:t>
      </w:r>
      <w:r w:rsidR="00654F89" w:rsidRPr="00243817">
        <w:rPr>
          <w:rFonts w:asciiTheme="minorHAnsi" w:hAnsiTheme="minorHAnsi" w:cstheme="minorHAnsi"/>
          <w:color w:val="auto"/>
        </w:rPr>
        <w:t>the simplest modification to the protocol that could be explored is the choice of fluorophore. S</w:t>
      </w:r>
      <w:r w:rsidR="00B46B94" w:rsidRPr="00243817">
        <w:rPr>
          <w:rFonts w:asciiTheme="minorHAnsi" w:hAnsiTheme="minorHAnsi" w:cstheme="minorHAnsi"/>
          <w:color w:val="auto"/>
        </w:rPr>
        <w:t>everal alternative dyes could be suitable</w:t>
      </w:r>
      <w:r w:rsidR="00A3230F" w:rsidRPr="00243817">
        <w:rPr>
          <w:rFonts w:asciiTheme="minorHAnsi" w:hAnsiTheme="minorHAnsi" w:cstheme="minorHAnsi"/>
          <w:color w:val="auto"/>
        </w:rPr>
        <w:t xml:space="preserve"> for TSA experiments</w:t>
      </w:r>
      <w:r w:rsidR="00B46B94" w:rsidRPr="00243817">
        <w:rPr>
          <w:rFonts w:asciiTheme="minorHAnsi" w:hAnsiTheme="minorHAnsi" w:cstheme="minorHAnsi"/>
          <w:color w:val="auto"/>
        </w:rPr>
        <w:t xml:space="preserve">. </w:t>
      </w:r>
      <w:r w:rsidR="004941ED" w:rsidRPr="00243817">
        <w:rPr>
          <w:rFonts w:asciiTheme="minorHAnsi" w:hAnsiTheme="minorHAnsi" w:cstheme="minorHAnsi"/>
          <w:color w:val="auto"/>
        </w:rPr>
        <w:t>Examples include N-[4-(7-diethylamino-4-methyl-3-</w:t>
      </w:r>
      <w:proofErr w:type="gramStart"/>
      <w:r w:rsidR="004941ED" w:rsidRPr="00243817">
        <w:rPr>
          <w:rFonts w:asciiTheme="minorHAnsi" w:hAnsiTheme="minorHAnsi" w:cstheme="minorHAnsi"/>
          <w:color w:val="auto"/>
        </w:rPr>
        <w:t>coumarinyl)phenyl</w:t>
      </w:r>
      <w:proofErr w:type="gramEnd"/>
      <w:r w:rsidR="004941ED" w:rsidRPr="00243817">
        <w:rPr>
          <w:rFonts w:asciiTheme="minorHAnsi" w:hAnsiTheme="minorHAnsi" w:cstheme="minorHAnsi"/>
          <w:color w:val="auto"/>
        </w:rPr>
        <w:t>]maleimide (CPM), a compound that fluoresces after reacting with a thiol</w:t>
      </w:r>
      <w:r w:rsidR="00E92146" w:rsidRPr="00243817">
        <w:rPr>
          <w:rFonts w:asciiTheme="minorHAnsi" w:hAnsiTheme="minorHAnsi" w:cstheme="minorHAnsi"/>
          <w:color w:val="auto"/>
          <w:vertAlign w:val="superscript"/>
        </w:rPr>
        <w:t>2</w:t>
      </w:r>
      <w:r w:rsidR="00B71834" w:rsidRPr="00243817">
        <w:rPr>
          <w:rFonts w:asciiTheme="minorHAnsi" w:hAnsiTheme="minorHAnsi" w:cstheme="minorHAnsi"/>
          <w:color w:val="auto"/>
          <w:vertAlign w:val="superscript"/>
        </w:rPr>
        <w:t>7</w:t>
      </w:r>
      <w:r w:rsidR="00693921" w:rsidRPr="00243817">
        <w:rPr>
          <w:rFonts w:asciiTheme="minorHAnsi" w:hAnsiTheme="minorHAnsi" w:cstheme="minorHAnsi"/>
          <w:color w:val="auto"/>
        </w:rPr>
        <w:t>,</w:t>
      </w:r>
      <w:r w:rsidR="004941ED" w:rsidRPr="00243817">
        <w:rPr>
          <w:rFonts w:asciiTheme="minorHAnsi" w:hAnsiTheme="minorHAnsi" w:cstheme="minorHAnsi"/>
          <w:color w:val="auto"/>
        </w:rPr>
        <w:t xml:space="preserve"> and 4-(</w:t>
      </w:r>
      <w:proofErr w:type="spellStart"/>
      <w:r w:rsidR="004941ED" w:rsidRPr="00243817">
        <w:rPr>
          <w:rFonts w:asciiTheme="minorHAnsi" w:hAnsiTheme="minorHAnsi" w:cstheme="minorHAnsi"/>
          <w:color w:val="auto"/>
        </w:rPr>
        <w:t>dicyanovinyl</w:t>
      </w:r>
      <w:proofErr w:type="spellEnd"/>
      <w:r w:rsidR="004941ED" w:rsidRPr="00243817">
        <w:rPr>
          <w:rFonts w:asciiTheme="minorHAnsi" w:hAnsiTheme="minorHAnsi" w:cstheme="minorHAnsi"/>
          <w:color w:val="auto"/>
        </w:rPr>
        <w:t>)julolidine (DCVJ), a compound that varies its fluorescence based on the rigidity of its environment</w:t>
      </w:r>
      <w:r w:rsidR="007C05C1" w:rsidRPr="00243817">
        <w:rPr>
          <w:rFonts w:asciiTheme="minorHAnsi" w:hAnsiTheme="minorHAnsi" w:cstheme="minorHAnsi"/>
          <w:color w:val="auto"/>
        </w:rPr>
        <w:t>, increasing its fluorescence as a protein sample unfolds</w:t>
      </w:r>
      <w:r w:rsidR="00353D34" w:rsidRPr="00243817">
        <w:rPr>
          <w:rFonts w:asciiTheme="minorHAnsi" w:hAnsiTheme="minorHAnsi" w:cstheme="minorHAnsi"/>
          <w:color w:val="auto"/>
          <w:vertAlign w:val="superscript"/>
        </w:rPr>
        <w:t>2</w:t>
      </w:r>
      <w:r w:rsidR="00B71834" w:rsidRPr="00243817">
        <w:rPr>
          <w:rFonts w:asciiTheme="minorHAnsi" w:hAnsiTheme="minorHAnsi" w:cstheme="minorHAnsi"/>
          <w:color w:val="auto"/>
          <w:vertAlign w:val="superscript"/>
        </w:rPr>
        <w:t>8</w:t>
      </w:r>
      <w:r w:rsidR="00353D34" w:rsidRPr="00243817">
        <w:rPr>
          <w:rFonts w:asciiTheme="minorHAnsi" w:hAnsiTheme="minorHAnsi" w:cstheme="minorHAnsi"/>
          <w:color w:val="auto"/>
          <w:vertAlign w:val="superscript"/>
        </w:rPr>
        <w:t>,2</w:t>
      </w:r>
      <w:r w:rsidR="00B71834" w:rsidRPr="00243817">
        <w:rPr>
          <w:rFonts w:asciiTheme="minorHAnsi" w:hAnsiTheme="minorHAnsi" w:cstheme="minorHAnsi"/>
          <w:color w:val="auto"/>
          <w:vertAlign w:val="superscript"/>
        </w:rPr>
        <w:t>9</w:t>
      </w:r>
      <w:r w:rsidR="001A1291" w:rsidRPr="00243817">
        <w:rPr>
          <w:rFonts w:asciiTheme="minorHAnsi" w:hAnsiTheme="minorHAnsi" w:cstheme="minorHAnsi"/>
          <w:color w:val="auto"/>
        </w:rPr>
        <w:t xml:space="preserve"> (the latter dye often requires high concentrations of sample</w:t>
      </w:r>
      <w:r w:rsidR="009D664B">
        <w:rPr>
          <w:rFonts w:asciiTheme="minorHAnsi" w:hAnsiTheme="minorHAnsi" w:cstheme="minorHAnsi"/>
          <w:color w:val="auto"/>
        </w:rPr>
        <w:t>)</w:t>
      </w:r>
      <w:r w:rsidR="00730203" w:rsidRPr="00243817">
        <w:rPr>
          <w:rFonts w:asciiTheme="minorHAnsi" w:hAnsiTheme="minorHAnsi" w:cstheme="minorHAnsi"/>
          <w:color w:val="auto"/>
        </w:rPr>
        <w:t xml:space="preserve">. </w:t>
      </w:r>
    </w:p>
    <w:p w14:paraId="45F889A0" w14:textId="77777777" w:rsidR="00730203" w:rsidRPr="00243817" w:rsidRDefault="00730203" w:rsidP="004F6460">
      <w:pPr>
        <w:rPr>
          <w:rFonts w:asciiTheme="minorHAnsi" w:hAnsiTheme="minorHAnsi" w:cstheme="minorHAnsi"/>
          <w:color w:val="auto"/>
        </w:rPr>
      </w:pPr>
    </w:p>
    <w:p w14:paraId="6E8C59C3" w14:textId="18C91636" w:rsidR="00F42AC3" w:rsidRPr="00243817" w:rsidRDefault="001950AD" w:rsidP="004F6460">
      <w:r w:rsidRPr="00243817">
        <w:rPr>
          <w:rFonts w:asciiTheme="minorHAnsi" w:hAnsiTheme="minorHAnsi" w:cstheme="minorHAnsi"/>
          <w:color w:val="auto"/>
        </w:rPr>
        <w:t>Alternative methods of</w:t>
      </w:r>
      <w:r w:rsidR="00730203" w:rsidRPr="00243817">
        <w:t xml:space="preserve"> </w:t>
      </w:r>
      <w:r w:rsidRPr="00243817">
        <w:t>melt curve</w:t>
      </w:r>
      <w:r w:rsidR="00730203" w:rsidRPr="00243817">
        <w:t xml:space="preserve"> analysis are available if T</w:t>
      </w:r>
      <w:r w:rsidR="00730203" w:rsidRPr="00243817">
        <w:rPr>
          <w:vertAlign w:val="subscript"/>
        </w:rPr>
        <w:t>m</w:t>
      </w:r>
      <w:r w:rsidR="00730203" w:rsidRPr="00243817">
        <w:t xml:space="preserve"> is not automatically calculated by the instrument software. If data is homogenous and only one denaturation step is apparent in the melt curves, </w:t>
      </w:r>
      <w:r w:rsidR="00F42AC3" w:rsidRPr="00243817">
        <w:t xml:space="preserve">a truncated dataset </w:t>
      </w:r>
      <w:r w:rsidR="00730203" w:rsidRPr="00243817">
        <w:t xml:space="preserve">can be fitted to a Boltzmann </w:t>
      </w:r>
      <w:r w:rsidR="00530D3B" w:rsidRPr="00243817">
        <w:t>sigmoid</w:t>
      </w:r>
      <w:r w:rsidR="00F42AC3" w:rsidRPr="00243817">
        <w:t xml:space="preserve"> with the following equation:</w:t>
      </w:r>
    </w:p>
    <w:p w14:paraId="4EEF24E5" w14:textId="173F20FE" w:rsidR="00591F7A" w:rsidRPr="00243817" w:rsidRDefault="00591F7A" w:rsidP="004F6460"/>
    <w:p w14:paraId="5AC117AC" w14:textId="0E9E4839" w:rsidR="00115185" w:rsidRPr="00243817" w:rsidRDefault="00B22846" w:rsidP="004F6460">
      <m:oMathPara>
        <m:oMath>
          <m:r>
            <m:rPr>
              <m:nor/>
            </m:rPr>
            <w:rPr>
              <w:rFonts w:asciiTheme="minorHAnsi" w:hAnsiTheme="minorHAnsi" w:cstheme="minorHAnsi"/>
              <w:spacing w:val="30"/>
              <w:sz w:val="22"/>
            </w:rPr>
            <m:t>F</m:t>
          </m:r>
          <m:r>
            <m:rPr>
              <m:nor/>
            </m:rPr>
            <w:rPr>
              <w:rFonts w:ascii="Cambria Math" w:hAnsiTheme="minorHAnsi" w:cstheme="minorHAnsi"/>
              <w:spacing w:val="30"/>
              <w:sz w:val="22"/>
            </w:rPr>
            <m:t xml:space="preserve"> </m:t>
          </m:r>
          <m:r>
            <m:rPr>
              <m:nor/>
            </m:rPr>
            <w:rPr>
              <w:rFonts w:asciiTheme="minorHAnsi" w:hAnsiTheme="minorHAnsi" w:cstheme="minorHAnsi"/>
              <w:spacing w:val="30"/>
              <w:sz w:val="22"/>
            </w:rPr>
            <m:t>=</m:t>
          </m:r>
          <m:sSub>
            <m:sSubPr>
              <m:ctrlPr>
                <w:rPr>
                  <w:rFonts w:ascii="Cambria Math" w:hAnsi="Cambria Math" w:cstheme="minorHAnsi"/>
                  <w:i/>
                  <w:spacing w:val="30"/>
                  <w:sz w:val="22"/>
                </w:rPr>
              </m:ctrlPr>
            </m:sSubPr>
            <m:e>
              <m:r>
                <m:rPr>
                  <m:nor/>
                </m:rPr>
                <w:rPr>
                  <w:rFonts w:ascii="Cambria Math" w:hAnsiTheme="minorHAnsi" w:cstheme="minorHAnsi"/>
                  <w:spacing w:val="30"/>
                  <w:sz w:val="22"/>
                </w:rPr>
                <m:t xml:space="preserve"> </m:t>
              </m:r>
              <m:r>
                <m:rPr>
                  <m:nor/>
                </m:rPr>
                <w:rPr>
                  <w:rFonts w:asciiTheme="minorHAnsi" w:hAnsiTheme="minorHAnsi" w:cstheme="minorHAnsi"/>
                  <w:spacing w:val="30"/>
                  <w:sz w:val="22"/>
                </w:rPr>
                <m:t>F</m:t>
              </m:r>
            </m:e>
            <m:sub>
              <m:r>
                <m:rPr>
                  <m:nor/>
                </m:rPr>
                <w:rPr>
                  <w:rFonts w:asciiTheme="minorHAnsi" w:hAnsiTheme="minorHAnsi" w:cstheme="minorHAnsi"/>
                  <w:spacing w:val="30"/>
                  <w:sz w:val="22"/>
                </w:rPr>
                <m:t>min</m:t>
              </m:r>
            </m:sub>
          </m:sSub>
          <m:r>
            <m:rPr>
              <m:nor/>
            </m:rPr>
            <w:rPr>
              <w:rFonts w:ascii="Cambria Math" w:hAnsiTheme="minorHAnsi" w:cstheme="minorHAnsi"/>
              <w:spacing w:val="30"/>
              <w:sz w:val="22"/>
            </w:rPr>
            <m:t xml:space="preserve"> </m:t>
          </m:r>
          <m:r>
            <m:rPr>
              <m:nor/>
            </m:rPr>
            <w:rPr>
              <w:rFonts w:asciiTheme="minorHAnsi" w:hAnsiTheme="minorHAnsi" w:cstheme="minorHAnsi"/>
              <w:spacing w:val="30"/>
              <w:sz w:val="22"/>
            </w:rPr>
            <m:t>+</m:t>
          </m:r>
          <m:r>
            <m:rPr>
              <m:nor/>
            </m:rPr>
            <w:rPr>
              <w:rFonts w:ascii="Cambria Math" w:hAnsiTheme="minorHAnsi" w:cstheme="minorHAnsi"/>
              <w:spacing w:val="30"/>
              <w:sz w:val="22"/>
            </w:rPr>
            <m:t xml:space="preserve"> </m:t>
          </m:r>
          <m:f>
            <m:fPr>
              <m:ctrlPr>
                <w:rPr>
                  <w:rFonts w:ascii="Cambria Math" w:hAnsi="Cambria Math" w:cstheme="minorHAnsi"/>
                  <w:i/>
                  <w:spacing w:val="30"/>
                  <w:sz w:val="22"/>
                </w:rPr>
              </m:ctrlPr>
            </m:fPr>
            <m:num>
              <m:sSub>
                <m:sSubPr>
                  <m:ctrlPr>
                    <w:rPr>
                      <w:rFonts w:ascii="Cambria Math" w:hAnsi="Cambria Math" w:cstheme="minorHAnsi"/>
                      <w:i/>
                      <w:spacing w:val="30"/>
                      <w:sz w:val="22"/>
                    </w:rPr>
                  </m:ctrlPr>
                </m:sSubPr>
                <m:e>
                  <m:r>
                    <m:rPr>
                      <m:nor/>
                    </m:rPr>
                    <w:rPr>
                      <w:rFonts w:asciiTheme="minorHAnsi" w:hAnsiTheme="minorHAnsi" w:cstheme="minorHAnsi"/>
                      <w:spacing w:val="30"/>
                      <w:sz w:val="22"/>
                    </w:rPr>
                    <m:t>F</m:t>
                  </m:r>
                </m:e>
                <m:sub>
                  <m:r>
                    <m:rPr>
                      <m:nor/>
                    </m:rPr>
                    <w:rPr>
                      <w:rFonts w:asciiTheme="minorHAnsi" w:hAnsiTheme="minorHAnsi" w:cstheme="minorHAnsi"/>
                      <w:spacing w:val="30"/>
                      <w:sz w:val="22"/>
                    </w:rPr>
                    <m:t xml:space="preserve">max </m:t>
                  </m:r>
                </m:sub>
              </m:sSub>
              <m:r>
                <m:rPr>
                  <m:nor/>
                </m:rPr>
                <w:rPr>
                  <w:rFonts w:asciiTheme="minorHAnsi" w:hAnsiTheme="minorHAnsi" w:cstheme="minorHAnsi"/>
                  <w:spacing w:val="30"/>
                  <w:sz w:val="22"/>
                </w:rPr>
                <m:t xml:space="preserve">- </m:t>
              </m:r>
              <m:sSub>
                <m:sSubPr>
                  <m:ctrlPr>
                    <w:rPr>
                      <w:rFonts w:ascii="Cambria Math" w:hAnsi="Cambria Math" w:cstheme="minorHAnsi"/>
                      <w:i/>
                      <w:spacing w:val="30"/>
                      <w:sz w:val="22"/>
                    </w:rPr>
                  </m:ctrlPr>
                </m:sSubPr>
                <m:e>
                  <m:r>
                    <m:rPr>
                      <m:nor/>
                    </m:rPr>
                    <w:rPr>
                      <w:rFonts w:asciiTheme="minorHAnsi" w:hAnsiTheme="minorHAnsi" w:cstheme="minorHAnsi"/>
                      <w:spacing w:val="30"/>
                      <w:sz w:val="22"/>
                    </w:rPr>
                    <m:t>F</m:t>
                  </m:r>
                </m:e>
                <m:sub>
                  <m:r>
                    <m:rPr>
                      <m:nor/>
                    </m:rPr>
                    <w:rPr>
                      <w:rFonts w:asciiTheme="minorHAnsi" w:hAnsiTheme="minorHAnsi" w:cstheme="minorHAnsi"/>
                      <w:spacing w:val="30"/>
                      <w:sz w:val="22"/>
                    </w:rPr>
                    <m:t>min</m:t>
                  </m:r>
                </m:sub>
              </m:sSub>
            </m:num>
            <m:den>
              <m:r>
                <m:rPr>
                  <m:nor/>
                </m:rPr>
                <w:rPr>
                  <w:rFonts w:asciiTheme="minorHAnsi" w:hAnsiTheme="minorHAnsi" w:cstheme="minorHAnsi"/>
                  <w:spacing w:val="30"/>
                  <w:sz w:val="22"/>
                </w:rPr>
                <m:t>1+</m:t>
              </m:r>
              <m:func>
                <m:funcPr>
                  <m:ctrlPr>
                    <w:rPr>
                      <w:rFonts w:ascii="Cambria Math" w:hAnsi="Cambria Math" w:cstheme="minorHAnsi"/>
                      <w:spacing w:val="30"/>
                      <w:sz w:val="22"/>
                    </w:rPr>
                  </m:ctrlPr>
                </m:funcPr>
                <m:fName>
                  <m:r>
                    <m:rPr>
                      <m:nor/>
                    </m:rPr>
                    <w:rPr>
                      <w:rFonts w:asciiTheme="minorHAnsi" w:hAnsiTheme="minorHAnsi" w:cstheme="minorHAnsi"/>
                      <w:spacing w:val="30"/>
                      <w:sz w:val="22"/>
                    </w:rPr>
                    <m:t>exp</m:t>
                  </m:r>
                  <m:ctrlPr>
                    <w:rPr>
                      <w:rFonts w:ascii="Cambria Math" w:hAnsi="Cambria Math" w:cstheme="minorHAnsi"/>
                      <w:i/>
                      <w:spacing w:val="30"/>
                      <w:sz w:val="22"/>
                    </w:rPr>
                  </m:ctrlPr>
                </m:fName>
                <m:e>
                  <m:d>
                    <m:dPr>
                      <m:ctrlPr>
                        <w:rPr>
                          <w:rFonts w:ascii="Cambria Math" w:hAnsi="Cambria Math" w:cstheme="minorHAnsi"/>
                          <w:i/>
                          <w:spacing w:val="30"/>
                          <w:sz w:val="22"/>
                        </w:rPr>
                      </m:ctrlPr>
                    </m:dPr>
                    <m:e>
                      <m:f>
                        <m:fPr>
                          <m:ctrlPr>
                            <w:rPr>
                              <w:rFonts w:ascii="Cambria Math" w:hAnsi="Cambria Math" w:cstheme="minorHAnsi"/>
                              <w:i/>
                              <w:spacing w:val="30"/>
                              <w:sz w:val="22"/>
                            </w:rPr>
                          </m:ctrlPr>
                        </m:fPr>
                        <m:num>
                          <m:sSub>
                            <m:sSubPr>
                              <m:ctrlPr>
                                <w:rPr>
                                  <w:rFonts w:ascii="Cambria Math" w:hAnsi="Cambria Math" w:cstheme="minorHAnsi"/>
                                  <w:i/>
                                  <w:spacing w:val="30"/>
                                  <w:sz w:val="22"/>
                                </w:rPr>
                              </m:ctrlPr>
                            </m:sSubPr>
                            <m:e>
                              <m:r>
                                <m:rPr>
                                  <m:nor/>
                                </m:rPr>
                                <w:rPr>
                                  <w:rFonts w:asciiTheme="minorHAnsi" w:hAnsiTheme="minorHAnsi" w:cstheme="minorHAnsi"/>
                                  <w:spacing w:val="30"/>
                                  <w:sz w:val="22"/>
                                </w:rPr>
                                <m:t>T</m:t>
                              </m:r>
                            </m:e>
                            <m:sub>
                              <m:r>
                                <m:rPr>
                                  <m:nor/>
                                </m:rPr>
                                <w:rPr>
                                  <w:rFonts w:asciiTheme="minorHAnsi" w:hAnsiTheme="minorHAnsi" w:cstheme="minorHAnsi"/>
                                  <w:spacing w:val="30"/>
                                  <w:sz w:val="22"/>
                                </w:rPr>
                                <m:t>m</m:t>
                              </m:r>
                            </m:sub>
                          </m:sSub>
                          <m:r>
                            <w:rPr>
                              <w:rFonts w:ascii="Cambria Math" w:hAnsi="Cambria Math" w:cstheme="minorHAnsi"/>
                              <w:spacing w:val="30"/>
                              <w:sz w:val="22"/>
                            </w:rPr>
                            <m:t xml:space="preserve"> </m:t>
                          </m:r>
                          <m:r>
                            <m:rPr>
                              <m:nor/>
                            </m:rPr>
                            <w:rPr>
                              <w:rFonts w:asciiTheme="minorHAnsi" w:hAnsiTheme="minorHAnsi" w:cstheme="minorHAnsi"/>
                              <w:spacing w:val="30"/>
                              <w:sz w:val="22"/>
                            </w:rPr>
                            <m:t>- T</m:t>
                          </m:r>
                        </m:num>
                        <m:den>
                          <m:r>
                            <m:rPr>
                              <m:nor/>
                            </m:rPr>
                            <w:rPr>
                              <w:rFonts w:asciiTheme="minorHAnsi" w:hAnsiTheme="minorHAnsi" w:cstheme="minorHAnsi"/>
                              <w:spacing w:val="30"/>
                              <w:sz w:val="22"/>
                            </w:rPr>
                            <m:t>C</m:t>
                          </m:r>
                        </m:den>
                      </m:f>
                    </m:e>
                  </m:d>
                </m:e>
              </m:func>
            </m:den>
          </m:f>
          <m:r>
            <m:rPr>
              <m:sty m:val="p"/>
            </m:rPr>
            <w:rPr>
              <w:rFonts w:ascii="Cambria Math" w:hAnsi="Cambria Math" w:cstheme="minorHAnsi"/>
              <w:spacing w:val="30"/>
              <w:sz w:val="16"/>
            </w:rPr>
            <w:br/>
          </m:r>
        </m:oMath>
      </m:oMathPara>
    </w:p>
    <w:p w14:paraId="688BA156" w14:textId="69457E75" w:rsidR="004816D3" w:rsidRPr="00243817" w:rsidRDefault="004816D3" w:rsidP="004F6460">
      <w:r w:rsidRPr="00243817">
        <w:t xml:space="preserve">Where F is the fluorescence intensity at temperature T, </w:t>
      </w:r>
      <w:proofErr w:type="spellStart"/>
      <w:r w:rsidRPr="00243817">
        <w:t>F</w:t>
      </w:r>
      <w:r w:rsidRPr="00243817">
        <w:rPr>
          <w:vertAlign w:val="subscript"/>
        </w:rPr>
        <w:t>min</w:t>
      </w:r>
      <w:proofErr w:type="spellEnd"/>
      <w:r w:rsidRPr="00243817">
        <w:t xml:space="preserve"> and </w:t>
      </w:r>
      <w:proofErr w:type="spellStart"/>
      <w:r w:rsidRPr="00243817">
        <w:t>F</w:t>
      </w:r>
      <w:r w:rsidRPr="00243817">
        <w:softHyphen/>
      </w:r>
      <w:r w:rsidRPr="00243817">
        <w:rPr>
          <w:vertAlign w:val="subscript"/>
        </w:rPr>
        <w:t>max</w:t>
      </w:r>
      <w:proofErr w:type="spellEnd"/>
      <w:r w:rsidRPr="00243817">
        <w:t xml:space="preserve"> are the fluorescence intensities before and after the denaturation transition,</w:t>
      </w:r>
      <w:r w:rsidR="00D40D46" w:rsidRPr="00243817">
        <w:t xml:space="preserve"> respectively,</w:t>
      </w:r>
      <w:r w:rsidRPr="00243817">
        <w:t xml:space="preserve"> T</w:t>
      </w:r>
      <w:r w:rsidRPr="00243817">
        <w:rPr>
          <w:vertAlign w:val="subscript"/>
        </w:rPr>
        <w:t>m</w:t>
      </w:r>
      <w:r w:rsidRPr="00243817">
        <w:t xml:space="preserve"> is the </w:t>
      </w:r>
      <w:r w:rsidR="007845F1" w:rsidRPr="00243817">
        <w:t xml:space="preserve">midpoint </w:t>
      </w:r>
      <w:r w:rsidRPr="00243817">
        <w:t>temperature of the denaturation transition</w:t>
      </w:r>
      <w:r w:rsidR="00D40D46" w:rsidRPr="00243817">
        <w:t xml:space="preserve"> and C is </w:t>
      </w:r>
      <w:r w:rsidR="00BD7A53" w:rsidRPr="00243817">
        <w:t>the slope</w:t>
      </w:r>
      <w:r w:rsidR="0071410A" w:rsidRPr="00243817">
        <w:t xml:space="preserve"> at T</w:t>
      </w:r>
      <w:r w:rsidR="0071410A" w:rsidRPr="00243817">
        <w:rPr>
          <w:vertAlign w:val="subscript"/>
        </w:rPr>
        <w:t>m</w:t>
      </w:r>
      <w:r w:rsidR="00D40D46" w:rsidRPr="00243817">
        <w:t>.</w:t>
      </w:r>
      <w:r w:rsidR="009C6809" w:rsidRPr="00243817">
        <w:t xml:space="preserve"> While this method works well for simple two-step denaturation processes, </w:t>
      </w:r>
      <w:r w:rsidR="00C34886" w:rsidRPr="00243817">
        <w:t xml:space="preserve">it is unsuitable for complex melt curves with multiple transitions. </w:t>
      </w:r>
    </w:p>
    <w:p w14:paraId="44E1F91A" w14:textId="0C5F3FC6" w:rsidR="00E87612" w:rsidRPr="00243817" w:rsidRDefault="00E87612" w:rsidP="004F6460">
      <w:pPr>
        <w:rPr>
          <w:rFonts w:asciiTheme="minorHAnsi" w:hAnsiTheme="minorHAnsi" w:cstheme="minorHAnsi"/>
          <w:color w:val="auto"/>
        </w:rPr>
      </w:pPr>
    </w:p>
    <w:p w14:paraId="3D1E3ECF" w14:textId="769B9855" w:rsidR="00E87612" w:rsidRPr="00243817" w:rsidRDefault="00E87612" w:rsidP="004F6460">
      <w:pPr>
        <w:rPr>
          <w:rFonts w:asciiTheme="minorHAnsi" w:hAnsiTheme="minorHAnsi" w:cstheme="minorHAnsi"/>
          <w:color w:val="auto"/>
        </w:rPr>
      </w:pPr>
      <w:r w:rsidRPr="00243817">
        <w:rPr>
          <w:rFonts w:asciiTheme="minorHAnsi" w:hAnsiTheme="minorHAnsi" w:cstheme="minorHAnsi"/>
          <w:color w:val="auto"/>
        </w:rPr>
        <w:t xml:space="preserve">One of the major advantages of </w:t>
      </w:r>
      <w:r w:rsidR="002A0F23" w:rsidRPr="00243817">
        <w:rPr>
          <w:rFonts w:asciiTheme="minorHAnsi" w:hAnsiTheme="minorHAnsi" w:cstheme="minorHAnsi"/>
          <w:color w:val="auto"/>
        </w:rPr>
        <w:t xml:space="preserve">TSA </w:t>
      </w:r>
      <w:r w:rsidRPr="00243817">
        <w:rPr>
          <w:rFonts w:asciiTheme="minorHAnsi" w:hAnsiTheme="minorHAnsi" w:cstheme="minorHAnsi"/>
          <w:color w:val="auto"/>
        </w:rPr>
        <w:t xml:space="preserve">is its accessibility; </w:t>
      </w:r>
      <w:r w:rsidR="0039257F" w:rsidRPr="00243817">
        <w:rPr>
          <w:rFonts w:asciiTheme="minorHAnsi" w:hAnsiTheme="minorHAnsi" w:cstheme="minorHAnsi"/>
          <w:color w:val="auto"/>
        </w:rPr>
        <w:t>TSA</w:t>
      </w:r>
      <w:r w:rsidRPr="00243817">
        <w:rPr>
          <w:rFonts w:asciiTheme="minorHAnsi" w:hAnsiTheme="minorHAnsi" w:cstheme="minorHAnsi"/>
          <w:color w:val="auto"/>
        </w:rPr>
        <w:t xml:space="preserve"> experiments can be performed in any RT-PCR system with filters at suitable wavelengths for the fluorescence dye employed. </w:t>
      </w:r>
      <w:r w:rsidR="009D664B" w:rsidRPr="00243817">
        <w:rPr>
          <w:rFonts w:asciiTheme="minorHAnsi" w:hAnsiTheme="minorHAnsi" w:cstheme="minorHAnsi"/>
          <w:color w:val="auto"/>
        </w:rPr>
        <w:t>This</w:t>
      </w:r>
      <w:r w:rsidRPr="00243817">
        <w:rPr>
          <w:rFonts w:asciiTheme="minorHAnsi" w:hAnsiTheme="minorHAnsi" w:cstheme="minorHAnsi"/>
          <w:color w:val="auto"/>
        </w:rPr>
        <w:t xml:space="preserve"> coupled with the low cost of consumables</w:t>
      </w:r>
      <w:r w:rsidR="00605881" w:rsidRPr="00243817">
        <w:rPr>
          <w:rFonts w:asciiTheme="minorHAnsi" w:hAnsiTheme="minorHAnsi" w:cstheme="minorHAnsi"/>
          <w:color w:val="auto"/>
        </w:rPr>
        <w:t>,</w:t>
      </w:r>
      <w:r w:rsidRPr="00243817">
        <w:rPr>
          <w:rFonts w:asciiTheme="minorHAnsi" w:hAnsiTheme="minorHAnsi" w:cstheme="minorHAnsi"/>
          <w:color w:val="auto"/>
        </w:rPr>
        <w:t xml:space="preserve"> ease of operation</w:t>
      </w:r>
      <w:r w:rsidR="00605881" w:rsidRPr="00243817">
        <w:rPr>
          <w:rFonts w:asciiTheme="minorHAnsi" w:hAnsiTheme="minorHAnsi" w:cstheme="minorHAnsi"/>
          <w:color w:val="auto"/>
        </w:rPr>
        <w:t xml:space="preserve"> and relatively low amount of protein </w:t>
      </w:r>
      <w:r w:rsidR="00627043" w:rsidRPr="00243817">
        <w:rPr>
          <w:rFonts w:asciiTheme="minorHAnsi" w:hAnsiTheme="minorHAnsi" w:cstheme="minorHAnsi"/>
          <w:color w:val="auto"/>
        </w:rPr>
        <w:t>needed</w:t>
      </w:r>
      <w:r w:rsidRPr="00243817">
        <w:rPr>
          <w:rFonts w:asciiTheme="minorHAnsi" w:hAnsiTheme="minorHAnsi" w:cstheme="minorHAnsi"/>
          <w:color w:val="auto"/>
        </w:rPr>
        <w:t xml:space="preserve">, make </w:t>
      </w:r>
      <w:r w:rsidR="00BA541E" w:rsidRPr="00243817">
        <w:rPr>
          <w:rFonts w:asciiTheme="minorHAnsi" w:hAnsiTheme="minorHAnsi" w:cstheme="minorHAnsi"/>
          <w:color w:val="auto"/>
        </w:rPr>
        <w:t xml:space="preserve">TSA </w:t>
      </w:r>
      <w:r w:rsidRPr="00243817">
        <w:rPr>
          <w:rFonts w:asciiTheme="minorHAnsi" w:hAnsiTheme="minorHAnsi" w:cstheme="minorHAnsi"/>
          <w:color w:val="auto"/>
        </w:rPr>
        <w:t>a valuable technique for a wide range of project scales, both in industry and academia.</w:t>
      </w:r>
    </w:p>
    <w:p w14:paraId="4680718C" w14:textId="592C810A" w:rsidR="00204396" w:rsidRPr="00243817" w:rsidRDefault="00204396" w:rsidP="004F6460">
      <w:pPr>
        <w:rPr>
          <w:rFonts w:asciiTheme="minorHAnsi" w:hAnsiTheme="minorHAnsi" w:cstheme="minorHAnsi"/>
          <w:color w:val="auto"/>
        </w:rPr>
      </w:pPr>
    </w:p>
    <w:p w14:paraId="3A90489B" w14:textId="0C400A12" w:rsidR="00204396" w:rsidRPr="00243817" w:rsidRDefault="00204396" w:rsidP="004F6460">
      <w:r w:rsidRPr="00243817">
        <w:rPr>
          <w:rFonts w:asciiTheme="minorHAnsi" w:hAnsiTheme="minorHAnsi" w:cstheme="minorHAnsi"/>
          <w:color w:val="auto"/>
        </w:rPr>
        <w:t xml:space="preserve">As well as indicating </w:t>
      </w:r>
      <w:r w:rsidR="00AF77FD" w:rsidRPr="00243817">
        <w:rPr>
          <w:rFonts w:asciiTheme="minorHAnsi" w:hAnsiTheme="minorHAnsi" w:cstheme="minorHAnsi"/>
          <w:color w:val="auto"/>
        </w:rPr>
        <w:t>favorable</w:t>
      </w:r>
      <w:r w:rsidRPr="00243817">
        <w:rPr>
          <w:rFonts w:asciiTheme="minorHAnsi" w:hAnsiTheme="minorHAnsi" w:cstheme="minorHAnsi"/>
          <w:color w:val="auto"/>
        </w:rPr>
        <w:t xml:space="preserve"> buffer conditions, </w:t>
      </w:r>
      <w:r w:rsidR="003F665F" w:rsidRPr="00243817">
        <w:rPr>
          <w:rFonts w:asciiTheme="minorHAnsi" w:hAnsiTheme="minorHAnsi" w:cstheme="minorHAnsi"/>
          <w:color w:val="auto"/>
        </w:rPr>
        <w:t>the</w:t>
      </w:r>
      <w:r w:rsidRPr="00243817">
        <w:rPr>
          <w:rFonts w:asciiTheme="minorHAnsi" w:hAnsiTheme="minorHAnsi" w:cstheme="minorHAnsi"/>
          <w:color w:val="auto"/>
        </w:rPr>
        <w:t xml:space="preserve"> screens contain some wells that may give clues to the presence of structural metals within a sample protein. </w:t>
      </w:r>
      <w:r w:rsidRPr="00243817">
        <w:t xml:space="preserve">Wells that may be of </w:t>
      </w:r>
      <w:proofErr w:type="gramStart"/>
      <w:r w:rsidRPr="00243817">
        <w:t>particular interest</w:t>
      </w:r>
      <w:proofErr w:type="gramEnd"/>
      <w:r w:rsidRPr="00243817">
        <w:t xml:space="preserve"> in the salt screen are G6 and G7, which contain 5 mM EDTA and 5 mM EGTA, respectively. Significant thermal </w:t>
      </w:r>
      <w:r w:rsidR="00AF77FD" w:rsidRPr="00243817">
        <w:t>destabilization</w:t>
      </w:r>
      <w:r w:rsidRPr="00243817">
        <w:t xml:space="preserve"> in these wells may be indicative of important metal ions in the protein that are sequestered by the </w:t>
      </w:r>
      <w:proofErr w:type="spellStart"/>
      <w:r w:rsidRPr="00243817">
        <w:t>chelants</w:t>
      </w:r>
      <w:proofErr w:type="spellEnd"/>
      <w:r w:rsidRPr="00243817">
        <w:t xml:space="preserve">. </w:t>
      </w:r>
      <w:r w:rsidR="00FC7D1D" w:rsidRPr="00243817">
        <w:t xml:space="preserve">Compounds within </w:t>
      </w:r>
      <w:r w:rsidR="00CC6A53" w:rsidRPr="00243817">
        <w:t>the o</w:t>
      </w:r>
      <w:r w:rsidR="00FC7D1D" w:rsidRPr="00243817">
        <w:t xml:space="preserve">smolyte </w:t>
      </w:r>
      <w:r w:rsidR="00CC6A53" w:rsidRPr="00243817">
        <w:t xml:space="preserve">screen </w:t>
      </w:r>
      <w:r w:rsidR="00C018D2" w:rsidRPr="00243817">
        <w:t>can</w:t>
      </w:r>
      <w:r w:rsidR="00FC7D1D" w:rsidRPr="00243817">
        <w:t xml:space="preserve"> also potentially provide clues to the function of a protein. Many of the compounds in the screen belong to classes of </w:t>
      </w:r>
      <w:r w:rsidR="001E26A8" w:rsidRPr="00243817">
        <w:t>molecule</w:t>
      </w:r>
      <w:r w:rsidR="00FC7D1D" w:rsidRPr="00243817">
        <w:t xml:space="preserve"> that are common substrates of enzymes. For example, the general </w:t>
      </w:r>
      <w:r w:rsidR="00AF77FD" w:rsidRPr="00243817">
        <w:t>stabilization</w:t>
      </w:r>
      <w:r w:rsidR="00B778C0" w:rsidRPr="00243817">
        <w:t xml:space="preserve"> </w:t>
      </w:r>
      <w:r w:rsidR="00FC7D1D" w:rsidRPr="00243817">
        <w:t>afforded by saccharides (present in wells A11-B10) for lysozyme could be attributed to their structural similarity to established substrates of the enzyme, N-acetylglucosamine oligomers</w:t>
      </w:r>
      <w:r w:rsidR="00B71834" w:rsidRPr="00243817">
        <w:rPr>
          <w:vertAlign w:val="superscript"/>
        </w:rPr>
        <w:t>30</w:t>
      </w:r>
      <w:r w:rsidR="00A8042B" w:rsidRPr="00243817">
        <w:t>.</w:t>
      </w:r>
      <w:r w:rsidR="00543C3F" w:rsidRPr="00243817">
        <w:t xml:space="preserve"> </w:t>
      </w:r>
    </w:p>
    <w:p w14:paraId="728CBBE8" w14:textId="29F94903" w:rsidR="00543C3F" w:rsidRPr="00243817" w:rsidRDefault="00543C3F" w:rsidP="004F6460">
      <w:pPr>
        <w:rPr>
          <w:rFonts w:asciiTheme="minorHAnsi" w:hAnsiTheme="minorHAnsi" w:cstheme="minorHAnsi"/>
          <w:color w:val="auto"/>
        </w:rPr>
      </w:pPr>
    </w:p>
    <w:p w14:paraId="6BCBB09D" w14:textId="7C43E5F9" w:rsidR="00E30F91" w:rsidRPr="00243817" w:rsidRDefault="00543C3F" w:rsidP="004F6460">
      <w:pPr>
        <w:rPr>
          <w:rFonts w:asciiTheme="minorHAnsi" w:hAnsiTheme="minorHAnsi" w:cstheme="minorHAnsi"/>
          <w:color w:val="auto"/>
        </w:rPr>
      </w:pPr>
      <w:r w:rsidRPr="00243817">
        <w:rPr>
          <w:rFonts w:asciiTheme="minorHAnsi" w:hAnsiTheme="minorHAnsi" w:cstheme="minorHAnsi"/>
          <w:color w:val="auto"/>
        </w:rPr>
        <w:t xml:space="preserve">The </w:t>
      </w:r>
      <w:r w:rsidR="005F7B08" w:rsidRPr="00243817">
        <w:rPr>
          <w:rFonts w:asciiTheme="minorHAnsi" w:hAnsiTheme="minorHAnsi" w:cstheme="minorHAnsi"/>
          <w:color w:val="auto"/>
        </w:rPr>
        <w:t xml:space="preserve">TSA and </w:t>
      </w:r>
      <w:proofErr w:type="spellStart"/>
      <w:r w:rsidR="005F7B08" w:rsidRPr="00243817">
        <w:rPr>
          <w:rFonts w:asciiTheme="minorHAnsi" w:hAnsiTheme="minorHAnsi" w:cstheme="minorHAnsi"/>
          <w:color w:val="auto"/>
        </w:rPr>
        <w:t>nanoDSF</w:t>
      </w:r>
      <w:proofErr w:type="spellEnd"/>
      <w:r w:rsidR="005F7B08" w:rsidRPr="00243817">
        <w:rPr>
          <w:rFonts w:asciiTheme="minorHAnsi" w:hAnsiTheme="minorHAnsi" w:cstheme="minorHAnsi"/>
          <w:color w:val="auto"/>
        </w:rPr>
        <w:t xml:space="preserve"> </w:t>
      </w:r>
      <w:r w:rsidRPr="00243817">
        <w:rPr>
          <w:rFonts w:asciiTheme="minorHAnsi" w:hAnsiTheme="minorHAnsi" w:cstheme="minorHAnsi"/>
          <w:color w:val="auto"/>
        </w:rPr>
        <w:t>protocol</w:t>
      </w:r>
      <w:r w:rsidR="005F7B08" w:rsidRPr="00243817">
        <w:rPr>
          <w:rFonts w:asciiTheme="minorHAnsi" w:hAnsiTheme="minorHAnsi" w:cstheme="minorHAnsi"/>
          <w:color w:val="auto"/>
        </w:rPr>
        <w:t>s</w:t>
      </w:r>
      <w:r w:rsidRPr="00243817">
        <w:rPr>
          <w:rFonts w:asciiTheme="minorHAnsi" w:hAnsiTheme="minorHAnsi" w:cstheme="minorHAnsi"/>
          <w:color w:val="auto"/>
        </w:rPr>
        <w:t xml:space="preserve"> outlined above can also be adapted to study protein-ligand interactions. </w:t>
      </w:r>
      <w:r w:rsidR="00274B26" w:rsidRPr="00243817">
        <w:rPr>
          <w:rFonts w:asciiTheme="minorHAnsi" w:hAnsiTheme="minorHAnsi" w:cstheme="minorHAnsi"/>
          <w:color w:val="auto"/>
        </w:rPr>
        <w:t>Ligands that bind specifically to a protein can increase its thermal stability by i</w:t>
      </w:r>
      <w:r w:rsidR="00204396" w:rsidRPr="00243817">
        <w:rPr>
          <w:rFonts w:asciiTheme="minorHAnsi" w:hAnsiTheme="minorHAnsi" w:cstheme="minorHAnsi"/>
          <w:color w:val="auto"/>
        </w:rPr>
        <w:t xml:space="preserve">ntroducing new interactions </w:t>
      </w:r>
      <w:r w:rsidR="00274B26" w:rsidRPr="00243817">
        <w:rPr>
          <w:rFonts w:asciiTheme="minorHAnsi" w:hAnsiTheme="minorHAnsi" w:cstheme="minorHAnsi"/>
          <w:color w:val="auto"/>
        </w:rPr>
        <w:t>within the complex.</w:t>
      </w:r>
      <w:r w:rsidR="00D0538F" w:rsidRPr="00243817">
        <w:rPr>
          <w:rFonts w:asciiTheme="minorHAnsi" w:hAnsiTheme="minorHAnsi" w:cstheme="minorHAnsi"/>
          <w:color w:val="auto"/>
        </w:rPr>
        <w:t xml:space="preserve"> A dose-dependent positive shift in protein T</w:t>
      </w:r>
      <w:r w:rsidR="00D0538F" w:rsidRPr="00243817">
        <w:rPr>
          <w:rFonts w:asciiTheme="minorHAnsi" w:hAnsiTheme="minorHAnsi" w:cstheme="minorHAnsi"/>
          <w:color w:val="auto"/>
          <w:vertAlign w:val="subscript"/>
        </w:rPr>
        <w:t>m</w:t>
      </w:r>
      <w:r w:rsidR="00D0538F" w:rsidRPr="00243817">
        <w:rPr>
          <w:rFonts w:asciiTheme="minorHAnsi" w:hAnsiTheme="minorHAnsi" w:cstheme="minorHAnsi"/>
          <w:color w:val="auto"/>
        </w:rPr>
        <w:softHyphen/>
        <w:t xml:space="preserve"> is a promising sign of a successful protein-ligand interaction.</w:t>
      </w:r>
      <w:r w:rsidR="00FB236C" w:rsidRPr="00243817">
        <w:rPr>
          <w:rFonts w:asciiTheme="minorHAnsi" w:hAnsiTheme="minorHAnsi" w:cstheme="minorHAnsi"/>
          <w:color w:val="auto"/>
        </w:rPr>
        <w:t xml:space="preserve"> </w:t>
      </w:r>
      <w:r w:rsidR="00510EBD" w:rsidRPr="00243817">
        <w:rPr>
          <w:rFonts w:asciiTheme="minorHAnsi" w:hAnsiTheme="minorHAnsi" w:cstheme="minorHAnsi"/>
          <w:color w:val="auto"/>
        </w:rPr>
        <w:t>The</w:t>
      </w:r>
      <w:r w:rsidRPr="00243817">
        <w:rPr>
          <w:rFonts w:asciiTheme="minorHAnsi" w:hAnsiTheme="minorHAnsi" w:cstheme="minorHAnsi"/>
          <w:color w:val="auto"/>
        </w:rPr>
        <w:t xml:space="preserve"> speed, throughput and</w:t>
      </w:r>
      <w:r w:rsidR="00510EBD" w:rsidRPr="00243817">
        <w:rPr>
          <w:rFonts w:asciiTheme="minorHAnsi" w:hAnsiTheme="minorHAnsi" w:cstheme="minorHAnsi"/>
          <w:color w:val="auto"/>
        </w:rPr>
        <w:t xml:space="preserve"> low</w:t>
      </w:r>
      <w:r w:rsidRPr="00243817">
        <w:rPr>
          <w:rFonts w:asciiTheme="minorHAnsi" w:hAnsiTheme="minorHAnsi" w:cstheme="minorHAnsi"/>
          <w:color w:val="auto"/>
        </w:rPr>
        <w:t xml:space="preserve"> cost of screening compound libraries with </w:t>
      </w:r>
      <w:r w:rsidR="00EB70EA" w:rsidRPr="00243817">
        <w:rPr>
          <w:rFonts w:asciiTheme="minorHAnsi" w:hAnsiTheme="minorHAnsi" w:cstheme="minorHAnsi"/>
          <w:color w:val="auto"/>
        </w:rPr>
        <w:t xml:space="preserve">TSAs </w:t>
      </w:r>
      <w:r w:rsidRPr="00243817">
        <w:rPr>
          <w:rFonts w:asciiTheme="minorHAnsi" w:hAnsiTheme="minorHAnsi" w:cstheme="minorHAnsi"/>
          <w:color w:val="auto"/>
        </w:rPr>
        <w:t xml:space="preserve">has made it a </w:t>
      </w:r>
      <w:r w:rsidR="00FB236C" w:rsidRPr="00243817">
        <w:rPr>
          <w:rFonts w:asciiTheme="minorHAnsi" w:hAnsiTheme="minorHAnsi" w:cstheme="minorHAnsi"/>
          <w:color w:val="auto"/>
        </w:rPr>
        <w:t xml:space="preserve">very </w:t>
      </w:r>
      <w:r w:rsidRPr="00243817">
        <w:rPr>
          <w:rFonts w:asciiTheme="minorHAnsi" w:hAnsiTheme="minorHAnsi" w:cstheme="minorHAnsi"/>
          <w:color w:val="auto"/>
        </w:rPr>
        <w:t xml:space="preserve">popular method in early-stage drug discovery. </w:t>
      </w:r>
    </w:p>
    <w:p w14:paraId="7395BD1F" w14:textId="4937C643" w:rsidR="00693921" w:rsidRPr="00243817" w:rsidRDefault="00693921" w:rsidP="004F6460">
      <w:pPr>
        <w:rPr>
          <w:rFonts w:asciiTheme="minorHAnsi" w:hAnsiTheme="minorHAnsi" w:cstheme="minorHAnsi"/>
          <w:color w:val="auto"/>
        </w:rPr>
      </w:pPr>
    </w:p>
    <w:p w14:paraId="201B7BA0" w14:textId="62503701" w:rsidR="00163422" w:rsidRPr="00243817" w:rsidRDefault="00F432D0" w:rsidP="004F6460">
      <w:pPr>
        <w:rPr>
          <w:rFonts w:asciiTheme="minorHAnsi" w:hAnsiTheme="minorHAnsi" w:cstheme="minorHAnsi"/>
          <w:color w:val="auto"/>
        </w:rPr>
      </w:pPr>
      <w:r w:rsidRPr="00243817">
        <w:rPr>
          <w:rFonts w:asciiTheme="minorHAnsi" w:hAnsiTheme="minorHAnsi" w:cstheme="minorHAnsi"/>
          <w:color w:val="auto"/>
        </w:rPr>
        <w:t>Optimi</w:t>
      </w:r>
      <w:r w:rsidR="004F6460" w:rsidRPr="00243817">
        <w:rPr>
          <w:rFonts w:asciiTheme="minorHAnsi" w:hAnsiTheme="minorHAnsi" w:cstheme="minorHAnsi"/>
          <w:color w:val="auto"/>
        </w:rPr>
        <w:t>z</w:t>
      </w:r>
      <w:r w:rsidRPr="00243817">
        <w:rPr>
          <w:rFonts w:asciiTheme="minorHAnsi" w:hAnsiTheme="minorHAnsi" w:cstheme="minorHAnsi"/>
          <w:color w:val="auto"/>
        </w:rPr>
        <w:t xml:space="preserve">ing the buffer conditions of target proteins and their ligand complexes can be essential </w:t>
      </w:r>
      <w:r w:rsidR="0003273A" w:rsidRPr="00243817">
        <w:rPr>
          <w:rFonts w:asciiTheme="minorHAnsi" w:hAnsiTheme="minorHAnsi" w:cstheme="minorHAnsi"/>
          <w:color w:val="auto"/>
        </w:rPr>
        <w:t>for</w:t>
      </w:r>
      <w:r w:rsidRPr="00243817">
        <w:rPr>
          <w:rFonts w:asciiTheme="minorHAnsi" w:hAnsiTheme="minorHAnsi" w:cstheme="minorHAnsi"/>
          <w:color w:val="auto"/>
        </w:rPr>
        <w:t xml:space="preserve"> </w:t>
      </w:r>
      <w:r w:rsidR="00C917D1" w:rsidRPr="00243817">
        <w:rPr>
          <w:rFonts w:asciiTheme="minorHAnsi" w:hAnsiTheme="minorHAnsi" w:cstheme="minorHAnsi"/>
          <w:color w:val="auto"/>
        </w:rPr>
        <w:t xml:space="preserve">a </w:t>
      </w:r>
      <w:r w:rsidRPr="00243817">
        <w:rPr>
          <w:rFonts w:asciiTheme="minorHAnsi" w:hAnsiTheme="minorHAnsi" w:cstheme="minorHAnsi"/>
          <w:color w:val="auto"/>
        </w:rPr>
        <w:t>project</w:t>
      </w:r>
      <w:r w:rsidR="0003273A" w:rsidRPr="00243817">
        <w:rPr>
          <w:rFonts w:asciiTheme="minorHAnsi" w:hAnsiTheme="minorHAnsi" w:cstheme="minorHAnsi"/>
          <w:color w:val="auto"/>
        </w:rPr>
        <w:t>’</w:t>
      </w:r>
      <w:r w:rsidRPr="00243817">
        <w:rPr>
          <w:rFonts w:asciiTheme="minorHAnsi" w:hAnsiTheme="minorHAnsi" w:cstheme="minorHAnsi"/>
          <w:color w:val="auto"/>
        </w:rPr>
        <w:t>s</w:t>
      </w:r>
      <w:r w:rsidR="0003273A" w:rsidRPr="00243817">
        <w:rPr>
          <w:rFonts w:asciiTheme="minorHAnsi" w:hAnsiTheme="minorHAnsi" w:cstheme="minorHAnsi"/>
          <w:color w:val="auto"/>
        </w:rPr>
        <w:t xml:space="preserve"> success</w:t>
      </w:r>
      <w:r w:rsidRPr="00243817">
        <w:rPr>
          <w:rFonts w:asciiTheme="minorHAnsi" w:hAnsiTheme="minorHAnsi" w:cstheme="minorHAnsi"/>
          <w:color w:val="auto"/>
        </w:rPr>
        <w:t xml:space="preserve">, as </w:t>
      </w:r>
      <w:r w:rsidR="00C917D1" w:rsidRPr="00243817">
        <w:rPr>
          <w:rFonts w:asciiTheme="minorHAnsi" w:hAnsiTheme="minorHAnsi" w:cstheme="minorHAnsi"/>
          <w:color w:val="auto"/>
        </w:rPr>
        <w:t>many literature examples demonstrate</w:t>
      </w:r>
      <w:r w:rsidR="006E00AA" w:rsidRPr="00243817">
        <w:rPr>
          <w:rFonts w:asciiTheme="minorHAnsi" w:hAnsiTheme="minorHAnsi" w:cstheme="minorHAnsi"/>
          <w:color w:val="auto"/>
          <w:vertAlign w:val="superscript"/>
        </w:rPr>
        <w:t>31-34</w:t>
      </w:r>
      <w:r w:rsidR="00C917D1" w:rsidRPr="00243817">
        <w:rPr>
          <w:rFonts w:asciiTheme="minorHAnsi" w:hAnsiTheme="minorHAnsi" w:cstheme="minorHAnsi"/>
          <w:color w:val="auto"/>
        </w:rPr>
        <w:t xml:space="preserve">. </w:t>
      </w:r>
      <w:r w:rsidR="00163422" w:rsidRPr="00243817">
        <w:rPr>
          <w:rFonts w:asciiTheme="minorHAnsi" w:hAnsiTheme="minorHAnsi" w:cstheme="minorHAnsi"/>
          <w:color w:val="auto"/>
        </w:rPr>
        <w:t xml:space="preserve">With a typical assay taking under </w:t>
      </w:r>
      <w:r w:rsidR="00B7266F">
        <w:rPr>
          <w:rFonts w:asciiTheme="minorHAnsi" w:hAnsiTheme="minorHAnsi" w:cstheme="minorHAnsi"/>
          <w:color w:val="auto"/>
        </w:rPr>
        <w:t>2</w:t>
      </w:r>
      <w:r w:rsidR="00163422" w:rsidRPr="00243817">
        <w:rPr>
          <w:rFonts w:asciiTheme="minorHAnsi" w:hAnsiTheme="minorHAnsi" w:cstheme="minorHAnsi"/>
          <w:color w:val="auto"/>
        </w:rPr>
        <w:t xml:space="preserve"> h</w:t>
      </w:r>
      <w:bookmarkStart w:id="0" w:name="_GoBack"/>
      <w:bookmarkEnd w:id="0"/>
      <w:r w:rsidR="00163422" w:rsidRPr="00243817">
        <w:rPr>
          <w:rFonts w:asciiTheme="minorHAnsi" w:hAnsiTheme="minorHAnsi" w:cstheme="minorHAnsi"/>
          <w:color w:val="auto"/>
        </w:rPr>
        <w:t xml:space="preserve"> including setup time, </w:t>
      </w:r>
      <w:r w:rsidR="00C124B1" w:rsidRPr="00243817">
        <w:rPr>
          <w:rFonts w:asciiTheme="minorHAnsi" w:hAnsiTheme="minorHAnsi" w:cstheme="minorHAnsi"/>
          <w:color w:val="auto"/>
        </w:rPr>
        <w:t xml:space="preserve">TSAs and </w:t>
      </w:r>
      <w:proofErr w:type="spellStart"/>
      <w:r w:rsidR="00C124B1" w:rsidRPr="00243817">
        <w:rPr>
          <w:rFonts w:asciiTheme="minorHAnsi" w:hAnsiTheme="minorHAnsi" w:cstheme="minorHAnsi"/>
          <w:color w:val="auto"/>
        </w:rPr>
        <w:t>nanoDSF</w:t>
      </w:r>
      <w:proofErr w:type="spellEnd"/>
      <w:r w:rsidR="00C124B1" w:rsidRPr="00243817">
        <w:rPr>
          <w:rFonts w:asciiTheme="minorHAnsi" w:hAnsiTheme="minorHAnsi" w:cstheme="minorHAnsi"/>
          <w:color w:val="auto"/>
        </w:rPr>
        <w:t xml:space="preserve"> </w:t>
      </w:r>
      <w:r w:rsidR="00163422" w:rsidRPr="00243817">
        <w:rPr>
          <w:rFonts w:asciiTheme="minorHAnsi" w:hAnsiTheme="minorHAnsi" w:cstheme="minorHAnsi"/>
          <w:color w:val="auto"/>
        </w:rPr>
        <w:t xml:space="preserve">coupled with </w:t>
      </w:r>
      <w:r w:rsidR="00C32255" w:rsidRPr="00243817">
        <w:rPr>
          <w:rFonts w:asciiTheme="minorHAnsi" w:hAnsiTheme="minorHAnsi" w:cstheme="minorHAnsi"/>
          <w:color w:val="auto"/>
        </w:rPr>
        <w:t>stability</w:t>
      </w:r>
      <w:r w:rsidR="00FD740B" w:rsidRPr="00243817">
        <w:rPr>
          <w:rFonts w:asciiTheme="minorHAnsi" w:hAnsiTheme="minorHAnsi" w:cstheme="minorHAnsi"/>
          <w:color w:val="auto"/>
        </w:rPr>
        <w:t xml:space="preserve"> screens</w:t>
      </w:r>
      <w:r w:rsidR="00163422" w:rsidRPr="00243817">
        <w:rPr>
          <w:rFonts w:asciiTheme="minorHAnsi" w:hAnsiTheme="minorHAnsi" w:cstheme="minorHAnsi"/>
          <w:color w:val="auto"/>
        </w:rPr>
        <w:t xml:space="preserve"> represent a fast, inexpensive technique for buffer </w:t>
      </w:r>
      <w:r w:rsidR="00AF77FD" w:rsidRPr="00243817">
        <w:rPr>
          <w:rFonts w:asciiTheme="minorHAnsi" w:hAnsiTheme="minorHAnsi" w:cstheme="minorHAnsi"/>
          <w:color w:val="auto"/>
        </w:rPr>
        <w:t>optimizations</w:t>
      </w:r>
      <w:r w:rsidR="00163422" w:rsidRPr="00243817">
        <w:rPr>
          <w:rFonts w:asciiTheme="minorHAnsi" w:hAnsiTheme="minorHAnsi" w:cstheme="minorHAnsi"/>
          <w:color w:val="auto"/>
        </w:rPr>
        <w:t xml:space="preserve">. </w:t>
      </w:r>
    </w:p>
    <w:p w14:paraId="78728D18" w14:textId="706614AE" w:rsidR="00014314" w:rsidRPr="00243817" w:rsidRDefault="00014314" w:rsidP="004F6460">
      <w:pPr>
        <w:rPr>
          <w:rFonts w:asciiTheme="minorHAnsi" w:hAnsiTheme="minorHAnsi" w:cstheme="minorHAnsi"/>
          <w:color w:val="auto"/>
        </w:rPr>
      </w:pPr>
    </w:p>
    <w:p w14:paraId="1734505F" w14:textId="630CE372" w:rsidR="00AA03DF" w:rsidRPr="00243817" w:rsidRDefault="00AA03DF" w:rsidP="004F6460">
      <w:pPr>
        <w:pStyle w:val="a3"/>
        <w:spacing w:before="0" w:beforeAutospacing="0" w:after="0" w:afterAutospacing="0"/>
        <w:rPr>
          <w:rFonts w:asciiTheme="minorHAnsi" w:hAnsiTheme="minorHAnsi" w:cstheme="minorHAnsi"/>
          <w:color w:val="808080"/>
        </w:rPr>
      </w:pPr>
      <w:r w:rsidRPr="00243817">
        <w:rPr>
          <w:rFonts w:asciiTheme="minorHAnsi" w:hAnsiTheme="minorHAnsi" w:cstheme="minorHAnsi"/>
          <w:b/>
          <w:bCs/>
        </w:rPr>
        <w:t xml:space="preserve">ACKNOWLEDGMENTS: </w:t>
      </w:r>
    </w:p>
    <w:p w14:paraId="5A9F5F99" w14:textId="37AFE7B6" w:rsidR="001A4D5B" w:rsidRPr="00243817" w:rsidRDefault="005D0058" w:rsidP="004F6460">
      <w:pPr>
        <w:rPr>
          <w:rFonts w:asciiTheme="minorHAnsi" w:hAnsiTheme="minorHAnsi" w:cstheme="minorHAnsi"/>
          <w:color w:val="auto"/>
        </w:rPr>
      </w:pPr>
      <w:r w:rsidRPr="00243817">
        <w:rPr>
          <w:rFonts w:asciiTheme="minorHAnsi" w:hAnsiTheme="minorHAnsi" w:cstheme="minorHAnsi"/>
          <w:color w:val="auto"/>
        </w:rPr>
        <w:t xml:space="preserve">This project has received funding from the European Research Council (ERC) under the European Union's Horizon 2020 research and innovation </w:t>
      </w:r>
      <w:proofErr w:type="spellStart"/>
      <w:r w:rsidRPr="00243817">
        <w:rPr>
          <w:rFonts w:asciiTheme="minorHAnsi" w:hAnsiTheme="minorHAnsi" w:cstheme="minorHAnsi"/>
          <w:color w:val="auto"/>
        </w:rPr>
        <w:t>programme</w:t>
      </w:r>
      <w:proofErr w:type="spellEnd"/>
      <w:r w:rsidRPr="00243817">
        <w:rPr>
          <w:rFonts w:asciiTheme="minorHAnsi" w:hAnsiTheme="minorHAnsi" w:cstheme="minorHAnsi"/>
          <w:color w:val="auto"/>
        </w:rPr>
        <w:t xml:space="preserve"> (grant agreement n° 685778). </w:t>
      </w:r>
      <w:r w:rsidR="00640640" w:rsidRPr="00243817">
        <w:rPr>
          <w:rFonts w:asciiTheme="minorHAnsi" w:hAnsiTheme="minorHAnsi" w:cstheme="minorHAnsi"/>
          <w:color w:val="auto"/>
        </w:rPr>
        <w:t>This work was supported by the Biotechnology and Biological Sciences Research Council</w:t>
      </w:r>
      <w:r w:rsidR="00011AC0" w:rsidRPr="00243817">
        <w:rPr>
          <w:rFonts w:asciiTheme="minorHAnsi" w:hAnsiTheme="minorHAnsi" w:cstheme="minorHAnsi"/>
          <w:color w:val="auto"/>
        </w:rPr>
        <w:t xml:space="preserve"> (BBSRC</w:t>
      </w:r>
      <w:r w:rsidR="003516CB" w:rsidRPr="00243817">
        <w:rPr>
          <w:rFonts w:asciiTheme="minorHAnsi" w:hAnsiTheme="minorHAnsi" w:cstheme="minorHAnsi"/>
          <w:color w:val="auto"/>
        </w:rPr>
        <w:t xml:space="preserve">, grant numbers </w:t>
      </w:r>
      <w:r w:rsidR="003516CB" w:rsidRPr="00243817">
        <w:rPr>
          <w:shd w:val="clear" w:color="auto" w:fill="FFFFFF"/>
        </w:rPr>
        <w:t xml:space="preserve">BB/M011186/1, </w:t>
      </w:r>
      <w:r w:rsidR="009F57AB" w:rsidRPr="00243817">
        <w:rPr>
          <w:shd w:val="clear" w:color="auto" w:fill="FFFFFF"/>
        </w:rPr>
        <w:t>BB/J014516/1</w:t>
      </w:r>
      <w:r w:rsidR="00011AC0" w:rsidRPr="00243817">
        <w:rPr>
          <w:rFonts w:asciiTheme="minorHAnsi" w:hAnsiTheme="minorHAnsi" w:cstheme="minorHAnsi"/>
          <w:color w:val="auto"/>
        </w:rPr>
        <w:t>)</w:t>
      </w:r>
      <w:r w:rsidR="009F57AB" w:rsidRPr="00243817">
        <w:rPr>
          <w:rFonts w:asciiTheme="minorHAnsi" w:hAnsiTheme="minorHAnsi" w:cstheme="minorHAnsi"/>
          <w:color w:val="auto"/>
        </w:rPr>
        <w:t xml:space="preserve">. </w:t>
      </w:r>
      <w:r w:rsidR="00893D30" w:rsidRPr="00243817">
        <w:rPr>
          <w:rFonts w:asciiTheme="minorHAnsi" w:hAnsiTheme="minorHAnsi" w:cstheme="minorHAnsi"/>
          <w:color w:val="auto"/>
        </w:rPr>
        <w:t>DB</w:t>
      </w:r>
      <w:r w:rsidR="001A4D5B" w:rsidRPr="00243817">
        <w:rPr>
          <w:rFonts w:asciiTheme="minorHAnsi" w:hAnsiTheme="minorHAnsi" w:cstheme="minorHAnsi"/>
          <w:color w:val="auto"/>
        </w:rPr>
        <w:t xml:space="preserve"> thank</w:t>
      </w:r>
      <w:r w:rsidR="00893D30" w:rsidRPr="00243817">
        <w:rPr>
          <w:rFonts w:asciiTheme="minorHAnsi" w:hAnsiTheme="minorHAnsi" w:cstheme="minorHAnsi"/>
          <w:color w:val="auto"/>
        </w:rPr>
        <w:t>s</w:t>
      </w:r>
      <w:r w:rsidR="001A4D5B" w:rsidRPr="00243817">
        <w:rPr>
          <w:rFonts w:asciiTheme="minorHAnsi" w:hAnsiTheme="minorHAnsi" w:cstheme="minorHAnsi"/>
          <w:color w:val="auto"/>
        </w:rPr>
        <w:t xml:space="preserve"> the BBSRC</w:t>
      </w:r>
      <w:r w:rsidR="00893D30" w:rsidRPr="00243817">
        <w:rPr>
          <w:rFonts w:asciiTheme="minorHAnsi" w:hAnsiTheme="minorHAnsi" w:cstheme="minorHAnsi"/>
          <w:color w:val="auto"/>
        </w:rPr>
        <w:t xml:space="preserve"> Doctoral Training Partnership Newcastle</w:t>
      </w:r>
      <w:r w:rsidR="00DE51CC" w:rsidRPr="00243817">
        <w:rPr>
          <w:rFonts w:asciiTheme="minorHAnsi" w:hAnsiTheme="minorHAnsi" w:cstheme="minorHAnsi"/>
          <w:color w:val="auto"/>
        </w:rPr>
        <w:t>-</w:t>
      </w:r>
      <w:r w:rsidR="00893D30" w:rsidRPr="00243817">
        <w:rPr>
          <w:rFonts w:asciiTheme="minorHAnsi" w:hAnsiTheme="minorHAnsi" w:cstheme="minorHAnsi"/>
          <w:color w:val="auto"/>
        </w:rPr>
        <w:t>Liverpool</w:t>
      </w:r>
      <w:r w:rsidR="00DE51CC" w:rsidRPr="00243817">
        <w:rPr>
          <w:rFonts w:asciiTheme="minorHAnsi" w:hAnsiTheme="minorHAnsi" w:cstheme="minorHAnsi"/>
          <w:color w:val="auto"/>
        </w:rPr>
        <w:t>-</w:t>
      </w:r>
      <w:r w:rsidR="00893D30" w:rsidRPr="00243817">
        <w:rPr>
          <w:rFonts w:asciiTheme="minorHAnsi" w:hAnsiTheme="minorHAnsi" w:cstheme="minorHAnsi"/>
          <w:color w:val="auto"/>
        </w:rPr>
        <w:t xml:space="preserve">Durham for a </w:t>
      </w:r>
      <w:r w:rsidR="00006DA6" w:rsidRPr="00243817">
        <w:rPr>
          <w:rFonts w:asciiTheme="minorHAnsi" w:hAnsiTheme="minorHAnsi" w:cstheme="minorHAnsi"/>
          <w:color w:val="auto"/>
        </w:rPr>
        <w:t>studentship</w:t>
      </w:r>
      <w:r w:rsidR="009F57AB" w:rsidRPr="00243817">
        <w:rPr>
          <w:rFonts w:asciiTheme="minorHAnsi" w:hAnsiTheme="minorHAnsi" w:cstheme="minorHAnsi"/>
          <w:color w:val="auto"/>
        </w:rPr>
        <w:t xml:space="preserve"> and</w:t>
      </w:r>
      <w:r w:rsidR="001A4D5B" w:rsidRPr="00243817">
        <w:rPr>
          <w:rFonts w:asciiTheme="minorHAnsi" w:hAnsiTheme="minorHAnsi" w:cstheme="minorHAnsi"/>
          <w:color w:val="auto"/>
        </w:rPr>
        <w:t xml:space="preserve"> Durham University Department of Biosciences for </w:t>
      </w:r>
      <w:r w:rsidR="009F57AB" w:rsidRPr="00243817">
        <w:rPr>
          <w:rFonts w:asciiTheme="minorHAnsi" w:hAnsiTheme="minorHAnsi" w:cstheme="minorHAnsi"/>
          <w:color w:val="auto"/>
        </w:rPr>
        <w:t xml:space="preserve">contributing toward the </w:t>
      </w:r>
      <w:r w:rsidR="001A4D5B" w:rsidRPr="00243817">
        <w:rPr>
          <w:rFonts w:asciiTheme="minorHAnsi" w:hAnsiTheme="minorHAnsi" w:cstheme="minorHAnsi"/>
          <w:color w:val="auto"/>
        </w:rPr>
        <w:t>funding</w:t>
      </w:r>
      <w:r w:rsidR="00C54E57" w:rsidRPr="00243817">
        <w:rPr>
          <w:rFonts w:asciiTheme="minorHAnsi" w:hAnsiTheme="minorHAnsi" w:cstheme="minorHAnsi"/>
          <w:color w:val="auto"/>
        </w:rPr>
        <w:t xml:space="preserve"> this work. We thank Ian Edwards </w:t>
      </w:r>
      <w:r w:rsidR="00627043" w:rsidRPr="00243817">
        <w:rPr>
          <w:rFonts w:asciiTheme="minorHAnsi" w:hAnsiTheme="minorHAnsi" w:cstheme="minorHAnsi"/>
          <w:color w:val="auto"/>
        </w:rPr>
        <w:t>for his</w:t>
      </w:r>
      <w:r w:rsidR="00C54E57" w:rsidRPr="00243817">
        <w:rPr>
          <w:rFonts w:asciiTheme="minorHAnsi" w:hAnsiTheme="minorHAnsi" w:cstheme="minorHAnsi"/>
          <w:color w:val="auto"/>
        </w:rPr>
        <w:t xml:space="preserve"> help </w:t>
      </w:r>
      <w:r w:rsidR="00826DFA" w:rsidRPr="00243817">
        <w:rPr>
          <w:rFonts w:asciiTheme="minorHAnsi" w:hAnsiTheme="minorHAnsi" w:cstheme="minorHAnsi"/>
          <w:color w:val="auto"/>
        </w:rPr>
        <w:t>and</w:t>
      </w:r>
      <w:r w:rsidR="00C54E57" w:rsidRPr="00243817">
        <w:rPr>
          <w:rFonts w:asciiTheme="minorHAnsi" w:hAnsiTheme="minorHAnsi" w:cstheme="minorHAnsi"/>
          <w:color w:val="auto"/>
        </w:rPr>
        <w:t xml:space="preserve"> the Durham University Department of Chemistry Mass Spectrometry department for their instrumental analysis of </w:t>
      </w:r>
      <w:r w:rsidR="00565446" w:rsidRPr="00243817">
        <w:rPr>
          <w:rFonts w:asciiTheme="minorHAnsi" w:hAnsiTheme="minorHAnsi" w:cstheme="minorHAnsi"/>
          <w:color w:val="auto"/>
        </w:rPr>
        <w:t>Protein</w:t>
      </w:r>
      <w:r w:rsidR="00DD4290" w:rsidRPr="00243817">
        <w:rPr>
          <w:rFonts w:asciiTheme="minorHAnsi" w:hAnsiTheme="minorHAnsi" w:cstheme="minorHAnsi"/>
          <w:color w:val="auto"/>
        </w:rPr>
        <w:t xml:space="preserve"> X</w:t>
      </w:r>
      <w:r w:rsidR="00C54E57" w:rsidRPr="00243817">
        <w:rPr>
          <w:rFonts w:asciiTheme="minorHAnsi" w:hAnsiTheme="minorHAnsi" w:cstheme="minorHAnsi"/>
          <w:color w:val="auto"/>
        </w:rPr>
        <w:t>.</w:t>
      </w:r>
      <w:r w:rsidR="00164ACA" w:rsidRPr="00243817">
        <w:rPr>
          <w:rFonts w:asciiTheme="minorHAnsi" w:hAnsiTheme="minorHAnsi" w:cstheme="minorHAnsi"/>
          <w:color w:val="auto"/>
        </w:rPr>
        <w:t xml:space="preserve"> </w:t>
      </w:r>
      <w:r w:rsidR="00006DA6" w:rsidRPr="00243817">
        <w:rPr>
          <w:rFonts w:asciiTheme="minorHAnsi" w:hAnsiTheme="minorHAnsi" w:cstheme="minorHAnsi"/>
          <w:color w:val="auto"/>
        </w:rPr>
        <w:t xml:space="preserve">We are grateful </w:t>
      </w:r>
      <w:r w:rsidR="00164ACA" w:rsidRPr="00243817">
        <w:rPr>
          <w:rFonts w:asciiTheme="minorHAnsi" w:hAnsiTheme="minorHAnsi" w:cstheme="minorHAnsi"/>
          <w:color w:val="auto"/>
        </w:rPr>
        <w:t xml:space="preserve">to </w:t>
      </w:r>
      <w:proofErr w:type="spellStart"/>
      <w:r w:rsidR="00164ACA" w:rsidRPr="00243817">
        <w:rPr>
          <w:rFonts w:asciiTheme="minorHAnsi" w:hAnsiTheme="minorHAnsi" w:cstheme="minorHAnsi"/>
          <w:color w:val="auto"/>
        </w:rPr>
        <w:t>Arnthor</w:t>
      </w:r>
      <w:proofErr w:type="spellEnd"/>
      <w:r w:rsidR="00164ACA" w:rsidRPr="00243817">
        <w:rPr>
          <w:rFonts w:asciiTheme="minorHAnsi" w:hAnsiTheme="minorHAnsi" w:cstheme="minorHAnsi"/>
          <w:color w:val="auto"/>
        </w:rPr>
        <w:t xml:space="preserve"> </w:t>
      </w:r>
      <w:proofErr w:type="spellStart"/>
      <w:r w:rsidR="00164ACA" w:rsidRPr="00243817">
        <w:rPr>
          <w:rFonts w:asciiTheme="minorHAnsi" w:hAnsiTheme="minorHAnsi" w:cstheme="minorHAnsi"/>
          <w:color w:val="auto"/>
        </w:rPr>
        <w:t>Ævarsson</w:t>
      </w:r>
      <w:proofErr w:type="spellEnd"/>
      <w:r w:rsidR="00164ACA" w:rsidRPr="00243817">
        <w:rPr>
          <w:rFonts w:asciiTheme="minorHAnsi" w:hAnsiTheme="minorHAnsi" w:cstheme="minorHAnsi"/>
          <w:color w:val="auto"/>
        </w:rPr>
        <w:t xml:space="preserve"> for his work with the Virus-X project, and thanks also to</w:t>
      </w:r>
      <w:r w:rsidR="00E85054" w:rsidRPr="00243817">
        <w:rPr>
          <w:rFonts w:asciiTheme="minorHAnsi" w:hAnsiTheme="minorHAnsi" w:cstheme="minorHAnsi"/>
          <w:color w:val="auto"/>
        </w:rPr>
        <w:t xml:space="preserve"> Claire </w:t>
      </w:r>
      <w:proofErr w:type="spellStart"/>
      <w:r w:rsidR="00E85054" w:rsidRPr="00243817">
        <w:rPr>
          <w:rFonts w:asciiTheme="minorHAnsi" w:hAnsiTheme="minorHAnsi" w:cstheme="minorHAnsi"/>
          <w:color w:val="auto"/>
        </w:rPr>
        <w:t>Hatty</w:t>
      </w:r>
      <w:proofErr w:type="spellEnd"/>
      <w:r w:rsidR="00E85054" w:rsidRPr="00243817">
        <w:rPr>
          <w:rFonts w:asciiTheme="minorHAnsi" w:hAnsiTheme="minorHAnsi" w:cstheme="minorHAnsi"/>
          <w:color w:val="auto"/>
        </w:rPr>
        <w:t xml:space="preserve"> and </w:t>
      </w:r>
      <w:proofErr w:type="spellStart"/>
      <w:r w:rsidR="00E85054" w:rsidRPr="00243817">
        <w:rPr>
          <w:rFonts w:asciiTheme="minorHAnsi" w:hAnsiTheme="minorHAnsi" w:cstheme="minorHAnsi"/>
          <w:color w:val="auto"/>
        </w:rPr>
        <w:t>NanoTemper</w:t>
      </w:r>
      <w:proofErr w:type="spellEnd"/>
      <w:r w:rsidR="00E85054" w:rsidRPr="00243817">
        <w:rPr>
          <w:rFonts w:asciiTheme="minorHAnsi" w:hAnsiTheme="minorHAnsi" w:cstheme="minorHAnsi"/>
          <w:color w:val="auto"/>
        </w:rPr>
        <w:t xml:space="preserve"> Gmb</w:t>
      </w:r>
      <w:r w:rsidR="00164ACA" w:rsidRPr="00243817">
        <w:rPr>
          <w:rFonts w:asciiTheme="minorHAnsi" w:hAnsiTheme="minorHAnsi" w:cstheme="minorHAnsi"/>
          <w:color w:val="auto"/>
        </w:rPr>
        <w:t>H for lending and assisting with the Prometheus NT.48 system for this project.</w:t>
      </w:r>
      <w:r w:rsidR="00751C01" w:rsidRPr="00243817">
        <w:rPr>
          <w:rFonts w:asciiTheme="minorHAnsi" w:hAnsiTheme="minorHAnsi" w:cstheme="minorHAnsi"/>
          <w:color w:val="auto"/>
        </w:rPr>
        <w:t xml:space="preserve"> Finally, thank you to Frances </w:t>
      </w:r>
      <w:proofErr w:type="spellStart"/>
      <w:r w:rsidR="00751C01" w:rsidRPr="00243817">
        <w:rPr>
          <w:rFonts w:asciiTheme="minorHAnsi" w:hAnsiTheme="minorHAnsi" w:cstheme="minorHAnsi"/>
          <w:color w:val="auto"/>
        </w:rPr>
        <w:t>Gawthrop</w:t>
      </w:r>
      <w:proofErr w:type="spellEnd"/>
      <w:r w:rsidR="00751C01" w:rsidRPr="00243817">
        <w:rPr>
          <w:rFonts w:asciiTheme="minorHAnsi" w:hAnsiTheme="minorHAnsi" w:cstheme="minorHAnsi"/>
          <w:color w:val="auto"/>
        </w:rPr>
        <w:t xml:space="preserve"> and Tozer Seeds for the</w:t>
      </w:r>
      <w:r w:rsidR="007F56AC" w:rsidRPr="00243817">
        <w:rPr>
          <w:rFonts w:asciiTheme="minorHAnsi" w:hAnsiTheme="minorHAnsi" w:cstheme="minorHAnsi"/>
          <w:color w:val="auto"/>
        </w:rPr>
        <w:t>ir</w:t>
      </w:r>
      <w:r w:rsidR="00751C01" w:rsidRPr="00243817">
        <w:rPr>
          <w:rFonts w:asciiTheme="minorHAnsi" w:hAnsiTheme="minorHAnsi" w:cstheme="minorHAnsi"/>
          <w:color w:val="auto"/>
        </w:rPr>
        <w:t xml:space="preserve"> support as part of the BBSRC </w:t>
      </w:r>
      <w:proofErr w:type="spellStart"/>
      <w:r w:rsidR="00751C01" w:rsidRPr="00243817">
        <w:rPr>
          <w:rFonts w:asciiTheme="minorHAnsi" w:hAnsiTheme="minorHAnsi" w:cstheme="minorHAnsi"/>
          <w:color w:val="auto"/>
        </w:rPr>
        <w:t>iCASE</w:t>
      </w:r>
      <w:proofErr w:type="spellEnd"/>
      <w:r w:rsidR="00751C01" w:rsidRPr="00243817">
        <w:rPr>
          <w:rFonts w:asciiTheme="minorHAnsi" w:hAnsiTheme="minorHAnsi" w:cstheme="minorHAnsi"/>
          <w:color w:val="auto"/>
        </w:rPr>
        <w:t xml:space="preserve"> </w:t>
      </w:r>
      <w:r w:rsidR="00006DA6" w:rsidRPr="00243817">
        <w:rPr>
          <w:rFonts w:asciiTheme="minorHAnsi" w:hAnsiTheme="minorHAnsi" w:cstheme="minorHAnsi"/>
          <w:color w:val="auto"/>
        </w:rPr>
        <w:t>award</w:t>
      </w:r>
      <w:r w:rsidR="00751C01" w:rsidRPr="00243817">
        <w:rPr>
          <w:rFonts w:asciiTheme="minorHAnsi" w:hAnsiTheme="minorHAnsi" w:cstheme="minorHAnsi"/>
          <w:color w:val="auto"/>
        </w:rPr>
        <w:t>.</w:t>
      </w:r>
    </w:p>
    <w:p w14:paraId="2D96E92E" w14:textId="72F287DC" w:rsidR="00AA03DF" w:rsidRPr="00243817" w:rsidRDefault="00AA03DF" w:rsidP="004F6460">
      <w:pPr>
        <w:rPr>
          <w:rFonts w:asciiTheme="minorHAnsi" w:hAnsiTheme="minorHAnsi" w:cstheme="minorHAnsi"/>
          <w:b/>
          <w:bCs/>
        </w:rPr>
      </w:pPr>
    </w:p>
    <w:p w14:paraId="5D52ED8B" w14:textId="52331624" w:rsidR="00AA03DF" w:rsidRPr="00243817" w:rsidRDefault="00AA03DF" w:rsidP="004F6460">
      <w:pPr>
        <w:pStyle w:val="a3"/>
        <w:spacing w:before="0" w:beforeAutospacing="0" w:after="0" w:afterAutospacing="0"/>
        <w:rPr>
          <w:rFonts w:asciiTheme="minorHAnsi" w:hAnsiTheme="minorHAnsi" w:cstheme="minorHAnsi"/>
          <w:color w:val="808080"/>
        </w:rPr>
      </w:pPr>
      <w:r w:rsidRPr="00243817">
        <w:rPr>
          <w:rFonts w:asciiTheme="minorHAnsi" w:hAnsiTheme="minorHAnsi" w:cstheme="minorHAnsi"/>
          <w:b/>
        </w:rPr>
        <w:t>DISCLOSURES</w:t>
      </w:r>
      <w:r w:rsidRPr="00243817">
        <w:rPr>
          <w:rFonts w:asciiTheme="minorHAnsi" w:hAnsiTheme="minorHAnsi" w:cstheme="minorHAnsi"/>
          <w:b/>
          <w:bCs/>
        </w:rPr>
        <w:t xml:space="preserve">: </w:t>
      </w:r>
    </w:p>
    <w:p w14:paraId="4E0C3135" w14:textId="3E418B90" w:rsidR="007A4DD6" w:rsidRPr="00243817" w:rsidRDefault="00164ACA" w:rsidP="004F6460">
      <w:pPr>
        <w:rPr>
          <w:rFonts w:asciiTheme="minorHAnsi" w:hAnsiTheme="minorHAnsi" w:cstheme="minorHAnsi"/>
          <w:color w:val="auto"/>
        </w:rPr>
      </w:pPr>
      <w:r w:rsidRPr="00243817">
        <w:rPr>
          <w:rFonts w:asciiTheme="minorHAnsi" w:hAnsiTheme="minorHAnsi" w:cstheme="minorHAnsi"/>
          <w:color w:val="auto"/>
        </w:rPr>
        <w:t>The authors have nothing to disclose.</w:t>
      </w:r>
    </w:p>
    <w:p w14:paraId="66030076" w14:textId="77777777" w:rsidR="00AA03DF" w:rsidRPr="00243817" w:rsidRDefault="00AA03DF" w:rsidP="004F6460">
      <w:pPr>
        <w:rPr>
          <w:rFonts w:asciiTheme="minorHAnsi" w:hAnsiTheme="minorHAnsi" w:cstheme="minorHAnsi"/>
          <w:color w:val="auto"/>
        </w:rPr>
      </w:pPr>
    </w:p>
    <w:p w14:paraId="23A8D76C" w14:textId="6766D5E7" w:rsidR="005E2877" w:rsidRPr="00243817" w:rsidRDefault="009726EE" w:rsidP="004F6460">
      <w:pPr>
        <w:rPr>
          <w:rFonts w:asciiTheme="minorHAnsi" w:hAnsiTheme="minorHAnsi" w:cstheme="minorHAnsi"/>
          <w:color w:val="808080"/>
        </w:rPr>
      </w:pPr>
      <w:r w:rsidRPr="00243817">
        <w:rPr>
          <w:rFonts w:asciiTheme="minorHAnsi" w:hAnsiTheme="minorHAnsi" w:cstheme="minorHAnsi"/>
          <w:b/>
          <w:bCs/>
        </w:rPr>
        <w:t>REFERENCES</w:t>
      </w:r>
      <w:r w:rsidR="00D04760" w:rsidRPr="00243817">
        <w:rPr>
          <w:rFonts w:asciiTheme="minorHAnsi" w:hAnsiTheme="minorHAnsi" w:cstheme="minorHAnsi"/>
          <w:b/>
          <w:bCs/>
        </w:rPr>
        <w:t>:</w:t>
      </w:r>
      <w:r w:rsidRPr="00243817">
        <w:rPr>
          <w:rFonts w:asciiTheme="minorHAnsi" w:hAnsiTheme="minorHAnsi" w:cstheme="minorHAnsi"/>
        </w:rPr>
        <w:t xml:space="preserve"> </w:t>
      </w:r>
    </w:p>
    <w:p w14:paraId="2316F542" w14:textId="21153662" w:rsidR="007B5FA5" w:rsidRPr="00243817" w:rsidRDefault="007B5FA5" w:rsidP="004F6460">
      <w:pPr>
        <w:pStyle w:val="af3"/>
        <w:widowControl/>
        <w:numPr>
          <w:ilvl w:val="0"/>
          <w:numId w:val="29"/>
        </w:numPr>
        <w:autoSpaceDE/>
        <w:autoSpaceDN/>
        <w:adjustRightInd/>
      </w:pPr>
      <w:proofErr w:type="spellStart"/>
      <w:r w:rsidRPr="00243817">
        <w:rPr>
          <w:iCs/>
          <w:shd w:val="clear" w:color="auto" w:fill="FFFFFF"/>
        </w:rPr>
        <w:t>Kapust</w:t>
      </w:r>
      <w:proofErr w:type="spellEnd"/>
      <w:r w:rsidRPr="00243817">
        <w:rPr>
          <w:iCs/>
          <w:shd w:val="clear" w:color="auto" w:fill="FFFFFF"/>
        </w:rPr>
        <w:t>, R.B., Waugh, D.S.</w:t>
      </w:r>
      <w:r w:rsidRPr="00243817">
        <w:rPr>
          <w:i/>
          <w:iCs/>
          <w:shd w:val="clear" w:color="auto" w:fill="FFFFFF"/>
        </w:rPr>
        <w:t xml:space="preserve"> </w:t>
      </w:r>
      <w:r w:rsidRPr="00243817">
        <w:rPr>
          <w:iCs/>
          <w:shd w:val="clear" w:color="auto" w:fill="FFFFFF"/>
        </w:rPr>
        <w:t>Controlled intracellular processing of fusion proteins by TEV protease</w:t>
      </w:r>
      <w:r w:rsidR="0016561A" w:rsidRPr="00243817">
        <w:rPr>
          <w:i/>
          <w:iCs/>
          <w:shd w:val="clear" w:color="auto" w:fill="FFFFFF"/>
        </w:rPr>
        <w:t>.</w:t>
      </w:r>
      <w:r w:rsidRPr="00243817">
        <w:rPr>
          <w:i/>
          <w:iCs/>
          <w:shd w:val="clear" w:color="auto" w:fill="FFFFFF"/>
        </w:rPr>
        <w:t> </w:t>
      </w:r>
      <w:r w:rsidR="00F41AA8" w:rsidRPr="00243817">
        <w:rPr>
          <w:i/>
          <w:iCs/>
          <w:shd w:val="clear" w:color="auto" w:fill="FFFFFF"/>
        </w:rPr>
        <w:t xml:space="preserve">Protein </w:t>
      </w:r>
      <w:r w:rsidR="003604A1" w:rsidRPr="00243817">
        <w:rPr>
          <w:i/>
          <w:iCs/>
          <w:shd w:val="clear" w:color="auto" w:fill="FFFFFF"/>
        </w:rPr>
        <w:t>E</w:t>
      </w:r>
      <w:r w:rsidR="00F41AA8" w:rsidRPr="00243817">
        <w:rPr>
          <w:i/>
          <w:iCs/>
          <w:shd w:val="clear" w:color="auto" w:fill="FFFFFF"/>
        </w:rPr>
        <w:t xml:space="preserve">xpression and </w:t>
      </w:r>
      <w:r w:rsidR="003604A1" w:rsidRPr="00243817">
        <w:rPr>
          <w:i/>
          <w:iCs/>
          <w:shd w:val="clear" w:color="auto" w:fill="FFFFFF"/>
        </w:rPr>
        <w:t>P</w:t>
      </w:r>
      <w:r w:rsidR="00F41AA8" w:rsidRPr="00243817">
        <w:rPr>
          <w:i/>
          <w:iCs/>
          <w:shd w:val="clear" w:color="auto" w:fill="FFFFFF"/>
        </w:rPr>
        <w:t>urification</w:t>
      </w:r>
      <w:r w:rsidRPr="00243817">
        <w:rPr>
          <w:i/>
          <w:iCs/>
          <w:shd w:val="clear" w:color="auto" w:fill="FFFFFF"/>
        </w:rPr>
        <w:t>. </w:t>
      </w:r>
      <w:r w:rsidRPr="00243817">
        <w:rPr>
          <w:b/>
          <w:bCs/>
          <w:iCs/>
          <w:shd w:val="clear" w:color="auto" w:fill="FFFFFF"/>
        </w:rPr>
        <w:t>19</w:t>
      </w:r>
      <w:r w:rsidRPr="00243817">
        <w:rPr>
          <w:iCs/>
          <w:shd w:val="clear" w:color="auto" w:fill="FFFFFF"/>
        </w:rPr>
        <w:t> (2)</w:t>
      </w:r>
      <w:r w:rsidR="00F3591C" w:rsidRPr="00243817">
        <w:rPr>
          <w:iCs/>
          <w:shd w:val="clear" w:color="auto" w:fill="FFFFFF"/>
        </w:rPr>
        <w:t>, 312-318 (2000).</w:t>
      </w:r>
    </w:p>
    <w:p w14:paraId="7D292662" w14:textId="77777777" w:rsidR="001E0A73" w:rsidRPr="00243817" w:rsidRDefault="003620C1" w:rsidP="004F6460">
      <w:pPr>
        <w:pStyle w:val="af3"/>
        <w:widowControl/>
        <w:numPr>
          <w:ilvl w:val="0"/>
          <w:numId w:val="29"/>
        </w:numPr>
        <w:autoSpaceDE/>
        <w:autoSpaceDN/>
        <w:adjustRightInd/>
      </w:pPr>
      <w:proofErr w:type="spellStart"/>
      <w:r w:rsidRPr="00243817">
        <w:t>Cordingley</w:t>
      </w:r>
      <w:proofErr w:type="spellEnd"/>
      <w:r w:rsidRPr="00243817">
        <w:t xml:space="preserve">, M. G., Register, R. B., Callahan, P. L., </w:t>
      </w:r>
      <w:proofErr w:type="spellStart"/>
      <w:r w:rsidRPr="00243817">
        <w:t>Garsky</w:t>
      </w:r>
      <w:proofErr w:type="spellEnd"/>
      <w:r w:rsidRPr="00243817">
        <w:t xml:space="preserve">, V. M., &amp; </w:t>
      </w:r>
      <w:proofErr w:type="spellStart"/>
      <w:r w:rsidRPr="00243817">
        <w:t>Colonno</w:t>
      </w:r>
      <w:proofErr w:type="spellEnd"/>
      <w:r w:rsidRPr="00243817">
        <w:t xml:space="preserve">, R. J. Cleavage of small peptides in vitro by human rhinovirus 14 3C protease expressed in </w:t>
      </w:r>
      <w:r w:rsidRPr="00243817">
        <w:rPr>
          <w:i/>
        </w:rPr>
        <w:t>Escherichia coli.</w:t>
      </w:r>
      <w:r w:rsidRPr="00243817">
        <w:t xml:space="preserve"> </w:t>
      </w:r>
      <w:r w:rsidRPr="00243817">
        <w:rPr>
          <w:i/>
        </w:rPr>
        <w:t>Journal of Virology</w:t>
      </w:r>
      <w:r w:rsidRPr="00243817">
        <w:t xml:space="preserve">, </w:t>
      </w:r>
      <w:r w:rsidRPr="00243817">
        <w:rPr>
          <w:b/>
        </w:rPr>
        <w:t>63</w:t>
      </w:r>
      <w:r w:rsidRPr="00243817">
        <w:t xml:space="preserve"> (12), 5037-5045 (1989).</w:t>
      </w:r>
      <w:r w:rsidR="001E0A73" w:rsidRPr="00243817">
        <w:t xml:space="preserve"> </w:t>
      </w:r>
    </w:p>
    <w:p w14:paraId="7603CE4F" w14:textId="5A049B68" w:rsidR="003620C1" w:rsidRPr="00243817" w:rsidRDefault="001E0A73" w:rsidP="004F6460">
      <w:pPr>
        <w:pStyle w:val="af3"/>
        <w:widowControl/>
        <w:numPr>
          <w:ilvl w:val="0"/>
          <w:numId w:val="29"/>
        </w:numPr>
        <w:autoSpaceDE/>
        <w:autoSpaceDN/>
        <w:adjustRightInd/>
      </w:pPr>
      <w:proofErr w:type="spellStart"/>
      <w:r w:rsidRPr="00243817">
        <w:t>Hjorleifsdottir</w:t>
      </w:r>
      <w:proofErr w:type="spellEnd"/>
      <w:r w:rsidRPr="00243817">
        <w:t xml:space="preserve">, S., </w:t>
      </w:r>
      <w:proofErr w:type="spellStart"/>
      <w:r w:rsidRPr="00243817">
        <w:t>Aevarsson</w:t>
      </w:r>
      <w:proofErr w:type="spellEnd"/>
      <w:r w:rsidRPr="00243817">
        <w:t xml:space="preserve">, A., </w:t>
      </w:r>
      <w:proofErr w:type="spellStart"/>
      <w:r w:rsidRPr="00243817">
        <w:t>Hreggvidsson</w:t>
      </w:r>
      <w:proofErr w:type="spellEnd"/>
      <w:r w:rsidRPr="00243817">
        <w:t xml:space="preserve">, G.O., </w:t>
      </w:r>
      <w:proofErr w:type="spellStart"/>
      <w:r w:rsidRPr="00243817">
        <w:t>Fridjonsson</w:t>
      </w:r>
      <w:proofErr w:type="spellEnd"/>
      <w:r w:rsidRPr="00243817">
        <w:t xml:space="preserve">, O.H., </w:t>
      </w:r>
      <w:proofErr w:type="spellStart"/>
      <w:r w:rsidRPr="00243817">
        <w:t>Kristjansson</w:t>
      </w:r>
      <w:proofErr w:type="spellEnd"/>
      <w:r w:rsidRPr="00243817">
        <w:t xml:space="preserve">, J.K. Isolation, growth and genome of the </w:t>
      </w:r>
      <w:proofErr w:type="spellStart"/>
      <w:r w:rsidRPr="00243817">
        <w:t>Rhodothermus</w:t>
      </w:r>
      <w:proofErr w:type="spellEnd"/>
      <w:r w:rsidRPr="00243817">
        <w:t xml:space="preserve"> RM378 thermophilic bacteriophage. </w:t>
      </w:r>
      <w:r w:rsidRPr="00243817">
        <w:rPr>
          <w:i/>
        </w:rPr>
        <w:t>Extremophiles</w:t>
      </w:r>
      <w:r w:rsidRPr="00243817">
        <w:t xml:space="preserve">. </w:t>
      </w:r>
      <w:r w:rsidRPr="00243817">
        <w:rPr>
          <w:b/>
        </w:rPr>
        <w:t>18</w:t>
      </w:r>
      <w:r w:rsidRPr="00243817">
        <w:t xml:space="preserve"> (2), 261–270 (2014). </w:t>
      </w:r>
    </w:p>
    <w:p w14:paraId="76979F6B" w14:textId="45D421E5" w:rsidR="00741056" w:rsidRPr="00243817" w:rsidRDefault="00741056" w:rsidP="004F6460">
      <w:pPr>
        <w:pStyle w:val="af3"/>
        <w:widowControl/>
        <w:numPr>
          <w:ilvl w:val="0"/>
          <w:numId w:val="29"/>
        </w:numPr>
        <w:autoSpaceDE/>
        <w:autoSpaceDN/>
        <w:adjustRightInd/>
      </w:pPr>
      <w:r w:rsidRPr="00243817">
        <w:t xml:space="preserve">Alva, V., Nam, S.Z., </w:t>
      </w:r>
      <w:proofErr w:type="spellStart"/>
      <w:r w:rsidRPr="00243817">
        <w:t>Söding</w:t>
      </w:r>
      <w:proofErr w:type="spellEnd"/>
      <w:r w:rsidRPr="00243817">
        <w:t xml:space="preserve">, J., </w:t>
      </w:r>
      <w:proofErr w:type="spellStart"/>
      <w:r w:rsidRPr="00243817">
        <w:t>Lupas</w:t>
      </w:r>
      <w:proofErr w:type="spellEnd"/>
      <w:r w:rsidRPr="00243817">
        <w:t>, A.N. The MPI bioinformatics Toolkit as an integrative platform for advanced protein sequence and structure analysis</w:t>
      </w:r>
      <w:r w:rsidRPr="00243817">
        <w:rPr>
          <w:i/>
        </w:rPr>
        <w:t>. Nucleic Acids Research</w:t>
      </w:r>
      <w:r w:rsidRPr="00243817">
        <w:t xml:space="preserve">. </w:t>
      </w:r>
      <w:r w:rsidRPr="00243817">
        <w:rPr>
          <w:b/>
        </w:rPr>
        <w:t>44</w:t>
      </w:r>
      <w:r w:rsidRPr="00243817">
        <w:t xml:space="preserve"> (W1), W410–W415 (2016). </w:t>
      </w:r>
    </w:p>
    <w:p w14:paraId="31CBCD0C" w14:textId="77777777" w:rsidR="00741056" w:rsidRPr="00243817" w:rsidRDefault="00741056" w:rsidP="004F6460">
      <w:pPr>
        <w:pStyle w:val="af3"/>
        <w:widowControl/>
        <w:numPr>
          <w:ilvl w:val="0"/>
          <w:numId w:val="29"/>
        </w:numPr>
        <w:autoSpaceDE/>
        <w:autoSpaceDN/>
        <w:adjustRightInd/>
      </w:pPr>
      <w:r w:rsidRPr="00243817">
        <w:t xml:space="preserve">McPherson, A. Protein Crystallization. </w:t>
      </w:r>
      <w:r w:rsidRPr="00243817">
        <w:rPr>
          <w:i/>
        </w:rPr>
        <w:t>Methods in molecular biology</w:t>
      </w:r>
      <w:r w:rsidRPr="00243817">
        <w:t xml:space="preserve"> </w:t>
      </w:r>
      <w:r w:rsidRPr="00243817">
        <w:rPr>
          <w:i/>
        </w:rPr>
        <w:t>(Clifton, N.J.).</w:t>
      </w:r>
      <w:r w:rsidRPr="00243817">
        <w:t xml:space="preserve"> </w:t>
      </w:r>
      <w:r w:rsidRPr="00243817">
        <w:rPr>
          <w:b/>
        </w:rPr>
        <w:t>1607</w:t>
      </w:r>
      <w:r w:rsidRPr="00243817">
        <w:t xml:space="preserve">, 17–50 (2017). </w:t>
      </w:r>
    </w:p>
    <w:p w14:paraId="728624E4" w14:textId="77777777" w:rsidR="00741056" w:rsidRPr="00243817" w:rsidRDefault="00741056" w:rsidP="004F6460">
      <w:pPr>
        <w:pStyle w:val="af3"/>
        <w:widowControl/>
        <w:numPr>
          <w:ilvl w:val="0"/>
          <w:numId w:val="29"/>
        </w:numPr>
        <w:autoSpaceDE/>
        <w:autoSpaceDN/>
        <w:adjustRightInd/>
      </w:pPr>
      <w:r w:rsidRPr="00243817">
        <w:t xml:space="preserve"> Ericsson, U.B., Hallberg, B.M., </w:t>
      </w:r>
      <w:proofErr w:type="spellStart"/>
      <w:r w:rsidRPr="00243817">
        <w:t>DeTitta</w:t>
      </w:r>
      <w:proofErr w:type="spellEnd"/>
      <w:r w:rsidRPr="00243817">
        <w:t xml:space="preserve">, G.T., Dekker, N., </w:t>
      </w:r>
      <w:proofErr w:type="spellStart"/>
      <w:r w:rsidRPr="00243817">
        <w:t>Nordlund</w:t>
      </w:r>
      <w:proofErr w:type="spellEnd"/>
      <w:r w:rsidRPr="00243817">
        <w:t xml:space="preserve">, P. </w:t>
      </w:r>
      <w:proofErr w:type="spellStart"/>
      <w:r w:rsidRPr="00243817">
        <w:t>Thermofluor</w:t>
      </w:r>
      <w:proofErr w:type="spellEnd"/>
      <w:r w:rsidRPr="00243817">
        <w:t xml:space="preserve">-based high-throughput stability optimization of proteins for structural studies. </w:t>
      </w:r>
      <w:r w:rsidRPr="00243817">
        <w:rPr>
          <w:i/>
        </w:rPr>
        <w:t>Analytical Biochemistry.</w:t>
      </w:r>
      <w:r w:rsidRPr="00243817">
        <w:t xml:space="preserve"> </w:t>
      </w:r>
      <w:r w:rsidRPr="00243817">
        <w:rPr>
          <w:b/>
        </w:rPr>
        <w:t>357</w:t>
      </w:r>
      <w:r w:rsidRPr="00243817">
        <w:t xml:space="preserve"> (2), 289–298 (2006). </w:t>
      </w:r>
    </w:p>
    <w:p w14:paraId="1F422F5F" w14:textId="77777777" w:rsidR="00741056" w:rsidRPr="00243817" w:rsidRDefault="00741056" w:rsidP="004F6460">
      <w:pPr>
        <w:pStyle w:val="af3"/>
        <w:widowControl/>
        <w:numPr>
          <w:ilvl w:val="0"/>
          <w:numId w:val="29"/>
        </w:numPr>
        <w:autoSpaceDE/>
        <w:autoSpaceDN/>
        <w:adjustRightInd/>
      </w:pPr>
      <w:r w:rsidRPr="00243817">
        <w:t xml:space="preserve">Reinhard, L., </w:t>
      </w:r>
      <w:proofErr w:type="spellStart"/>
      <w:r w:rsidRPr="00243817">
        <w:t>Mayerhofer</w:t>
      </w:r>
      <w:proofErr w:type="spellEnd"/>
      <w:r w:rsidRPr="00243817">
        <w:t xml:space="preserve">, H., </w:t>
      </w:r>
      <w:proofErr w:type="spellStart"/>
      <w:r w:rsidRPr="00243817">
        <w:t>Geerlof</w:t>
      </w:r>
      <w:proofErr w:type="spellEnd"/>
      <w:r w:rsidRPr="00243817">
        <w:t>, A., Mueller-</w:t>
      </w:r>
      <w:proofErr w:type="spellStart"/>
      <w:r w:rsidRPr="00243817">
        <w:t>Dieckmann</w:t>
      </w:r>
      <w:proofErr w:type="spellEnd"/>
      <w:r w:rsidRPr="00243817">
        <w:t xml:space="preserve">, J., Weiss, M.S., </w:t>
      </w:r>
      <w:proofErr w:type="spellStart"/>
      <w:r w:rsidRPr="00243817">
        <w:t>IUCr</w:t>
      </w:r>
      <w:proofErr w:type="spellEnd"/>
      <w:r w:rsidRPr="00243817">
        <w:t xml:space="preserve"> Optimization of protein buffer cocktails using </w:t>
      </w:r>
      <w:proofErr w:type="spellStart"/>
      <w:r w:rsidRPr="00243817">
        <w:t>Thermofluor</w:t>
      </w:r>
      <w:proofErr w:type="spellEnd"/>
      <w:r w:rsidRPr="00243817">
        <w:t xml:space="preserve">. </w:t>
      </w:r>
      <w:r w:rsidRPr="00243817">
        <w:rPr>
          <w:i/>
        </w:rPr>
        <w:t xml:space="preserve">Acta </w:t>
      </w:r>
      <w:proofErr w:type="spellStart"/>
      <w:r w:rsidRPr="00243817">
        <w:rPr>
          <w:i/>
        </w:rPr>
        <w:t>Crystallographica</w:t>
      </w:r>
      <w:proofErr w:type="spellEnd"/>
      <w:r w:rsidRPr="00243817">
        <w:rPr>
          <w:i/>
        </w:rPr>
        <w:t xml:space="preserve"> Section F Structural Biology and Crystallization Communications.</w:t>
      </w:r>
      <w:r w:rsidRPr="00243817">
        <w:t xml:space="preserve"> </w:t>
      </w:r>
      <w:r w:rsidRPr="00243817">
        <w:rPr>
          <w:b/>
        </w:rPr>
        <w:t>69</w:t>
      </w:r>
      <w:r w:rsidRPr="00243817">
        <w:t xml:space="preserve"> (2), 209–214 (2013). </w:t>
      </w:r>
    </w:p>
    <w:p w14:paraId="492022C2" w14:textId="77777777" w:rsidR="00741056" w:rsidRPr="00243817" w:rsidRDefault="00741056" w:rsidP="004F6460">
      <w:pPr>
        <w:pStyle w:val="af3"/>
        <w:widowControl/>
        <w:numPr>
          <w:ilvl w:val="0"/>
          <w:numId w:val="29"/>
        </w:numPr>
        <w:autoSpaceDE/>
        <w:autoSpaceDN/>
        <w:adjustRightInd/>
      </w:pPr>
      <w:r w:rsidRPr="00243817">
        <w:t xml:space="preserve">Boivin, S., Kozak, S., </w:t>
      </w:r>
      <w:proofErr w:type="spellStart"/>
      <w:r w:rsidRPr="00243817">
        <w:t>Meijers</w:t>
      </w:r>
      <w:proofErr w:type="spellEnd"/>
      <w:r w:rsidRPr="00243817">
        <w:t xml:space="preserve">, R. Optimization of protein purification and characterization using </w:t>
      </w:r>
      <w:proofErr w:type="spellStart"/>
      <w:r w:rsidRPr="00243817">
        <w:t>Thermofluor</w:t>
      </w:r>
      <w:proofErr w:type="spellEnd"/>
      <w:r w:rsidRPr="00243817">
        <w:t xml:space="preserve"> screens. </w:t>
      </w:r>
      <w:r w:rsidRPr="00243817">
        <w:rPr>
          <w:i/>
        </w:rPr>
        <w:t>Protein Expression and Purification.</w:t>
      </w:r>
      <w:r w:rsidRPr="00243817">
        <w:t xml:space="preserve"> </w:t>
      </w:r>
      <w:r w:rsidRPr="00243817">
        <w:rPr>
          <w:b/>
        </w:rPr>
        <w:t>91</w:t>
      </w:r>
      <w:r w:rsidRPr="00243817">
        <w:t xml:space="preserve"> (2), 192–206 (2013). </w:t>
      </w:r>
    </w:p>
    <w:p w14:paraId="70E23EBF" w14:textId="77777777" w:rsidR="00741056" w:rsidRPr="00243817" w:rsidRDefault="00741056" w:rsidP="004F6460">
      <w:pPr>
        <w:pStyle w:val="af3"/>
        <w:widowControl/>
        <w:numPr>
          <w:ilvl w:val="0"/>
          <w:numId w:val="29"/>
        </w:numPr>
        <w:autoSpaceDE/>
        <w:autoSpaceDN/>
        <w:adjustRightInd/>
      </w:pPr>
      <w:r w:rsidRPr="00243817">
        <w:t xml:space="preserve">Kozak, S., </w:t>
      </w:r>
      <w:proofErr w:type="spellStart"/>
      <w:r w:rsidRPr="00243817">
        <w:t>Lercher</w:t>
      </w:r>
      <w:proofErr w:type="spellEnd"/>
      <w:r w:rsidRPr="00243817">
        <w:t xml:space="preserve">, L., </w:t>
      </w:r>
      <w:proofErr w:type="spellStart"/>
      <w:r w:rsidRPr="00243817">
        <w:t>Karanth</w:t>
      </w:r>
      <w:proofErr w:type="spellEnd"/>
      <w:r w:rsidRPr="00243817">
        <w:t xml:space="preserve">, M.N., </w:t>
      </w:r>
      <w:proofErr w:type="spellStart"/>
      <w:r w:rsidRPr="00243817">
        <w:t>Meijers</w:t>
      </w:r>
      <w:proofErr w:type="spellEnd"/>
      <w:r w:rsidRPr="00243817">
        <w:t xml:space="preserve">, R., </w:t>
      </w:r>
      <w:proofErr w:type="spellStart"/>
      <w:r w:rsidRPr="00243817">
        <w:t>Carlomagno</w:t>
      </w:r>
      <w:proofErr w:type="spellEnd"/>
      <w:r w:rsidRPr="00243817">
        <w:t xml:space="preserve">, T., Boivin, S. Optimization of protein samples for NMR using thermal shift assays. </w:t>
      </w:r>
      <w:r w:rsidRPr="00243817">
        <w:rPr>
          <w:i/>
        </w:rPr>
        <w:t>Journal of Biomolecular NMR.</w:t>
      </w:r>
      <w:r w:rsidRPr="00243817">
        <w:t xml:space="preserve"> </w:t>
      </w:r>
      <w:r w:rsidRPr="00243817">
        <w:rPr>
          <w:b/>
        </w:rPr>
        <w:t>64</w:t>
      </w:r>
      <w:r w:rsidRPr="00243817">
        <w:t xml:space="preserve"> (4), 281–289 (2016). </w:t>
      </w:r>
    </w:p>
    <w:p w14:paraId="328E1029" w14:textId="77777777" w:rsidR="00741056" w:rsidRPr="00243817" w:rsidRDefault="00741056" w:rsidP="004F6460">
      <w:pPr>
        <w:pStyle w:val="af3"/>
        <w:widowControl/>
        <w:numPr>
          <w:ilvl w:val="0"/>
          <w:numId w:val="29"/>
        </w:numPr>
        <w:autoSpaceDE/>
        <w:autoSpaceDN/>
        <w:adjustRightInd/>
      </w:pPr>
      <w:proofErr w:type="spellStart"/>
      <w:r w:rsidRPr="00243817">
        <w:t>Semisotnov</w:t>
      </w:r>
      <w:proofErr w:type="spellEnd"/>
      <w:r w:rsidRPr="00243817">
        <w:t xml:space="preserve">, G. V, </w:t>
      </w:r>
      <w:proofErr w:type="spellStart"/>
      <w:r w:rsidRPr="00243817">
        <w:t>Rodionova</w:t>
      </w:r>
      <w:proofErr w:type="spellEnd"/>
      <w:r w:rsidRPr="00243817">
        <w:t xml:space="preserve">, N.A., </w:t>
      </w:r>
      <w:proofErr w:type="spellStart"/>
      <w:r w:rsidRPr="00243817">
        <w:t>Razgulyaev</w:t>
      </w:r>
      <w:proofErr w:type="spellEnd"/>
      <w:r w:rsidRPr="00243817">
        <w:t xml:space="preserve">, O.I., </w:t>
      </w:r>
      <w:proofErr w:type="spellStart"/>
      <w:r w:rsidRPr="00243817">
        <w:t>Uversky</w:t>
      </w:r>
      <w:proofErr w:type="spellEnd"/>
      <w:r w:rsidRPr="00243817">
        <w:t xml:space="preserve">, V.N., </w:t>
      </w:r>
      <w:proofErr w:type="spellStart"/>
      <w:r w:rsidRPr="00243817">
        <w:t>Gripas</w:t>
      </w:r>
      <w:proofErr w:type="spellEnd"/>
      <w:r w:rsidRPr="00243817">
        <w:t xml:space="preserve">’, A.F., </w:t>
      </w:r>
      <w:proofErr w:type="spellStart"/>
      <w:r w:rsidRPr="00243817">
        <w:t>Gilmanshin</w:t>
      </w:r>
      <w:proofErr w:type="spellEnd"/>
      <w:r w:rsidRPr="00243817">
        <w:t xml:space="preserve">, R.I. Study of the “molten globule” intermediate state in protein folding by a hydrophobic fluorescent probe. </w:t>
      </w:r>
      <w:r w:rsidRPr="00243817">
        <w:rPr>
          <w:i/>
        </w:rPr>
        <w:t>Biopolymers.</w:t>
      </w:r>
      <w:r w:rsidRPr="00243817">
        <w:t xml:space="preserve"> </w:t>
      </w:r>
      <w:r w:rsidRPr="00243817">
        <w:rPr>
          <w:b/>
        </w:rPr>
        <w:t>31</w:t>
      </w:r>
      <w:r w:rsidRPr="00243817">
        <w:t xml:space="preserve"> (1), 119–28 (1991). </w:t>
      </w:r>
    </w:p>
    <w:p w14:paraId="0F0EC898" w14:textId="77777777" w:rsidR="00741056" w:rsidRPr="00243817" w:rsidRDefault="00741056" w:rsidP="004F6460">
      <w:pPr>
        <w:pStyle w:val="af3"/>
        <w:widowControl/>
        <w:numPr>
          <w:ilvl w:val="0"/>
          <w:numId w:val="29"/>
        </w:numPr>
        <w:autoSpaceDE/>
        <w:autoSpaceDN/>
        <w:adjustRightInd/>
      </w:pPr>
      <w:proofErr w:type="spellStart"/>
      <w:r w:rsidRPr="00243817">
        <w:t>Grøftehauge</w:t>
      </w:r>
      <w:proofErr w:type="spellEnd"/>
      <w:r w:rsidRPr="00243817">
        <w:t xml:space="preserve">, M.K., </w:t>
      </w:r>
      <w:proofErr w:type="spellStart"/>
      <w:r w:rsidRPr="00243817">
        <w:t>Hajizadeh</w:t>
      </w:r>
      <w:proofErr w:type="spellEnd"/>
      <w:r w:rsidRPr="00243817">
        <w:t xml:space="preserve">, N.R., Swann, M.J., Pohl, E. Protein-ligand interactions investigated by thermal shift assays (TSA) and dual polarization interferometry (DPI). </w:t>
      </w:r>
      <w:r w:rsidRPr="00243817">
        <w:rPr>
          <w:i/>
        </w:rPr>
        <w:t xml:space="preserve">Acta </w:t>
      </w:r>
      <w:proofErr w:type="spellStart"/>
      <w:r w:rsidRPr="00243817">
        <w:rPr>
          <w:i/>
        </w:rPr>
        <w:t>Crystallographica</w:t>
      </w:r>
      <w:proofErr w:type="spellEnd"/>
      <w:r w:rsidRPr="00243817">
        <w:rPr>
          <w:i/>
        </w:rPr>
        <w:t xml:space="preserve"> Section D: Biological Crystallography.</w:t>
      </w:r>
      <w:r w:rsidRPr="00243817">
        <w:t xml:space="preserve"> </w:t>
      </w:r>
      <w:r w:rsidRPr="00243817">
        <w:rPr>
          <w:b/>
        </w:rPr>
        <w:t>71</w:t>
      </w:r>
      <w:r w:rsidRPr="00243817">
        <w:t>, 36–44 (2015).</w:t>
      </w:r>
    </w:p>
    <w:p w14:paraId="45321E93" w14:textId="77777777" w:rsidR="00741056" w:rsidRPr="00243817" w:rsidRDefault="00741056" w:rsidP="004F6460">
      <w:pPr>
        <w:pStyle w:val="af3"/>
        <w:widowControl/>
        <w:numPr>
          <w:ilvl w:val="0"/>
          <w:numId w:val="29"/>
        </w:numPr>
        <w:autoSpaceDE/>
        <w:autoSpaceDN/>
        <w:adjustRightInd/>
      </w:pPr>
      <w:r w:rsidRPr="00243817">
        <w:t xml:space="preserve">Steinberg, T.H., Jones, L.J., Haugland, R.P., Singer, V.L. SYPRO Orange and SYPRO Red Protein Gel Stains: One-Step Fluorescent Staining of Denaturing Gels for Detection of Nanogram Levels of Protein. </w:t>
      </w:r>
      <w:r w:rsidRPr="00243817">
        <w:rPr>
          <w:i/>
        </w:rPr>
        <w:t>Analytical biochemistry.</w:t>
      </w:r>
      <w:r w:rsidRPr="00243817">
        <w:t xml:space="preserve"> </w:t>
      </w:r>
      <w:r w:rsidRPr="00243817">
        <w:rPr>
          <w:b/>
        </w:rPr>
        <w:t>239</w:t>
      </w:r>
      <w:r w:rsidRPr="00243817">
        <w:t xml:space="preserve">, 223–237 (1996). </w:t>
      </w:r>
    </w:p>
    <w:p w14:paraId="2ECBBF73" w14:textId="77777777" w:rsidR="00741056" w:rsidRPr="00243817" w:rsidRDefault="00741056" w:rsidP="004F6460">
      <w:pPr>
        <w:pStyle w:val="af3"/>
        <w:widowControl/>
        <w:numPr>
          <w:ilvl w:val="0"/>
          <w:numId w:val="29"/>
        </w:numPr>
        <w:autoSpaceDE/>
        <w:autoSpaceDN/>
        <w:adjustRightInd/>
      </w:pPr>
      <w:r w:rsidRPr="00243817">
        <w:t xml:space="preserve">Burstein, E.A., </w:t>
      </w:r>
      <w:proofErr w:type="spellStart"/>
      <w:r w:rsidRPr="00243817">
        <w:t>Vedenkina</w:t>
      </w:r>
      <w:proofErr w:type="spellEnd"/>
      <w:r w:rsidRPr="00243817">
        <w:t xml:space="preserve">, N.S., </w:t>
      </w:r>
      <w:proofErr w:type="spellStart"/>
      <w:r w:rsidRPr="00243817">
        <w:t>Ivkova</w:t>
      </w:r>
      <w:proofErr w:type="spellEnd"/>
      <w:r w:rsidRPr="00243817">
        <w:t xml:space="preserve">, M.N. Fluorescence and the location of tryptophan residues in protein molecules. </w:t>
      </w:r>
      <w:r w:rsidRPr="00243817">
        <w:rPr>
          <w:i/>
        </w:rPr>
        <w:t>Photochemistry and Photobiology.</w:t>
      </w:r>
      <w:r w:rsidRPr="00243817">
        <w:t xml:space="preserve"> </w:t>
      </w:r>
      <w:r w:rsidRPr="00243817">
        <w:rPr>
          <w:b/>
        </w:rPr>
        <w:t>18</w:t>
      </w:r>
      <w:r w:rsidRPr="00243817">
        <w:t xml:space="preserve"> (4), 263–279 (1973). </w:t>
      </w:r>
    </w:p>
    <w:p w14:paraId="597C74A5" w14:textId="77777777" w:rsidR="00741056" w:rsidRPr="00243817" w:rsidRDefault="00741056" w:rsidP="004F6460">
      <w:pPr>
        <w:pStyle w:val="af3"/>
        <w:widowControl/>
        <w:numPr>
          <w:ilvl w:val="0"/>
          <w:numId w:val="29"/>
        </w:numPr>
        <w:autoSpaceDE/>
        <w:autoSpaceDN/>
        <w:adjustRightInd/>
      </w:pPr>
      <w:proofErr w:type="spellStart"/>
      <w:r w:rsidRPr="00243817">
        <w:t>Haffke</w:t>
      </w:r>
      <w:proofErr w:type="spellEnd"/>
      <w:r w:rsidRPr="00243817">
        <w:t xml:space="preserve">, M., </w:t>
      </w:r>
      <w:proofErr w:type="spellStart"/>
      <w:r w:rsidRPr="00243817">
        <w:t>Rummel</w:t>
      </w:r>
      <w:proofErr w:type="spellEnd"/>
      <w:r w:rsidRPr="00243817">
        <w:t xml:space="preserve">, G., </w:t>
      </w:r>
      <w:proofErr w:type="spellStart"/>
      <w:r w:rsidRPr="00243817">
        <w:t>Boivineau</w:t>
      </w:r>
      <w:proofErr w:type="spellEnd"/>
      <w:r w:rsidRPr="00243817">
        <w:t xml:space="preserve">, J., </w:t>
      </w:r>
      <w:proofErr w:type="spellStart"/>
      <w:r w:rsidRPr="00243817">
        <w:t>Münch</w:t>
      </w:r>
      <w:proofErr w:type="spellEnd"/>
      <w:r w:rsidRPr="00243817">
        <w:t xml:space="preserve">, A., </w:t>
      </w:r>
      <w:proofErr w:type="spellStart"/>
      <w:r w:rsidRPr="00243817">
        <w:t>Jaakola</w:t>
      </w:r>
      <w:proofErr w:type="spellEnd"/>
      <w:r w:rsidRPr="00243817">
        <w:t xml:space="preserve">, V.-P. </w:t>
      </w:r>
      <w:proofErr w:type="spellStart"/>
      <w:r w:rsidRPr="00243817">
        <w:t>nanoDSF</w:t>
      </w:r>
      <w:proofErr w:type="spellEnd"/>
      <w:r w:rsidRPr="00243817">
        <w:t xml:space="preserve">: label-free thermal unfolding assay of G-protein-coupled receptors for compound screening and buffer composition optimization. </w:t>
      </w:r>
      <w:r w:rsidRPr="00243817">
        <w:rPr>
          <w:i/>
        </w:rPr>
        <w:t xml:space="preserve">Application Note NT-PR-008 </w:t>
      </w:r>
      <w:r w:rsidRPr="00243817">
        <w:t xml:space="preserve">(2016). </w:t>
      </w:r>
    </w:p>
    <w:p w14:paraId="1693BDED" w14:textId="77777777" w:rsidR="00741056" w:rsidRPr="00243817" w:rsidRDefault="00741056" w:rsidP="004F6460">
      <w:pPr>
        <w:pStyle w:val="af3"/>
        <w:widowControl/>
        <w:numPr>
          <w:ilvl w:val="0"/>
          <w:numId w:val="29"/>
        </w:numPr>
        <w:autoSpaceDE/>
        <w:autoSpaceDN/>
        <w:adjustRightInd/>
      </w:pPr>
      <w:r w:rsidRPr="00243817">
        <w:t xml:space="preserve">Chari, A. et al. </w:t>
      </w:r>
      <w:proofErr w:type="spellStart"/>
      <w:r w:rsidRPr="00243817">
        <w:t>ProteoPlex</w:t>
      </w:r>
      <w:proofErr w:type="spellEnd"/>
      <w:r w:rsidRPr="00243817">
        <w:t xml:space="preserve">: stability optimization of macromolecular complexes by </w:t>
      </w:r>
      <w:proofErr w:type="spellStart"/>
      <w:r w:rsidRPr="00243817">
        <w:t>sparsematrix</w:t>
      </w:r>
      <w:proofErr w:type="spellEnd"/>
      <w:r w:rsidRPr="00243817">
        <w:t xml:space="preserve"> screening of chemical space</w:t>
      </w:r>
      <w:r w:rsidRPr="00243817">
        <w:rPr>
          <w:i/>
        </w:rPr>
        <w:t>. Nature Methods.</w:t>
      </w:r>
      <w:r w:rsidRPr="00243817">
        <w:t xml:space="preserve"> </w:t>
      </w:r>
      <w:r w:rsidRPr="00243817">
        <w:rPr>
          <w:b/>
        </w:rPr>
        <w:t>12</w:t>
      </w:r>
      <w:r w:rsidRPr="00243817">
        <w:t xml:space="preserve"> (9), 859–865 (2015). </w:t>
      </w:r>
    </w:p>
    <w:p w14:paraId="3CE9FAB9" w14:textId="77777777" w:rsidR="00741056" w:rsidRPr="00243817" w:rsidRDefault="00741056" w:rsidP="004F6460">
      <w:pPr>
        <w:pStyle w:val="af3"/>
        <w:widowControl/>
        <w:numPr>
          <w:ilvl w:val="0"/>
          <w:numId w:val="29"/>
        </w:numPr>
        <w:autoSpaceDE/>
        <w:autoSpaceDN/>
        <w:adjustRightInd/>
      </w:pPr>
      <w:r w:rsidRPr="00243817">
        <w:t xml:space="preserve">Laskowski, R.A. </w:t>
      </w:r>
      <w:proofErr w:type="spellStart"/>
      <w:r w:rsidRPr="00243817">
        <w:t>PDBsum</w:t>
      </w:r>
      <w:proofErr w:type="spellEnd"/>
      <w:r w:rsidRPr="00243817">
        <w:t xml:space="preserve">: summaries and analyses of PDB structures. </w:t>
      </w:r>
      <w:r w:rsidRPr="00243817">
        <w:rPr>
          <w:i/>
        </w:rPr>
        <w:t xml:space="preserve">Nucleic Acids Research. </w:t>
      </w:r>
      <w:r w:rsidRPr="00243817">
        <w:rPr>
          <w:b/>
        </w:rPr>
        <w:t>29</w:t>
      </w:r>
      <w:r w:rsidRPr="00243817">
        <w:t xml:space="preserve"> (1), 221–222 (2001). </w:t>
      </w:r>
    </w:p>
    <w:p w14:paraId="77446BF0" w14:textId="77777777" w:rsidR="00741056" w:rsidRPr="00243817" w:rsidRDefault="00741056" w:rsidP="004F6460">
      <w:pPr>
        <w:pStyle w:val="af3"/>
        <w:widowControl/>
        <w:numPr>
          <w:ilvl w:val="0"/>
          <w:numId w:val="29"/>
        </w:numPr>
        <w:autoSpaceDE/>
        <w:autoSpaceDN/>
        <w:adjustRightInd/>
      </w:pPr>
      <w:r w:rsidRPr="00243817">
        <w:t xml:space="preserve">Good, N.E., </w:t>
      </w:r>
      <w:proofErr w:type="spellStart"/>
      <w:r w:rsidRPr="00243817">
        <w:t>Winget</w:t>
      </w:r>
      <w:proofErr w:type="spellEnd"/>
      <w:r w:rsidRPr="00243817">
        <w:t xml:space="preserve">, G.D., Winter, W., Connolly, T.N., Izawa, S., Singh, R.M. Hydrogen ion buffers for biological research. </w:t>
      </w:r>
      <w:r w:rsidRPr="00243817">
        <w:rPr>
          <w:i/>
        </w:rPr>
        <w:t>Biochemistry.</w:t>
      </w:r>
      <w:r w:rsidRPr="00243817">
        <w:t xml:space="preserve"> </w:t>
      </w:r>
      <w:r w:rsidRPr="00243817">
        <w:rPr>
          <w:b/>
        </w:rPr>
        <w:t>5</w:t>
      </w:r>
      <w:r w:rsidRPr="00243817">
        <w:t xml:space="preserve"> (2), 467–77 (1966). </w:t>
      </w:r>
    </w:p>
    <w:p w14:paraId="16EDC323" w14:textId="77777777" w:rsidR="00741056" w:rsidRPr="00243817" w:rsidRDefault="00741056" w:rsidP="004F6460">
      <w:pPr>
        <w:pStyle w:val="af3"/>
        <w:widowControl/>
        <w:numPr>
          <w:ilvl w:val="0"/>
          <w:numId w:val="29"/>
        </w:numPr>
        <w:autoSpaceDE/>
        <w:autoSpaceDN/>
        <w:adjustRightInd/>
      </w:pPr>
      <w:r w:rsidRPr="00243817">
        <w:t xml:space="preserve">Good, N.E., Izawa, S. Hydrogen ion buffers. </w:t>
      </w:r>
      <w:r w:rsidRPr="00243817">
        <w:rPr>
          <w:i/>
        </w:rPr>
        <w:t>Methods in enzymology.</w:t>
      </w:r>
      <w:r w:rsidRPr="00243817">
        <w:t xml:space="preserve"> </w:t>
      </w:r>
      <w:r w:rsidRPr="00243817">
        <w:rPr>
          <w:b/>
        </w:rPr>
        <w:t>24</w:t>
      </w:r>
      <w:r w:rsidRPr="00243817">
        <w:t xml:space="preserve">, 53–68 (1972). </w:t>
      </w:r>
    </w:p>
    <w:p w14:paraId="3A63CD63" w14:textId="77777777" w:rsidR="00741056" w:rsidRPr="00243817" w:rsidRDefault="00741056" w:rsidP="004F6460">
      <w:pPr>
        <w:pStyle w:val="af3"/>
        <w:widowControl/>
        <w:numPr>
          <w:ilvl w:val="0"/>
          <w:numId w:val="29"/>
        </w:numPr>
        <w:autoSpaceDE/>
        <w:autoSpaceDN/>
        <w:adjustRightInd/>
      </w:pPr>
      <w:r w:rsidRPr="00243817">
        <w:t xml:space="preserve">Ferguson, W.J. et al. Hydrogen ion buffers for biological research. </w:t>
      </w:r>
      <w:r w:rsidRPr="00243817">
        <w:rPr>
          <w:i/>
        </w:rPr>
        <w:t xml:space="preserve">Analytical biochemistry. </w:t>
      </w:r>
      <w:r w:rsidRPr="00243817">
        <w:rPr>
          <w:b/>
        </w:rPr>
        <w:t>104</w:t>
      </w:r>
      <w:r w:rsidRPr="00243817">
        <w:t xml:space="preserve"> (2), 300–10 (1980). </w:t>
      </w:r>
    </w:p>
    <w:p w14:paraId="21CB273C" w14:textId="77777777" w:rsidR="00741056" w:rsidRPr="00243817" w:rsidRDefault="00741056" w:rsidP="004F6460">
      <w:pPr>
        <w:pStyle w:val="af3"/>
        <w:widowControl/>
        <w:numPr>
          <w:ilvl w:val="0"/>
          <w:numId w:val="29"/>
        </w:numPr>
        <w:autoSpaceDE/>
        <w:autoSpaceDN/>
        <w:adjustRightInd/>
      </w:pPr>
      <w:r w:rsidRPr="00243817">
        <w:t xml:space="preserve">Welch, W.J., Brown, C.R. Influence of molecular and chemical chaperones on protein folding. </w:t>
      </w:r>
      <w:r w:rsidRPr="00243817">
        <w:rPr>
          <w:i/>
        </w:rPr>
        <w:t>Cell stress &amp; chaperones.</w:t>
      </w:r>
      <w:r w:rsidRPr="00243817">
        <w:t xml:space="preserve"> </w:t>
      </w:r>
      <w:r w:rsidRPr="00243817">
        <w:rPr>
          <w:b/>
        </w:rPr>
        <w:t>1</w:t>
      </w:r>
      <w:r w:rsidRPr="00243817">
        <w:t xml:space="preserve"> (2), 109–15 (1996). </w:t>
      </w:r>
    </w:p>
    <w:p w14:paraId="09ACDB3A" w14:textId="77777777" w:rsidR="00741056" w:rsidRPr="00243817" w:rsidRDefault="00741056" w:rsidP="004F6460">
      <w:pPr>
        <w:pStyle w:val="af3"/>
        <w:widowControl/>
        <w:numPr>
          <w:ilvl w:val="0"/>
          <w:numId w:val="29"/>
        </w:numPr>
        <w:autoSpaceDE/>
        <w:autoSpaceDN/>
        <w:adjustRightInd/>
      </w:pPr>
      <w:r w:rsidRPr="00243817">
        <w:t xml:space="preserve">Diamant, S., </w:t>
      </w:r>
      <w:proofErr w:type="spellStart"/>
      <w:r w:rsidRPr="00243817">
        <w:t>Eliahu</w:t>
      </w:r>
      <w:proofErr w:type="spellEnd"/>
      <w:r w:rsidRPr="00243817">
        <w:t xml:space="preserve">, N., Rosenthal, D., </w:t>
      </w:r>
      <w:proofErr w:type="spellStart"/>
      <w:r w:rsidRPr="00243817">
        <w:t>Goloubinoff</w:t>
      </w:r>
      <w:proofErr w:type="spellEnd"/>
      <w:r w:rsidRPr="00243817">
        <w:t xml:space="preserve">, P. Chemical chaperones regulate molecular chaperones in vitro and in cells under combined salt and heat stresses. </w:t>
      </w:r>
      <w:r w:rsidRPr="00243817">
        <w:rPr>
          <w:i/>
        </w:rPr>
        <w:t xml:space="preserve">The Journal of biological chemistry. </w:t>
      </w:r>
      <w:r w:rsidRPr="00243817">
        <w:rPr>
          <w:b/>
        </w:rPr>
        <w:t>276</w:t>
      </w:r>
      <w:r w:rsidRPr="00243817">
        <w:t xml:space="preserve"> (43), 39586–91 (2001). </w:t>
      </w:r>
    </w:p>
    <w:p w14:paraId="4762FCE9" w14:textId="77777777" w:rsidR="00741056" w:rsidRPr="00243817" w:rsidRDefault="00741056" w:rsidP="004F6460">
      <w:pPr>
        <w:pStyle w:val="af3"/>
        <w:widowControl/>
        <w:numPr>
          <w:ilvl w:val="0"/>
          <w:numId w:val="29"/>
        </w:numPr>
        <w:autoSpaceDE/>
        <w:autoSpaceDN/>
        <w:adjustRightInd/>
      </w:pPr>
      <w:r w:rsidRPr="00243817">
        <w:t xml:space="preserve">Yancey, P.H. Organic osmolytes as compatible, metabolic and counteracting cytoprotectants in high osmolarity and other stresses. </w:t>
      </w:r>
      <w:r w:rsidRPr="00243817">
        <w:rPr>
          <w:i/>
        </w:rPr>
        <w:t>Journal of Experimental Biology.</w:t>
      </w:r>
      <w:r w:rsidRPr="00243817">
        <w:t xml:space="preserve"> </w:t>
      </w:r>
      <w:r w:rsidRPr="00243817">
        <w:rPr>
          <w:b/>
        </w:rPr>
        <w:t>208</w:t>
      </w:r>
      <w:r w:rsidRPr="00243817">
        <w:t xml:space="preserve"> (15), 2819–2830 (2005). </w:t>
      </w:r>
    </w:p>
    <w:p w14:paraId="3B8D635E" w14:textId="77777777" w:rsidR="00741056" w:rsidRPr="00243817" w:rsidRDefault="00741056" w:rsidP="004F6460">
      <w:pPr>
        <w:pStyle w:val="af3"/>
        <w:widowControl/>
        <w:numPr>
          <w:ilvl w:val="0"/>
          <w:numId w:val="29"/>
        </w:numPr>
        <w:autoSpaceDE/>
        <w:autoSpaceDN/>
        <w:adjustRightInd/>
      </w:pPr>
      <w:r w:rsidRPr="00243817">
        <w:t xml:space="preserve">Garman, E.F., Owen, R.L. Cryocooling and radiation damage in macromolecular crystallography. </w:t>
      </w:r>
      <w:r w:rsidRPr="00243817">
        <w:rPr>
          <w:i/>
        </w:rPr>
        <w:t xml:space="preserve">Acta </w:t>
      </w:r>
      <w:proofErr w:type="spellStart"/>
      <w:r w:rsidRPr="00243817">
        <w:rPr>
          <w:i/>
        </w:rPr>
        <w:t>Crystallographica</w:t>
      </w:r>
      <w:proofErr w:type="spellEnd"/>
      <w:r w:rsidRPr="00243817">
        <w:rPr>
          <w:i/>
        </w:rPr>
        <w:t xml:space="preserve"> Section D Biological Crystallography. </w:t>
      </w:r>
      <w:r w:rsidRPr="00243817">
        <w:rPr>
          <w:b/>
        </w:rPr>
        <w:t>62</w:t>
      </w:r>
      <w:r w:rsidRPr="00243817">
        <w:t xml:space="preserve"> (1), 32–47 (2006). </w:t>
      </w:r>
    </w:p>
    <w:p w14:paraId="3A29D621" w14:textId="77777777" w:rsidR="00741056" w:rsidRPr="00243817" w:rsidRDefault="00741056" w:rsidP="004F6460">
      <w:pPr>
        <w:pStyle w:val="af3"/>
        <w:widowControl/>
        <w:numPr>
          <w:ilvl w:val="0"/>
          <w:numId w:val="29"/>
        </w:numPr>
        <w:autoSpaceDE/>
        <w:autoSpaceDN/>
        <w:adjustRightInd/>
      </w:pPr>
      <w:r w:rsidRPr="00243817">
        <w:t xml:space="preserve">de Marco, A., </w:t>
      </w:r>
      <w:proofErr w:type="spellStart"/>
      <w:r w:rsidRPr="00243817">
        <w:t>Vigh</w:t>
      </w:r>
      <w:proofErr w:type="spellEnd"/>
      <w:r w:rsidRPr="00243817">
        <w:t xml:space="preserve">, L., Diamant, S., </w:t>
      </w:r>
      <w:proofErr w:type="spellStart"/>
      <w:r w:rsidRPr="00243817">
        <w:t>Goloubinoff</w:t>
      </w:r>
      <w:proofErr w:type="spellEnd"/>
      <w:r w:rsidRPr="00243817">
        <w:t xml:space="preserve">, P. Native folding of aggregation-prone recombinant proteins in Escherichia coli by osmolytes, plasmid- or benzyl alcohol– overexpressed molecular chaperones. </w:t>
      </w:r>
      <w:r w:rsidRPr="00243817">
        <w:rPr>
          <w:i/>
        </w:rPr>
        <w:t>Cell Stress &amp; Chaperones.</w:t>
      </w:r>
      <w:r w:rsidRPr="00243817">
        <w:t xml:space="preserve"> </w:t>
      </w:r>
      <w:r w:rsidRPr="00243817">
        <w:rPr>
          <w:b/>
        </w:rPr>
        <w:t>10</w:t>
      </w:r>
      <w:r w:rsidRPr="00243817">
        <w:t xml:space="preserve"> (4), 329 (2005). </w:t>
      </w:r>
    </w:p>
    <w:p w14:paraId="720886AD" w14:textId="77777777" w:rsidR="00741056" w:rsidRPr="00243817" w:rsidRDefault="00741056" w:rsidP="004F6460">
      <w:pPr>
        <w:pStyle w:val="af3"/>
        <w:widowControl/>
        <w:numPr>
          <w:ilvl w:val="0"/>
          <w:numId w:val="29"/>
        </w:numPr>
        <w:autoSpaceDE/>
        <w:autoSpaceDN/>
        <w:adjustRightInd/>
      </w:pPr>
      <w:r w:rsidRPr="00243817">
        <w:t xml:space="preserve">Berman, H.M. et al. The protein data bank. </w:t>
      </w:r>
      <w:r w:rsidRPr="00243817">
        <w:rPr>
          <w:i/>
        </w:rPr>
        <w:t>Nucleic acids research.</w:t>
      </w:r>
      <w:r w:rsidRPr="00243817">
        <w:t xml:space="preserve"> </w:t>
      </w:r>
      <w:r w:rsidRPr="00243817">
        <w:rPr>
          <w:b/>
        </w:rPr>
        <w:t>28</w:t>
      </w:r>
      <w:r w:rsidRPr="00243817">
        <w:t xml:space="preserve"> (1), 235–242, (2000). </w:t>
      </w:r>
    </w:p>
    <w:p w14:paraId="4C23A11E" w14:textId="77777777" w:rsidR="00741056" w:rsidRPr="00243817" w:rsidRDefault="00741056" w:rsidP="004F6460">
      <w:pPr>
        <w:pStyle w:val="af3"/>
        <w:widowControl/>
        <w:numPr>
          <w:ilvl w:val="0"/>
          <w:numId w:val="29"/>
        </w:numPr>
        <w:autoSpaceDE/>
        <w:autoSpaceDN/>
        <w:adjustRightInd/>
      </w:pPr>
      <w:proofErr w:type="spellStart"/>
      <w:r w:rsidRPr="00243817">
        <w:t>Bougouffa</w:t>
      </w:r>
      <w:proofErr w:type="spellEnd"/>
      <w:r w:rsidRPr="00243817">
        <w:t xml:space="preserve">, S., </w:t>
      </w:r>
      <w:proofErr w:type="spellStart"/>
      <w:r w:rsidRPr="00243817">
        <w:t>Radovanovic</w:t>
      </w:r>
      <w:proofErr w:type="spellEnd"/>
      <w:r w:rsidRPr="00243817">
        <w:t xml:space="preserve">, A., </w:t>
      </w:r>
      <w:proofErr w:type="spellStart"/>
      <w:r w:rsidRPr="00243817">
        <w:t>Essack</w:t>
      </w:r>
      <w:proofErr w:type="spellEnd"/>
      <w:r w:rsidRPr="00243817">
        <w:t xml:space="preserve">, M., </w:t>
      </w:r>
      <w:proofErr w:type="spellStart"/>
      <w:r w:rsidRPr="00243817">
        <w:t>Bajic</w:t>
      </w:r>
      <w:proofErr w:type="spellEnd"/>
      <w:r w:rsidRPr="00243817">
        <w:t xml:space="preserve">, V.B. DEOP: A database on </w:t>
      </w:r>
      <w:proofErr w:type="spellStart"/>
      <w:r w:rsidRPr="00243817">
        <w:t>osmoprotectants</w:t>
      </w:r>
      <w:proofErr w:type="spellEnd"/>
      <w:r w:rsidRPr="00243817">
        <w:t xml:space="preserve"> and associated pathways. </w:t>
      </w:r>
      <w:r w:rsidRPr="00243817">
        <w:rPr>
          <w:i/>
        </w:rPr>
        <w:t>Database.</w:t>
      </w:r>
      <w:r w:rsidRPr="00243817">
        <w:t xml:space="preserve"> 2014 (0), 1–13 (2014). </w:t>
      </w:r>
    </w:p>
    <w:p w14:paraId="0DE8E8EC" w14:textId="7625354A" w:rsidR="00741056" w:rsidRPr="00243817" w:rsidRDefault="00741056" w:rsidP="004F6460">
      <w:pPr>
        <w:pStyle w:val="af3"/>
        <w:widowControl/>
        <w:numPr>
          <w:ilvl w:val="0"/>
          <w:numId w:val="29"/>
        </w:numPr>
        <w:autoSpaceDE/>
        <w:autoSpaceDN/>
        <w:adjustRightInd/>
      </w:pPr>
      <w:proofErr w:type="spellStart"/>
      <w:r w:rsidRPr="00243817">
        <w:t>Alexandrov</w:t>
      </w:r>
      <w:proofErr w:type="spellEnd"/>
      <w:r w:rsidRPr="00243817">
        <w:t xml:space="preserve">, A.I., </w:t>
      </w:r>
      <w:proofErr w:type="spellStart"/>
      <w:r w:rsidRPr="00243817">
        <w:t>Mileni</w:t>
      </w:r>
      <w:proofErr w:type="spellEnd"/>
      <w:r w:rsidRPr="00243817">
        <w:t xml:space="preserve">, M., </w:t>
      </w:r>
      <w:proofErr w:type="spellStart"/>
      <w:r w:rsidRPr="00243817">
        <w:t>Chien</w:t>
      </w:r>
      <w:proofErr w:type="spellEnd"/>
      <w:r w:rsidRPr="00243817">
        <w:t xml:space="preserve">, E.Y.T., Hanson, M.A., Stevens, R.C. Microscale Fluorescent Thermal Stability Assay for Membrane Proteins. </w:t>
      </w:r>
      <w:r w:rsidRPr="00243817">
        <w:rPr>
          <w:i/>
        </w:rPr>
        <w:t>Structure.</w:t>
      </w:r>
      <w:r w:rsidRPr="00243817">
        <w:t xml:space="preserve"> </w:t>
      </w:r>
      <w:r w:rsidRPr="00243817">
        <w:rPr>
          <w:b/>
        </w:rPr>
        <w:t>16</w:t>
      </w:r>
      <w:r w:rsidRPr="00243817">
        <w:t xml:space="preserve"> (3), 351–359 (2008). </w:t>
      </w:r>
    </w:p>
    <w:p w14:paraId="3B3C643A" w14:textId="77777777" w:rsidR="00741056" w:rsidRPr="00243817" w:rsidRDefault="00741056" w:rsidP="004F6460">
      <w:pPr>
        <w:pStyle w:val="af3"/>
        <w:widowControl/>
        <w:numPr>
          <w:ilvl w:val="0"/>
          <w:numId w:val="29"/>
        </w:numPr>
        <w:autoSpaceDE/>
        <w:autoSpaceDN/>
        <w:adjustRightInd/>
      </w:pPr>
      <w:r w:rsidRPr="00243817">
        <w:t xml:space="preserve">Kung, C.E., Reed, J.K. Fluorescent molecular rotors: a new class of probes for tubulin structure and assembly. </w:t>
      </w:r>
      <w:r w:rsidRPr="00243817">
        <w:rPr>
          <w:i/>
        </w:rPr>
        <w:t>Biochemistry.</w:t>
      </w:r>
      <w:r w:rsidRPr="00243817">
        <w:t xml:space="preserve"> </w:t>
      </w:r>
      <w:r w:rsidRPr="00243817">
        <w:rPr>
          <w:b/>
        </w:rPr>
        <w:t>28</w:t>
      </w:r>
      <w:r w:rsidRPr="00243817">
        <w:t xml:space="preserve"> (16), 6678–8 (1989).</w:t>
      </w:r>
    </w:p>
    <w:p w14:paraId="16DDCB48" w14:textId="77777777" w:rsidR="00741056" w:rsidRPr="00243817" w:rsidRDefault="00741056" w:rsidP="004F6460">
      <w:pPr>
        <w:pStyle w:val="af3"/>
        <w:widowControl/>
        <w:numPr>
          <w:ilvl w:val="0"/>
          <w:numId w:val="29"/>
        </w:numPr>
        <w:autoSpaceDE/>
        <w:autoSpaceDN/>
        <w:adjustRightInd/>
      </w:pPr>
      <w:proofErr w:type="spellStart"/>
      <w:r w:rsidRPr="00243817">
        <w:t>Iio</w:t>
      </w:r>
      <w:proofErr w:type="spellEnd"/>
      <w:r w:rsidRPr="00243817">
        <w:t xml:space="preserve">, T., </w:t>
      </w:r>
      <w:proofErr w:type="spellStart"/>
      <w:r w:rsidRPr="00243817">
        <w:t>Itakura</w:t>
      </w:r>
      <w:proofErr w:type="spellEnd"/>
      <w:r w:rsidRPr="00243817">
        <w:t>, M., Takahashi, S., Sawada, S. 9-(</w:t>
      </w:r>
      <w:proofErr w:type="spellStart"/>
      <w:r w:rsidRPr="00243817">
        <w:t>Dicyanovinyl</w:t>
      </w:r>
      <w:proofErr w:type="spellEnd"/>
      <w:r w:rsidRPr="00243817">
        <w:t xml:space="preserve">)julolidine binding to bovine brain calmodulin. </w:t>
      </w:r>
      <w:r w:rsidRPr="00243817">
        <w:rPr>
          <w:i/>
        </w:rPr>
        <w:t>Journal of biochemistry.</w:t>
      </w:r>
      <w:r w:rsidRPr="00243817">
        <w:t xml:space="preserve"> </w:t>
      </w:r>
      <w:r w:rsidRPr="00243817">
        <w:rPr>
          <w:b/>
        </w:rPr>
        <w:t>109</w:t>
      </w:r>
      <w:r w:rsidRPr="00243817">
        <w:t xml:space="preserve"> (4), 499–502 (1991).</w:t>
      </w:r>
    </w:p>
    <w:p w14:paraId="55CC4433" w14:textId="6B6B455D" w:rsidR="00741056" w:rsidRPr="00243817" w:rsidRDefault="00741056" w:rsidP="004F6460">
      <w:pPr>
        <w:pStyle w:val="af3"/>
        <w:widowControl/>
        <w:numPr>
          <w:ilvl w:val="0"/>
          <w:numId w:val="29"/>
        </w:numPr>
        <w:autoSpaceDE/>
        <w:autoSpaceDN/>
        <w:adjustRightInd/>
      </w:pPr>
      <w:proofErr w:type="spellStart"/>
      <w:r w:rsidRPr="00243817">
        <w:t>Veros</w:t>
      </w:r>
      <w:proofErr w:type="spellEnd"/>
      <w:r w:rsidRPr="00243817">
        <w:t xml:space="preserve">, C.T., Oldham, N.J. Quantitative determination of lysozyme-ligand binding in the solution and gas phases by electrospray </w:t>
      </w:r>
      <w:proofErr w:type="spellStart"/>
      <w:r w:rsidRPr="00243817">
        <w:t>ionisation</w:t>
      </w:r>
      <w:proofErr w:type="spellEnd"/>
      <w:r w:rsidRPr="00243817">
        <w:t xml:space="preserve"> mass spectrometry. </w:t>
      </w:r>
      <w:r w:rsidRPr="00243817">
        <w:rPr>
          <w:i/>
        </w:rPr>
        <w:t>Rapid Communications in Mass Spectrometry.</w:t>
      </w:r>
      <w:r w:rsidRPr="00243817">
        <w:t xml:space="preserve"> </w:t>
      </w:r>
      <w:r w:rsidRPr="00243817">
        <w:rPr>
          <w:b/>
        </w:rPr>
        <w:t>21</w:t>
      </w:r>
      <w:r w:rsidRPr="00243817">
        <w:t xml:space="preserve"> (21), 3505–3510 (2007). </w:t>
      </w:r>
    </w:p>
    <w:p w14:paraId="0D50E21F" w14:textId="0C7A55B1" w:rsidR="00821FB2" w:rsidRPr="00243817" w:rsidRDefault="00821FB2" w:rsidP="004F6460">
      <w:pPr>
        <w:pStyle w:val="af3"/>
        <w:widowControl/>
        <w:numPr>
          <w:ilvl w:val="0"/>
          <w:numId w:val="29"/>
        </w:numPr>
        <w:autoSpaceDE/>
        <w:autoSpaceDN/>
        <w:adjustRightInd/>
      </w:pPr>
      <w:r w:rsidRPr="00243817">
        <w:t xml:space="preserve">Kean, J., Cleverley, R.M., </w:t>
      </w:r>
      <w:proofErr w:type="spellStart"/>
      <w:r w:rsidRPr="00243817">
        <w:t>O'Ryan</w:t>
      </w:r>
      <w:proofErr w:type="spellEnd"/>
      <w:r w:rsidRPr="00243817">
        <w:t>, L., Ford, R.C., Prince, S.M.</w:t>
      </w:r>
      <w:r w:rsidR="00421EFC" w:rsidRPr="00243817">
        <w:t>,</w:t>
      </w:r>
      <w:r w:rsidRPr="00243817">
        <w:t xml:space="preserve"> Derrick, J.P. Characterization of a </w:t>
      </w:r>
      <w:proofErr w:type="spellStart"/>
      <w:r w:rsidRPr="00243817">
        <w:t>CorA</w:t>
      </w:r>
      <w:proofErr w:type="spellEnd"/>
      <w:r w:rsidRPr="00243817">
        <w:t xml:space="preserve"> Mg</w:t>
      </w:r>
      <w:r w:rsidRPr="00243817">
        <w:rPr>
          <w:vertAlign w:val="superscript"/>
        </w:rPr>
        <w:t>2+</w:t>
      </w:r>
      <w:r w:rsidRPr="00243817">
        <w:t xml:space="preserve"> transport channel from </w:t>
      </w:r>
      <w:proofErr w:type="spellStart"/>
      <w:r w:rsidRPr="00243817">
        <w:rPr>
          <w:i/>
        </w:rPr>
        <w:t>Methanococcus</w:t>
      </w:r>
      <w:proofErr w:type="spellEnd"/>
      <w:r w:rsidRPr="00243817">
        <w:rPr>
          <w:i/>
        </w:rPr>
        <w:t xml:space="preserve"> </w:t>
      </w:r>
      <w:proofErr w:type="spellStart"/>
      <w:r w:rsidRPr="00243817">
        <w:rPr>
          <w:i/>
        </w:rPr>
        <w:t>jannaschii</w:t>
      </w:r>
      <w:proofErr w:type="spellEnd"/>
      <w:r w:rsidRPr="00243817">
        <w:t xml:space="preserve"> using a </w:t>
      </w:r>
      <w:proofErr w:type="spellStart"/>
      <w:r w:rsidRPr="00243817">
        <w:t>Thermofluor</w:t>
      </w:r>
      <w:proofErr w:type="spellEnd"/>
      <w:r w:rsidRPr="00243817">
        <w:t>-based stability assay. </w:t>
      </w:r>
      <w:r w:rsidRPr="00243817">
        <w:rPr>
          <w:i/>
          <w:iCs/>
        </w:rPr>
        <w:t>Molecular membrane biology</w:t>
      </w:r>
      <w:r w:rsidRPr="00243817">
        <w:t>, </w:t>
      </w:r>
      <w:r w:rsidRPr="00243817">
        <w:rPr>
          <w:b/>
          <w:iCs/>
        </w:rPr>
        <w:t>25</w:t>
      </w:r>
      <w:r w:rsidRPr="00243817">
        <w:t xml:space="preserve"> (8), 653-661 (2008)</w:t>
      </w:r>
      <w:r w:rsidR="0078324C" w:rsidRPr="00243817">
        <w:t>.</w:t>
      </w:r>
    </w:p>
    <w:p w14:paraId="49599453" w14:textId="4C3619E1" w:rsidR="001F4F5F" w:rsidRPr="00243817" w:rsidRDefault="001F4F5F" w:rsidP="004F6460">
      <w:pPr>
        <w:pStyle w:val="af3"/>
        <w:widowControl/>
        <w:numPr>
          <w:ilvl w:val="0"/>
          <w:numId w:val="29"/>
        </w:numPr>
        <w:autoSpaceDE/>
        <w:autoSpaceDN/>
        <w:adjustRightInd/>
      </w:pPr>
      <w:proofErr w:type="spellStart"/>
      <w:r w:rsidRPr="00243817">
        <w:t>Geders</w:t>
      </w:r>
      <w:proofErr w:type="spellEnd"/>
      <w:r w:rsidRPr="00243817">
        <w:t>, T.W., Gustafson, K.</w:t>
      </w:r>
      <w:r w:rsidR="00BF6B85" w:rsidRPr="00243817">
        <w:t xml:space="preserve">, </w:t>
      </w:r>
      <w:proofErr w:type="spellStart"/>
      <w:r w:rsidRPr="00243817">
        <w:t>Finzel</w:t>
      </w:r>
      <w:proofErr w:type="spellEnd"/>
      <w:r w:rsidRPr="00243817">
        <w:t>, B.C</w:t>
      </w:r>
      <w:r w:rsidR="00B61464" w:rsidRPr="00243817">
        <w:t xml:space="preserve">. </w:t>
      </w:r>
      <w:r w:rsidRPr="00243817">
        <w:t>Use of differential scanning fluorimetry to optimize the purification and crystallization of PLP‐dependent enzymes. </w:t>
      </w:r>
      <w:r w:rsidRPr="00243817">
        <w:rPr>
          <w:i/>
          <w:iCs/>
        </w:rPr>
        <w:t xml:space="preserve">Acta </w:t>
      </w:r>
      <w:proofErr w:type="spellStart"/>
      <w:r w:rsidRPr="00243817">
        <w:rPr>
          <w:i/>
          <w:iCs/>
        </w:rPr>
        <w:t>Crystallographica</w:t>
      </w:r>
      <w:proofErr w:type="spellEnd"/>
      <w:r w:rsidRPr="00243817">
        <w:rPr>
          <w:i/>
          <w:iCs/>
        </w:rPr>
        <w:t xml:space="preserve"> Section F</w:t>
      </w:r>
      <w:r w:rsidRPr="00243817">
        <w:t>, </w:t>
      </w:r>
      <w:r w:rsidRPr="00243817">
        <w:rPr>
          <w:b/>
          <w:iCs/>
        </w:rPr>
        <w:t>68</w:t>
      </w:r>
      <w:r w:rsidR="00E4261A" w:rsidRPr="00243817">
        <w:t xml:space="preserve"> </w:t>
      </w:r>
      <w:r w:rsidRPr="00243817">
        <w:t>(5), 596-600 (2012).</w:t>
      </w:r>
    </w:p>
    <w:p w14:paraId="517F650C" w14:textId="46809DE0" w:rsidR="00421EFC" w:rsidRPr="00243817" w:rsidRDefault="00421EFC" w:rsidP="004F6460">
      <w:pPr>
        <w:pStyle w:val="af3"/>
        <w:widowControl/>
        <w:numPr>
          <w:ilvl w:val="0"/>
          <w:numId w:val="29"/>
        </w:numPr>
        <w:autoSpaceDE/>
        <w:autoSpaceDN/>
        <w:adjustRightInd/>
      </w:pPr>
      <w:r w:rsidRPr="00243817">
        <w:t xml:space="preserve">Morgan, H.P., Zhong, W., </w:t>
      </w:r>
      <w:proofErr w:type="spellStart"/>
      <w:r w:rsidRPr="00243817">
        <w:t>McNae</w:t>
      </w:r>
      <w:proofErr w:type="spellEnd"/>
      <w:r w:rsidRPr="00243817">
        <w:t xml:space="preserve">, I.W., </w:t>
      </w:r>
      <w:proofErr w:type="spellStart"/>
      <w:r w:rsidRPr="00243817">
        <w:t>Michels</w:t>
      </w:r>
      <w:proofErr w:type="spellEnd"/>
      <w:r w:rsidRPr="00243817">
        <w:t>, P.A., Fothergill-Gilmore, L.A., Walkinshaw, M.D.</w:t>
      </w:r>
      <w:r w:rsidR="00DB1BA2" w:rsidRPr="00243817">
        <w:t xml:space="preserve"> </w:t>
      </w:r>
      <w:r w:rsidRPr="00243817">
        <w:t>Structures of pyruvate kinases display evolutionarily divergent allosteric strategies. </w:t>
      </w:r>
      <w:r w:rsidRPr="00243817">
        <w:rPr>
          <w:i/>
          <w:iCs/>
        </w:rPr>
        <w:t>Royal Society open science</w:t>
      </w:r>
      <w:r w:rsidRPr="00243817">
        <w:t>, </w:t>
      </w:r>
      <w:r w:rsidRPr="00243817">
        <w:rPr>
          <w:b/>
          <w:iCs/>
        </w:rPr>
        <w:t>1</w:t>
      </w:r>
      <w:r w:rsidR="00BA2536" w:rsidRPr="00243817">
        <w:t xml:space="preserve"> </w:t>
      </w:r>
      <w:r w:rsidR="00957353" w:rsidRPr="00243817">
        <w:t>(</w:t>
      </w:r>
      <w:r w:rsidR="00F27511" w:rsidRPr="00243817">
        <w:t>140120</w:t>
      </w:r>
      <w:r w:rsidR="00957353" w:rsidRPr="00243817">
        <w:t>),</w:t>
      </w:r>
      <w:r w:rsidR="00BA2536" w:rsidRPr="00243817">
        <w:t xml:space="preserve"> (</w:t>
      </w:r>
      <w:r w:rsidR="00231E7B" w:rsidRPr="00243817">
        <w:t>2014)</w:t>
      </w:r>
      <w:r w:rsidRPr="00243817">
        <w:t>.</w:t>
      </w:r>
    </w:p>
    <w:p w14:paraId="34FB9D77" w14:textId="23D8F1CE" w:rsidR="00CF1783" w:rsidRPr="00243817" w:rsidRDefault="00DB1BA2" w:rsidP="004F6460">
      <w:pPr>
        <w:pStyle w:val="af3"/>
        <w:widowControl/>
        <w:numPr>
          <w:ilvl w:val="0"/>
          <w:numId w:val="29"/>
        </w:numPr>
        <w:autoSpaceDE/>
        <w:autoSpaceDN/>
        <w:adjustRightInd/>
      </w:pPr>
      <w:r w:rsidRPr="00243817">
        <w:t xml:space="preserve">Moretti, A., Li, J., </w:t>
      </w:r>
      <w:proofErr w:type="spellStart"/>
      <w:r w:rsidRPr="00243817">
        <w:t>Donini</w:t>
      </w:r>
      <w:proofErr w:type="spellEnd"/>
      <w:r w:rsidRPr="00243817">
        <w:t xml:space="preserve">, S., </w:t>
      </w:r>
      <w:proofErr w:type="spellStart"/>
      <w:r w:rsidRPr="00243817">
        <w:t>Sobol</w:t>
      </w:r>
      <w:proofErr w:type="spellEnd"/>
      <w:r w:rsidRPr="00243817">
        <w:t xml:space="preserve">, R.W., </w:t>
      </w:r>
      <w:proofErr w:type="spellStart"/>
      <w:r w:rsidRPr="00243817">
        <w:t>Rizzi</w:t>
      </w:r>
      <w:proofErr w:type="spellEnd"/>
      <w:r w:rsidRPr="00243817">
        <w:t>, M.</w:t>
      </w:r>
      <w:r w:rsidR="00E33A9C" w:rsidRPr="00243817">
        <w:t>,</w:t>
      </w:r>
      <w:r w:rsidRPr="00243817">
        <w:t xml:space="preserve"> </w:t>
      </w:r>
      <w:proofErr w:type="spellStart"/>
      <w:r w:rsidRPr="00243817">
        <w:t>Garavaglia</w:t>
      </w:r>
      <w:proofErr w:type="spellEnd"/>
      <w:r w:rsidRPr="00243817">
        <w:t xml:space="preserve">, S. Crystal structure of human aldehyde dehydrogenase 1A3 complexed with NAD+ and retinoic acid. </w:t>
      </w:r>
      <w:r w:rsidRPr="00243817">
        <w:rPr>
          <w:i/>
        </w:rPr>
        <w:t>Scientific reports</w:t>
      </w:r>
      <w:r w:rsidRPr="00243817">
        <w:t xml:space="preserve">, </w:t>
      </w:r>
      <w:r w:rsidRPr="00243817">
        <w:rPr>
          <w:b/>
        </w:rPr>
        <w:t>6</w:t>
      </w:r>
      <w:r w:rsidRPr="00243817">
        <w:t xml:space="preserve"> </w:t>
      </w:r>
      <w:r w:rsidR="00202B5F" w:rsidRPr="00243817">
        <w:t>(</w:t>
      </w:r>
      <w:r w:rsidRPr="00243817">
        <w:t>35710</w:t>
      </w:r>
      <w:r w:rsidR="00202B5F" w:rsidRPr="00243817">
        <w:t>),</w:t>
      </w:r>
      <w:r w:rsidRPr="00243817">
        <w:t xml:space="preserve"> (2016)</w:t>
      </w:r>
    </w:p>
    <w:sectPr w:rsidR="00CF1783" w:rsidRPr="00243817"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608F6" w14:textId="77777777" w:rsidR="0046624F" w:rsidRDefault="0046624F" w:rsidP="00621C4E">
      <w:r>
        <w:separator/>
      </w:r>
    </w:p>
  </w:endnote>
  <w:endnote w:type="continuationSeparator" w:id="0">
    <w:p w14:paraId="486D18F4" w14:textId="77777777" w:rsidR="0046624F" w:rsidRDefault="0046624F" w:rsidP="00621C4E">
      <w:r>
        <w:continuationSeparator/>
      </w:r>
    </w:p>
  </w:endnote>
  <w:endnote w:type="continuationNotice" w:id="1">
    <w:p w14:paraId="21E99D76" w14:textId="77777777" w:rsidR="0046624F" w:rsidRDefault="004662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E4C29" w:rsidRDefault="001E4C2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8DCB9" w14:textId="77777777" w:rsidR="0046624F" w:rsidRDefault="0046624F" w:rsidP="00621C4E">
      <w:r>
        <w:separator/>
      </w:r>
    </w:p>
  </w:footnote>
  <w:footnote w:type="continuationSeparator" w:id="0">
    <w:p w14:paraId="6604E231" w14:textId="77777777" w:rsidR="0046624F" w:rsidRDefault="0046624F" w:rsidP="00621C4E">
      <w:r>
        <w:continuationSeparator/>
      </w:r>
    </w:p>
  </w:footnote>
  <w:footnote w:type="continuationNotice" w:id="1">
    <w:p w14:paraId="48EE4502" w14:textId="77777777" w:rsidR="0046624F" w:rsidRDefault="004662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69E2289D" w:rsidR="001E4C29" w:rsidRPr="006F06E4" w:rsidRDefault="001E4C29"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892DECF" w:rsidR="001E4C29" w:rsidRPr="006F06E4" w:rsidRDefault="001E4C29"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02A33"/>
    <w:multiLevelType w:val="hybridMultilevel"/>
    <w:tmpl w:val="A7562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77001"/>
    <w:multiLevelType w:val="multilevel"/>
    <w:tmpl w:val="E382725C"/>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05660"/>
    <w:multiLevelType w:val="hybridMultilevel"/>
    <w:tmpl w:val="97787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2177DF"/>
    <w:multiLevelType w:val="hybridMultilevel"/>
    <w:tmpl w:val="EF96F11C"/>
    <w:lvl w:ilvl="0" w:tplc="578C0B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0"/>
  </w:num>
  <w:num w:numId="3">
    <w:abstractNumId w:val="3"/>
  </w:num>
  <w:num w:numId="4">
    <w:abstractNumId w:val="18"/>
  </w:num>
  <w:num w:numId="5">
    <w:abstractNumId w:val="9"/>
  </w:num>
  <w:num w:numId="6">
    <w:abstractNumId w:val="17"/>
  </w:num>
  <w:num w:numId="7">
    <w:abstractNumId w:val="0"/>
  </w:num>
  <w:num w:numId="8">
    <w:abstractNumId w:val="10"/>
  </w:num>
  <w:num w:numId="9">
    <w:abstractNumId w:val="12"/>
  </w:num>
  <w:num w:numId="10">
    <w:abstractNumId w:val="19"/>
  </w:num>
  <w:num w:numId="11">
    <w:abstractNumId w:val="23"/>
  </w:num>
  <w:num w:numId="12">
    <w:abstractNumId w:val="1"/>
  </w:num>
  <w:num w:numId="13">
    <w:abstractNumId w:val="21"/>
  </w:num>
  <w:num w:numId="14">
    <w:abstractNumId w:val="27"/>
  </w:num>
  <w:num w:numId="15">
    <w:abstractNumId w:val="14"/>
  </w:num>
  <w:num w:numId="16">
    <w:abstractNumId w:val="8"/>
  </w:num>
  <w:num w:numId="17">
    <w:abstractNumId w:val="22"/>
  </w:num>
  <w:num w:numId="18">
    <w:abstractNumId w:val="15"/>
  </w:num>
  <w:num w:numId="19">
    <w:abstractNumId w:val="25"/>
  </w:num>
  <w:num w:numId="20">
    <w:abstractNumId w:val="2"/>
  </w:num>
  <w:num w:numId="21">
    <w:abstractNumId w:val="26"/>
  </w:num>
  <w:num w:numId="22">
    <w:abstractNumId w:val="24"/>
  </w:num>
  <w:num w:numId="23">
    <w:abstractNumId w:val="16"/>
  </w:num>
  <w:num w:numId="24">
    <w:abstractNumId w:val="28"/>
  </w:num>
  <w:num w:numId="25">
    <w:abstractNumId w:val="7"/>
  </w:num>
  <w:num w:numId="26">
    <w:abstractNumId w:val="6"/>
  </w:num>
  <w:num w:numId="27">
    <w:abstractNumId w:val="4"/>
  </w:num>
  <w:num w:numId="28">
    <w:abstractNumId w:val="13"/>
  </w:num>
  <w:num w:numId="2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A8D"/>
    <w:rsid w:val="00000F0A"/>
    <w:rsid w:val="00001169"/>
    <w:rsid w:val="00001806"/>
    <w:rsid w:val="00003AAA"/>
    <w:rsid w:val="00004642"/>
    <w:rsid w:val="00005815"/>
    <w:rsid w:val="00006DA6"/>
    <w:rsid w:val="00007DBC"/>
    <w:rsid w:val="00007EA1"/>
    <w:rsid w:val="000100F0"/>
    <w:rsid w:val="00011AC0"/>
    <w:rsid w:val="000123DB"/>
    <w:rsid w:val="000129B2"/>
    <w:rsid w:val="00012A27"/>
    <w:rsid w:val="00012FF9"/>
    <w:rsid w:val="0001389C"/>
    <w:rsid w:val="00014314"/>
    <w:rsid w:val="00016DD3"/>
    <w:rsid w:val="000179A6"/>
    <w:rsid w:val="00021434"/>
    <w:rsid w:val="00021774"/>
    <w:rsid w:val="00021DF3"/>
    <w:rsid w:val="000231D1"/>
    <w:rsid w:val="00023869"/>
    <w:rsid w:val="00023888"/>
    <w:rsid w:val="00023941"/>
    <w:rsid w:val="00024598"/>
    <w:rsid w:val="000267B4"/>
    <w:rsid w:val="00026A08"/>
    <w:rsid w:val="000279B0"/>
    <w:rsid w:val="00027CF0"/>
    <w:rsid w:val="00031E70"/>
    <w:rsid w:val="0003201B"/>
    <w:rsid w:val="000326C9"/>
    <w:rsid w:val="0003273A"/>
    <w:rsid w:val="00032769"/>
    <w:rsid w:val="0003311E"/>
    <w:rsid w:val="00035413"/>
    <w:rsid w:val="00037B58"/>
    <w:rsid w:val="000459EA"/>
    <w:rsid w:val="00045B58"/>
    <w:rsid w:val="00045FB1"/>
    <w:rsid w:val="0005079A"/>
    <w:rsid w:val="00051B73"/>
    <w:rsid w:val="000566C8"/>
    <w:rsid w:val="00057780"/>
    <w:rsid w:val="0006073C"/>
    <w:rsid w:val="00060ABE"/>
    <w:rsid w:val="00060D1C"/>
    <w:rsid w:val="00061A50"/>
    <w:rsid w:val="00062543"/>
    <w:rsid w:val="00062D1E"/>
    <w:rsid w:val="0006361B"/>
    <w:rsid w:val="0006395F"/>
    <w:rsid w:val="00064104"/>
    <w:rsid w:val="00064D01"/>
    <w:rsid w:val="000652E3"/>
    <w:rsid w:val="0006598E"/>
    <w:rsid w:val="00066025"/>
    <w:rsid w:val="00067A8F"/>
    <w:rsid w:val="00067DB0"/>
    <w:rsid w:val="000701D1"/>
    <w:rsid w:val="00073863"/>
    <w:rsid w:val="000808BE"/>
    <w:rsid w:val="00080A20"/>
    <w:rsid w:val="0008116D"/>
    <w:rsid w:val="00081D7B"/>
    <w:rsid w:val="00081DE9"/>
    <w:rsid w:val="00082796"/>
    <w:rsid w:val="00082DF4"/>
    <w:rsid w:val="00086064"/>
    <w:rsid w:val="00086FF5"/>
    <w:rsid w:val="000874F6"/>
    <w:rsid w:val="00087C0A"/>
    <w:rsid w:val="00093BC4"/>
    <w:rsid w:val="000943E6"/>
    <w:rsid w:val="00097929"/>
    <w:rsid w:val="000A1E80"/>
    <w:rsid w:val="000A3B70"/>
    <w:rsid w:val="000A5153"/>
    <w:rsid w:val="000B10AE"/>
    <w:rsid w:val="000B1CE2"/>
    <w:rsid w:val="000B30BF"/>
    <w:rsid w:val="000B566B"/>
    <w:rsid w:val="000B61E6"/>
    <w:rsid w:val="000B662E"/>
    <w:rsid w:val="000B7294"/>
    <w:rsid w:val="000B75D0"/>
    <w:rsid w:val="000C1241"/>
    <w:rsid w:val="000C1CF8"/>
    <w:rsid w:val="000C28C8"/>
    <w:rsid w:val="000C49CF"/>
    <w:rsid w:val="000C4C33"/>
    <w:rsid w:val="000C52E9"/>
    <w:rsid w:val="000C5428"/>
    <w:rsid w:val="000C5CDC"/>
    <w:rsid w:val="000C65DC"/>
    <w:rsid w:val="000C66F3"/>
    <w:rsid w:val="000C6900"/>
    <w:rsid w:val="000C7725"/>
    <w:rsid w:val="000D31E8"/>
    <w:rsid w:val="000D76E4"/>
    <w:rsid w:val="000E18C9"/>
    <w:rsid w:val="000E3816"/>
    <w:rsid w:val="000E4D7F"/>
    <w:rsid w:val="000E4F77"/>
    <w:rsid w:val="000E5839"/>
    <w:rsid w:val="000E5E19"/>
    <w:rsid w:val="000F1C59"/>
    <w:rsid w:val="000F2348"/>
    <w:rsid w:val="000F265C"/>
    <w:rsid w:val="000F3AFA"/>
    <w:rsid w:val="000F445B"/>
    <w:rsid w:val="000F464E"/>
    <w:rsid w:val="000F4ED3"/>
    <w:rsid w:val="000F5712"/>
    <w:rsid w:val="000F5741"/>
    <w:rsid w:val="000F5902"/>
    <w:rsid w:val="000F5F02"/>
    <w:rsid w:val="000F6611"/>
    <w:rsid w:val="000F7E22"/>
    <w:rsid w:val="00101794"/>
    <w:rsid w:val="001070E3"/>
    <w:rsid w:val="001073EF"/>
    <w:rsid w:val="001104F3"/>
    <w:rsid w:val="001117F3"/>
    <w:rsid w:val="00112779"/>
    <w:rsid w:val="00112979"/>
    <w:rsid w:val="00112EEB"/>
    <w:rsid w:val="00115185"/>
    <w:rsid w:val="001155B8"/>
    <w:rsid w:val="00115959"/>
    <w:rsid w:val="00116E8C"/>
    <w:rsid w:val="001173FF"/>
    <w:rsid w:val="00117B84"/>
    <w:rsid w:val="0012563A"/>
    <w:rsid w:val="001264DE"/>
    <w:rsid w:val="001313A7"/>
    <w:rsid w:val="0013276F"/>
    <w:rsid w:val="0013621E"/>
    <w:rsid w:val="0013642E"/>
    <w:rsid w:val="001417AC"/>
    <w:rsid w:val="0014233A"/>
    <w:rsid w:val="00142EFE"/>
    <w:rsid w:val="001448F2"/>
    <w:rsid w:val="00144B2B"/>
    <w:rsid w:val="001463F1"/>
    <w:rsid w:val="00147730"/>
    <w:rsid w:val="00151870"/>
    <w:rsid w:val="0015230C"/>
    <w:rsid w:val="00152A23"/>
    <w:rsid w:val="00152E0C"/>
    <w:rsid w:val="001532EC"/>
    <w:rsid w:val="0015593D"/>
    <w:rsid w:val="00160F82"/>
    <w:rsid w:val="001613C5"/>
    <w:rsid w:val="00161620"/>
    <w:rsid w:val="0016265A"/>
    <w:rsid w:val="00162CB7"/>
    <w:rsid w:val="00163422"/>
    <w:rsid w:val="00164ACA"/>
    <w:rsid w:val="0016561A"/>
    <w:rsid w:val="00165BCF"/>
    <w:rsid w:val="00166159"/>
    <w:rsid w:val="001665C9"/>
    <w:rsid w:val="00166F32"/>
    <w:rsid w:val="00167452"/>
    <w:rsid w:val="00170E6D"/>
    <w:rsid w:val="0017195E"/>
    <w:rsid w:val="00171E5B"/>
    <w:rsid w:val="00171F94"/>
    <w:rsid w:val="00172E32"/>
    <w:rsid w:val="001744F3"/>
    <w:rsid w:val="001751DE"/>
    <w:rsid w:val="00175C8C"/>
    <w:rsid w:val="00175D4E"/>
    <w:rsid w:val="0017668A"/>
    <w:rsid w:val="001766FE"/>
    <w:rsid w:val="001771E7"/>
    <w:rsid w:val="00177585"/>
    <w:rsid w:val="00184A93"/>
    <w:rsid w:val="001857CA"/>
    <w:rsid w:val="00186724"/>
    <w:rsid w:val="001906FE"/>
    <w:rsid w:val="001911FF"/>
    <w:rsid w:val="0019157D"/>
    <w:rsid w:val="00192006"/>
    <w:rsid w:val="00193180"/>
    <w:rsid w:val="00194DD0"/>
    <w:rsid w:val="001950AD"/>
    <w:rsid w:val="00196792"/>
    <w:rsid w:val="00197C04"/>
    <w:rsid w:val="001A0803"/>
    <w:rsid w:val="001A1166"/>
    <w:rsid w:val="001A1291"/>
    <w:rsid w:val="001A1CB8"/>
    <w:rsid w:val="001A1E8A"/>
    <w:rsid w:val="001A253E"/>
    <w:rsid w:val="001A4D5B"/>
    <w:rsid w:val="001A502F"/>
    <w:rsid w:val="001A63E1"/>
    <w:rsid w:val="001A762D"/>
    <w:rsid w:val="001B0703"/>
    <w:rsid w:val="001B07B0"/>
    <w:rsid w:val="001B1519"/>
    <w:rsid w:val="001B2E2D"/>
    <w:rsid w:val="001B4244"/>
    <w:rsid w:val="001B5CD2"/>
    <w:rsid w:val="001B5F53"/>
    <w:rsid w:val="001B759A"/>
    <w:rsid w:val="001C0BEE"/>
    <w:rsid w:val="001C1E49"/>
    <w:rsid w:val="001C27C1"/>
    <w:rsid w:val="001C2A98"/>
    <w:rsid w:val="001C336D"/>
    <w:rsid w:val="001C35B8"/>
    <w:rsid w:val="001C39BC"/>
    <w:rsid w:val="001C3B43"/>
    <w:rsid w:val="001C4D95"/>
    <w:rsid w:val="001C5221"/>
    <w:rsid w:val="001C7AD3"/>
    <w:rsid w:val="001D0990"/>
    <w:rsid w:val="001D3CF7"/>
    <w:rsid w:val="001D3D7D"/>
    <w:rsid w:val="001D3FFF"/>
    <w:rsid w:val="001D498A"/>
    <w:rsid w:val="001D625F"/>
    <w:rsid w:val="001D68A4"/>
    <w:rsid w:val="001D7301"/>
    <w:rsid w:val="001D7576"/>
    <w:rsid w:val="001E014E"/>
    <w:rsid w:val="001E0A73"/>
    <w:rsid w:val="001E0B5E"/>
    <w:rsid w:val="001E0E3F"/>
    <w:rsid w:val="001E14A0"/>
    <w:rsid w:val="001E26A8"/>
    <w:rsid w:val="001E2C2B"/>
    <w:rsid w:val="001E4C29"/>
    <w:rsid w:val="001E588D"/>
    <w:rsid w:val="001E7376"/>
    <w:rsid w:val="001E78E9"/>
    <w:rsid w:val="001F1BB8"/>
    <w:rsid w:val="001F225C"/>
    <w:rsid w:val="001F42BA"/>
    <w:rsid w:val="001F4F5F"/>
    <w:rsid w:val="00201CFA"/>
    <w:rsid w:val="0020220D"/>
    <w:rsid w:val="00202448"/>
    <w:rsid w:val="00202566"/>
    <w:rsid w:val="00202B5F"/>
    <w:rsid w:val="00202D15"/>
    <w:rsid w:val="00204396"/>
    <w:rsid w:val="00205B3F"/>
    <w:rsid w:val="00210F88"/>
    <w:rsid w:val="00212EAE"/>
    <w:rsid w:val="00213C6F"/>
    <w:rsid w:val="00214BEE"/>
    <w:rsid w:val="00216AE1"/>
    <w:rsid w:val="002205B8"/>
    <w:rsid w:val="002249D8"/>
    <w:rsid w:val="00225720"/>
    <w:rsid w:val="002259E5"/>
    <w:rsid w:val="00226140"/>
    <w:rsid w:val="002274F3"/>
    <w:rsid w:val="0023094C"/>
    <w:rsid w:val="00231E7B"/>
    <w:rsid w:val="002349E2"/>
    <w:rsid w:val="00234BE3"/>
    <w:rsid w:val="00235A90"/>
    <w:rsid w:val="00236A70"/>
    <w:rsid w:val="00236ADD"/>
    <w:rsid w:val="002408C5"/>
    <w:rsid w:val="00241E48"/>
    <w:rsid w:val="0024214E"/>
    <w:rsid w:val="00242623"/>
    <w:rsid w:val="00243817"/>
    <w:rsid w:val="00243A67"/>
    <w:rsid w:val="00246B5D"/>
    <w:rsid w:val="00250558"/>
    <w:rsid w:val="0025057D"/>
    <w:rsid w:val="00254F39"/>
    <w:rsid w:val="0025648F"/>
    <w:rsid w:val="002605D1"/>
    <w:rsid w:val="00260652"/>
    <w:rsid w:val="00261F25"/>
    <w:rsid w:val="0026299B"/>
    <w:rsid w:val="00262D9A"/>
    <w:rsid w:val="00263813"/>
    <w:rsid w:val="002648A9"/>
    <w:rsid w:val="00264C07"/>
    <w:rsid w:val="00265310"/>
    <w:rsid w:val="0026536F"/>
    <w:rsid w:val="0026553C"/>
    <w:rsid w:val="00267DD5"/>
    <w:rsid w:val="00272A13"/>
    <w:rsid w:val="00274A0A"/>
    <w:rsid w:val="00274B26"/>
    <w:rsid w:val="00274B97"/>
    <w:rsid w:val="00275400"/>
    <w:rsid w:val="00276902"/>
    <w:rsid w:val="00277149"/>
    <w:rsid w:val="0027732E"/>
    <w:rsid w:val="00277593"/>
    <w:rsid w:val="0027775D"/>
    <w:rsid w:val="002777EF"/>
    <w:rsid w:val="002779FA"/>
    <w:rsid w:val="00280909"/>
    <w:rsid w:val="00280918"/>
    <w:rsid w:val="00282120"/>
    <w:rsid w:val="00282AF6"/>
    <w:rsid w:val="00283600"/>
    <w:rsid w:val="0028596A"/>
    <w:rsid w:val="00287085"/>
    <w:rsid w:val="0028773D"/>
    <w:rsid w:val="0029058C"/>
    <w:rsid w:val="00290AF9"/>
    <w:rsid w:val="00291092"/>
    <w:rsid w:val="0029138E"/>
    <w:rsid w:val="00293CFA"/>
    <w:rsid w:val="00294190"/>
    <w:rsid w:val="002967CF"/>
    <w:rsid w:val="00296EC6"/>
    <w:rsid w:val="00297788"/>
    <w:rsid w:val="002A08BB"/>
    <w:rsid w:val="002A0F23"/>
    <w:rsid w:val="002A17D5"/>
    <w:rsid w:val="002A3285"/>
    <w:rsid w:val="002A3597"/>
    <w:rsid w:val="002A42CF"/>
    <w:rsid w:val="002A484B"/>
    <w:rsid w:val="002A4F67"/>
    <w:rsid w:val="002A5A9B"/>
    <w:rsid w:val="002A5ADB"/>
    <w:rsid w:val="002A64A6"/>
    <w:rsid w:val="002A7C23"/>
    <w:rsid w:val="002B1C80"/>
    <w:rsid w:val="002B2A75"/>
    <w:rsid w:val="002B3301"/>
    <w:rsid w:val="002C06DE"/>
    <w:rsid w:val="002C1DC7"/>
    <w:rsid w:val="002C25A8"/>
    <w:rsid w:val="002C3205"/>
    <w:rsid w:val="002C3337"/>
    <w:rsid w:val="002C3A05"/>
    <w:rsid w:val="002C403C"/>
    <w:rsid w:val="002C479A"/>
    <w:rsid w:val="002C47D4"/>
    <w:rsid w:val="002C7274"/>
    <w:rsid w:val="002D08A3"/>
    <w:rsid w:val="002D0BAD"/>
    <w:rsid w:val="002D0F38"/>
    <w:rsid w:val="002D2A07"/>
    <w:rsid w:val="002D38B4"/>
    <w:rsid w:val="002D5C51"/>
    <w:rsid w:val="002D6987"/>
    <w:rsid w:val="002D71AA"/>
    <w:rsid w:val="002D77E3"/>
    <w:rsid w:val="002E01AD"/>
    <w:rsid w:val="002E4D91"/>
    <w:rsid w:val="002E70A7"/>
    <w:rsid w:val="002F1C80"/>
    <w:rsid w:val="002F275A"/>
    <w:rsid w:val="002F2859"/>
    <w:rsid w:val="002F481C"/>
    <w:rsid w:val="002F695F"/>
    <w:rsid w:val="002F6A7B"/>
    <w:rsid w:val="002F6E3C"/>
    <w:rsid w:val="0030117D"/>
    <w:rsid w:val="0030127B"/>
    <w:rsid w:val="003012D7"/>
    <w:rsid w:val="003016A0"/>
    <w:rsid w:val="00301EA6"/>
    <w:rsid w:val="00301F30"/>
    <w:rsid w:val="003038FD"/>
    <w:rsid w:val="00303C87"/>
    <w:rsid w:val="003044BB"/>
    <w:rsid w:val="003062E9"/>
    <w:rsid w:val="00306980"/>
    <w:rsid w:val="003071EA"/>
    <w:rsid w:val="003104B2"/>
    <w:rsid w:val="003108E5"/>
    <w:rsid w:val="003120CB"/>
    <w:rsid w:val="00312D21"/>
    <w:rsid w:val="0031550F"/>
    <w:rsid w:val="00317B15"/>
    <w:rsid w:val="00320153"/>
    <w:rsid w:val="00320367"/>
    <w:rsid w:val="00322871"/>
    <w:rsid w:val="00322F3A"/>
    <w:rsid w:val="00326FB3"/>
    <w:rsid w:val="003316D4"/>
    <w:rsid w:val="00332E83"/>
    <w:rsid w:val="00333822"/>
    <w:rsid w:val="00336715"/>
    <w:rsid w:val="00336ED0"/>
    <w:rsid w:val="003401EC"/>
    <w:rsid w:val="00340262"/>
    <w:rsid w:val="00340DFD"/>
    <w:rsid w:val="00342936"/>
    <w:rsid w:val="00344954"/>
    <w:rsid w:val="003461C7"/>
    <w:rsid w:val="0035065E"/>
    <w:rsid w:val="00350CD7"/>
    <w:rsid w:val="003516CB"/>
    <w:rsid w:val="00352706"/>
    <w:rsid w:val="00353D34"/>
    <w:rsid w:val="00355FB8"/>
    <w:rsid w:val="00356F4A"/>
    <w:rsid w:val="003604A1"/>
    <w:rsid w:val="00360C17"/>
    <w:rsid w:val="003620C1"/>
    <w:rsid w:val="003621C6"/>
    <w:rsid w:val="003622B8"/>
    <w:rsid w:val="0036426E"/>
    <w:rsid w:val="003656A2"/>
    <w:rsid w:val="00366B76"/>
    <w:rsid w:val="00366EE6"/>
    <w:rsid w:val="003670DB"/>
    <w:rsid w:val="0036752F"/>
    <w:rsid w:val="00370309"/>
    <w:rsid w:val="00373009"/>
    <w:rsid w:val="00373051"/>
    <w:rsid w:val="00373B8F"/>
    <w:rsid w:val="00376D95"/>
    <w:rsid w:val="00377FBB"/>
    <w:rsid w:val="00380278"/>
    <w:rsid w:val="00380F03"/>
    <w:rsid w:val="003811A8"/>
    <w:rsid w:val="003842F7"/>
    <w:rsid w:val="00385140"/>
    <w:rsid w:val="00385499"/>
    <w:rsid w:val="0038765C"/>
    <w:rsid w:val="00390238"/>
    <w:rsid w:val="0039257F"/>
    <w:rsid w:val="00393CC7"/>
    <w:rsid w:val="003971F7"/>
    <w:rsid w:val="003A0772"/>
    <w:rsid w:val="003A16FC"/>
    <w:rsid w:val="003A1DBF"/>
    <w:rsid w:val="003A2705"/>
    <w:rsid w:val="003A3296"/>
    <w:rsid w:val="003A46DA"/>
    <w:rsid w:val="003A4FCD"/>
    <w:rsid w:val="003B0944"/>
    <w:rsid w:val="003B1593"/>
    <w:rsid w:val="003B33D4"/>
    <w:rsid w:val="003B4083"/>
    <w:rsid w:val="003B4381"/>
    <w:rsid w:val="003B53B9"/>
    <w:rsid w:val="003B5A19"/>
    <w:rsid w:val="003B647B"/>
    <w:rsid w:val="003C1043"/>
    <w:rsid w:val="003C1A30"/>
    <w:rsid w:val="003C6779"/>
    <w:rsid w:val="003D2829"/>
    <w:rsid w:val="003D286B"/>
    <w:rsid w:val="003D2998"/>
    <w:rsid w:val="003D2F0A"/>
    <w:rsid w:val="003D3891"/>
    <w:rsid w:val="003D5D84"/>
    <w:rsid w:val="003D6A14"/>
    <w:rsid w:val="003E0F4F"/>
    <w:rsid w:val="003E18AC"/>
    <w:rsid w:val="003E210B"/>
    <w:rsid w:val="003E2A12"/>
    <w:rsid w:val="003E3384"/>
    <w:rsid w:val="003E3CA4"/>
    <w:rsid w:val="003E548E"/>
    <w:rsid w:val="003E5CB6"/>
    <w:rsid w:val="003F040C"/>
    <w:rsid w:val="003F1E41"/>
    <w:rsid w:val="003F4764"/>
    <w:rsid w:val="003F6643"/>
    <w:rsid w:val="003F665F"/>
    <w:rsid w:val="003F6EA9"/>
    <w:rsid w:val="00400928"/>
    <w:rsid w:val="0040191C"/>
    <w:rsid w:val="004060DE"/>
    <w:rsid w:val="00407EC8"/>
    <w:rsid w:val="0041037D"/>
    <w:rsid w:val="0041110A"/>
    <w:rsid w:val="0041131F"/>
    <w:rsid w:val="00411624"/>
    <w:rsid w:val="004126EC"/>
    <w:rsid w:val="004148E1"/>
    <w:rsid w:val="00414CFA"/>
    <w:rsid w:val="00415EC0"/>
    <w:rsid w:val="0041758C"/>
    <w:rsid w:val="004178D3"/>
    <w:rsid w:val="00420BE9"/>
    <w:rsid w:val="00421EFC"/>
    <w:rsid w:val="00422BF8"/>
    <w:rsid w:val="00423566"/>
    <w:rsid w:val="00423AD8"/>
    <w:rsid w:val="00423FDD"/>
    <w:rsid w:val="00424BC4"/>
    <w:rsid w:val="00424C85"/>
    <w:rsid w:val="004250A2"/>
    <w:rsid w:val="00425C72"/>
    <w:rsid w:val="004260BD"/>
    <w:rsid w:val="0043012F"/>
    <w:rsid w:val="00430F1F"/>
    <w:rsid w:val="004326EA"/>
    <w:rsid w:val="00434A62"/>
    <w:rsid w:val="004364C8"/>
    <w:rsid w:val="00440479"/>
    <w:rsid w:val="00443929"/>
    <w:rsid w:val="0044434C"/>
    <w:rsid w:val="00444505"/>
    <w:rsid w:val="0044456B"/>
    <w:rsid w:val="00444897"/>
    <w:rsid w:val="0044640B"/>
    <w:rsid w:val="004465E0"/>
    <w:rsid w:val="00446CC8"/>
    <w:rsid w:val="00447BD1"/>
    <w:rsid w:val="004507F3"/>
    <w:rsid w:val="00450AF4"/>
    <w:rsid w:val="00451630"/>
    <w:rsid w:val="004562AD"/>
    <w:rsid w:val="00456A57"/>
    <w:rsid w:val="004607DE"/>
    <w:rsid w:val="004651E8"/>
    <w:rsid w:val="0046624F"/>
    <w:rsid w:val="004671C7"/>
    <w:rsid w:val="00471242"/>
    <w:rsid w:val="0047165B"/>
    <w:rsid w:val="00472516"/>
    <w:rsid w:val="00472906"/>
    <w:rsid w:val="00472B1D"/>
    <w:rsid w:val="00472F4D"/>
    <w:rsid w:val="004730BF"/>
    <w:rsid w:val="00474DCB"/>
    <w:rsid w:val="0047535C"/>
    <w:rsid w:val="0047606E"/>
    <w:rsid w:val="004762F6"/>
    <w:rsid w:val="00477956"/>
    <w:rsid w:val="0048052F"/>
    <w:rsid w:val="004816D3"/>
    <w:rsid w:val="00482035"/>
    <w:rsid w:val="00485870"/>
    <w:rsid w:val="00485FE8"/>
    <w:rsid w:val="00492473"/>
    <w:rsid w:val="00492EA7"/>
    <w:rsid w:val="00492EB5"/>
    <w:rsid w:val="004941ED"/>
    <w:rsid w:val="00494C8D"/>
    <w:rsid w:val="00494F77"/>
    <w:rsid w:val="00495968"/>
    <w:rsid w:val="00496149"/>
    <w:rsid w:val="00497721"/>
    <w:rsid w:val="004A0229"/>
    <w:rsid w:val="004A2397"/>
    <w:rsid w:val="004A2A97"/>
    <w:rsid w:val="004A2FDD"/>
    <w:rsid w:val="004A35D2"/>
    <w:rsid w:val="004A39F9"/>
    <w:rsid w:val="004A3F5C"/>
    <w:rsid w:val="004A4469"/>
    <w:rsid w:val="004A4BF7"/>
    <w:rsid w:val="004A5F24"/>
    <w:rsid w:val="004A64DB"/>
    <w:rsid w:val="004A71E4"/>
    <w:rsid w:val="004B0295"/>
    <w:rsid w:val="004B0E5B"/>
    <w:rsid w:val="004B2F00"/>
    <w:rsid w:val="004B6E31"/>
    <w:rsid w:val="004C02CA"/>
    <w:rsid w:val="004C0F84"/>
    <w:rsid w:val="004C1D66"/>
    <w:rsid w:val="004C31D7"/>
    <w:rsid w:val="004C4AD2"/>
    <w:rsid w:val="004C694C"/>
    <w:rsid w:val="004C6981"/>
    <w:rsid w:val="004D1F21"/>
    <w:rsid w:val="004D268C"/>
    <w:rsid w:val="004D28D3"/>
    <w:rsid w:val="004D4782"/>
    <w:rsid w:val="004D59D8"/>
    <w:rsid w:val="004D5B03"/>
    <w:rsid w:val="004D5DA1"/>
    <w:rsid w:val="004D72E3"/>
    <w:rsid w:val="004D7314"/>
    <w:rsid w:val="004E150F"/>
    <w:rsid w:val="004E1DCA"/>
    <w:rsid w:val="004E23A1"/>
    <w:rsid w:val="004E3489"/>
    <w:rsid w:val="004E358A"/>
    <w:rsid w:val="004E3AFA"/>
    <w:rsid w:val="004E6588"/>
    <w:rsid w:val="004F2742"/>
    <w:rsid w:val="004F2B89"/>
    <w:rsid w:val="004F6277"/>
    <w:rsid w:val="004F645E"/>
    <w:rsid w:val="004F6460"/>
    <w:rsid w:val="004F71CE"/>
    <w:rsid w:val="004F7888"/>
    <w:rsid w:val="004F7A31"/>
    <w:rsid w:val="005001BB"/>
    <w:rsid w:val="00502A0A"/>
    <w:rsid w:val="00506033"/>
    <w:rsid w:val="005070C5"/>
    <w:rsid w:val="00507C50"/>
    <w:rsid w:val="0051036F"/>
    <w:rsid w:val="00510EBD"/>
    <w:rsid w:val="00514D40"/>
    <w:rsid w:val="00517C3A"/>
    <w:rsid w:val="005240F3"/>
    <w:rsid w:val="00524AC7"/>
    <w:rsid w:val="005268C6"/>
    <w:rsid w:val="00527BF4"/>
    <w:rsid w:val="00530D3B"/>
    <w:rsid w:val="005324BE"/>
    <w:rsid w:val="005326A9"/>
    <w:rsid w:val="00533C5F"/>
    <w:rsid w:val="00534939"/>
    <w:rsid w:val="00534F6C"/>
    <w:rsid w:val="00535994"/>
    <w:rsid w:val="00535C3A"/>
    <w:rsid w:val="0053646D"/>
    <w:rsid w:val="00540AAD"/>
    <w:rsid w:val="00542EAB"/>
    <w:rsid w:val="00543C3F"/>
    <w:rsid w:val="00543EC1"/>
    <w:rsid w:val="00545CBF"/>
    <w:rsid w:val="00546458"/>
    <w:rsid w:val="00547991"/>
    <w:rsid w:val="0055087C"/>
    <w:rsid w:val="00553413"/>
    <w:rsid w:val="0055434E"/>
    <w:rsid w:val="00555983"/>
    <w:rsid w:val="00556893"/>
    <w:rsid w:val="00560E31"/>
    <w:rsid w:val="0056148A"/>
    <w:rsid w:val="00561BDA"/>
    <w:rsid w:val="00563983"/>
    <w:rsid w:val="00565446"/>
    <w:rsid w:val="00570FC4"/>
    <w:rsid w:val="00571FC8"/>
    <w:rsid w:val="00574AC6"/>
    <w:rsid w:val="00576386"/>
    <w:rsid w:val="0057689B"/>
    <w:rsid w:val="00576F91"/>
    <w:rsid w:val="00580193"/>
    <w:rsid w:val="00581961"/>
    <w:rsid w:val="00581B23"/>
    <w:rsid w:val="0058219C"/>
    <w:rsid w:val="00582331"/>
    <w:rsid w:val="005857AC"/>
    <w:rsid w:val="005858EC"/>
    <w:rsid w:val="0058707F"/>
    <w:rsid w:val="00587381"/>
    <w:rsid w:val="0058760C"/>
    <w:rsid w:val="005905DF"/>
    <w:rsid w:val="00591DBD"/>
    <w:rsid w:val="00591F7A"/>
    <w:rsid w:val="005931FE"/>
    <w:rsid w:val="005954FB"/>
    <w:rsid w:val="00596401"/>
    <w:rsid w:val="00596652"/>
    <w:rsid w:val="00596E73"/>
    <w:rsid w:val="00597BFE"/>
    <w:rsid w:val="00597C2A"/>
    <w:rsid w:val="005A0028"/>
    <w:rsid w:val="005A0ACC"/>
    <w:rsid w:val="005A1023"/>
    <w:rsid w:val="005A327E"/>
    <w:rsid w:val="005A6BA4"/>
    <w:rsid w:val="005B0072"/>
    <w:rsid w:val="005B0732"/>
    <w:rsid w:val="005B16CD"/>
    <w:rsid w:val="005B26D6"/>
    <w:rsid w:val="005B38A0"/>
    <w:rsid w:val="005B491C"/>
    <w:rsid w:val="005B4DBF"/>
    <w:rsid w:val="005B5DE2"/>
    <w:rsid w:val="005B674C"/>
    <w:rsid w:val="005B6FBD"/>
    <w:rsid w:val="005B7039"/>
    <w:rsid w:val="005B70EE"/>
    <w:rsid w:val="005C0BA6"/>
    <w:rsid w:val="005C24F2"/>
    <w:rsid w:val="005C4F25"/>
    <w:rsid w:val="005C7548"/>
    <w:rsid w:val="005C7561"/>
    <w:rsid w:val="005D0058"/>
    <w:rsid w:val="005D1E57"/>
    <w:rsid w:val="005D2F57"/>
    <w:rsid w:val="005D34F6"/>
    <w:rsid w:val="005D3F51"/>
    <w:rsid w:val="005D4F1A"/>
    <w:rsid w:val="005D617B"/>
    <w:rsid w:val="005D73F0"/>
    <w:rsid w:val="005E1884"/>
    <w:rsid w:val="005E1DD7"/>
    <w:rsid w:val="005E2877"/>
    <w:rsid w:val="005E3AD1"/>
    <w:rsid w:val="005F0AA6"/>
    <w:rsid w:val="005F24B3"/>
    <w:rsid w:val="005F373A"/>
    <w:rsid w:val="005F421D"/>
    <w:rsid w:val="005F4F87"/>
    <w:rsid w:val="005F594A"/>
    <w:rsid w:val="005F60F1"/>
    <w:rsid w:val="005F6B0E"/>
    <w:rsid w:val="005F760E"/>
    <w:rsid w:val="005F7B08"/>
    <w:rsid w:val="005F7B1D"/>
    <w:rsid w:val="0060222A"/>
    <w:rsid w:val="00605881"/>
    <w:rsid w:val="00606545"/>
    <w:rsid w:val="006070C4"/>
    <w:rsid w:val="00610C21"/>
    <w:rsid w:val="00611907"/>
    <w:rsid w:val="00612755"/>
    <w:rsid w:val="00612AC6"/>
    <w:rsid w:val="00613116"/>
    <w:rsid w:val="00613982"/>
    <w:rsid w:val="00613EBB"/>
    <w:rsid w:val="00615779"/>
    <w:rsid w:val="006172D3"/>
    <w:rsid w:val="006176A5"/>
    <w:rsid w:val="006202A6"/>
    <w:rsid w:val="0062054B"/>
    <w:rsid w:val="00621C4E"/>
    <w:rsid w:val="006243DF"/>
    <w:rsid w:val="006247D8"/>
    <w:rsid w:val="00624A52"/>
    <w:rsid w:val="00624EAE"/>
    <w:rsid w:val="00625A23"/>
    <w:rsid w:val="006263AD"/>
    <w:rsid w:val="00627043"/>
    <w:rsid w:val="00627316"/>
    <w:rsid w:val="006305D7"/>
    <w:rsid w:val="00631045"/>
    <w:rsid w:val="006323EC"/>
    <w:rsid w:val="00632527"/>
    <w:rsid w:val="00632F63"/>
    <w:rsid w:val="006337AE"/>
    <w:rsid w:val="00633A01"/>
    <w:rsid w:val="00633B97"/>
    <w:rsid w:val="006341F7"/>
    <w:rsid w:val="0063452A"/>
    <w:rsid w:val="00634585"/>
    <w:rsid w:val="00635014"/>
    <w:rsid w:val="00635E0B"/>
    <w:rsid w:val="006369CE"/>
    <w:rsid w:val="00636DF8"/>
    <w:rsid w:val="0063783E"/>
    <w:rsid w:val="006378D9"/>
    <w:rsid w:val="0064055A"/>
    <w:rsid w:val="00640640"/>
    <w:rsid w:val="006411CA"/>
    <w:rsid w:val="00643053"/>
    <w:rsid w:val="00644AB8"/>
    <w:rsid w:val="00645137"/>
    <w:rsid w:val="0064605E"/>
    <w:rsid w:val="00646A16"/>
    <w:rsid w:val="00646E2F"/>
    <w:rsid w:val="00647D8A"/>
    <w:rsid w:val="0065492F"/>
    <w:rsid w:val="00654F48"/>
    <w:rsid w:val="00654F89"/>
    <w:rsid w:val="006557CC"/>
    <w:rsid w:val="006619C8"/>
    <w:rsid w:val="006624C9"/>
    <w:rsid w:val="00665A59"/>
    <w:rsid w:val="00671710"/>
    <w:rsid w:val="00671B96"/>
    <w:rsid w:val="00673414"/>
    <w:rsid w:val="006734CC"/>
    <w:rsid w:val="006736CF"/>
    <w:rsid w:val="00675BAD"/>
    <w:rsid w:val="00675F33"/>
    <w:rsid w:val="00676079"/>
    <w:rsid w:val="00676ECD"/>
    <w:rsid w:val="00677D0A"/>
    <w:rsid w:val="0068185F"/>
    <w:rsid w:val="00685BFF"/>
    <w:rsid w:val="00693921"/>
    <w:rsid w:val="00696DF6"/>
    <w:rsid w:val="006A01CF"/>
    <w:rsid w:val="006A075C"/>
    <w:rsid w:val="006A3DF7"/>
    <w:rsid w:val="006A60BE"/>
    <w:rsid w:val="006A60DD"/>
    <w:rsid w:val="006B0679"/>
    <w:rsid w:val="006B074C"/>
    <w:rsid w:val="006B27C5"/>
    <w:rsid w:val="006B281F"/>
    <w:rsid w:val="006B3B84"/>
    <w:rsid w:val="006B3BF8"/>
    <w:rsid w:val="006B4E7C"/>
    <w:rsid w:val="006B5517"/>
    <w:rsid w:val="006B5CAD"/>
    <w:rsid w:val="006B5D8C"/>
    <w:rsid w:val="006B72D4"/>
    <w:rsid w:val="006C11CC"/>
    <w:rsid w:val="006C1AEB"/>
    <w:rsid w:val="006C1C04"/>
    <w:rsid w:val="006C2776"/>
    <w:rsid w:val="006C57FE"/>
    <w:rsid w:val="006C5C57"/>
    <w:rsid w:val="006C668E"/>
    <w:rsid w:val="006C69C7"/>
    <w:rsid w:val="006D03C8"/>
    <w:rsid w:val="006D1904"/>
    <w:rsid w:val="006D539C"/>
    <w:rsid w:val="006D7D3A"/>
    <w:rsid w:val="006E00AA"/>
    <w:rsid w:val="006E22B1"/>
    <w:rsid w:val="006E4B63"/>
    <w:rsid w:val="006E7A68"/>
    <w:rsid w:val="006E7C44"/>
    <w:rsid w:val="006E7E6B"/>
    <w:rsid w:val="006F0515"/>
    <w:rsid w:val="006F06E4"/>
    <w:rsid w:val="006F22DA"/>
    <w:rsid w:val="006F3B03"/>
    <w:rsid w:val="006F448E"/>
    <w:rsid w:val="006F6099"/>
    <w:rsid w:val="006F6B4E"/>
    <w:rsid w:val="006F75D9"/>
    <w:rsid w:val="006F7B41"/>
    <w:rsid w:val="00701E56"/>
    <w:rsid w:val="00702B5D"/>
    <w:rsid w:val="00703794"/>
    <w:rsid w:val="00703ED2"/>
    <w:rsid w:val="00705959"/>
    <w:rsid w:val="00707B8D"/>
    <w:rsid w:val="00712EA3"/>
    <w:rsid w:val="00713636"/>
    <w:rsid w:val="0071410A"/>
    <w:rsid w:val="007149B5"/>
    <w:rsid w:val="00714B8C"/>
    <w:rsid w:val="007166BC"/>
    <w:rsid w:val="0071675D"/>
    <w:rsid w:val="00717736"/>
    <w:rsid w:val="00717F9A"/>
    <w:rsid w:val="007229CE"/>
    <w:rsid w:val="0072307A"/>
    <w:rsid w:val="00725C90"/>
    <w:rsid w:val="00727FE1"/>
    <w:rsid w:val="00730203"/>
    <w:rsid w:val="007315D7"/>
    <w:rsid w:val="007323AE"/>
    <w:rsid w:val="00732B47"/>
    <w:rsid w:val="0073482A"/>
    <w:rsid w:val="00735675"/>
    <w:rsid w:val="007357FA"/>
    <w:rsid w:val="00735AB3"/>
    <w:rsid w:val="00735CF5"/>
    <w:rsid w:val="00736343"/>
    <w:rsid w:val="00736671"/>
    <w:rsid w:val="0074063A"/>
    <w:rsid w:val="00741056"/>
    <w:rsid w:val="00742AA4"/>
    <w:rsid w:val="00743BA1"/>
    <w:rsid w:val="00744329"/>
    <w:rsid w:val="00745F1E"/>
    <w:rsid w:val="00747B16"/>
    <w:rsid w:val="00747CF9"/>
    <w:rsid w:val="007505A1"/>
    <w:rsid w:val="007515FE"/>
    <w:rsid w:val="00751C01"/>
    <w:rsid w:val="00751C42"/>
    <w:rsid w:val="00753915"/>
    <w:rsid w:val="0075486C"/>
    <w:rsid w:val="007601D0"/>
    <w:rsid w:val="007603BB"/>
    <w:rsid w:val="0076109D"/>
    <w:rsid w:val="0076314E"/>
    <w:rsid w:val="00767107"/>
    <w:rsid w:val="00770DAA"/>
    <w:rsid w:val="00770DD5"/>
    <w:rsid w:val="00772F93"/>
    <w:rsid w:val="00773617"/>
    <w:rsid w:val="00773BFD"/>
    <w:rsid w:val="007743B3"/>
    <w:rsid w:val="00774490"/>
    <w:rsid w:val="00774EE4"/>
    <w:rsid w:val="00775445"/>
    <w:rsid w:val="007759B6"/>
    <w:rsid w:val="00775CE5"/>
    <w:rsid w:val="00780AC9"/>
    <w:rsid w:val="007819FF"/>
    <w:rsid w:val="00781C5E"/>
    <w:rsid w:val="00782B55"/>
    <w:rsid w:val="0078324C"/>
    <w:rsid w:val="0078360C"/>
    <w:rsid w:val="007845F1"/>
    <w:rsid w:val="00784A4C"/>
    <w:rsid w:val="00784BC6"/>
    <w:rsid w:val="0078523D"/>
    <w:rsid w:val="00790ADD"/>
    <w:rsid w:val="00792BF7"/>
    <w:rsid w:val="007931DF"/>
    <w:rsid w:val="00796EF9"/>
    <w:rsid w:val="007A0172"/>
    <w:rsid w:val="007A1804"/>
    <w:rsid w:val="007A2511"/>
    <w:rsid w:val="007A260E"/>
    <w:rsid w:val="007A39B0"/>
    <w:rsid w:val="007A4D4C"/>
    <w:rsid w:val="007A4DD6"/>
    <w:rsid w:val="007A5CB9"/>
    <w:rsid w:val="007B1842"/>
    <w:rsid w:val="007B20AE"/>
    <w:rsid w:val="007B2F55"/>
    <w:rsid w:val="007B3ACF"/>
    <w:rsid w:val="007B3EF8"/>
    <w:rsid w:val="007B5FA5"/>
    <w:rsid w:val="007B6B07"/>
    <w:rsid w:val="007B6C24"/>
    <w:rsid w:val="007B6D43"/>
    <w:rsid w:val="007B749A"/>
    <w:rsid w:val="007B7C6E"/>
    <w:rsid w:val="007C05C1"/>
    <w:rsid w:val="007C137C"/>
    <w:rsid w:val="007C28A6"/>
    <w:rsid w:val="007C67DE"/>
    <w:rsid w:val="007D0B74"/>
    <w:rsid w:val="007D3818"/>
    <w:rsid w:val="007D44D7"/>
    <w:rsid w:val="007D4BEB"/>
    <w:rsid w:val="007D4DE4"/>
    <w:rsid w:val="007D621A"/>
    <w:rsid w:val="007E058A"/>
    <w:rsid w:val="007E2887"/>
    <w:rsid w:val="007E3B58"/>
    <w:rsid w:val="007E5278"/>
    <w:rsid w:val="007E749C"/>
    <w:rsid w:val="007F1602"/>
    <w:rsid w:val="007F1940"/>
    <w:rsid w:val="007F1B5C"/>
    <w:rsid w:val="007F20CE"/>
    <w:rsid w:val="007F56AC"/>
    <w:rsid w:val="007F59DD"/>
    <w:rsid w:val="007F6980"/>
    <w:rsid w:val="00800F6D"/>
    <w:rsid w:val="00801257"/>
    <w:rsid w:val="00801666"/>
    <w:rsid w:val="008027F0"/>
    <w:rsid w:val="00803B0A"/>
    <w:rsid w:val="00804DED"/>
    <w:rsid w:val="00805B96"/>
    <w:rsid w:val="008105BE"/>
    <w:rsid w:val="008115A5"/>
    <w:rsid w:val="008118E7"/>
    <w:rsid w:val="00811D46"/>
    <w:rsid w:val="0081415D"/>
    <w:rsid w:val="00816415"/>
    <w:rsid w:val="00817170"/>
    <w:rsid w:val="00817CF1"/>
    <w:rsid w:val="00820229"/>
    <w:rsid w:val="008203EE"/>
    <w:rsid w:val="00820D83"/>
    <w:rsid w:val="00821FB2"/>
    <w:rsid w:val="00822448"/>
    <w:rsid w:val="00822ABE"/>
    <w:rsid w:val="008244D1"/>
    <w:rsid w:val="00824811"/>
    <w:rsid w:val="00826DFA"/>
    <w:rsid w:val="00827F51"/>
    <w:rsid w:val="0083104E"/>
    <w:rsid w:val="008343A5"/>
    <w:rsid w:val="008343BE"/>
    <w:rsid w:val="00835C19"/>
    <w:rsid w:val="00836394"/>
    <w:rsid w:val="00836535"/>
    <w:rsid w:val="00840271"/>
    <w:rsid w:val="00840FB4"/>
    <w:rsid w:val="008410B2"/>
    <w:rsid w:val="008427DE"/>
    <w:rsid w:val="00845232"/>
    <w:rsid w:val="008500A0"/>
    <w:rsid w:val="0085097D"/>
    <w:rsid w:val="008524E5"/>
    <w:rsid w:val="00852DAD"/>
    <w:rsid w:val="0085351C"/>
    <w:rsid w:val="0085435A"/>
    <w:rsid w:val="00854688"/>
    <w:rsid w:val="008549CA"/>
    <w:rsid w:val="008556C3"/>
    <w:rsid w:val="0085589D"/>
    <w:rsid w:val="00856500"/>
    <w:rsid w:val="0085687C"/>
    <w:rsid w:val="00857C23"/>
    <w:rsid w:val="00866864"/>
    <w:rsid w:val="00870425"/>
    <w:rsid w:val="008706C5"/>
    <w:rsid w:val="00873707"/>
    <w:rsid w:val="00874B20"/>
    <w:rsid w:val="008757C6"/>
    <w:rsid w:val="00875D09"/>
    <w:rsid w:val="008762EA"/>
    <w:rsid w:val="008763E1"/>
    <w:rsid w:val="0087775C"/>
    <w:rsid w:val="00877EC8"/>
    <w:rsid w:val="00880F36"/>
    <w:rsid w:val="00881CE8"/>
    <w:rsid w:val="00883560"/>
    <w:rsid w:val="008835D5"/>
    <w:rsid w:val="00883778"/>
    <w:rsid w:val="00883C0F"/>
    <w:rsid w:val="008841E3"/>
    <w:rsid w:val="0088532C"/>
    <w:rsid w:val="00885530"/>
    <w:rsid w:val="00885AB4"/>
    <w:rsid w:val="00887B52"/>
    <w:rsid w:val="008910D1"/>
    <w:rsid w:val="0089296C"/>
    <w:rsid w:val="0089322B"/>
    <w:rsid w:val="00893D30"/>
    <w:rsid w:val="008943B0"/>
    <w:rsid w:val="008952D8"/>
    <w:rsid w:val="00896ABD"/>
    <w:rsid w:val="00897AB6"/>
    <w:rsid w:val="008A156A"/>
    <w:rsid w:val="008A1C0F"/>
    <w:rsid w:val="008A1E9D"/>
    <w:rsid w:val="008A2DDA"/>
    <w:rsid w:val="008A3380"/>
    <w:rsid w:val="008A7A9C"/>
    <w:rsid w:val="008A7EC0"/>
    <w:rsid w:val="008B1745"/>
    <w:rsid w:val="008B219F"/>
    <w:rsid w:val="008B3501"/>
    <w:rsid w:val="008B3F08"/>
    <w:rsid w:val="008B5218"/>
    <w:rsid w:val="008B7102"/>
    <w:rsid w:val="008B7B4D"/>
    <w:rsid w:val="008C0777"/>
    <w:rsid w:val="008C0BE2"/>
    <w:rsid w:val="008C3B7D"/>
    <w:rsid w:val="008C4677"/>
    <w:rsid w:val="008C5D52"/>
    <w:rsid w:val="008C6E57"/>
    <w:rsid w:val="008D03EC"/>
    <w:rsid w:val="008D0F90"/>
    <w:rsid w:val="008D147A"/>
    <w:rsid w:val="008D3715"/>
    <w:rsid w:val="008D5465"/>
    <w:rsid w:val="008D5E61"/>
    <w:rsid w:val="008D660E"/>
    <w:rsid w:val="008D6802"/>
    <w:rsid w:val="008D7EB7"/>
    <w:rsid w:val="008D7EC5"/>
    <w:rsid w:val="008E32C9"/>
    <w:rsid w:val="008E33A6"/>
    <w:rsid w:val="008E3684"/>
    <w:rsid w:val="008E4D01"/>
    <w:rsid w:val="008E57F5"/>
    <w:rsid w:val="008E6675"/>
    <w:rsid w:val="008E7606"/>
    <w:rsid w:val="008F1DAA"/>
    <w:rsid w:val="008F2371"/>
    <w:rsid w:val="008F2C96"/>
    <w:rsid w:val="008F3EBD"/>
    <w:rsid w:val="008F4B13"/>
    <w:rsid w:val="008F60B2"/>
    <w:rsid w:val="008F6400"/>
    <w:rsid w:val="008F7535"/>
    <w:rsid w:val="008F7C41"/>
    <w:rsid w:val="00901F97"/>
    <w:rsid w:val="009031E2"/>
    <w:rsid w:val="00904D1C"/>
    <w:rsid w:val="009060B4"/>
    <w:rsid w:val="0091085C"/>
    <w:rsid w:val="0091188E"/>
    <w:rsid w:val="0091276C"/>
    <w:rsid w:val="00914BDB"/>
    <w:rsid w:val="009165AC"/>
    <w:rsid w:val="00916FFC"/>
    <w:rsid w:val="00917CD7"/>
    <w:rsid w:val="0092053F"/>
    <w:rsid w:val="0092340A"/>
    <w:rsid w:val="00923629"/>
    <w:rsid w:val="009251F9"/>
    <w:rsid w:val="00925FBB"/>
    <w:rsid w:val="0092643C"/>
    <w:rsid w:val="009313D9"/>
    <w:rsid w:val="00935B7F"/>
    <w:rsid w:val="00936546"/>
    <w:rsid w:val="00936F36"/>
    <w:rsid w:val="00937412"/>
    <w:rsid w:val="00941293"/>
    <w:rsid w:val="00943ECE"/>
    <w:rsid w:val="00946363"/>
    <w:rsid w:val="00946372"/>
    <w:rsid w:val="0094687E"/>
    <w:rsid w:val="00950C17"/>
    <w:rsid w:val="00950C3F"/>
    <w:rsid w:val="00950DD9"/>
    <w:rsid w:val="00951FAF"/>
    <w:rsid w:val="009533FB"/>
    <w:rsid w:val="00953A68"/>
    <w:rsid w:val="00954740"/>
    <w:rsid w:val="00954AE7"/>
    <w:rsid w:val="00955AE5"/>
    <w:rsid w:val="009569FE"/>
    <w:rsid w:val="00957353"/>
    <w:rsid w:val="00957546"/>
    <w:rsid w:val="00960160"/>
    <w:rsid w:val="00960BAF"/>
    <w:rsid w:val="00962E71"/>
    <w:rsid w:val="00963ABC"/>
    <w:rsid w:val="00965D21"/>
    <w:rsid w:val="009663FE"/>
    <w:rsid w:val="00967764"/>
    <w:rsid w:val="00970278"/>
    <w:rsid w:val="00970B0E"/>
    <w:rsid w:val="00970BB9"/>
    <w:rsid w:val="0097237D"/>
    <w:rsid w:val="009723D2"/>
    <w:rsid w:val="009726EE"/>
    <w:rsid w:val="00972CDE"/>
    <w:rsid w:val="009733DD"/>
    <w:rsid w:val="009750F7"/>
    <w:rsid w:val="00975573"/>
    <w:rsid w:val="00976D03"/>
    <w:rsid w:val="00977B30"/>
    <w:rsid w:val="00977CD3"/>
    <w:rsid w:val="00980ED4"/>
    <w:rsid w:val="0098269F"/>
    <w:rsid w:val="00982F41"/>
    <w:rsid w:val="00983EBF"/>
    <w:rsid w:val="00984014"/>
    <w:rsid w:val="009847FC"/>
    <w:rsid w:val="00985090"/>
    <w:rsid w:val="009870DA"/>
    <w:rsid w:val="00987710"/>
    <w:rsid w:val="009904AB"/>
    <w:rsid w:val="009910F5"/>
    <w:rsid w:val="00991364"/>
    <w:rsid w:val="00993231"/>
    <w:rsid w:val="00994053"/>
    <w:rsid w:val="009947F3"/>
    <w:rsid w:val="00995688"/>
    <w:rsid w:val="009958A6"/>
    <w:rsid w:val="00996456"/>
    <w:rsid w:val="009970D3"/>
    <w:rsid w:val="009A04F5"/>
    <w:rsid w:val="009A15EF"/>
    <w:rsid w:val="009A34E6"/>
    <w:rsid w:val="009A38A5"/>
    <w:rsid w:val="009A48F2"/>
    <w:rsid w:val="009A533B"/>
    <w:rsid w:val="009A5A6C"/>
    <w:rsid w:val="009A5B73"/>
    <w:rsid w:val="009A72FE"/>
    <w:rsid w:val="009A769C"/>
    <w:rsid w:val="009A7F4D"/>
    <w:rsid w:val="009B0F19"/>
    <w:rsid w:val="009B0FF3"/>
    <w:rsid w:val="009B118B"/>
    <w:rsid w:val="009B1737"/>
    <w:rsid w:val="009B29E2"/>
    <w:rsid w:val="009B3D4B"/>
    <w:rsid w:val="009B4A35"/>
    <w:rsid w:val="009B5B99"/>
    <w:rsid w:val="009B6B5D"/>
    <w:rsid w:val="009B6EFC"/>
    <w:rsid w:val="009B772C"/>
    <w:rsid w:val="009C1307"/>
    <w:rsid w:val="009C1979"/>
    <w:rsid w:val="009C1FD0"/>
    <w:rsid w:val="009C2DF8"/>
    <w:rsid w:val="009C31BF"/>
    <w:rsid w:val="009C50B4"/>
    <w:rsid w:val="009C6809"/>
    <w:rsid w:val="009C68B7"/>
    <w:rsid w:val="009D0834"/>
    <w:rsid w:val="009D0A1E"/>
    <w:rsid w:val="009D2AE3"/>
    <w:rsid w:val="009D3669"/>
    <w:rsid w:val="009D52BC"/>
    <w:rsid w:val="009D5452"/>
    <w:rsid w:val="009D664B"/>
    <w:rsid w:val="009D6D47"/>
    <w:rsid w:val="009D6E2C"/>
    <w:rsid w:val="009D70D5"/>
    <w:rsid w:val="009D7D0A"/>
    <w:rsid w:val="009E09D9"/>
    <w:rsid w:val="009E3B10"/>
    <w:rsid w:val="009E6003"/>
    <w:rsid w:val="009F01B1"/>
    <w:rsid w:val="009F0DBB"/>
    <w:rsid w:val="009F0E33"/>
    <w:rsid w:val="009F2927"/>
    <w:rsid w:val="009F29DD"/>
    <w:rsid w:val="009F3689"/>
    <w:rsid w:val="009F3887"/>
    <w:rsid w:val="009F57AB"/>
    <w:rsid w:val="009F6302"/>
    <w:rsid w:val="009F659A"/>
    <w:rsid w:val="009F660B"/>
    <w:rsid w:val="009F732B"/>
    <w:rsid w:val="009F7E7A"/>
    <w:rsid w:val="00A01FE0"/>
    <w:rsid w:val="00A02596"/>
    <w:rsid w:val="00A03508"/>
    <w:rsid w:val="00A0413F"/>
    <w:rsid w:val="00A053B2"/>
    <w:rsid w:val="00A06945"/>
    <w:rsid w:val="00A072E9"/>
    <w:rsid w:val="00A07BF0"/>
    <w:rsid w:val="00A1023D"/>
    <w:rsid w:val="00A10656"/>
    <w:rsid w:val="00A113C0"/>
    <w:rsid w:val="00A12FA6"/>
    <w:rsid w:val="00A1339B"/>
    <w:rsid w:val="00A136E1"/>
    <w:rsid w:val="00A14ABA"/>
    <w:rsid w:val="00A17999"/>
    <w:rsid w:val="00A17ADE"/>
    <w:rsid w:val="00A2015E"/>
    <w:rsid w:val="00A22083"/>
    <w:rsid w:val="00A24CB6"/>
    <w:rsid w:val="00A24E67"/>
    <w:rsid w:val="00A2699F"/>
    <w:rsid w:val="00A26CD2"/>
    <w:rsid w:val="00A26E3F"/>
    <w:rsid w:val="00A27667"/>
    <w:rsid w:val="00A30B89"/>
    <w:rsid w:val="00A3230F"/>
    <w:rsid w:val="00A32979"/>
    <w:rsid w:val="00A32D7E"/>
    <w:rsid w:val="00A33015"/>
    <w:rsid w:val="00A34A67"/>
    <w:rsid w:val="00A35CFA"/>
    <w:rsid w:val="00A37462"/>
    <w:rsid w:val="00A41F72"/>
    <w:rsid w:val="00A42E35"/>
    <w:rsid w:val="00A459E1"/>
    <w:rsid w:val="00A463D5"/>
    <w:rsid w:val="00A465BC"/>
    <w:rsid w:val="00A46AC4"/>
    <w:rsid w:val="00A47DDA"/>
    <w:rsid w:val="00A509DF"/>
    <w:rsid w:val="00A5123B"/>
    <w:rsid w:val="00A51833"/>
    <w:rsid w:val="00A52296"/>
    <w:rsid w:val="00A55661"/>
    <w:rsid w:val="00A55AC7"/>
    <w:rsid w:val="00A56894"/>
    <w:rsid w:val="00A5701D"/>
    <w:rsid w:val="00A579D4"/>
    <w:rsid w:val="00A61B70"/>
    <w:rsid w:val="00A61FA8"/>
    <w:rsid w:val="00A62DEE"/>
    <w:rsid w:val="00A62F77"/>
    <w:rsid w:val="00A637F4"/>
    <w:rsid w:val="00A64DF2"/>
    <w:rsid w:val="00A65485"/>
    <w:rsid w:val="00A66E05"/>
    <w:rsid w:val="00A70753"/>
    <w:rsid w:val="00A712D2"/>
    <w:rsid w:val="00A71ED8"/>
    <w:rsid w:val="00A72692"/>
    <w:rsid w:val="00A729B1"/>
    <w:rsid w:val="00A8042B"/>
    <w:rsid w:val="00A80EE0"/>
    <w:rsid w:val="00A825B6"/>
    <w:rsid w:val="00A82C8A"/>
    <w:rsid w:val="00A8313F"/>
    <w:rsid w:val="00A8346B"/>
    <w:rsid w:val="00A852FF"/>
    <w:rsid w:val="00A87337"/>
    <w:rsid w:val="00A87D02"/>
    <w:rsid w:val="00A87EDF"/>
    <w:rsid w:val="00A90C97"/>
    <w:rsid w:val="00A91504"/>
    <w:rsid w:val="00A92DDC"/>
    <w:rsid w:val="00A93630"/>
    <w:rsid w:val="00A93659"/>
    <w:rsid w:val="00A93F17"/>
    <w:rsid w:val="00A94CC6"/>
    <w:rsid w:val="00A960C8"/>
    <w:rsid w:val="00A96604"/>
    <w:rsid w:val="00A96CA5"/>
    <w:rsid w:val="00A97116"/>
    <w:rsid w:val="00AA03DF"/>
    <w:rsid w:val="00AA12A7"/>
    <w:rsid w:val="00AA1B4F"/>
    <w:rsid w:val="00AA21D8"/>
    <w:rsid w:val="00AA271A"/>
    <w:rsid w:val="00AA3270"/>
    <w:rsid w:val="00AA5041"/>
    <w:rsid w:val="00AA54F3"/>
    <w:rsid w:val="00AA5B26"/>
    <w:rsid w:val="00AA6B43"/>
    <w:rsid w:val="00AA720D"/>
    <w:rsid w:val="00AB03EA"/>
    <w:rsid w:val="00AB0776"/>
    <w:rsid w:val="00AB0904"/>
    <w:rsid w:val="00AB367A"/>
    <w:rsid w:val="00AB537E"/>
    <w:rsid w:val="00AB5AFE"/>
    <w:rsid w:val="00AB7141"/>
    <w:rsid w:val="00AB7B2D"/>
    <w:rsid w:val="00AC01D1"/>
    <w:rsid w:val="00AC0AB2"/>
    <w:rsid w:val="00AC0E9F"/>
    <w:rsid w:val="00AC162E"/>
    <w:rsid w:val="00AC52A5"/>
    <w:rsid w:val="00AC64BA"/>
    <w:rsid w:val="00AC6EFD"/>
    <w:rsid w:val="00AC7151"/>
    <w:rsid w:val="00AD28D3"/>
    <w:rsid w:val="00AD460A"/>
    <w:rsid w:val="00AD4724"/>
    <w:rsid w:val="00AD6A05"/>
    <w:rsid w:val="00AE0273"/>
    <w:rsid w:val="00AE118B"/>
    <w:rsid w:val="00AE19BF"/>
    <w:rsid w:val="00AE272B"/>
    <w:rsid w:val="00AE3E3A"/>
    <w:rsid w:val="00AE77B4"/>
    <w:rsid w:val="00AE7C1A"/>
    <w:rsid w:val="00AE7DF8"/>
    <w:rsid w:val="00AF0CC7"/>
    <w:rsid w:val="00AF0D9C"/>
    <w:rsid w:val="00AF13AB"/>
    <w:rsid w:val="00AF178C"/>
    <w:rsid w:val="00AF1D36"/>
    <w:rsid w:val="00AF280B"/>
    <w:rsid w:val="00AF2BE8"/>
    <w:rsid w:val="00AF4BF3"/>
    <w:rsid w:val="00AF5F75"/>
    <w:rsid w:val="00AF6001"/>
    <w:rsid w:val="00AF7102"/>
    <w:rsid w:val="00AF77FD"/>
    <w:rsid w:val="00B01154"/>
    <w:rsid w:val="00B01A16"/>
    <w:rsid w:val="00B03BCB"/>
    <w:rsid w:val="00B06DED"/>
    <w:rsid w:val="00B07822"/>
    <w:rsid w:val="00B07F45"/>
    <w:rsid w:val="00B1021A"/>
    <w:rsid w:val="00B1067E"/>
    <w:rsid w:val="00B126F9"/>
    <w:rsid w:val="00B13A91"/>
    <w:rsid w:val="00B13E23"/>
    <w:rsid w:val="00B1481A"/>
    <w:rsid w:val="00B15472"/>
    <w:rsid w:val="00B15A1F"/>
    <w:rsid w:val="00B15FE9"/>
    <w:rsid w:val="00B2029A"/>
    <w:rsid w:val="00B206BB"/>
    <w:rsid w:val="00B2148A"/>
    <w:rsid w:val="00B220C2"/>
    <w:rsid w:val="00B22846"/>
    <w:rsid w:val="00B22B5A"/>
    <w:rsid w:val="00B23F42"/>
    <w:rsid w:val="00B2435C"/>
    <w:rsid w:val="00B25B32"/>
    <w:rsid w:val="00B300EA"/>
    <w:rsid w:val="00B30BE7"/>
    <w:rsid w:val="00B3255A"/>
    <w:rsid w:val="00B32616"/>
    <w:rsid w:val="00B34C8C"/>
    <w:rsid w:val="00B3678C"/>
    <w:rsid w:val="00B36B79"/>
    <w:rsid w:val="00B36C42"/>
    <w:rsid w:val="00B41C04"/>
    <w:rsid w:val="00B4248E"/>
    <w:rsid w:val="00B42EA7"/>
    <w:rsid w:val="00B44151"/>
    <w:rsid w:val="00B46B94"/>
    <w:rsid w:val="00B5015F"/>
    <w:rsid w:val="00B51845"/>
    <w:rsid w:val="00B51923"/>
    <w:rsid w:val="00B5276C"/>
    <w:rsid w:val="00B5337C"/>
    <w:rsid w:val="00B53FDE"/>
    <w:rsid w:val="00B55FEF"/>
    <w:rsid w:val="00B56397"/>
    <w:rsid w:val="00B56FDE"/>
    <w:rsid w:val="00B571DA"/>
    <w:rsid w:val="00B6027B"/>
    <w:rsid w:val="00B61464"/>
    <w:rsid w:val="00B6150C"/>
    <w:rsid w:val="00B621AA"/>
    <w:rsid w:val="00B636C8"/>
    <w:rsid w:val="00B65EDB"/>
    <w:rsid w:val="00B67AFF"/>
    <w:rsid w:val="00B67EDB"/>
    <w:rsid w:val="00B70B59"/>
    <w:rsid w:val="00B71834"/>
    <w:rsid w:val="00B720CF"/>
    <w:rsid w:val="00B7230D"/>
    <w:rsid w:val="00B7266F"/>
    <w:rsid w:val="00B73657"/>
    <w:rsid w:val="00B739B3"/>
    <w:rsid w:val="00B74B17"/>
    <w:rsid w:val="00B7508D"/>
    <w:rsid w:val="00B778C0"/>
    <w:rsid w:val="00B77E20"/>
    <w:rsid w:val="00B80693"/>
    <w:rsid w:val="00B81B15"/>
    <w:rsid w:val="00B86A24"/>
    <w:rsid w:val="00B86CF6"/>
    <w:rsid w:val="00B9020A"/>
    <w:rsid w:val="00B915AE"/>
    <w:rsid w:val="00B9169E"/>
    <w:rsid w:val="00B9382E"/>
    <w:rsid w:val="00B93BAC"/>
    <w:rsid w:val="00B9593C"/>
    <w:rsid w:val="00B96B48"/>
    <w:rsid w:val="00B96B93"/>
    <w:rsid w:val="00B96E2D"/>
    <w:rsid w:val="00B9764D"/>
    <w:rsid w:val="00BA02C6"/>
    <w:rsid w:val="00BA1735"/>
    <w:rsid w:val="00BA19FA"/>
    <w:rsid w:val="00BA2536"/>
    <w:rsid w:val="00BA4288"/>
    <w:rsid w:val="00BA541E"/>
    <w:rsid w:val="00BA639D"/>
    <w:rsid w:val="00BA6977"/>
    <w:rsid w:val="00BA6B67"/>
    <w:rsid w:val="00BB0902"/>
    <w:rsid w:val="00BB1F9C"/>
    <w:rsid w:val="00BB26B0"/>
    <w:rsid w:val="00BB2980"/>
    <w:rsid w:val="00BB30D7"/>
    <w:rsid w:val="00BB48E5"/>
    <w:rsid w:val="00BB5607"/>
    <w:rsid w:val="00BB5ACA"/>
    <w:rsid w:val="00BB627F"/>
    <w:rsid w:val="00BB72E7"/>
    <w:rsid w:val="00BC0C17"/>
    <w:rsid w:val="00BC1B7D"/>
    <w:rsid w:val="00BC1F65"/>
    <w:rsid w:val="00BC3823"/>
    <w:rsid w:val="00BC5595"/>
    <w:rsid w:val="00BC5841"/>
    <w:rsid w:val="00BC737B"/>
    <w:rsid w:val="00BD26DB"/>
    <w:rsid w:val="00BD2EA7"/>
    <w:rsid w:val="00BD2EF0"/>
    <w:rsid w:val="00BD3D91"/>
    <w:rsid w:val="00BD60B4"/>
    <w:rsid w:val="00BD796B"/>
    <w:rsid w:val="00BD7A53"/>
    <w:rsid w:val="00BE0568"/>
    <w:rsid w:val="00BE07CE"/>
    <w:rsid w:val="00BE40C0"/>
    <w:rsid w:val="00BE413D"/>
    <w:rsid w:val="00BE4681"/>
    <w:rsid w:val="00BE5F4A"/>
    <w:rsid w:val="00BE6DBB"/>
    <w:rsid w:val="00BE7AEF"/>
    <w:rsid w:val="00BF0420"/>
    <w:rsid w:val="00BF09B0"/>
    <w:rsid w:val="00BF1544"/>
    <w:rsid w:val="00BF1B53"/>
    <w:rsid w:val="00BF246D"/>
    <w:rsid w:val="00BF2682"/>
    <w:rsid w:val="00BF3D1E"/>
    <w:rsid w:val="00BF4A9D"/>
    <w:rsid w:val="00BF5C6A"/>
    <w:rsid w:val="00BF6B85"/>
    <w:rsid w:val="00C018D2"/>
    <w:rsid w:val="00C041F2"/>
    <w:rsid w:val="00C047CD"/>
    <w:rsid w:val="00C05DCD"/>
    <w:rsid w:val="00C06C1C"/>
    <w:rsid w:val="00C06F06"/>
    <w:rsid w:val="00C124B1"/>
    <w:rsid w:val="00C17D1B"/>
    <w:rsid w:val="00C2097A"/>
    <w:rsid w:val="00C20FAD"/>
    <w:rsid w:val="00C2375F"/>
    <w:rsid w:val="00C247CB"/>
    <w:rsid w:val="00C26C2B"/>
    <w:rsid w:val="00C27546"/>
    <w:rsid w:val="00C30159"/>
    <w:rsid w:val="00C304CC"/>
    <w:rsid w:val="00C30AA2"/>
    <w:rsid w:val="00C30DEF"/>
    <w:rsid w:val="00C32255"/>
    <w:rsid w:val="00C3244A"/>
    <w:rsid w:val="00C32E66"/>
    <w:rsid w:val="00C3355F"/>
    <w:rsid w:val="00C33A04"/>
    <w:rsid w:val="00C33BB9"/>
    <w:rsid w:val="00C34886"/>
    <w:rsid w:val="00C34E65"/>
    <w:rsid w:val="00C3569A"/>
    <w:rsid w:val="00C3594F"/>
    <w:rsid w:val="00C36DF3"/>
    <w:rsid w:val="00C43F48"/>
    <w:rsid w:val="00C448FF"/>
    <w:rsid w:val="00C45E57"/>
    <w:rsid w:val="00C52F29"/>
    <w:rsid w:val="00C53F8D"/>
    <w:rsid w:val="00C54E57"/>
    <w:rsid w:val="00C56186"/>
    <w:rsid w:val="00C563EE"/>
    <w:rsid w:val="00C56CE6"/>
    <w:rsid w:val="00C5745F"/>
    <w:rsid w:val="00C60005"/>
    <w:rsid w:val="00C61A98"/>
    <w:rsid w:val="00C63201"/>
    <w:rsid w:val="00C63EEC"/>
    <w:rsid w:val="00C64560"/>
    <w:rsid w:val="00C64E62"/>
    <w:rsid w:val="00C651D5"/>
    <w:rsid w:val="00C6545C"/>
    <w:rsid w:val="00C65A3E"/>
    <w:rsid w:val="00C65CCC"/>
    <w:rsid w:val="00C7618F"/>
    <w:rsid w:val="00C765A9"/>
    <w:rsid w:val="00C80223"/>
    <w:rsid w:val="00C81157"/>
    <w:rsid w:val="00C8162D"/>
    <w:rsid w:val="00C817B5"/>
    <w:rsid w:val="00C830BB"/>
    <w:rsid w:val="00C836CC"/>
    <w:rsid w:val="00C83A0B"/>
    <w:rsid w:val="00C842D0"/>
    <w:rsid w:val="00C84ED1"/>
    <w:rsid w:val="00C85D17"/>
    <w:rsid w:val="00C860A2"/>
    <w:rsid w:val="00C863CC"/>
    <w:rsid w:val="00C8647A"/>
    <w:rsid w:val="00C9038F"/>
    <w:rsid w:val="00C90581"/>
    <w:rsid w:val="00C90E7B"/>
    <w:rsid w:val="00C91471"/>
    <w:rsid w:val="00C917D1"/>
    <w:rsid w:val="00C92951"/>
    <w:rsid w:val="00C92AAB"/>
    <w:rsid w:val="00C93AD4"/>
    <w:rsid w:val="00C93FD3"/>
    <w:rsid w:val="00C95D4C"/>
    <w:rsid w:val="00C9637F"/>
    <w:rsid w:val="00C9708A"/>
    <w:rsid w:val="00C97CD3"/>
    <w:rsid w:val="00CA2435"/>
    <w:rsid w:val="00CA3D14"/>
    <w:rsid w:val="00CA3E89"/>
    <w:rsid w:val="00CA3EB2"/>
    <w:rsid w:val="00CA4068"/>
    <w:rsid w:val="00CA589A"/>
    <w:rsid w:val="00CA67F4"/>
    <w:rsid w:val="00CB03B5"/>
    <w:rsid w:val="00CB37F8"/>
    <w:rsid w:val="00CB40CA"/>
    <w:rsid w:val="00CB4555"/>
    <w:rsid w:val="00CB542C"/>
    <w:rsid w:val="00CB6C5B"/>
    <w:rsid w:val="00CB73BC"/>
    <w:rsid w:val="00CB7DC3"/>
    <w:rsid w:val="00CC4FE3"/>
    <w:rsid w:val="00CC5BE1"/>
    <w:rsid w:val="00CC668E"/>
    <w:rsid w:val="00CC6A53"/>
    <w:rsid w:val="00CC6E48"/>
    <w:rsid w:val="00CC75A2"/>
    <w:rsid w:val="00CC7A18"/>
    <w:rsid w:val="00CD0E2F"/>
    <w:rsid w:val="00CD1183"/>
    <w:rsid w:val="00CD1339"/>
    <w:rsid w:val="00CD1D49"/>
    <w:rsid w:val="00CD29D0"/>
    <w:rsid w:val="00CD2F20"/>
    <w:rsid w:val="00CD4B90"/>
    <w:rsid w:val="00CD5948"/>
    <w:rsid w:val="00CD6B20"/>
    <w:rsid w:val="00CE1339"/>
    <w:rsid w:val="00CE61CC"/>
    <w:rsid w:val="00CE6E42"/>
    <w:rsid w:val="00CE6EA5"/>
    <w:rsid w:val="00CF1783"/>
    <w:rsid w:val="00CF20B7"/>
    <w:rsid w:val="00CF3124"/>
    <w:rsid w:val="00CF5398"/>
    <w:rsid w:val="00CF6692"/>
    <w:rsid w:val="00CF6FD9"/>
    <w:rsid w:val="00CF7441"/>
    <w:rsid w:val="00D00D16"/>
    <w:rsid w:val="00D03C6C"/>
    <w:rsid w:val="00D04760"/>
    <w:rsid w:val="00D04A95"/>
    <w:rsid w:val="00D0538F"/>
    <w:rsid w:val="00D06288"/>
    <w:rsid w:val="00D06467"/>
    <w:rsid w:val="00D068C7"/>
    <w:rsid w:val="00D10904"/>
    <w:rsid w:val="00D128A4"/>
    <w:rsid w:val="00D12C87"/>
    <w:rsid w:val="00D1333B"/>
    <w:rsid w:val="00D146E1"/>
    <w:rsid w:val="00D147C8"/>
    <w:rsid w:val="00D15131"/>
    <w:rsid w:val="00D161E4"/>
    <w:rsid w:val="00D16FA2"/>
    <w:rsid w:val="00D20954"/>
    <w:rsid w:val="00D214CA"/>
    <w:rsid w:val="00D21C39"/>
    <w:rsid w:val="00D21FC6"/>
    <w:rsid w:val="00D2243A"/>
    <w:rsid w:val="00D33393"/>
    <w:rsid w:val="00D33D36"/>
    <w:rsid w:val="00D34D94"/>
    <w:rsid w:val="00D374A0"/>
    <w:rsid w:val="00D409E2"/>
    <w:rsid w:val="00D40C2D"/>
    <w:rsid w:val="00D40D46"/>
    <w:rsid w:val="00D4127C"/>
    <w:rsid w:val="00D427D7"/>
    <w:rsid w:val="00D44513"/>
    <w:rsid w:val="00D4481B"/>
    <w:rsid w:val="00D44E62"/>
    <w:rsid w:val="00D4527F"/>
    <w:rsid w:val="00D45A31"/>
    <w:rsid w:val="00D51570"/>
    <w:rsid w:val="00D556AD"/>
    <w:rsid w:val="00D57E81"/>
    <w:rsid w:val="00D60381"/>
    <w:rsid w:val="00D603D3"/>
    <w:rsid w:val="00D60459"/>
    <w:rsid w:val="00D60A6A"/>
    <w:rsid w:val="00D616DE"/>
    <w:rsid w:val="00D62201"/>
    <w:rsid w:val="00D63D91"/>
    <w:rsid w:val="00D651D1"/>
    <w:rsid w:val="00D66402"/>
    <w:rsid w:val="00D717BB"/>
    <w:rsid w:val="00D7226B"/>
    <w:rsid w:val="00D72707"/>
    <w:rsid w:val="00D72891"/>
    <w:rsid w:val="00D730F4"/>
    <w:rsid w:val="00D7435A"/>
    <w:rsid w:val="00D75976"/>
    <w:rsid w:val="00D75A9C"/>
    <w:rsid w:val="00D76095"/>
    <w:rsid w:val="00D771BB"/>
    <w:rsid w:val="00D829C8"/>
    <w:rsid w:val="00D8489D"/>
    <w:rsid w:val="00D852B3"/>
    <w:rsid w:val="00D85CD1"/>
    <w:rsid w:val="00D863E3"/>
    <w:rsid w:val="00D8709E"/>
    <w:rsid w:val="00D90871"/>
    <w:rsid w:val="00D9155F"/>
    <w:rsid w:val="00D91C5C"/>
    <w:rsid w:val="00D92A2C"/>
    <w:rsid w:val="00D9403F"/>
    <w:rsid w:val="00D948E0"/>
    <w:rsid w:val="00D959B4"/>
    <w:rsid w:val="00DA12B9"/>
    <w:rsid w:val="00DA218E"/>
    <w:rsid w:val="00DA2CA4"/>
    <w:rsid w:val="00DA44DE"/>
    <w:rsid w:val="00DA5166"/>
    <w:rsid w:val="00DA5488"/>
    <w:rsid w:val="00DA5491"/>
    <w:rsid w:val="00DA79C4"/>
    <w:rsid w:val="00DB1BA2"/>
    <w:rsid w:val="00DB2676"/>
    <w:rsid w:val="00DB2EB0"/>
    <w:rsid w:val="00DB3A13"/>
    <w:rsid w:val="00DB5981"/>
    <w:rsid w:val="00DB620A"/>
    <w:rsid w:val="00DB7422"/>
    <w:rsid w:val="00DC3832"/>
    <w:rsid w:val="00DC414E"/>
    <w:rsid w:val="00DC510E"/>
    <w:rsid w:val="00DC5B68"/>
    <w:rsid w:val="00DC7A51"/>
    <w:rsid w:val="00DC7B39"/>
    <w:rsid w:val="00DD3B1E"/>
    <w:rsid w:val="00DD4290"/>
    <w:rsid w:val="00DD7510"/>
    <w:rsid w:val="00DE2589"/>
    <w:rsid w:val="00DE35BB"/>
    <w:rsid w:val="00DE4B25"/>
    <w:rsid w:val="00DE4C59"/>
    <w:rsid w:val="00DE51CC"/>
    <w:rsid w:val="00DE5B5F"/>
    <w:rsid w:val="00DF0ED6"/>
    <w:rsid w:val="00DF614E"/>
    <w:rsid w:val="00E00696"/>
    <w:rsid w:val="00E03047"/>
    <w:rsid w:val="00E03651"/>
    <w:rsid w:val="00E03808"/>
    <w:rsid w:val="00E03EA5"/>
    <w:rsid w:val="00E060C2"/>
    <w:rsid w:val="00E06324"/>
    <w:rsid w:val="00E07B81"/>
    <w:rsid w:val="00E10AFD"/>
    <w:rsid w:val="00E12B11"/>
    <w:rsid w:val="00E12FB0"/>
    <w:rsid w:val="00E13073"/>
    <w:rsid w:val="00E14814"/>
    <w:rsid w:val="00E1591B"/>
    <w:rsid w:val="00E166BD"/>
    <w:rsid w:val="00E16A50"/>
    <w:rsid w:val="00E21871"/>
    <w:rsid w:val="00E220E8"/>
    <w:rsid w:val="00E230F7"/>
    <w:rsid w:val="00E24354"/>
    <w:rsid w:val="00E249D5"/>
    <w:rsid w:val="00E25017"/>
    <w:rsid w:val="00E26F73"/>
    <w:rsid w:val="00E30A34"/>
    <w:rsid w:val="00E30E09"/>
    <w:rsid w:val="00E30F91"/>
    <w:rsid w:val="00E317AD"/>
    <w:rsid w:val="00E333F0"/>
    <w:rsid w:val="00E33A9C"/>
    <w:rsid w:val="00E33C68"/>
    <w:rsid w:val="00E34A4E"/>
    <w:rsid w:val="00E34EEB"/>
    <w:rsid w:val="00E354C3"/>
    <w:rsid w:val="00E3687C"/>
    <w:rsid w:val="00E37A32"/>
    <w:rsid w:val="00E4224A"/>
    <w:rsid w:val="00E4261A"/>
    <w:rsid w:val="00E431B4"/>
    <w:rsid w:val="00E44000"/>
    <w:rsid w:val="00E44EB9"/>
    <w:rsid w:val="00E45BDC"/>
    <w:rsid w:val="00E46358"/>
    <w:rsid w:val="00E471DC"/>
    <w:rsid w:val="00E503A3"/>
    <w:rsid w:val="00E50EB4"/>
    <w:rsid w:val="00E532FC"/>
    <w:rsid w:val="00E53AE9"/>
    <w:rsid w:val="00E54986"/>
    <w:rsid w:val="00E559B4"/>
    <w:rsid w:val="00E55A2E"/>
    <w:rsid w:val="00E55BB0"/>
    <w:rsid w:val="00E60551"/>
    <w:rsid w:val="00E609E5"/>
    <w:rsid w:val="00E60F27"/>
    <w:rsid w:val="00E641A7"/>
    <w:rsid w:val="00E64D93"/>
    <w:rsid w:val="00E65EDB"/>
    <w:rsid w:val="00E66927"/>
    <w:rsid w:val="00E67078"/>
    <w:rsid w:val="00E677B8"/>
    <w:rsid w:val="00E67AD0"/>
    <w:rsid w:val="00E67FA1"/>
    <w:rsid w:val="00E71B84"/>
    <w:rsid w:val="00E73749"/>
    <w:rsid w:val="00E7387D"/>
    <w:rsid w:val="00E73D53"/>
    <w:rsid w:val="00E7444D"/>
    <w:rsid w:val="00E75111"/>
    <w:rsid w:val="00E77296"/>
    <w:rsid w:val="00E77E19"/>
    <w:rsid w:val="00E81967"/>
    <w:rsid w:val="00E82173"/>
    <w:rsid w:val="00E822F7"/>
    <w:rsid w:val="00E835B4"/>
    <w:rsid w:val="00E85054"/>
    <w:rsid w:val="00E85622"/>
    <w:rsid w:val="00E85B44"/>
    <w:rsid w:val="00E87527"/>
    <w:rsid w:val="00E87612"/>
    <w:rsid w:val="00E87EF7"/>
    <w:rsid w:val="00E90064"/>
    <w:rsid w:val="00E91190"/>
    <w:rsid w:val="00E92146"/>
    <w:rsid w:val="00E93763"/>
    <w:rsid w:val="00E94453"/>
    <w:rsid w:val="00E96C4C"/>
    <w:rsid w:val="00E9706F"/>
    <w:rsid w:val="00E97813"/>
    <w:rsid w:val="00EA0549"/>
    <w:rsid w:val="00EA08EA"/>
    <w:rsid w:val="00EA2294"/>
    <w:rsid w:val="00EA249B"/>
    <w:rsid w:val="00EA2552"/>
    <w:rsid w:val="00EA2AAE"/>
    <w:rsid w:val="00EA2C23"/>
    <w:rsid w:val="00EA2EC0"/>
    <w:rsid w:val="00EA427A"/>
    <w:rsid w:val="00EA49E2"/>
    <w:rsid w:val="00EA5887"/>
    <w:rsid w:val="00EA6016"/>
    <w:rsid w:val="00EA6AC7"/>
    <w:rsid w:val="00EA723B"/>
    <w:rsid w:val="00EA7E26"/>
    <w:rsid w:val="00EB0D54"/>
    <w:rsid w:val="00EB27E9"/>
    <w:rsid w:val="00EB2BEC"/>
    <w:rsid w:val="00EB3080"/>
    <w:rsid w:val="00EB6350"/>
    <w:rsid w:val="00EB687A"/>
    <w:rsid w:val="00EB691A"/>
    <w:rsid w:val="00EB70EA"/>
    <w:rsid w:val="00EC00FF"/>
    <w:rsid w:val="00EC1B44"/>
    <w:rsid w:val="00EC2F62"/>
    <w:rsid w:val="00EC3B07"/>
    <w:rsid w:val="00EC53F4"/>
    <w:rsid w:val="00EC62EB"/>
    <w:rsid w:val="00EC6E9F"/>
    <w:rsid w:val="00ED1C65"/>
    <w:rsid w:val="00ED2179"/>
    <w:rsid w:val="00ED3FC8"/>
    <w:rsid w:val="00ED44F0"/>
    <w:rsid w:val="00ED47DC"/>
    <w:rsid w:val="00ED4B33"/>
    <w:rsid w:val="00ED4EE5"/>
    <w:rsid w:val="00ED5213"/>
    <w:rsid w:val="00ED5993"/>
    <w:rsid w:val="00ED6A20"/>
    <w:rsid w:val="00ED7DD6"/>
    <w:rsid w:val="00EE060B"/>
    <w:rsid w:val="00EE15A1"/>
    <w:rsid w:val="00EE1C4A"/>
    <w:rsid w:val="00EE2A7C"/>
    <w:rsid w:val="00EE2B66"/>
    <w:rsid w:val="00EE2B8E"/>
    <w:rsid w:val="00EE2C42"/>
    <w:rsid w:val="00EE341B"/>
    <w:rsid w:val="00EE36EF"/>
    <w:rsid w:val="00EE3F4B"/>
    <w:rsid w:val="00EE4453"/>
    <w:rsid w:val="00EE5FCE"/>
    <w:rsid w:val="00EE661D"/>
    <w:rsid w:val="00EE6BBD"/>
    <w:rsid w:val="00EE6E1E"/>
    <w:rsid w:val="00EE705F"/>
    <w:rsid w:val="00EF0E42"/>
    <w:rsid w:val="00EF1462"/>
    <w:rsid w:val="00EF2F99"/>
    <w:rsid w:val="00EF54FD"/>
    <w:rsid w:val="00F009AA"/>
    <w:rsid w:val="00F01450"/>
    <w:rsid w:val="00F03DFD"/>
    <w:rsid w:val="00F054A6"/>
    <w:rsid w:val="00F074A5"/>
    <w:rsid w:val="00F07F0D"/>
    <w:rsid w:val="00F10C21"/>
    <w:rsid w:val="00F11822"/>
    <w:rsid w:val="00F12C4D"/>
    <w:rsid w:val="00F13112"/>
    <w:rsid w:val="00F1573A"/>
    <w:rsid w:val="00F16FE6"/>
    <w:rsid w:val="00F20660"/>
    <w:rsid w:val="00F21B70"/>
    <w:rsid w:val="00F238BD"/>
    <w:rsid w:val="00F24992"/>
    <w:rsid w:val="00F25505"/>
    <w:rsid w:val="00F25F7F"/>
    <w:rsid w:val="00F270C4"/>
    <w:rsid w:val="00F27511"/>
    <w:rsid w:val="00F318B4"/>
    <w:rsid w:val="00F32395"/>
    <w:rsid w:val="00F32F2F"/>
    <w:rsid w:val="00F33ED1"/>
    <w:rsid w:val="00F33F3F"/>
    <w:rsid w:val="00F3591C"/>
    <w:rsid w:val="00F35BDD"/>
    <w:rsid w:val="00F35EF0"/>
    <w:rsid w:val="00F3781F"/>
    <w:rsid w:val="00F379E0"/>
    <w:rsid w:val="00F403FD"/>
    <w:rsid w:val="00F41AA8"/>
    <w:rsid w:val="00F41E72"/>
    <w:rsid w:val="00F42AC3"/>
    <w:rsid w:val="00F432D0"/>
    <w:rsid w:val="00F44991"/>
    <w:rsid w:val="00F4556D"/>
    <w:rsid w:val="00F45BDF"/>
    <w:rsid w:val="00F47324"/>
    <w:rsid w:val="00F50300"/>
    <w:rsid w:val="00F507A2"/>
    <w:rsid w:val="00F51D3F"/>
    <w:rsid w:val="00F52892"/>
    <w:rsid w:val="00F5414B"/>
    <w:rsid w:val="00F55C64"/>
    <w:rsid w:val="00F560FE"/>
    <w:rsid w:val="00F56CC3"/>
    <w:rsid w:val="00F56E39"/>
    <w:rsid w:val="00F5778F"/>
    <w:rsid w:val="00F611A1"/>
    <w:rsid w:val="00F623E9"/>
    <w:rsid w:val="00F6372A"/>
    <w:rsid w:val="00F63951"/>
    <w:rsid w:val="00F63C86"/>
    <w:rsid w:val="00F70A83"/>
    <w:rsid w:val="00F711F6"/>
    <w:rsid w:val="00F73254"/>
    <w:rsid w:val="00F74155"/>
    <w:rsid w:val="00F7480A"/>
    <w:rsid w:val="00F74CE1"/>
    <w:rsid w:val="00F766BE"/>
    <w:rsid w:val="00F77EB9"/>
    <w:rsid w:val="00F80635"/>
    <w:rsid w:val="00F8115F"/>
    <w:rsid w:val="00F815D1"/>
    <w:rsid w:val="00F81E7E"/>
    <w:rsid w:val="00F81F0F"/>
    <w:rsid w:val="00F825F4"/>
    <w:rsid w:val="00F83925"/>
    <w:rsid w:val="00F860E1"/>
    <w:rsid w:val="00F87D67"/>
    <w:rsid w:val="00F90507"/>
    <w:rsid w:val="00F91149"/>
    <w:rsid w:val="00F914B2"/>
    <w:rsid w:val="00F91974"/>
    <w:rsid w:val="00F92AA1"/>
    <w:rsid w:val="00F930F1"/>
    <w:rsid w:val="00F932DE"/>
    <w:rsid w:val="00F94AD6"/>
    <w:rsid w:val="00F95926"/>
    <w:rsid w:val="00F95D5C"/>
    <w:rsid w:val="00F96172"/>
    <w:rsid w:val="00F963DD"/>
    <w:rsid w:val="00F9641A"/>
    <w:rsid w:val="00F97004"/>
    <w:rsid w:val="00FA201C"/>
    <w:rsid w:val="00FA2045"/>
    <w:rsid w:val="00FA454F"/>
    <w:rsid w:val="00FA7231"/>
    <w:rsid w:val="00FA7A66"/>
    <w:rsid w:val="00FB0CA6"/>
    <w:rsid w:val="00FB1AA9"/>
    <w:rsid w:val="00FB236C"/>
    <w:rsid w:val="00FB33E7"/>
    <w:rsid w:val="00FB4B5A"/>
    <w:rsid w:val="00FB5963"/>
    <w:rsid w:val="00FB5DAA"/>
    <w:rsid w:val="00FB5F1B"/>
    <w:rsid w:val="00FB7495"/>
    <w:rsid w:val="00FB7DDB"/>
    <w:rsid w:val="00FC04B9"/>
    <w:rsid w:val="00FC161A"/>
    <w:rsid w:val="00FC23D5"/>
    <w:rsid w:val="00FC2EF5"/>
    <w:rsid w:val="00FC3B4D"/>
    <w:rsid w:val="00FC4337"/>
    <w:rsid w:val="00FC4C1A"/>
    <w:rsid w:val="00FC5737"/>
    <w:rsid w:val="00FC5C04"/>
    <w:rsid w:val="00FC628F"/>
    <w:rsid w:val="00FC6468"/>
    <w:rsid w:val="00FC6D49"/>
    <w:rsid w:val="00FC7D1D"/>
    <w:rsid w:val="00FC7F89"/>
    <w:rsid w:val="00FD246E"/>
    <w:rsid w:val="00FD4922"/>
    <w:rsid w:val="00FD6461"/>
    <w:rsid w:val="00FD740B"/>
    <w:rsid w:val="00FE0281"/>
    <w:rsid w:val="00FE21B7"/>
    <w:rsid w:val="00FE3088"/>
    <w:rsid w:val="00FE3519"/>
    <w:rsid w:val="00FE4590"/>
    <w:rsid w:val="00FE62E5"/>
    <w:rsid w:val="00FE6840"/>
    <w:rsid w:val="00FE7083"/>
    <w:rsid w:val="00FF019F"/>
    <w:rsid w:val="00FF0280"/>
    <w:rsid w:val="00FF1B2A"/>
    <w:rsid w:val="00FF2160"/>
    <w:rsid w:val="00FF30DE"/>
    <w:rsid w:val="00FF360B"/>
    <w:rsid w:val="00FF467D"/>
    <w:rsid w:val="00FF4B14"/>
    <w:rsid w:val="00FF4F7C"/>
    <w:rsid w:val="00FF644B"/>
    <w:rsid w:val="00FF6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styleId="afa">
    <w:name w:val="caption"/>
    <w:basedOn w:val="a"/>
    <w:next w:val="a"/>
    <w:uiPriority w:val="35"/>
    <w:unhideWhenUsed/>
    <w:qFormat/>
    <w:rsid w:val="00B1067E"/>
    <w:pPr>
      <w:widowControl/>
      <w:autoSpaceDE/>
      <w:autoSpaceDN/>
      <w:adjustRightInd/>
      <w:spacing w:after="200"/>
      <w:jc w:val="left"/>
    </w:pPr>
    <w:rPr>
      <w:rFonts w:asciiTheme="minorHAnsi" w:eastAsiaTheme="minorHAnsi" w:hAnsiTheme="minorHAnsi" w:cstheme="minorBidi"/>
      <w:i/>
      <w:iCs/>
      <w:color w:val="1F497D" w:themeColor="text2"/>
      <w:sz w:val="18"/>
      <w:szCs w:val="18"/>
      <w:lang w:val="en-GB"/>
    </w:rPr>
  </w:style>
  <w:style w:type="table" w:styleId="afb">
    <w:name w:val="Table Grid"/>
    <w:basedOn w:val="a1"/>
    <w:uiPriority w:val="59"/>
    <w:rsid w:val="001C3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
    <w:name w:val="desc"/>
    <w:basedOn w:val="a"/>
    <w:rsid w:val="00943ECE"/>
    <w:pPr>
      <w:widowControl/>
      <w:autoSpaceDE/>
      <w:autoSpaceDN/>
      <w:adjustRightInd/>
      <w:spacing w:before="100" w:beforeAutospacing="1" w:after="100" w:afterAutospacing="1"/>
      <w:jc w:val="left"/>
    </w:pPr>
    <w:rPr>
      <w:rFonts w:ascii="Times New Roman" w:hAnsi="Times New Roman" w:cs="Times New Roman"/>
      <w:color w:val="auto"/>
      <w:lang w:val="en-GB"/>
    </w:rPr>
  </w:style>
  <w:style w:type="paragraph" w:customStyle="1" w:styleId="details">
    <w:name w:val="details"/>
    <w:basedOn w:val="a"/>
    <w:rsid w:val="00943ECE"/>
    <w:pPr>
      <w:widowControl/>
      <w:autoSpaceDE/>
      <w:autoSpaceDN/>
      <w:adjustRightInd/>
      <w:spacing w:before="100" w:beforeAutospacing="1" w:after="100" w:afterAutospacing="1"/>
      <w:jc w:val="left"/>
    </w:pPr>
    <w:rPr>
      <w:rFonts w:ascii="Times New Roman" w:hAnsi="Times New Roman" w:cs="Times New Roman"/>
      <w:color w:val="auto"/>
      <w:lang w:val="en-GB"/>
    </w:rPr>
  </w:style>
  <w:style w:type="character" w:customStyle="1" w:styleId="jrnl">
    <w:name w:val="jrnl"/>
    <w:basedOn w:val="a0"/>
    <w:rsid w:val="00943ECE"/>
  </w:style>
  <w:style w:type="character" w:customStyle="1" w:styleId="UnresolvedMention2">
    <w:name w:val="Unresolved Mention2"/>
    <w:basedOn w:val="a0"/>
    <w:uiPriority w:val="99"/>
    <w:semiHidden/>
    <w:unhideWhenUsed/>
    <w:rsid w:val="002779FA"/>
    <w:rPr>
      <w:color w:val="605E5C"/>
      <w:shd w:val="clear" w:color="auto" w:fill="E1DFDD"/>
    </w:rPr>
  </w:style>
  <w:style w:type="character" w:styleId="afc">
    <w:name w:val="Placeholder Text"/>
    <w:basedOn w:val="a0"/>
    <w:uiPriority w:val="99"/>
    <w:semiHidden/>
    <w:rsid w:val="00591F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08041">
      <w:bodyDiv w:val="1"/>
      <w:marLeft w:val="0"/>
      <w:marRight w:val="0"/>
      <w:marTop w:val="0"/>
      <w:marBottom w:val="0"/>
      <w:divBdr>
        <w:top w:val="none" w:sz="0" w:space="0" w:color="auto"/>
        <w:left w:val="none" w:sz="0" w:space="0" w:color="auto"/>
        <w:bottom w:val="none" w:sz="0" w:space="0" w:color="auto"/>
        <w:right w:val="none" w:sz="0" w:space="0" w:color="auto"/>
      </w:divBdr>
      <w:divsChild>
        <w:div w:id="1423261481">
          <w:marLeft w:val="0"/>
          <w:marRight w:val="0"/>
          <w:marTop w:val="0"/>
          <w:marBottom w:val="0"/>
          <w:divBdr>
            <w:top w:val="none" w:sz="0" w:space="0" w:color="auto"/>
            <w:left w:val="none" w:sz="0" w:space="0" w:color="auto"/>
            <w:bottom w:val="none" w:sz="0" w:space="0" w:color="auto"/>
            <w:right w:val="none" w:sz="0" w:space="0" w:color="auto"/>
          </w:divBdr>
        </w:div>
        <w:div w:id="2123529185">
          <w:marLeft w:val="0"/>
          <w:marRight w:val="0"/>
          <w:marTop w:val="0"/>
          <w:marBottom w:val="0"/>
          <w:divBdr>
            <w:top w:val="none" w:sz="0" w:space="0" w:color="auto"/>
            <w:left w:val="none" w:sz="0" w:space="0" w:color="auto"/>
            <w:bottom w:val="none" w:sz="0" w:space="0" w:color="auto"/>
            <w:right w:val="none" w:sz="0" w:space="0" w:color="auto"/>
          </w:divBdr>
          <w:divsChild>
            <w:div w:id="749470344">
              <w:marLeft w:val="0"/>
              <w:marRight w:val="0"/>
              <w:marTop w:val="0"/>
              <w:marBottom w:val="0"/>
              <w:divBdr>
                <w:top w:val="none" w:sz="0" w:space="0" w:color="auto"/>
                <w:left w:val="none" w:sz="0" w:space="0" w:color="auto"/>
                <w:bottom w:val="none" w:sz="0" w:space="0" w:color="auto"/>
                <w:right w:val="none" w:sz="0" w:space="0" w:color="auto"/>
              </w:divBdr>
            </w:div>
            <w:div w:id="8139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23538">
      <w:bodyDiv w:val="1"/>
      <w:marLeft w:val="0"/>
      <w:marRight w:val="0"/>
      <w:marTop w:val="0"/>
      <w:marBottom w:val="0"/>
      <w:divBdr>
        <w:top w:val="none" w:sz="0" w:space="0" w:color="auto"/>
        <w:left w:val="none" w:sz="0" w:space="0" w:color="auto"/>
        <w:bottom w:val="none" w:sz="0" w:space="0" w:color="auto"/>
        <w:right w:val="none" w:sz="0" w:space="0" w:color="auto"/>
      </w:divBdr>
      <w:divsChild>
        <w:div w:id="918372311">
          <w:marLeft w:val="0"/>
          <w:marRight w:val="0"/>
          <w:marTop w:val="0"/>
          <w:marBottom w:val="0"/>
          <w:divBdr>
            <w:top w:val="none" w:sz="0" w:space="0" w:color="auto"/>
            <w:left w:val="none" w:sz="0" w:space="0" w:color="auto"/>
            <w:bottom w:val="none" w:sz="0" w:space="0" w:color="auto"/>
            <w:right w:val="none" w:sz="0" w:space="0" w:color="auto"/>
          </w:divBdr>
        </w:div>
      </w:divsChild>
    </w:div>
    <w:div w:id="1060789041">
      <w:bodyDiv w:val="1"/>
      <w:marLeft w:val="0"/>
      <w:marRight w:val="0"/>
      <w:marTop w:val="0"/>
      <w:marBottom w:val="0"/>
      <w:divBdr>
        <w:top w:val="none" w:sz="0" w:space="0" w:color="auto"/>
        <w:left w:val="none" w:sz="0" w:space="0" w:color="auto"/>
        <w:bottom w:val="none" w:sz="0" w:space="0" w:color="auto"/>
        <w:right w:val="none" w:sz="0" w:space="0" w:color="auto"/>
      </w:divBdr>
      <w:divsChild>
        <w:div w:id="823744570">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09098049">
      <w:bodyDiv w:val="1"/>
      <w:marLeft w:val="0"/>
      <w:marRight w:val="0"/>
      <w:marTop w:val="0"/>
      <w:marBottom w:val="0"/>
      <w:divBdr>
        <w:top w:val="none" w:sz="0" w:space="0" w:color="auto"/>
        <w:left w:val="none" w:sz="0" w:space="0" w:color="auto"/>
        <w:bottom w:val="none" w:sz="0" w:space="0" w:color="auto"/>
        <w:right w:val="none" w:sz="0" w:space="0" w:color="auto"/>
      </w:divBdr>
    </w:div>
    <w:div w:id="1691638763">
      <w:bodyDiv w:val="1"/>
      <w:marLeft w:val="0"/>
      <w:marRight w:val="0"/>
      <w:marTop w:val="0"/>
      <w:marBottom w:val="0"/>
      <w:divBdr>
        <w:top w:val="none" w:sz="0" w:space="0" w:color="auto"/>
        <w:left w:val="none" w:sz="0" w:space="0" w:color="auto"/>
        <w:bottom w:val="none" w:sz="0" w:space="0" w:color="auto"/>
        <w:right w:val="none" w:sz="0" w:space="0" w:color="auto"/>
      </w:divBdr>
    </w:div>
    <w:div w:id="182435109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0971251">
      <w:bodyDiv w:val="1"/>
      <w:marLeft w:val="0"/>
      <w:marRight w:val="0"/>
      <w:marTop w:val="0"/>
      <w:marBottom w:val="0"/>
      <w:divBdr>
        <w:top w:val="none" w:sz="0" w:space="0" w:color="auto"/>
        <w:left w:val="none" w:sz="0" w:space="0" w:color="auto"/>
        <w:bottom w:val="none" w:sz="0" w:space="0" w:color="auto"/>
        <w:right w:val="none" w:sz="0" w:space="0" w:color="auto"/>
      </w:divBdr>
      <w:divsChild>
        <w:div w:id="839660193">
          <w:marLeft w:val="0"/>
          <w:marRight w:val="0"/>
          <w:marTop w:val="0"/>
          <w:marBottom w:val="0"/>
          <w:divBdr>
            <w:top w:val="none" w:sz="0" w:space="0" w:color="auto"/>
            <w:left w:val="none" w:sz="0" w:space="0" w:color="auto"/>
            <w:bottom w:val="none" w:sz="0" w:space="0" w:color="auto"/>
            <w:right w:val="none" w:sz="0" w:space="0" w:color="auto"/>
          </w:divBdr>
        </w:div>
        <w:div w:id="1566793730">
          <w:marLeft w:val="0"/>
          <w:marRight w:val="0"/>
          <w:marTop w:val="0"/>
          <w:marBottom w:val="0"/>
          <w:divBdr>
            <w:top w:val="none" w:sz="0" w:space="0" w:color="auto"/>
            <w:left w:val="none" w:sz="0" w:space="0" w:color="auto"/>
            <w:bottom w:val="none" w:sz="0" w:space="0" w:color="auto"/>
            <w:right w:val="none" w:sz="0" w:space="0" w:color="auto"/>
          </w:divBdr>
        </w:div>
        <w:div w:id="1240095663">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401358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E3A51-9BC4-4C74-998F-49C47341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5366</Words>
  <Characters>30590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35885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2018-06-01T08:10:00Z</cp:lastPrinted>
  <dcterms:created xsi:type="dcterms:W3CDTF">2018-08-17T12:20:00Z</dcterms:created>
  <dcterms:modified xsi:type="dcterms:W3CDTF">2018-09-05T08:41:00Z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http://www.zotero.org/styles/royal-society-of-chemistry</vt:lpwstr>
  </property>
  <property fmtid="{D5CDD505-2E9C-101B-9397-08002B2CF9AE}" pid="27" name="Mendeley Recent Style Name 9_1">
    <vt:lpwstr>Royal Society of Chemistry</vt:lpwstr>
  </property>
  <property fmtid="{D5CDD505-2E9C-101B-9397-08002B2CF9AE}" pid="28" name="Mendeley Document_1">
    <vt:lpwstr>True</vt:lpwstr>
  </property>
  <property fmtid="{D5CDD505-2E9C-101B-9397-08002B2CF9AE}" pid="29" name="Mendeley Unique User Id_1">
    <vt:lpwstr>19392d05-04d2-3902-9b96-6871f560c280</vt:lpwstr>
  </property>
  <property fmtid="{D5CDD505-2E9C-101B-9397-08002B2CF9AE}" pid="30" name="Mendeley Citation Style_1">
    <vt:lpwstr>http://www.zotero.org/styles/journal-of-visualized-experiments</vt:lpwstr>
  </property>
</Properties>
</file>