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FFB99" w14:textId="77777777" w:rsidR="00A85D5D" w:rsidRDefault="00A85D5D" w:rsidP="003047B7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</w:p>
    <w:p w14:paraId="221BAB40" w14:textId="0C5B090E" w:rsidR="00A85D5D" w:rsidRDefault="00A85D5D" w:rsidP="00A85D5D">
      <w:pPr>
        <w:pStyle w:val="Paragrafoelenco"/>
        <w:rPr>
          <w:rFonts w:ascii="Tahoma" w:eastAsia="Times New Roman" w:hAnsi="Tahoma" w:cs="Tahoma"/>
          <w:b/>
          <w:color w:val="212121"/>
          <w:sz w:val="23"/>
          <w:szCs w:val="23"/>
          <w:shd w:val="clear" w:color="auto" w:fill="FFFFFF"/>
          <w:lang w:eastAsia="it-IT"/>
        </w:rPr>
      </w:pPr>
      <w:r w:rsidRPr="00A85D5D">
        <w:rPr>
          <w:rFonts w:ascii="Tahoma" w:eastAsia="Times New Roman" w:hAnsi="Tahoma" w:cs="Tahoma"/>
          <w:b/>
          <w:color w:val="212121"/>
          <w:sz w:val="23"/>
          <w:szCs w:val="23"/>
          <w:shd w:val="clear" w:color="auto" w:fill="FFFFFF"/>
          <w:lang w:eastAsia="it-IT"/>
        </w:rPr>
        <w:t>Point by point reply to the editor</w:t>
      </w:r>
    </w:p>
    <w:p w14:paraId="421790EA" w14:textId="77777777" w:rsidR="00A85D5D" w:rsidRPr="00A85D5D" w:rsidRDefault="00A85D5D" w:rsidP="00A85D5D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</w:p>
    <w:p w14:paraId="1A85715F" w14:textId="77777777" w:rsidR="00A85D5D" w:rsidRDefault="00A85D5D" w:rsidP="00A85D5D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</w:p>
    <w:p w14:paraId="6E3A0A24" w14:textId="77777777" w:rsidR="003047B7" w:rsidRPr="003047B7" w:rsidRDefault="003047B7" w:rsidP="003047B7">
      <w:pPr>
        <w:pStyle w:val="Paragrafoelenco"/>
        <w:numPr>
          <w:ilvl w:val="0"/>
          <w:numId w:val="1"/>
        </w:numPr>
        <w:ind w:hanging="11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The editor has formatted the manuscript to match the journal's style. Please retain the same.</w:t>
      </w:r>
    </w:p>
    <w:p w14:paraId="43A407CE" w14:textId="77777777" w:rsidR="003047B7" w:rsidRPr="003047B7" w:rsidRDefault="003047B7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</w:pPr>
      <w:r w:rsidRPr="003047B7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Done.</w:t>
      </w:r>
    </w:p>
    <w:p w14:paraId="06CC4614" w14:textId="77777777" w:rsidR="003047B7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2. Please address all the specific comments marked in the manuscript.</w:t>
      </w:r>
    </w:p>
    <w:p w14:paraId="65A91161" w14:textId="3B9CACC1" w:rsidR="00946EE7" w:rsidRPr="00946EE7" w:rsidRDefault="003047B7" w:rsidP="00C15EF0">
      <w:pPr>
        <w:pStyle w:val="Paragrafoelenco"/>
        <w:jc w:val="both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Done. In order to </w:t>
      </w:r>
      <w:r w:rsidR="00946EE7"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better clarify the issues raised by the editor we added two references (number 8, </w:t>
      </w:r>
      <w:r w:rsidR="00F70542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9</w:t>
      </w:r>
      <w:r w:rsidR="00946EE7"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). 3 novel figures have been added (Figs 3,4,5), 4 tables (Tables 1-4), a panel has been added to figure 1 concerning qPCR results (Fig1B), a comparison with manual and automated method has been added in figure 6 and was already present in ex Figure 5 </w:t>
      </w:r>
      <w:r w:rsidR="00A85D5D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(</w:t>
      </w:r>
      <w:r w:rsidR="00946EE7"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now Figure 8</w:t>
      </w:r>
      <w:r w:rsidR="00A85D5D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)</w:t>
      </w:r>
      <w:r w:rsidR="00946EE7"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.</w:t>
      </w:r>
    </w:p>
    <w:p w14:paraId="220CA536" w14:textId="3BC6CA46" w:rsidR="00946EE7" w:rsidRDefault="00946EE7" w:rsidP="00C15EF0">
      <w:pPr>
        <w:pStyle w:val="Paragrafoelenco"/>
        <w:jc w:val="both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We expanded the protocol when needed, we claryfied the passages, added pictures to support the text description or referred in the text to the </w:t>
      </w:r>
      <w:r w:rsidR="00C15EF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figure </w:t>
      </w:r>
      <w:r w:rsidR="00A85D5D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as suggested by the Editor</w:t>
      </w:r>
      <w:r w:rsidRP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.</w:t>
      </w:r>
    </w:p>
    <w:p w14:paraId="6DBA8335" w14:textId="71FCD0F8" w:rsidR="00A06E94" w:rsidRDefault="00772A04" w:rsidP="00C15EF0">
      <w:pPr>
        <w:pStyle w:val="Paragrafoelenco"/>
        <w:jc w:val="both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In a couple of comments the Editor </w:t>
      </w:r>
      <w:r w:rsidR="00136E79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questioned</w:t>
      </w: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 the appro</w:t>
      </w:r>
      <w:r w:rsidR="008100DB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prai</w:t>
      </w: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teness </w:t>
      </w:r>
      <w:r w:rsidR="008100DB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of the </w:t>
      </w:r>
      <w:r w:rsidR="003775A6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DSS-chronic administration to induce intestinal inflammation. This setting is widely used in the gastroenterological field to </w:t>
      </w:r>
      <w:r w:rsidR="0037575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study </w:t>
      </w:r>
      <w:r w:rsidR="00130DC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pathological features linked to intestinal inflammation, resembling human IBD. </w:t>
      </w:r>
      <w:r w:rsidR="00C15EF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Being IBD a chronic disease, some clinical manifestations (i.e, fibrosis) are present only upon repetitive administration of DSS, thus causing chronic inflammation.</w:t>
      </w:r>
    </w:p>
    <w:p w14:paraId="03013580" w14:textId="42F04F1E" w:rsidR="00A85D5D" w:rsidRPr="00946EE7" w:rsidRDefault="00C15EF0" w:rsidP="00C15EF0">
      <w:pPr>
        <w:pStyle w:val="Paragrafoelenco"/>
        <w:jc w:val="both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Moreover, </w:t>
      </w:r>
      <w:r w:rsidR="00130DC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we do agree that murine experimental settings are never completely </w:t>
      </w:r>
      <w:r w:rsidR="00666036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adherent to human </w:t>
      </w:r>
      <w:r w:rsidR="0005730D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pathologies. In</w:t>
      </w:r>
      <w:r w:rsidR="00E9716C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 this context</w:t>
      </w:r>
      <w:r w:rsidR="0005730D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, it is widely accepted to define them “models”</w:t>
      </w: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, even if we are aware that an experimental setting can never perfectly model a human disease. To support this practical reson we added two references that address this issue (refs 8,9)</w:t>
      </w:r>
    </w:p>
    <w:p w14:paraId="5A2ABC77" w14:textId="77777777" w:rsidR="00E15A7B" w:rsidRDefault="00946EE7" w:rsidP="00C15EF0">
      <w:pPr>
        <w:pStyle w:val="Paragrafoelenco"/>
        <w:jc w:val="both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 xml:space="preserve"> </w:t>
      </w:r>
      <w:r w:rsidR="003047B7"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="003047B7"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3. Please revise the Introduction to include all of the following:</w:t>
      </w:r>
      <w:r w:rsidR="003047B7"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="003047B7"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a) A clear statement of the overall goal of this method</w:t>
      </w:r>
      <w:r w:rsidR="00E15A7B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 xml:space="preserve"> </w:t>
      </w:r>
    </w:p>
    <w:p w14:paraId="348D15BF" w14:textId="77777777" w:rsidR="00964109" w:rsidRDefault="00E15A7B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Added in </w:t>
      </w:r>
      <w:r w:rsidRPr="00E15A7B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lin</w:t>
      </w: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e</w:t>
      </w:r>
      <w:r w:rsidRPr="00E15A7B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s 76-77</w:t>
      </w:r>
    </w:p>
    <w:p w14:paraId="2388052C" w14:textId="77777777" w:rsidR="00E15A7B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b) The rationale behind the development and/or use of this technique</w:t>
      </w:r>
    </w:p>
    <w:p w14:paraId="343B3915" w14:textId="77777777" w:rsidR="00E84AEF" w:rsidRPr="00E84AEF" w:rsidRDefault="00E84AEF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Present in lines 63-70 and </w:t>
      </w:r>
      <w:r w:rsidR="00054C3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a</w:t>
      </w:r>
      <w:r w:rsidRPr="00E84AEF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dded in lines 87-90</w:t>
      </w:r>
    </w:p>
    <w:p w14:paraId="5F09BB23" w14:textId="77777777" w:rsidR="00964109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c) The advantages over alternative techniques with applicable references to previous studies</w:t>
      </w:r>
    </w:p>
    <w:p w14:paraId="135D05C2" w14:textId="1833D0CF" w:rsidR="00F15A7F" w:rsidRPr="00F15A7F" w:rsidRDefault="00F15A7F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</w:pPr>
      <w:r w:rsidRPr="00F15A7F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To o</w:t>
      </w:r>
      <w:r w:rsidR="00C15EF0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ur knowledge there are no alter</w:t>
      </w:r>
      <w:r w:rsidRPr="00F15A7F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n</w:t>
      </w:r>
      <w:r w:rsidR="00C15EF0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a</w:t>
      </w:r>
      <w:r w:rsidRPr="00F15A7F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 xml:space="preserve">tive techniques beside the </w:t>
      </w:r>
      <w:r w:rsidR="001B5853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manual processing and embedding. Lines 79-81</w:t>
      </w:r>
    </w:p>
    <w:p w14:paraId="72B2A75C" w14:textId="77777777" w:rsidR="00964109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d) A description of the context of the technique in the wider body of literature</w:t>
      </w:r>
    </w:p>
    <w:p w14:paraId="4ACB63FD" w14:textId="77777777" w:rsidR="00F70542" w:rsidRPr="00054C30" w:rsidRDefault="00054C30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054C3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Beside the everyday practical experience</w:t>
      </w: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 of the requirement of protocols to increase the quality of histopathological examination also for murine experiments</w:t>
      </w:r>
      <w:r w:rsidRPr="00054C3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, very fe</w:t>
      </w: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w articles addressed this topic. These papers have been </w:t>
      </w:r>
      <w:r w:rsidRPr="00054C3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cited as ref 1-3</w:t>
      </w:r>
    </w:p>
    <w:p w14:paraId="77C7CC94" w14:textId="77777777" w:rsidR="003047B7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e) Information to help readers to determine whether the method is appropriate for their application</w:t>
      </w:r>
    </w:p>
    <w:p w14:paraId="47004AA4" w14:textId="77777777" w:rsidR="00054C30" w:rsidRDefault="00054C30" w:rsidP="00054C30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Added in l</w:t>
      </w:r>
      <w:r w:rsidRPr="00054C3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ines 89-</w:t>
      </w:r>
      <w:r w:rsidR="00F15A7F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7</w:t>
      </w:r>
    </w:p>
    <w:p w14:paraId="713C5F99" w14:textId="77777777" w:rsidR="003047B7" w:rsidRPr="00054C30" w:rsidRDefault="003047B7" w:rsidP="00054C30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054C30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054C30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 xml:space="preserve">4. For the protocol section, please include every single detail of how the experiment is </w:t>
      </w:r>
      <w:r w:rsidRPr="00054C30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lastRenderedPageBreak/>
        <w:t>being performed. Please use imperative tense throughout as if directing someone how to perform the experiment. Please use complete sentences.</w:t>
      </w:r>
    </w:p>
    <w:p w14:paraId="342C719C" w14:textId="77777777" w:rsidR="003047B7" w:rsidRPr="003047B7" w:rsidRDefault="003047B7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We thoroughly corrected all the protocols.</w:t>
      </w:r>
    </w:p>
    <w:p w14:paraId="280F3F6C" w14:textId="77777777" w:rsidR="003047B7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5. If there are any graphical user interface, button clicks, knob turns etc for the robotic system described here. We need action steps.</w:t>
      </w:r>
    </w:p>
    <w:p w14:paraId="6C00CC3A" w14:textId="16DE6659" w:rsidR="003047B7" w:rsidRPr="003047B7" w:rsidRDefault="003047B7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We corrected the protocols. Whenever it was not possible to perform actions, being some of the actions performed by an automated instrument, we added specific Tables (Tables 1-3)</w:t>
      </w:r>
      <w:r w:rsidR="00C15EF0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 and added the pictures in Figures 3-5</w:t>
      </w:r>
      <w:bookmarkStart w:id="0" w:name="_GoBack"/>
      <w:bookmarkEnd w:id="0"/>
    </w:p>
    <w:p w14:paraId="75A7BD89" w14:textId="77777777" w:rsidR="003047B7" w:rsidRPr="003047B7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6. After all the changes, please ensure that the highlight is is no more than 2.75 pages including headings and spacings.</w:t>
      </w:r>
    </w:p>
    <w:p w14:paraId="3F1F2356" w14:textId="77777777" w:rsidR="003047B7" w:rsidRPr="003047B7" w:rsidRDefault="003047B7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</w:pPr>
      <w:r w:rsidRPr="003047B7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Done.</w:t>
      </w:r>
    </w:p>
    <w:p w14:paraId="289B69BE" w14:textId="77777777" w:rsidR="003047B7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7. Figures: Please upload all figures individually to your editorial manager account.</w:t>
      </w:r>
    </w:p>
    <w:p w14:paraId="6D346D25" w14:textId="77777777" w:rsidR="003047B7" w:rsidRPr="003047B7" w:rsidRDefault="003047B7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</w:pPr>
      <w:r w:rsidRPr="003047B7">
        <w:rPr>
          <w:rFonts w:ascii="Tahoma" w:eastAsia="Times New Roman" w:hAnsi="Tahoma" w:cs="Tahoma"/>
          <w:i/>
          <w:color w:val="212121"/>
          <w:sz w:val="23"/>
          <w:szCs w:val="23"/>
          <w:lang w:eastAsia="it-IT"/>
        </w:rPr>
        <w:t>It will be done.</w:t>
      </w:r>
    </w:p>
    <w:p w14:paraId="0F4C1D74" w14:textId="77777777" w:rsidR="003047B7" w:rsidRDefault="003047B7" w:rsidP="003047B7">
      <w:pPr>
        <w:pStyle w:val="Paragrafoelenco"/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color w:val="212121"/>
          <w:sz w:val="23"/>
          <w:szCs w:val="23"/>
          <w:lang w:eastAsia="it-IT"/>
        </w:rPr>
        <w:br/>
      </w:r>
      <w:r w:rsidRPr="003047B7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  <w:lang w:eastAsia="it-IT"/>
        </w:rPr>
        <w:t>8.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</w:t>
      </w:r>
    </w:p>
    <w:p w14:paraId="7612AC1A" w14:textId="77777777" w:rsidR="003047B7" w:rsidRPr="003047B7" w:rsidRDefault="003047B7" w:rsidP="003047B7">
      <w:pPr>
        <w:pStyle w:val="Paragrafoelenco"/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</w:pPr>
      <w:r w:rsidRPr="003047B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We changed all the </w:t>
      </w:r>
      <w:r w:rsidR="00946EE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>panels containing previsoulsy published figures or pictures</w:t>
      </w:r>
      <w:r w:rsidRPr="003047B7">
        <w:rPr>
          <w:rFonts w:ascii="Tahoma" w:eastAsia="Times New Roman" w:hAnsi="Tahoma" w:cs="Tahoma"/>
          <w:i/>
          <w:color w:val="212121"/>
          <w:sz w:val="23"/>
          <w:szCs w:val="23"/>
          <w:shd w:val="clear" w:color="auto" w:fill="FFFFFF"/>
          <w:lang w:eastAsia="it-IT"/>
        </w:rPr>
        <w:t xml:space="preserve"> and none of the figures in this current manuscript have been ever published before, therefore it is not needed anymore the copyright permission.</w:t>
      </w:r>
    </w:p>
    <w:p w14:paraId="45614DCB" w14:textId="77777777" w:rsidR="003047B7" w:rsidRPr="003047B7" w:rsidRDefault="003047B7" w:rsidP="003047B7">
      <w:pPr>
        <w:pStyle w:val="Paragrafoelenco"/>
        <w:rPr>
          <w:rFonts w:ascii="Times New Roman" w:eastAsia="Times New Roman" w:hAnsi="Times New Roman" w:cs="Times New Roman"/>
          <w:lang w:eastAsia="it-IT"/>
        </w:rPr>
      </w:pPr>
    </w:p>
    <w:p w14:paraId="40F23166" w14:textId="77777777" w:rsidR="009E7C8C" w:rsidRDefault="00C15EF0"/>
    <w:sectPr w:rsidR="009E7C8C" w:rsidSect="004820A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34B09"/>
    <w:multiLevelType w:val="hybridMultilevel"/>
    <w:tmpl w:val="0BBEF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7"/>
    <w:rsid w:val="00005C15"/>
    <w:rsid w:val="00021AF2"/>
    <w:rsid w:val="0002386D"/>
    <w:rsid w:val="00054C30"/>
    <w:rsid w:val="0005730D"/>
    <w:rsid w:val="000E3AEA"/>
    <w:rsid w:val="000F4FED"/>
    <w:rsid w:val="00130DC0"/>
    <w:rsid w:val="00136E79"/>
    <w:rsid w:val="001B5853"/>
    <w:rsid w:val="001C332D"/>
    <w:rsid w:val="00214325"/>
    <w:rsid w:val="00232B4B"/>
    <w:rsid w:val="002503FA"/>
    <w:rsid w:val="00301CD0"/>
    <w:rsid w:val="003047B7"/>
    <w:rsid w:val="00321B61"/>
    <w:rsid w:val="00341883"/>
    <w:rsid w:val="00375750"/>
    <w:rsid w:val="003775A6"/>
    <w:rsid w:val="00377AA2"/>
    <w:rsid w:val="00393367"/>
    <w:rsid w:val="003D2ABC"/>
    <w:rsid w:val="003D6B97"/>
    <w:rsid w:val="003D75CF"/>
    <w:rsid w:val="003E6DC5"/>
    <w:rsid w:val="004356B5"/>
    <w:rsid w:val="004356FD"/>
    <w:rsid w:val="00451930"/>
    <w:rsid w:val="00463A70"/>
    <w:rsid w:val="004820A3"/>
    <w:rsid w:val="004B3A0E"/>
    <w:rsid w:val="00506113"/>
    <w:rsid w:val="00514A28"/>
    <w:rsid w:val="00540E97"/>
    <w:rsid w:val="00566BB4"/>
    <w:rsid w:val="00576711"/>
    <w:rsid w:val="00595EA8"/>
    <w:rsid w:val="005A2B8C"/>
    <w:rsid w:val="005C7249"/>
    <w:rsid w:val="005D4386"/>
    <w:rsid w:val="005D479B"/>
    <w:rsid w:val="00614DB8"/>
    <w:rsid w:val="006271C0"/>
    <w:rsid w:val="00666036"/>
    <w:rsid w:val="006C04D7"/>
    <w:rsid w:val="006F41EA"/>
    <w:rsid w:val="006F6037"/>
    <w:rsid w:val="00706302"/>
    <w:rsid w:val="00737DF1"/>
    <w:rsid w:val="007623B3"/>
    <w:rsid w:val="0076371E"/>
    <w:rsid w:val="00772A04"/>
    <w:rsid w:val="007A2A0C"/>
    <w:rsid w:val="007A3E34"/>
    <w:rsid w:val="007B14FE"/>
    <w:rsid w:val="008100DB"/>
    <w:rsid w:val="00830D60"/>
    <w:rsid w:val="008421EB"/>
    <w:rsid w:val="00852865"/>
    <w:rsid w:val="008E2D9E"/>
    <w:rsid w:val="009046A6"/>
    <w:rsid w:val="00915EC5"/>
    <w:rsid w:val="00946EE7"/>
    <w:rsid w:val="00952CEA"/>
    <w:rsid w:val="00964109"/>
    <w:rsid w:val="00981A37"/>
    <w:rsid w:val="009B2C70"/>
    <w:rsid w:val="009E4B53"/>
    <w:rsid w:val="00A06E94"/>
    <w:rsid w:val="00A41D60"/>
    <w:rsid w:val="00A636E5"/>
    <w:rsid w:val="00A67BE2"/>
    <w:rsid w:val="00A81974"/>
    <w:rsid w:val="00A85D5D"/>
    <w:rsid w:val="00AD7F9E"/>
    <w:rsid w:val="00B0684B"/>
    <w:rsid w:val="00B53723"/>
    <w:rsid w:val="00B7662C"/>
    <w:rsid w:val="00B835F5"/>
    <w:rsid w:val="00B93FB7"/>
    <w:rsid w:val="00BA679A"/>
    <w:rsid w:val="00C12ACD"/>
    <w:rsid w:val="00C15EF0"/>
    <w:rsid w:val="00C612ED"/>
    <w:rsid w:val="00C71091"/>
    <w:rsid w:val="00C85B02"/>
    <w:rsid w:val="00CA30B8"/>
    <w:rsid w:val="00CC79B2"/>
    <w:rsid w:val="00D01E5D"/>
    <w:rsid w:val="00D01F4E"/>
    <w:rsid w:val="00D05124"/>
    <w:rsid w:val="00D22D9F"/>
    <w:rsid w:val="00DC65E1"/>
    <w:rsid w:val="00DD5814"/>
    <w:rsid w:val="00E15A7B"/>
    <w:rsid w:val="00E6284C"/>
    <w:rsid w:val="00E832B0"/>
    <w:rsid w:val="00E84AEF"/>
    <w:rsid w:val="00E9716C"/>
    <w:rsid w:val="00E979E5"/>
    <w:rsid w:val="00EB4D7F"/>
    <w:rsid w:val="00ED5FAF"/>
    <w:rsid w:val="00EF53B9"/>
    <w:rsid w:val="00F15A7F"/>
    <w:rsid w:val="00F47823"/>
    <w:rsid w:val="00F64235"/>
    <w:rsid w:val="00F70542"/>
    <w:rsid w:val="00FC2D72"/>
    <w:rsid w:val="00FD505D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4C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FA9E7F-9E2A-2F4F-860B-77B4ADB8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596</Words>
  <Characters>3401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dcterms:created xsi:type="dcterms:W3CDTF">2018-09-26T14:45:00Z</dcterms:created>
  <dcterms:modified xsi:type="dcterms:W3CDTF">2018-09-27T09:48:00Z</dcterms:modified>
</cp:coreProperties>
</file>