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EAAC4" w14:textId="77777777" w:rsidR="00D6155D" w:rsidRPr="00C3426E" w:rsidRDefault="00D6155D">
      <w:pPr>
        <w:rPr>
          <w:b/>
          <w:bCs/>
          <w:sz w:val="28"/>
        </w:rPr>
      </w:pPr>
      <w:r w:rsidRPr="00C3426E">
        <w:rPr>
          <w:b/>
          <w:bCs/>
          <w:sz w:val="28"/>
        </w:rPr>
        <w:t>Reply to Reviewers</w:t>
      </w:r>
    </w:p>
    <w:p w14:paraId="4269EBC2" w14:textId="77777777" w:rsidR="00D6155D" w:rsidRDefault="00D6155D">
      <w:pPr>
        <w:rPr>
          <w:b/>
          <w:bCs/>
        </w:rPr>
      </w:pPr>
    </w:p>
    <w:p w14:paraId="7486410C" w14:textId="77777777" w:rsidR="00AC6ADB" w:rsidRPr="00A854D6" w:rsidRDefault="00D6155D">
      <w:pPr>
        <w:rPr>
          <w:bCs/>
        </w:rPr>
      </w:pPr>
      <w:r w:rsidRPr="00A854D6">
        <w:rPr>
          <w:bCs/>
        </w:rPr>
        <w:t>Thank you for your useful comments.</w:t>
      </w:r>
    </w:p>
    <w:p w14:paraId="5D7A65D0" w14:textId="77777777" w:rsidR="00D6155D" w:rsidRPr="00AC6ADB" w:rsidRDefault="00AC6ADB">
      <w:pPr>
        <w:rPr>
          <w:bCs/>
        </w:rPr>
      </w:pPr>
      <w:r>
        <w:rPr>
          <w:bCs/>
        </w:rPr>
        <w:t>Description of responses/corrections to reviewer comments</w:t>
      </w:r>
      <w:r w:rsidRPr="00AC6ADB">
        <w:rPr>
          <w:bCs/>
        </w:rPr>
        <w:t xml:space="preserve"> are in italics.</w:t>
      </w:r>
    </w:p>
    <w:p w14:paraId="3BA0D187" w14:textId="77777777" w:rsidR="00AC6ADB" w:rsidRDefault="00AC6ADB">
      <w:pPr>
        <w:rPr>
          <w:b/>
          <w:bCs/>
        </w:rPr>
      </w:pPr>
    </w:p>
    <w:p w14:paraId="2392F047" w14:textId="77777777" w:rsidR="00D6155D" w:rsidRDefault="00D6155D">
      <w:r>
        <w:rPr>
          <w:b/>
          <w:bCs/>
        </w:rPr>
        <w:t>Reviewer #1:</w:t>
      </w:r>
      <w:r>
        <w:br/>
      </w:r>
      <w:r>
        <w:br/>
        <w:t>1. KIR2DL2 and KIR2DL3, as well as KIR3DL1 and KIR3DS1, segregate as alleles of the same locus. Accordingly, the sentence reporting KIR gene number (lines 19-20) should be revised.</w:t>
      </w:r>
    </w:p>
    <w:p w14:paraId="57188B2A" w14:textId="77777777" w:rsidR="00D6155D" w:rsidRPr="00D6155D" w:rsidRDefault="00D6155D">
      <w:pPr>
        <w:rPr>
          <w:i/>
        </w:rPr>
      </w:pPr>
      <w:r w:rsidRPr="00D6155D">
        <w:rPr>
          <w:rFonts w:ascii="Calibri" w:hAnsi="Calibri" w:cs="Calibri"/>
          <w:i/>
          <w:sz w:val="24"/>
          <w:szCs w:val="24"/>
          <w:lang w:val="en-US"/>
        </w:rPr>
        <w:t>This sentence now reads “The KIR loci that are currently known are KIR2DL1, KIR2DL2/KIR2DL3, KIR2DL4, KIR2DL5A, KIR2DL5B, KIR2DS1-5, KIR3DL1/KIR3DS1, KIR3DL2-3 and two pseudogenes, KIR2DP1 and KIR3DP1.”</w:t>
      </w:r>
    </w:p>
    <w:p w14:paraId="639FAD03" w14:textId="77777777" w:rsidR="00D6155D" w:rsidRDefault="00D6155D">
      <w:r>
        <w:br/>
        <w:t>2. Introduction fails to report knowledge about some KIR/KIR ligand pairs (lines 35-36). In particular, it has been demonstrated that HLA Cl-I molecules are also recognized by KIR2DL4, KIR2DS2 and KIR3DS1 (Rajagopalan 1999 J. Exp. Med., Liu 2014 Proc. Natl. Acad. Sci. USA, David, 2013 J. Immunol., Burian 2016 PLoS One, Carlomagno 2017 Front. Immunol.)</w:t>
      </w:r>
    </w:p>
    <w:p w14:paraId="7FBD355C" w14:textId="77777777" w:rsidR="00D6155D" w:rsidRPr="00094278" w:rsidRDefault="00D6155D" w:rsidP="00D6155D">
      <w:pPr>
        <w:spacing w:after="0" w:line="240" w:lineRule="auto"/>
        <w:rPr>
          <w:rFonts w:ascii="Calibri" w:hAnsi="Calibri" w:cs="Calibri"/>
          <w:i/>
          <w:sz w:val="24"/>
          <w:szCs w:val="24"/>
          <w:lang w:val="en-US"/>
        </w:rPr>
      </w:pPr>
      <w:r w:rsidRPr="00094278">
        <w:rPr>
          <w:rFonts w:ascii="Calibri" w:hAnsi="Calibri" w:cs="Calibri"/>
          <w:i/>
          <w:sz w:val="24"/>
          <w:szCs w:val="24"/>
          <w:lang w:val="en-US"/>
        </w:rPr>
        <w:t xml:space="preserve">Introduction has been modified and appropriate references added to </w:t>
      </w:r>
      <w:r w:rsidR="00AC6ADB">
        <w:rPr>
          <w:rFonts w:ascii="Calibri" w:hAnsi="Calibri" w:cs="Calibri"/>
          <w:i/>
          <w:sz w:val="24"/>
          <w:szCs w:val="24"/>
          <w:lang w:val="en-US"/>
        </w:rPr>
        <w:t>relay</w:t>
      </w:r>
      <w:r w:rsidRPr="00094278">
        <w:rPr>
          <w:rFonts w:ascii="Calibri" w:hAnsi="Calibri" w:cs="Calibri"/>
          <w:i/>
          <w:sz w:val="24"/>
          <w:szCs w:val="24"/>
          <w:lang w:val="en-US"/>
        </w:rPr>
        <w:t xml:space="preserve"> this information; “HLA Class I molecules have been identified as the ligands for certain inhibitory receptors (KIR2DL1, KIR2DL2, KIR2DL3, KIR3DL1), activating receptors (KIR2DS1, KIR2DS2, KIR2DS4, KIR2DS5 and KIR3DS1) receptors and for KIR2DL4 which is a unique KIR that contains long cytoplasmic tails like other inhibitory KIR receptors but also has a positively charged residue near the extracellular domain which is a common feature of other activating KIR receptors. The combination of variants within the KIR genes and the HLA genes influence receptor-ligand interaction shaping potential NK cell responsiveness at the individual level</w:t>
      </w:r>
      <w:r w:rsidRPr="00094278">
        <w:rPr>
          <w:rFonts w:ascii="Calibri" w:hAnsi="Calibri" w:cs="Calibri"/>
          <w:i/>
          <w:sz w:val="24"/>
          <w:szCs w:val="24"/>
          <w:lang w:val="en-US"/>
        </w:rPr>
        <w:fldChar w:fldCharType="begin" w:fldLock="1"/>
      </w:r>
      <w:r w:rsidRPr="00094278">
        <w:rPr>
          <w:rFonts w:ascii="Calibri" w:hAnsi="Calibri" w:cs="Calibri"/>
          <w:i/>
          <w:sz w:val="24"/>
          <w:szCs w:val="24"/>
          <w:lang w:val="en-US"/>
        </w:rPr>
        <w:instrText>ADDIN CSL_CITATION {"citationItems":[{"id":"ITEM-1","itemData":{"DOI":"10.1111/imm.12684","ISBN":"1365-2567 (Electronic) 0019-2805 (Linking)","ISSN":"13652567","PMID":"27779741","abstract":"Killer-cell immunoglobulin-like receptors (KIRs) are components of two fundamental biological systems essential for human health and survival. First, they contribute to host immune responses, both innate and adaptive, through their expression by natural killer cells and T cells. Second, KIR play a key role in regulating placentation, and hence reproductive success. Analogous to the diversity of their human leucocyte antigen class I ligands, KIR are extremely polymorphic. In this review, we describe recent developments, fuelled by methodological advances, that are helping to decipher the KIR system in terms of haplotypes, polymorphisms, expression patterns and their ligand interactions. These developments are delivering deeper insight into the relevance of KIR in immune system function, evolution and disease.","author":[{"dropping-particle":"","family":"Béziat","given":"Vivien","non-dropping-particle":"","parse-names":false,"suffix":""},{"dropping-particle":"","family":"Hilton","given":"Hugo G.","non-dropping-particle":"","parse-names":false,"suffix":""},{"dropping-particle":"","family":"Norman","given":"Paul J","non-dropping-particle":"","parse-names":false,"suffix":""},{"dropping-particle":"","family":"Traherne","given":"James A.","non-dropping-particle":"","parse-names":false,"suffix":""}],"container-title":"Immunology","id":"ITEM-1","issue":"3","issued":{"date-parts":[["2017"]]},"page":"248-264","title":"Deciphering the killer-cell immunoglobulin-like receptor system at super-resolution for natural killer and T-cell biology","type":"article-journal","volume":"150"},"uris":["http://www.mendeley.com/documents/?uuid=5ec5e887-24e2-4312-a182-7881e089811f"]},{"id":"ITEM-2","itemData":{"DOI":"10.1002/iid3.178","ISBN":"2050-4527 (Electronic)\r2050-4527 (Linking)","ISSN":"20504527","PMID":"28685972","abstract":"INTRODUCTION: KIR2DS5 is an activating human NK cell receptor of lineage III KIR. These include both inhibitory KIR2DL1, 2 and 3 and activating KIR2DS1 that recognize either the C1 or C2 epitope of HLA-C. In Europeans KIR2DS5 is essentially monomorphic, with KIR2DS5*002 being predominant. Pioneering investigations showed that KIR2DS5*002 has activating potential, but cannot recognize HLA-A, -B, or -C. Subsequent studies have shown that KIR2DS5 is highly polymorphic in Africans, and that KIR2DS5*006 protects pregnant Ugandan women from preeclampsia. Because inhibitory C2-specific KIR2DL1 correlates with preeclampsia, whereas activating C2-specific KIR2DS1 protects, this association pointed to KIR2DS5*006 being an activating C2-specific receptor. To test this hypothesis we made KIR-Fc fusion proteins from all ten KIR2DS5 allotypes and tested their binding to a representative set of HLA-A, -B and -C allotypes. RESULTS: Six African-specific KIR2DS5 bound to C2+ HLA-C but not to other HLA class I. Their avidity for C2 is approximately 20% that of C2-specific KIR2DL1 and approximately 40% that of C2-specific KIR2DS1. Among the African C2 receptors is KIR2DS5*006, which protected a cohort of pregnant Ugandans from pre-eclampsia. Three African KIR2DS5 allotypes and KIR2DS5*002, bound no HLA-A, -B or -C. As a group the C2-binding KIR2DS5 allotypes protect against pre-eclampsia compared to the non-binding KIR2DS5 allotypes. Natural substitutions that contribute to loss or reduction of C2 receptor function are at positions 127, 158, and 176 in the D2 domain. CONCLUSIONS: KIR2DS5*005 has the KIR2DS5 consensus sequence, is the only allele found at both centromeric and telomeric locations of KIR2DS5, and is likely the common ancestor of all KIR2DS5 alleles. That KIR2DS5*005 has C2 receptor activity, points to KIR2DS5*002, and other allotypes lacking C2 receptor function, being products of attenuation, a characteristic feature of most KIR B haplotype genes. Alleles encoding attenuated and active KIR2DS5 are present in both centromeric and telomeric locations.","author":[{"dropping-particle":"","family":"Blokhuis","given":"Jeroen H.","non-dropping-particle":"","parse-names":false,"suffix":""},{"dropping-particle":"","family":"Hilton","given":"Hugo G.","non-dropping-particle":"","parse-names":false,"suffix":""},{"dropping-particle":"","family":"Guethlein","given":"Lisbeth A.","non-dropping-particle":"","parse-names":false,"suffix":""},{"dropping-particle":"","family":"Norman","given":"Paul J.","non-dropping-particle":"","parse-names":false,"suffix":""},{"dropping-particle":"","family":"Nemat-Gorgani","given":"Neda","non-dropping-particle":"","parse-names":false,"suffix":""},{"dropping-particle":"","family":"Nakimuli","given":"Annettee","non-dropping-particle":"","parse-names":false,"suffix":""},{"dropping-particle":"","family":"Chazara","given":"Olympe","non-dropping-particle":"","parse-names":false,"suffix":""},{"dropping-particle":"","family":"Moffett","given":"Ashley","non-dropping-particle":"","parse-names":false,"suffix":""},{"dropping-particle":"","family":"Parham","given":"Peter","non-dropping-particle":"","parse-names":false,"suffix":""}],"container-title":"Immunity Inflammation and Disease","id":"ITEM-2","issue":"4","issued":{"date-parts":[["2017"]]},"page":"461-468","title":"KIR2DS5 allotypes that recognize the C2 epitope of HLA-C are common among Africans and absent from Europeans","type":"article-journal","volume":"5"},"uris":["http://www.mendeley.com/documents/?uuid=91eb388f-cce6-464a-8e71-2d61812bbcbb"]}],"mendeley":{"formattedCitation":"&lt;sup&gt;7,8&lt;/sup&gt;","plainTextFormattedCitation":"7,8","previouslyFormattedCitation":"&lt;sup&gt;7,8&lt;/sup&gt;"},"properties":{"noteIndex":0},"schema":"https://github.com/citation-style-language/schema/raw/master/csl-citation.json"}</w:instrText>
      </w:r>
      <w:r w:rsidRPr="00094278">
        <w:rPr>
          <w:rFonts w:ascii="Calibri" w:hAnsi="Calibri" w:cs="Calibri"/>
          <w:i/>
          <w:sz w:val="24"/>
          <w:szCs w:val="24"/>
          <w:lang w:val="en-US"/>
        </w:rPr>
        <w:fldChar w:fldCharType="separate"/>
      </w:r>
      <w:r w:rsidRPr="00094278">
        <w:rPr>
          <w:rFonts w:ascii="Calibri" w:hAnsi="Calibri" w:cs="Calibri"/>
          <w:i/>
          <w:noProof/>
          <w:sz w:val="24"/>
          <w:szCs w:val="24"/>
          <w:vertAlign w:val="superscript"/>
          <w:lang w:val="en-US"/>
        </w:rPr>
        <w:t>7,8</w:t>
      </w:r>
      <w:r w:rsidRPr="00094278">
        <w:rPr>
          <w:rFonts w:ascii="Calibri" w:hAnsi="Calibri" w:cs="Calibri"/>
          <w:i/>
          <w:sz w:val="24"/>
          <w:szCs w:val="24"/>
          <w:lang w:val="en-US"/>
        </w:rPr>
        <w:fldChar w:fldCharType="end"/>
      </w:r>
      <w:r w:rsidRPr="00094278">
        <w:rPr>
          <w:rFonts w:ascii="Calibri" w:hAnsi="Calibri" w:cs="Calibri"/>
          <w:i/>
          <w:sz w:val="24"/>
          <w:szCs w:val="24"/>
          <w:lang w:val="en-US"/>
        </w:rPr>
        <w:t>.”</w:t>
      </w:r>
    </w:p>
    <w:p w14:paraId="18B5127F" w14:textId="77777777" w:rsidR="00094278" w:rsidRPr="00094278" w:rsidRDefault="00D6155D">
      <w:r>
        <w:br/>
      </w:r>
      <w:r w:rsidR="00094278" w:rsidRPr="00094278">
        <w:t xml:space="preserve">3. </w:t>
      </w:r>
      <w:r w:rsidRPr="00094278">
        <w:t>Pseudogenes are not mentioned in the introduction section but are both target in the protocol. A sentence about KIR2DP1 and KIR3DP1 could be added in the introduction.</w:t>
      </w:r>
    </w:p>
    <w:p w14:paraId="75934037" w14:textId="77777777" w:rsidR="00094278" w:rsidRDefault="00094278">
      <w:r w:rsidRPr="00094278">
        <w:rPr>
          <w:i/>
        </w:rPr>
        <w:t>The pseudogenes are n</w:t>
      </w:r>
      <w:r w:rsidRPr="00094278">
        <w:rPr>
          <w:rFonts w:ascii="Calibri" w:hAnsi="Calibri" w:cs="Calibri"/>
          <w:i/>
          <w:sz w:val="24"/>
          <w:szCs w:val="24"/>
          <w:lang w:val="en-US"/>
        </w:rPr>
        <w:t>ow included in the introduction; “The KIR loci that are currently known are KIR2DL1, KIR2DL2/KIR2DL3, KIR2DL4, KIR2DL5A, KIR2DL5B, KIR2DS1-5, KIR3DL1/KIR3DS1, KIR3DL2-3 and two pseudogenes, KIR2DP1 and KIR3DP1.”</w:t>
      </w:r>
      <w:r w:rsidR="00D6155D">
        <w:br/>
      </w:r>
      <w:r w:rsidR="00D6155D">
        <w:br/>
      </w:r>
      <w:r>
        <w:t xml:space="preserve">4. </w:t>
      </w:r>
      <w:r w:rsidR="00D6155D">
        <w:t>Ramping temperature (i.e. °C/sec) can be included in the description of cycling conditions.</w:t>
      </w:r>
    </w:p>
    <w:p w14:paraId="2D137305" w14:textId="77777777" w:rsidR="00094278" w:rsidRDefault="00094278">
      <w:r w:rsidRPr="00094278">
        <w:rPr>
          <w:i/>
        </w:rPr>
        <w:t xml:space="preserve">Non-applicable – </w:t>
      </w:r>
      <w:r>
        <w:rPr>
          <w:i/>
        </w:rPr>
        <w:t xml:space="preserve">temperature </w:t>
      </w:r>
      <w:r w:rsidRPr="00094278">
        <w:rPr>
          <w:i/>
        </w:rPr>
        <w:t xml:space="preserve">ramping was not used in the </w:t>
      </w:r>
      <w:r w:rsidR="00AC6ADB">
        <w:rPr>
          <w:i/>
        </w:rPr>
        <w:t xml:space="preserve">qPCR </w:t>
      </w:r>
      <w:r w:rsidRPr="00094278">
        <w:rPr>
          <w:i/>
        </w:rPr>
        <w:t>cycling program.</w:t>
      </w:r>
      <w:r w:rsidR="00D6155D" w:rsidRPr="00094278">
        <w:rPr>
          <w:i/>
        </w:rPr>
        <w:br/>
      </w:r>
      <w:r w:rsidR="00D6155D">
        <w:br/>
      </w:r>
      <w:r>
        <w:t xml:space="preserve">5. </w:t>
      </w:r>
      <w:r w:rsidR="00D6155D">
        <w:t>The Y-axis labels in Figures 1B and 2B are difficult to read. Please increase the font size.</w:t>
      </w:r>
    </w:p>
    <w:p w14:paraId="5E30562A" w14:textId="77777777" w:rsidR="00094278" w:rsidRDefault="00094278">
      <w:r w:rsidRPr="00094278">
        <w:rPr>
          <w:i/>
        </w:rPr>
        <w:t>The font size has been increased.</w:t>
      </w:r>
      <w:r w:rsidR="00D6155D">
        <w:br/>
      </w:r>
      <w:r w:rsidR="00D6155D">
        <w:br/>
      </w:r>
      <w:r>
        <w:t xml:space="preserve">6. </w:t>
      </w:r>
      <w:r w:rsidR="00D6155D">
        <w:t>Last step of flowchart should be identified with the number 6.</w:t>
      </w:r>
    </w:p>
    <w:p w14:paraId="7F6670CE" w14:textId="77777777" w:rsidR="00094278" w:rsidRDefault="00094278" w:rsidP="00094278">
      <w:pPr>
        <w:spacing w:after="0"/>
      </w:pPr>
      <w:r w:rsidRPr="00094278">
        <w:rPr>
          <w:i/>
        </w:rPr>
        <w:lastRenderedPageBreak/>
        <w:t>Corrected.</w:t>
      </w:r>
      <w:r w:rsidR="00D6155D">
        <w:br/>
      </w:r>
      <w:r w:rsidR="00D6155D">
        <w:br/>
      </w:r>
      <w:r>
        <w:t xml:space="preserve">7. </w:t>
      </w:r>
      <w:r w:rsidR="00D6155D">
        <w:t>Reference at line 38 is indicated using author name and publication year, please use the corresponding reference list number.</w:t>
      </w:r>
      <w:r>
        <w:t xml:space="preserve"> </w:t>
      </w:r>
      <w:r w:rsidRPr="00094278">
        <w:rPr>
          <w:i/>
        </w:rPr>
        <w:t>Corrected</w:t>
      </w:r>
      <w:r w:rsidR="00D6155D">
        <w:br/>
      </w:r>
      <w:bookmarkStart w:id="0" w:name="_GoBack"/>
      <w:bookmarkEnd w:id="0"/>
      <w:r w:rsidR="00D6155D">
        <w:br/>
      </w:r>
      <w:r>
        <w:t xml:space="preserve">8. </w:t>
      </w:r>
      <w:r w:rsidR="00D6155D">
        <w:t>The authors should carefully revise the references according to journal style</w:t>
      </w:r>
      <w:r w:rsidR="00D6155D">
        <w:br/>
        <w:t>-Last page number is not always correctly indicated (i.e. ref. 1, 4, 6, 9, 13).</w:t>
      </w:r>
    </w:p>
    <w:p w14:paraId="18029017" w14:textId="6E01359C" w:rsidR="00094278" w:rsidRDefault="00A76BAD" w:rsidP="00094278">
      <w:pPr>
        <w:spacing w:after="0"/>
      </w:pPr>
      <w:r>
        <w:rPr>
          <w:i/>
        </w:rPr>
        <w:t>Our citations are consistent with the journals</w:t>
      </w:r>
      <w:r w:rsidR="00094278">
        <w:rPr>
          <w:i/>
        </w:rPr>
        <w:t>.</w:t>
      </w:r>
      <w:r>
        <w:rPr>
          <w:i/>
        </w:rPr>
        <w:t xml:space="preserve"> Please note that PLoS Genetics references do not contain page numbers.</w:t>
      </w:r>
      <w:r w:rsidR="00D6155D">
        <w:br/>
        <w:t>-In my opinion reference 13 supports sentence at lines 37-38. A study reporting relevance of donor B content analysis in allogenic hematopoietic stem cell transplantation could be added (i.e. Cooley, 2010 Blood).</w:t>
      </w:r>
    </w:p>
    <w:p w14:paraId="355E8292" w14:textId="4B50146E" w:rsidR="00094278" w:rsidRPr="00094278" w:rsidRDefault="00A76BAD" w:rsidP="00094278">
      <w:pPr>
        <w:spacing w:after="0"/>
        <w:rPr>
          <w:i/>
        </w:rPr>
      </w:pPr>
      <w:r>
        <w:rPr>
          <w:i/>
        </w:rPr>
        <w:t>This r</w:t>
      </w:r>
      <w:r w:rsidR="00094278" w:rsidRPr="00094278">
        <w:rPr>
          <w:i/>
        </w:rPr>
        <w:t xml:space="preserve">eference </w:t>
      </w:r>
      <w:r>
        <w:rPr>
          <w:i/>
        </w:rPr>
        <w:t xml:space="preserve">has </w:t>
      </w:r>
      <w:r w:rsidR="00094278" w:rsidRPr="00094278">
        <w:rPr>
          <w:i/>
        </w:rPr>
        <w:t xml:space="preserve">now </w:t>
      </w:r>
      <w:r>
        <w:rPr>
          <w:i/>
        </w:rPr>
        <w:t xml:space="preserve">been </w:t>
      </w:r>
      <w:r w:rsidR="00094278" w:rsidRPr="00094278">
        <w:rPr>
          <w:i/>
        </w:rPr>
        <w:t>used to support this sentence</w:t>
      </w:r>
      <w:r w:rsidR="00094278">
        <w:rPr>
          <w:i/>
        </w:rPr>
        <w:t>.</w:t>
      </w:r>
      <w:r w:rsidR="00D6155D">
        <w:br/>
        <w:t>-Title and page numbers of reference 16 are missing.</w:t>
      </w:r>
    </w:p>
    <w:p w14:paraId="76543D8A" w14:textId="386D3E73" w:rsidR="00A76BAD" w:rsidRDefault="00A76BAD" w:rsidP="00094278">
      <w:pPr>
        <w:spacing w:after="0"/>
        <w:rPr>
          <w:i/>
        </w:rPr>
      </w:pPr>
      <w:r>
        <w:rPr>
          <w:i/>
        </w:rPr>
        <w:t>This reference has been replaced by three more relevant publications:</w:t>
      </w:r>
    </w:p>
    <w:p w14:paraId="05C3E812" w14:textId="56D8060E" w:rsidR="00094278" w:rsidRDefault="00A76BAD" w:rsidP="00094278">
      <w:pPr>
        <w:spacing w:after="0"/>
      </w:pPr>
      <w:r>
        <w:rPr>
          <w:i/>
        </w:rPr>
        <w:t>Vilches et al. 2007, Ashouri et al. 2009 and Martin et al. 2008.</w:t>
      </w:r>
      <w:r w:rsidR="00D6155D">
        <w:br/>
        <w:t>-References 23 and 24 are identical.</w:t>
      </w:r>
    </w:p>
    <w:p w14:paraId="47AAA386" w14:textId="520182D0" w:rsidR="00A854D6" w:rsidRDefault="00094278" w:rsidP="00094278">
      <w:pPr>
        <w:spacing w:after="0"/>
      </w:pPr>
      <w:r w:rsidRPr="00094278">
        <w:rPr>
          <w:i/>
        </w:rPr>
        <w:t>Duplicate reference has been removed</w:t>
      </w:r>
      <w:r w:rsidR="00A76BAD">
        <w:rPr>
          <w:i/>
        </w:rPr>
        <w:t>.</w:t>
      </w:r>
      <w:r w:rsidR="00D6155D" w:rsidRPr="00094278">
        <w:rPr>
          <w:i/>
        </w:rPr>
        <w:br/>
      </w:r>
      <w:r w:rsidR="00D6155D">
        <w:br/>
      </w:r>
      <w:r w:rsidR="00D6155D">
        <w:br/>
      </w:r>
      <w:r w:rsidR="00D6155D">
        <w:rPr>
          <w:b/>
          <w:bCs/>
        </w:rPr>
        <w:t>Reviewer #2:</w:t>
      </w:r>
      <w:r w:rsidR="00D6155D">
        <w:br/>
      </w:r>
      <w:r w:rsidR="00D6155D">
        <w:br/>
      </w:r>
      <w:r w:rsidR="00A854D6">
        <w:t xml:space="preserve">9. </w:t>
      </w:r>
      <w:r w:rsidR="00D6155D">
        <w:t>Compliance with the MIQE guidelines (1) should be checked.</w:t>
      </w:r>
    </w:p>
    <w:p w14:paraId="7850333A" w14:textId="77777777" w:rsidR="00A854D6" w:rsidRDefault="00A854D6" w:rsidP="00094278">
      <w:pPr>
        <w:spacing w:after="0"/>
      </w:pPr>
    </w:p>
    <w:p w14:paraId="37CA3953" w14:textId="0357A1AA" w:rsidR="00237108" w:rsidRPr="00C3426E" w:rsidRDefault="00A854D6" w:rsidP="00094278">
      <w:pPr>
        <w:spacing w:after="0"/>
        <w:rPr>
          <w:i/>
        </w:rPr>
      </w:pPr>
      <w:r w:rsidRPr="00C3426E">
        <w:rPr>
          <w:i/>
        </w:rPr>
        <w:t xml:space="preserve">After </w:t>
      </w:r>
      <w:r w:rsidR="00C3426E" w:rsidRPr="00C3426E">
        <w:rPr>
          <w:i/>
        </w:rPr>
        <w:t xml:space="preserve">careful </w:t>
      </w:r>
      <w:r w:rsidRPr="00C3426E">
        <w:rPr>
          <w:i/>
        </w:rPr>
        <w:t>review, we believe the manuscript is fully compliant with MIQE guidelines in relation to qPCR of genomic DNA.</w:t>
      </w:r>
    </w:p>
    <w:sectPr w:rsidR="00237108" w:rsidRPr="00C34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5D"/>
    <w:rsid w:val="00094278"/>
    <w:rsid w:val="00237108"/>
    <w:rsid w:val="00A76BAD"/>
    <w:rsid w:val="00A854D6"/>
    <w:rsid w:val="00AC6ADB"/>
    <w:rsid w:val="00B400C7"/>
    <w:rsid w:val="00C3426E"/>
    <w:rsid w:val="00D61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9DCC"/>
  <w15:chartTrackingRefBased/>
  <w15:docId w15:val="{4C730856-F13F-4FA3-A401-CE48C191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Traherne</dc:creator>
  <cp:keywords/>
  <dc:description/>
  <cp:lastModifiedBy>James Traherne</cp:lastModifiedBy>
  <cp:revision>3</cp:revision>
  <dcterms:created xsi:type="dcterms:W3CDTF">2018-08-13T16:48:00Z</dcterms:created>
  <dcterms:modified xsi:type="dcterms:W3CDTF">2018-08-13T17:47:00Z</dcterms:modified>
</cp:coreProperties>
</file>