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7A036" w14:textId="77777777" w:rsidR="00D7725A" w:rsidRPr="00280F50" w:rsidRDefault="008341F2">
      <w:pPr>
        <w:rPr>
          <w:rFonts w:cstheme="minorHAnsi"/>
          <w:sz w:val="24"/>
          <w:szCs w:val="24"/>
        </w:rPr>
      </w:pPr>
      <w:r w:rsidRPr="00280F50">
        <w:rPr>
          <w:rStyle w:val="Strong"/>
          <w:rFonts w:cstheme="minorHAnsi"/>
          <w:sz w:val="24"/>
          <w:szCs w:val="24"/>
        </w:rPr>
        <w:t>Editorial comments:</w:t>
      </w:r>
      <w:r w:rsidRPr="00280F50">
        <w:rPr>
          <w:rFonts w:cstheme="minorHAnsi"/>
          <w:sz w:val="24"/>
          <w:szCs w:val="24"/>
        </w:rPr>
        <w:br/>
      </w:r>
      <w:r w:rsidRPr="00280F50">
        <w:rPr>
          <w:rFonts w:cstheme="minorHAnsi"/>
          <w:sz w:val="24"/>
          <w:szCs w:val="24"/>
        </w:rPr>
        <w:br/>
        <w:t xml:space="preserve">The manuscript has been modified and the updated manuscript, </w:t>
      </w:r>
      <w:r w:rsidRPr="00280F50">
        <w:rPr>
          <w:rFonts w:cstheme="minorHAnsi"/>
          <w:b/>
          <w:bCs/>
          <w:sz w:val="24"/>
          <w:szCs w:val="24"/>
        </w:rPr>
        <w:t>58614_R1.docx</w:t>
      </w:r>
      <w:r w:rsidRPr="00280F50">
        <w:rPr>
          <w:rFonts w:cstheme="minorHAnsi"/>
          <w:sz w:val="24"/>
          <w:szCs w:val="24"/>
        </w:rPr>
        <w:t xml:space="preserve">, is attached and located in your Editorial Manager account. </w:t>
      </w:r>
      <w:r w:rsidRPr="00280F50">
        <w:rPr>
          <w:rFonts w:cstheme="minorHAnsi"/>
          <w:b/>
          <w:bCs/>
          <w:sz w:val="24"/>
          <w:szCs w:val="24"/>
        </w:rPr>
        <w:t>Please use the updated version to make your revisions.</w:t>
      </w:r>
      <w:r w:rsidRPr="00280F50">
        <w:rPr>
          <w:rFonts w:cstheme="minorHAnsi"/>
          <w:sz w:val="24"/>
          <w:szCs w:val="24"/>
        </w:rPr>
        <w:br/>
      </w:r>
      <w:r w:rsidRPr="00280F50">
        <w:rPr>
          <w:rFonts w:cstheme="minorHAnsi"/>
          <w:sz w:val="24"/>
          <w:szCs w:val="24"/>
        </w:rPr>
        <w:br/>
      </w:r>
      <w:r w:rsidRPr="00280F50">
        <w:rPr>
          <w:rFonts w:cstheme="minorHAnsi"/>
          <w:b/>
          <w:sz w:val="24"/>
          <w:szCs w:val="24"/>
        </w:rPr>
        <w:t>1. Please take this opportunity to thoroughly proofread the manuscript to ensure that there are no spelling or grammar issues.</w:t>
      </w:r>
    </w:p>
    <w:p w14:paraId="089A0355" w14:textId="77777777" w:rsidR="00A60BE0" w:rsidRPr="00280F50" w:rsidRDefault="00A60BE0" w:rsidP="00A60BE0">
      <w:pPr>
        <w:rPr>
          <w:rFonts w:cstheme="minorHAnsi"/>
          <w:i/>
          <w:color w:val="212121"/>
          <w:sz w:val="24"/>
          <w:szCs w:val="24"/>
        </w:rPr>
      </w:pPr>
      <w:r w:rsidRPr="00280F50">
        <w:rPr>
          <w:rFonts w:cstheme="minorHAnsi"/>
          <w:i/>
          <w:color w:val="212121"/>
          <w:sz w:val="24"/>
          <w:szCs w:val="24"/>
        </w:rPr>
        <w:t>Author response: We have proofread the manuscript and fixed spelling and grammatical mistakes.</w:t>
      </w:r>
    </w:p>
    <w:p w14:paraId="002B3D8E" w14:textId="0902DAE2" w:rsidR="00D7725A" w:rsidRPr="00280F50" w:rsidRDefault="008341F2">
      <w:pPr>
        <w:rPr>
          <w:rFonts w:cstheme="minorHAnsi"/>
          <w:b/>
          <w:sz w:val="24"/>
          <w:szCs w:val="24"/>
        </w:rPr>
      </w:pPr>
      <w:r w:rsidRPr="00280F50">
        <w:rPr>
          <w:rFonts w:cstheme="minorHAnsi"/>
          <w:sz w:val="24"/>
          <w:szCs w:val="24"/>
        </w:rPr>
        <w:br/>
      </w:r>
      <w:r w:rsidRPr="00280F50">
        <w:rPr>
          <w:rFonts w:cstheme="minorHAnsi"/>
          <w:b/>
          <w:sz w:val="24"/>
          <w:szCs w:val="24"/>
        </w:rPr>
        <w:t>2. Please remove all headers from Representative Results.</w:t>
      </w:r>
    </w:p>
    <w:p w14:paraId="4927D9DD" w14:textId="25504252" w:rsidR="00A60BE0" w:rsidRPr="00280F50" w:rsidRDefault="00A60BE0" w:rsidP="00A60BE0">
      <w:pPr>
        <w:rPr>
          <w:rFonts w:cstheme="minorHAnsi"/>
          <w:color w:val="212121"/>
          <w:sz w:val="24"/>
          <w:szCs w:val="24"/>
        </w:rPr>
      </w:pPr>
      <w:r w:rsidRPr="00280F50">
        <w:rPr>
          <w:rFonts w:cstheme="minorHAnsi"/>
          <w:i/>
          <w:color w:val="212121"/>
          <w:sz w:val="24"/>
          <w:szCs w:val="24"/>
        </w:rPr>
        <w:t>Author response: The headers from Representative Results have been removed from the manuscript as suggested.</w:t>
      </w:r>
    </w:p>
    <w:p w14:paraId="78BF7A7C" w14:textId="289476F2" w:rsidR="00D7725A" w:rsidRPr="00280F50" w:rsidRDefault="008341F2">
      <w:pPr>
        <w:rPr>
          <w:rFonts w:cstheme="minorHAnsi"/>
          <w:b/>
          <w:sz w:val="24"/>
          <w:szCs w:val="24"/>
        </w:rPr>
      </w:pPr>
      <w:bookmarkStart w:id="0" w:name="_GoBack"/>
      <w:bookmarkEnd w:id="0"/>
      <w:r w:rsidRPr="00280F50">
        <w:rPr>
          <w:rFonts w:cstheme="minorHAnsi"/>
          <w:sz w:val="24"/>
          <w:szCs w:val="24"/>
        </w:rPr>
        <w:br/>
      </w:r>
      <w:r w:rsidRPr="00280F50">
        <w:rPr>
          <w:rFonts w:cstheme="minorHAnsi"/>
          <w:b/>
          <w:sz w:val="24"/>
          <w:szCs w:val="24"/>
        </w:rPr>
        <w:t xml:space="preserve">3. </w:t>
      </w:r>
      <w:proofErr w:type="spellStart"/>
      <w:r w:rsidRPr="00280F50">
        <w:rPr>
          <w:rFonts w:cstheme="minorHAnsi"/>
          <w:b/>
          <w:sz w:val="24"/>
          <w:szCs w:val="24"/>
        </w:rPr>
        <w:t>JoVE</w:t>
      </w:r>
      <w:proofErr w:type="spellEnd"/>
      <w:r w:rsidRPr="00280F50">
        <w:rPr>
          <w:rFonts w:cstheme="minorHAnsi"/>
          <w:b/>
          <w:sz w:val="24"/>
          <w:szCs w:val="24"/>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SYBR Lo-ROX, Trajan Scientific and Medical, etc.</w:t>
      </w:r>
    </w:p>
    <w:p w14:paraId="635FDA3C" w14:textId="30CCEF56" w:rsidR="00A60BE0" w:rsidRPr="00280F50" w:rsidRDefault="00A60BE0" w:rsidP="00A60BE0">
      <w:pPr>
        <w:rPr>
          <w:rFonts w:cstheme="minorHAnsi"/>
          <w:color w:val="212121"/>
          <w:sz w:val="24"/>
          <w:szCs w:val="24"/>
        </w:rPr>
      </w:pPr>
      <w:r w:rsidRPr="00280F50">
        <w:rPr>
          <w:rFonts w:cstheme="minorHAnsi"/>
          <w:i/>
          <w:color w:val="212121"/>
          <w:sz w:val="24"/>
          <w:szCs w:val="24"/>
        </w:rPr>
        <w:t>Author response: Generic terms have been adopted in the manuscript and all commercial language has been moved to the Table of Materials and Reagents.</w:t>
      </w:r>
    </w:p>
    <w:p w14:paraId="573C2ED4" w14:textId="29B06993" w:rsidR="00A60BE0" w:rsidRPr="00280F50" w:rsidRDefault="008341F2" w:rsidP="00A60BE0">
      <w:pPr>
        <w:rPr>
          <w:rFonts w:cstheme="minorHAnsi"/>
          <w:color w:val="212121"/>
          <w:sz w:val="24"/>
          <w:szCs w:val="24"/>
        </w:rPr>
      </w:pPr>
      <w:r w:rsidRPr="00280F50">
        <w:rPr>
          <w:rFonts w:cstheme="minorHAnsi"/>
          <w:sz w:val="24"/>
          <w:szCs w:val="24"/>
        </w:rPr>
        <w:br/>
      </w:r>
      <w:r w:rsidRPr="00280F50">
        <w:rPr>
          <w:rFonts w:cstheme="minorHAnsi"/>
          <w:b/>
          <w:sz w:val="24"/>
          <w:szCs w:val="24"/>
        </w:rPr>
        <w:t>4. Please provide the corresponding author and email of all authors in the manuscript.</w:t>
      </w:r>
      <w:r w:rsidRPr="00280F50">
        <w:rPr>
          <w:rFonts w:cstheme="minorHAnsi"/>
          <w:sz w:val="24"/>
          <w:szCs w:val="24"/>
        </w:rPr>
        <w:br/>
      </w:r>
      <w:r w:rsidR="00A60BE0" w:rsidRPr="00280F50">
        <w:rPr>
          <w:rFonts w:cstheme="minorHAnsi"/>
          <w:i/>
          <w:color w:val="212121"/>
          <w:sz w:val="24"/>
          <w:szCs w:val="24"/>
        </w:rPr>
        <w:t>Author response: Email addresses have been provided for each author and the corresponding author has been added at the end of the section</w:t>
      </w:r>
      <w:r w:rsidR="004D000A" w:rsidRPr="00280F50">
        <w:rPr>
          <w:rFonts w:cstheme="minorHAnsi"/>
          <w:i/>
          <w:color w:val="212121"/>
          <w:sz w:val="24"/>
          <w:szCs w:val="24"/>
        </w:rPr>
        <w:t>.</w:t>
      </w:r>
    </w:p>
    <w:p w14:paraId="0C68077C" w14:textId="77777777" w:rsidR="00D7725A" w:rsidRPr="00280F50" w:rsidRDefault="00D7725A">
      <w:pPr>
        <w:rPr>
          <w:rFonts w:cstheme="minorHAnsi"/>
          <w:sz w:val="24"/>
          <w:szCs w:val="24"/>
        </w:rPr>
      </w:pPr>
    </w:p>
    <w:p w14:paraId="6FA00A81" w14:textId="77777777" w:rsidR="00D7725A" w:rsidRPr="00280F50" w:rsidRDefault="008341F2">
      <w:pPr>
        <w:rPr>
          <w:rFonts w:cstheme="minorHAnsi"/>
          <w:b/>
          <w:sz w:val="24"/>
          <w:szCs w:val="24"/>
        </w:rPr>
      </w:pPr>
      <w:r w:rsidRPr="00280F50">
        <w:rPr>
          <w:rFonts w:cstheme="minorHAnsi"/>
          <w:b/>
          <w:sz w:val="24"/>
          <w:szCs w:val="24"/>
        </w:rPr>
        <w:t>5. Step 5.7: Calculation steps without graphical user interface cannot be filmed. For steps that are done using software with graphical user interface, a step-wise description of software usage must be included in the step. Please mention what button is clicked on in the software, or which menu items need to be selected to perform the step.</w:t>
      </w:r>
    </w:p>
    <w:p w14:paraId="63F41872" w14:textId="125F810A" w:rsidR="00A60BE0" w:rsidRPr="00280F50" w:rsidRDefault="004D000A" w:rsidP="00A60BE0">
      <w:pPr>
        <w:rPr>
          <w:rFonts w:cstheme="minorHAnsi"/>
          <w:i/>
          <w:color w:val="212121"/>
          <w:sz w:val="24"/>
          <w:szCs w:val="24"/>
        </w:rPr>
      </w:pPr>
      <w:r w:rsidRPr="00280F50">
        <w:rPr>
          <w:rFonts w:cstheme="minorHAnsi"/>
          <w:i/>
          <w:color w:val="212121"/>
          <w:sz w:val="24"/>
          <w:szCs w:val="24"/>
        </w:rPr>
        <w:t xml:space="preserve">Author response: A step-wise description of software usage has been provided under step 5.7 in the Protocol section (see below) </w:t>
      </w:r>
    </w:p>
    <w:p w14:paraId="4A404E8A" w14:textId="1F810A5D" w:rsidR="00A60BE0" w:rsidRPr="00280F50" w:rsidRDefault="00A60BE0" w:rsidP="00A60BE0">
      <w:pPr>
        <w:rPr>
          <w:rFonts w:cstheme="minorHAnsi"/>
          <w:i/>
          <w:sz w:val="24"/>
          <w:szCs w:val="24"/>
        </w:rPr>
      </w:pPr>
      <w:r w:rsidRPr="00280F50">
        <w:rPr>
          <w:rFonts w:cstheme="minorHAnsi"/>
          <w:i/>
          <w:sz w:val="24"/>
          <w:szCs w:val="24"/>
        </w:rPr>
        <w:t>‘5.7.</w:t>
      </w:r>
      <w:r w:rsidRPr="00280F50">
        <w:rPr>
          <w:rFonts w:cstheme="minorHAnsi"/>
          <w:i/>
          <w:sz w:val="24"/>
          <w:szCs w:val="24"/>
        </w:rPr>
        <w:tab/>
        <w:t xml:space="preserve">Calculate the RNA concentration of samples by interpolating from a standard curve prepared from templates with known concentrations. </w:t>
      </w:r>
    </w:p>
    <w:p w14:paraId="2011D090" w14:textId="77777777" w:rsidR="00A60BE0" w:rsidRPr="00280F50" w:rsidRDefault="00A60BE0" w:rsidP="00A60BE0">
      <w:pPr>
        <w:ind w:firstLine="720"/>
        <w:rPr>
          <w:rFonts w:cstheme="minorHAnsi"/>
          <w:i/>
          <w:sz w:val="24"/>
          <w:szCs w:val="24"/>
        </w:rPr>
      </w:pPr>
      <w:r w:rsidRPr="00280F50">
        <w:rPr>
          <w:rFonts w:cstheme="minorHAnsi"/>
          <w:i/>
          <w:sz w:val="24"/>
          <w:szCs w:val="24"/>
        </w:rPr>
        <w:t>5.7.1.</w:t>
      </w:r>
      <w:r w:rsidRPr="00280F50">
        <w:rPr>
          <w:rFonts w:cstheme="minorHAnsi"/>
          <w:i/>
          <w:sz w:val="24"/>
          <w:szCs w:val="24"/>
        </w:rPr>
        <w:tab/>
        <w:t>Create a new experiment in the software.</w:t>
      </w:r>
    </w:p>
    <w:p w14:paraId="667AE247" w14:textId="77777777" w:rsidR="00A60BE0" w:rsidRPr="00280F50" w:rsidRDefault="00A60BE0" w:rsidP="00A60BE0">
      <w:pPr>
        <w:ind w:firstLine="720"/>
        <w:rPr>
          <w:rFonts w:cstheme="minorHAnsi"/>
          <w:i/>
          <w:sz w:val="24"/>
          <w:szCs w:val="24"/>
        </w:rPr>
      </w:pPr>
      <w:r w:rsidRPr="00280F50">
        <w:rPr>
          <w:rFonts w:cstheme="minorHAnsi"/>
          <w:i/>
          <w:sz w:val="24"/>
          <w:szCs w:val="24"/>
        </w:rPr>
        <w:t>5.7.2.</w:t>
      </w:r>
      <w:r w:rsidRPr="00280F50">
        <w:rPr>
          <w:rFonts w:cstheme="minorHAnsi"/>
          <w:i/>
          <w:sz w:val="24"/>
          <w:szCs w:val="24"/>
        </w:rPr>
        <w:tab/>
        <w:t>Click ‘Define and Set Up Standards’ to set up serial dilution for plates.</w:t>
      </w:r>
    </w:p>
    <w:p w14:paraId="13479FF4" w14:textId="77777777" w:rsidR="00A60BE0" w:rsidRPr="00280F50" w:rsidRDefault="00A60BE0" w:rsidP="00A60BE0">
      <w:pPr>
        <w:ind w:firstLine="720"/>
        <w:rPr>
          <w:rFonts w:cstheme="minorHAnsi"/>
          <w:i/>
          <w:sz w:val="24"/>
          <w:szCs w:val="24"/>
        </w:rPr>
      </w:pPr>
      <w:r w:rsidRPr="00280F50">
        <w:rPr>
          <w:rFonts w:cstheme="minorHAnsi"/>
          <w:i/>
          <w:sz w:val="24"/>
          <w:szCs w:val="24"/>
        </w:rPr>
        <w:lastRenderedPageBreak/>
        <w:t>5.7.3.</w:t>
      </w:r>
      <w:r w:rsidRPr="00280F50">
        <w:rPr>
          <w:rFonts w:cstheme="minorHAnsi"/>
          <w:i/>
          <w:sz w:val="24"/>
          <w:szCs w:val="24"/>
        </w:rPr>
        <w:tab/>
        <w:t>Select and arrange the wells for standards and samples. Click ‘Apply’.</w:t>
      </w:r>
    </w:p>
    <w:p w14:paraId="3DD0052B" w14:textId="77777777" w:rsidR="00A60BE0" w:rsidRPr="00280F50" w:rsidRDefault="00A60BE0" w:rsidP="00A60BE0">
      <w:pPr>
        <w:ind w:left="720"/>
        <w:rPr>
          <w:rFonts w:cstheme="minorHAnsi"/>
          <w:i/>
          <w:sz w:val="24"/>
          <w:szCs w:val="24"/>
        </w:rPr>
      </w:pPr>
      <w:r w:rsidRPr="00280F50">
        <w:rPr>
          <w:rFonts w:cstheme="minorHAnsi"/>
          <w:i/>
          <w:sz w:val="24"/>
          <w:szCs w:val="24"/>
        </w:rPr>
        <w:t>5.7.4.</w:t>
      </w:r>
      <w:r w:rsidRPr="00280F50">
        <w:rPr>
          <w:rFonts w:cstheme="minorHAnsi"/>
          <w:i/>
          <w:sz w:val="24"/>
          <w:szCs w:val="24"/>
        </w:rPr>
        <w:tab/>
        <w:t>Click ‘</w:t>
      </w:r>
      <w:proofErr w:type="spellStart"/>
      <w:r w:rsidRPr="00280F50">
        <w:rPr>
          <w:rFonts w:cstheme="minorHAnsi"/>
          <w:i/>
          <w:sz w:val="24"/>
          <w:szCs w:val="24"/>
        </w:rPr>
        <w:t>Analyze</w:t>
      </w:r>
      <w:proofErr w:type="spellEnd"/>
      <w:r w:rsidRPr="00280F50">
        <w:rPr>
          <w:rFonts w:cstheme="minorHAnsi"/>
          <w:i/>
          <w:sz w:val="24"/>
          <w:szCs w:val="24"/>
        </w:rPr>
        <w:t>’ in the Result tab to assess the standard curve. Confirm the slope, R2 value, amplification efficiency and error meet the experimental criteria.</w:t>
      </w:r>
    </w:p>
    <w:p w14:paraId="70631EEE" w14:textId="77777777" w:rsidR="00A60BE0" w:rsidRPr="00280F50" w:rsidRDefault="00A60BE0" w:rsidP="00A60BE0">
      <w:pPr>
        <w:ind w:left="720"/>
        <w:rPr>
          <w:rFonts w:cstheme="minorHAnsi"/>
          <w:i/>
          <w:sz w:val="24"/>
          <w:szCs w:val="24"/>
        </w:rPr>
      </w:pPr>
      <w:r w:rsidRPr="00280F50">
        <w:rPr>
          <w:rFonts w:cstheme="minorHAnsi"/>
          <w:i/>
          <w:sz w:val="24"/>
          <w:szCs w:val="24"/>
        </w:rPr>
        <w:t>5.7.5.</w:t>
      </w:r>
      <w:r w:rsidRPr="00280F50">
        <w:rPr>
          <w:rFonts w:cstheme="minorHAnsi"/>
          <w:i/>
          <w:sz w:val="24"/>
          <w:szCs w:val="24"/>
        </w:rPr>
        <w:tab/>
        <w:t>Check the quantities of unknown samples visually on the standard curve based on their Ct values.</w:t>
      </w:r>
    </w:p>
    <w:p w14:paraId="25A68846" w14:textId="77777777" w:rsidR="00A60BE0" w:rsidRPr="00280F50" w:rsidRDefault="00A60BE0" w:rsidP="00A60BE0">
      <w:pPr>
        <w:rPr>
          <w:rFonts w:cstheme="minorHAnsi"/>
          <w:i/>
          <w:sz w:val="24"/>
          <w:szCs w:val="24"/>
        </w:rPr>
      </w:pPr>
    </w:p>
    <w:p w14:paraId="30A350C5" w14:textId="17296265" w:rsidR="00BA4DAA" w:rsidRPr="00280F50" w:rsidRDefault="004D000A" w:rsidP="00A60BE0">
      <w:pPr>
        <w:rPr>
          <w:i/>
          <w:sz w:val="24"/>
          <w:szCs w:val="24"/>
        </w:rPr>
      </w:pPr>
      <w:r w:rsidRPr="00280F50">
        <w:rPr>
          <w:i/>
          <w:sz w:val="24"/>
          <w:szCs w:val="24"/>
        </w:rPr>
        <w:t>Note: The construction of standard curve, including choice of dilution factor, is performed according to published protocols</w:t>
      </w:r>
      <w:r w:rsidRPr="00280F50">
        <w:rPr>
          <w:i/>
          <w:sz w:val="24"/>
          <w:szCs w:val="24"/>
        </w:rPr>
        <w:fldChar w:fldCharType="begin" w:fldLock="1"/>
      </w:r>
      <w:r w:rsidRPr="00280F50">
        <w:rPr>
          <w:i/>
          <w:sz w:val="24"/>
          <w:szCs w:val="24"/>
        </w:rPr>
        <w:instrText>ADDIN CSL_CITATION { "citationItems" : [ { "id" : "ITEM-1", "itemData" : { "URL" : "https://www.graphpad.com/support/faq/prism-3-calculating-unknown-concentrations-using-a-standard-curve/", "accessed" : { "date-parts" : [ [ "2018", "8", "10" ] ] }, "id" : "ITEM-1", "issued" : { "date-parts" : [ [ "0" ] ] }, "title" : "GraphPad - FAQ 1753 - Prism 3 -- Calculating &amp;quot;Unknown&amp;quot; Concentrations using a Standard Curve", "type" : "webpage" }, "uris" : [ "http://www.mendeley.com/documents/?uuid=ae3b1628-40dc-36b7-9c2a-444c14f12037" ] }, { "id" : "ITEM-2", "itemData" : { "DOI" : "10.1016/J.MAM.2005.12.007", "ISSN" : "0098-2997", "abstract" : "The scientific, medical, and diagnostic communities have been presented the most powerful tool for quantitative nucleic acids analysis: real-time PCR [Bustin, S.A., 2004. A\u2013Z of Quantitative PCR. IUL Press, San Diego, CA]. This new technique is a refinement of the original Polymerase Chain Reaction (PCR) developed by Kary Mullis and coworkers in the mid 80:ies [Saiki, R.K., et al., 1985. Enzymatic amplification of \u03b2-globin genomic sequences and restriction site analysis for diagnosis of sickle cell anemia, Science 230, 1350], for which Kary Mullis was awarded the 1993 year\u2019s Nobel prize in Chemistry. By PCR essentially any nucleic acid sequence present in a complex sample can be amplified in a cyclic process to generate a large number of identical copies that can readily be analyzed. This made it possible, for example, to manipulate DNA for cloning purposes, genetic engineering, and sequencing. But as an analytical technique the original PCR method had some serious limitations. By first amplifying the DNA sequence and then analyzing the product, quantification was exceedingly difficult since the PCR gave rise to essentially the same amount of product independently of the initial amount of DNA template molecules that were present. This limitation was resolved in 1992 by the development of real-time PCR by Higuchi et al. [Higuchi, R., Dollinger, G., Walsh, P.S., Griffith, R., 1992. Simultaneous amplification and detection of specific DNA-sequences. Bio-Technology 10(4), 413\u2013417]. In real-time PCR the amount of product formed is monitored during the course of the reaction by monitoring the fluorescence of dyes or probes introduced into the reaction that is proportional to the amount of product formed, and the number of amplification cycles required to obtain a particular amount of DNA molecules is registered. Assuming a certain amplification efficiency, which typically is close to a doubling of the number of molecules per amplification cycle, it is possible to calculate the number of DNA molecules of the amplified sequence that were initially present in the sample. With the highly efficient detection chemistries, sensitive instrumentation, and optimized assays that are available today the number of DNA molecules of a particular sequence in a complex sample can be determined with unprecedented accuracy and sensitivity sufficient to detect a single molecule. Typical uses of real-time PCR include pathogen detection, gene expression analysis, single nucleotide\u2026", "author" : [ { "dropping-particle" : "", "family" : "Kubista", "given" : "Mikael", "non-dropping-particle" : "", "parse-names" : false, "suffix" : "" }, { "dropping-particle" : "", "family" : "Andrade", "given" : "Jos\u00e9 Manuel", "non-dropping-particle" : "", "parse-names" : false, "suffix" : "" }, { "dropping-particle" : "", "family" : "Bengtsson", "given" : "Martin", "non-dropping-particle" : "", "parse-names" : false, "suffix" : "" }, { "dropping-particle" : "", "family" : "Forootan", "given" : "Amin", "non-dropping-particle" : "", "parse-names" : false, "suffix" : "" }, { "dropping-particle" : "", "family" : "Jon\u00e1k", "given" : "Jiri", "non-dropping-particle" : "", "parse-names" : false, "suffix" : "" }, { "dropping-particle" : "", "family" : "Lind", "given" : "Kristina", "non-dropping-particle" : "", "parse-names" : false, "suffix" : "" }, { "dropping-particle" : "", "family" : "Sindelka", "given" : "Radek", "non-dropping-particle" : "", "parse-names" : false, "suffix" : "" }, { "dropping-particle" : "", "family" : "Sj\u00f6back", "given" : "Robert", "non-dropping-particle" : "", "parse-names" : false, "suffix" : "" }, { "dropping-particle" : "", "family" : "Sj\u00f6green", "given" : "Bj\u00f6rn", "non-dropping-particle" : "", "parse-names" : false, "suffix" : "" }, { "dropping-particle" : "", "family" : "Str\u00f6mbom", "given" : "Linda", "non-dropping-particle" : "", "parse-names" : false, "suffix" : "" }, { "dropping-particle" : "", "family" : "St\u00e5hlberg", "given" : "Anders", "non-dropping-particle" : "", "parse-names" : false, "suffix" : "" }, { "dropping-particle" : "", "family" : "Zoric", "given" : "Neven", "non-dropping-particle" : "", "parse-names" : false, "suffix" : "" } ], "container-title" : "Molecular Aspects of Medicine", "id" : "ITEM-2", "issue" : "2-3", "issued" : { "date-parts" : [ [ "2006", "4", "1" ] ] }, "page" : "95-125", "publisher" : "Pergamon", "title" : "The real-time polymerase chain reaction", "type" : "article-journal", "volume" : "27" }, "uris" : [ "http://www.mendeley.com/documents/?uuid=5e4d246b-281d-3805-8d64-28a2459d753e" ] }, { "id" : "ITEM-3", "itemData" : { "author" : [ { "dropping-particle" : "", "family" : "Goni", "given" : "Ramon", "non-dropping-particle" : "", "parse-names" : false, "suffix" : "" }, { "dropping-particle" : "", "family" : "Garc\u00eda", "given" : "Patricia", "non-dropping-particle" : "", "parse-names" : false, "suffix" : "" }, { "dropping-particle" : "", "family" : "Foissac", "given" : "Sylvain", "non-dropping-particle" : "", "parse-names" : false, "suffix" : "" } ], "id" : "ITEM-3", "issue" : "September", "issued" : { "date-parts" : [ [ "2009" ] ] }, "page" : "1-9", "title" : "The qPCR data statistical analysis", "type" : "article-journal" }, "uris" : [ "http://www.mendeley.com/documents/?uuid=f4392c0e-a69b-484e-a840-65e33676b29f" ] } ], "mendeley" : { "formattedCitation" : "&lt;sup&gt;11\u201313&lt;/sup&gt;", "plainTextFormattedCitation" : "11\u201313", "previouslyFormattedCitation" : "&lt;sup&gt;11\u201313&lt;/sup&gt;" }, "properties" : { "noteIndex" : 0 }, "schema" : "https://github.com/citation-style-language/schema/raw/master/csl-citation.json" }</w:instrText>
      </w:r>
      <w:r w:rsidRPr="00280F50">
        <w:rPr>
          <w:i/>
          <w:sz w:val="24"/>
          <w:szCs w:val="24"/>
        </w:rPr>
        <w:fldChar w:fldCharType="separate"/>
      </w:r>
      <w:r w:rsidRPr="00280F50">
        <w:rPr>
          <w:i/>
          <w:noProof/>
          <w:sz w:val="24"/>
          <w:szCs w:val="24"/>
          <w:vertAlign w:val="superscript"/>
        </w:rPr>
        <w:t>11–13</w:t>
      </w:r>
      <w:r w:rsidRPr="00280F50">
        <w:rPr>
          <w:i/>
          <w:sz w:val="24"/>
          <w:szCs w:val="24"/>
        </w:rPr>
        <w:fldChar w:fldCharType="end"/>
      </w:r>
      <w:r w:rsidRPr="00280F50">
        <w:rPr>
          <w:i/>
          <w:sz w:val="24"/>
          <w:szCs w:val="24"/>
        </w:rPr>
        <w:t>.</w:t>
      </w:r>
      <w:r w:rsidR="00A60BE0" w:rsidRPr="00280F50">
        <w:rPr>
          <w:rFonts w:cstheme="minorHAnsi"/>
          <w:i/>
          <w:sz w:val="24"/>
          <w:szCs w:val="24"/>
        </w:rPr>
        <w:t>’</w:t>
      </w:r>
    </w:p>
    <w:p w14:paraId="4DD480D5" w14:textId="045E6658" w:rsidR="00D7725A" w:rsidRPr="00280F50" w:rsidRDefault="008341F2">
      <w:pPr>
        <w:rPr>
          <w:rFonts w:cstheme="minorHAnsi"/>
          <w:b/>
          <w:sz w:val="24"/>
          <w:szCs w:val="24"/>
        </w:rPr>
      </w:pPr>
      <w:r w:rsidRPr="00280F50">
        <w:rPr>
          <w:rFonts w:cstheme="minorHAnsi"/>
          <w:sz w:val="24"/>
          <w:szCs w:val="24"/>
        </w:rPr>
        <w:br/>
      </w:r>
      <w:r w:rsidRPr="00280F50">
        <w:rPr>
          <w:rFonts w:cstheme="minorHAnsi"/>
          <w:b/>
          <w:sz w:val="24"/>
          <w:szCs w:val="24"/>
        </w:rPr>
        <w:t>6. 5.8: Please add more details to your protocol steps. Please ensure you answer the “how” question, i.e., how is the step performed? Alternatively, add references to published material specifying how to perform the protocol action.</w:t>
      </w:r>
    </w:p>
    <w:p w14:paraId="3927524B" w14:textId="17B5D8BA" w:rsidR="004D000A" w:rsidRPr="00280F50" w:rsidRDefault="004D000A" w:rsidP="004D000A">
      <w:pPr>
        <w:rPr>
          <w:rFonts w:cstheme="minorHAnsi"/>
          <w:i/>
          <w:color w:val="212121"/>
          <w:sz w:val="24"/>
          <w:szCs w:val="24"/>
        </w:rPr>
      </w:pPr>
      <w:r w:rsidRPr="00280F50">
        <w:rPr>
          <w:rFonts w:cstheme="minorHAnsi"/>
          <w:i/>
          <w:color w:val="212121"/>
          <w:sz w:val="24"/>
          <w:szCs w:val="24"/>
        </w:rPr>
        <w:t xml:space="preserve">Author response: </w:t>
      </w:r>
      <w:r w:rsidR="00576AD8">
        <w:rPr>
          <w:rFonts w:cstheme="minorHAnsi"/>
          <w:i/>
          <w:color w:val="212121"/>
          <w:sz w:val="24"/>
          <w:szCs w:val="24"/>
        </w:rPr>
        <w:t xml:space="preserve">A step-wise description has been provided to </w:t>
      </w:r>
      <w:r w:rsidR="00FA5456">
        <w:rPr>
          <w:rFonts w:cstheme="minorHAnsi"/>
          <w:i/>
          <w:color w:val="212121"/>
          <w:sz w:val="24"/>
          <w:szCs w:val="24"/>
        </w:rPr>
        <w:t>detail how step 5.8 is performed</w:t>
      </w:r>
      <w:r w:rsidR="00397BE8">
        <w:rPr>
          <w:rFonts w:cstheme="minorHAnsi"/>
          <w:i/>
          <w:color w:val="212121"/>
          <w:sz w:val="24"/>
          <w:szCs w:val="24"/>
        </w:rPr>
        <w:t xml:space="preserve">, </w:t>
      </w:r>
      <w:r w:rsidR="00576AD8">
        <w:rPr>
          <w:rFonts w:cstheme="minorHAnsi"/>
          <w:i/>
          <w:color w:val="212121"/>
          <w:sz w:val="24"/>
          <w:szCs w:val="24"/>
        </w:rPr>
        <w:t>and r</w:t>
      </w:r>
      <w:r w:rsidR="00280F50" w:rsidRPr="00280F50">
        <w:rPr>
          <w:rFonts w:cstheme="minorHAnsi"/>
          <w:i/>
          <w:color w:val="212121"/>
          <w:sz w:val="24"/>
          <w:szCs w:val="24"/>
        </w:rPr>
        <w:t xml:space="preserve">eferences to published materials </w:t>
      </w:r>
      <w:r w:rsidR="00FA5456">
        <w:rPr>
          <w:rFonts w:cstheme="minorHAnsi"/>
          <w:i/>
          <w:color w:val="212121"/>
          <w:sz w:val="24"/>
          <w:szCs w:val="24"/>
        </w:rPr>
        <w:t xml:space="preserve">about the approach </w:t>
      </w:r>
      <w:r w:rsidR="00280F50" w:rsidRPr="00280F50">
        <w:rPr>
          <w:rFonts w:cstheme="minorHAnsi"/>
          <w:i/>
          <w:color w:val="212121"/>
          <w:sz w:val="24"/>
          <w:szCs w:val="24"/>
        </w:rPr>
        <w:t>ha</w:t>
      </w:r>
      <w:r w:rsidR="00576AD8">
        <w:rPr>
          <w:rFonts w:cstheme="minorHAnsi"/>
          <w:i/>
          <w:color w:val="212121"/>
          <w:sz w:val="24"/>
          <w:szCs w:val="24"/>
        </w:rPr>
        <w:t>ve</w:t>
      </w:r>
      <w:r w:rsidR="00280F50" w:rsidRPr="00280F50">
        <w:rPr>
          <w:rFonts w:cstheme="minorHAnsi"/>
          <w:i/>
          <w:color w:val="212121"/>
          <w:sz w:val="24"/>
          <w:szCs w:val="24"/>
        </w:rPr>
        <w:t xml:space="preserve"> been added</w:t>
      </w:r>
      <w:r w:rsidRPr="00280F50">
        <w:rPr>
          <w:rFonts w:cstheme="minorHAnsi"/>
          <w:i/>
          <w:color w:val="212121"/>
          <w:sz w:val="24"/>
          <w:szCs w:val="24"/>
        </w:rPr>
        <w:t xml:space="preserve"> (see below)</w:t>
      </w:r>
      <w:r w:rsidR="007B10AF">
        <w:rPr>
          <w:rFonts w:cstheme="minorHAnsi"/>
          <w:i/>
          <w:color w:val="212121"/>
          <w:sz w:val="24"/>
          <w:szCs w:val="24"/>
        </w:rPr>
        <w:t>.</w:t>
      </w:r>
      <w:r w:rsidRPr="00280F50">
        <w:rPr>
          <w:rFonts w:cstheme="minorHAnsi"/>
          <w:i/>
          <w:color w:val="212121"/>
          <w:sz w:val="24"/>
          <w:szCs w:val="24"/>
        </w:rPr>
        <w:t xml:space="preserve"> </w:t>
      </w:r>
    </w:p>
    <w:p w14:paraId="5BD899F0" w14:textId="2783570B" w:rsidR="00576AD8" w:rsidRPr="00576AD8" w:rsidRDefault="00280F50" w:rsidP="00576AD8">
      <w:pPr>
        <w:spacing w:after="0" w:line="240" w:lineRule="auto"/>
        <w:rPr>
          <w:i/>
          <w:sz w:val="24"/>
          <w:szCs w:val="24"/>
        </w:rPr>
      </w:pPr>
      <w:r w:rsidRPr="00280F50">
        <w:rPr>
          <w:i/>
          <w:sz w:val="24"/>
          <w:szCs w:val="24"/>
        </w:rPr>
        <w:t>‘</w:t>
      </w:r>
      <w:r w:rsidR="00576AD8" w:rsidRPr="00576AD8">
        <w:rPr>
          <w:i/>
          <w:sz w:val="24"/>
          <w:szCs w:val="24"/>
        </w:rPr>
        <w:t>5.8.</w:t>
      </w:r>
      <w:r w:rsidR="00576AD8" w:rsidRPr="00576AD8">
        <w:rPr>
          <w:i/>
          <w:sz w:val="24"/>
          <w:szCs w:val="24"/>
        </w:rPr>
        <w:tab/>
        <w:t xml:space="preserve">Perform gene expression analysis of mRNA by using the </w:t>
      </w:r>
      <w:proofErr w:type="spellStart"/>
      <w:r w:rsidR="00576AD8" w:rsidRPr="00576AD8">
        <w:rPr>
          <w:i/>
          <w:sz w:val="24"/>
          <w:szCs w:val="24"/>
        </w:rPr>
        <w:t>ΔCt</w:t>
      </w:r>
      <w:proofErr w:type="spellEnd"/>
      <w:r w:rsidR="00576AD8" w:rsidRPr="00576AD8">
        <w:rPr>
          <w:i/>
          <w:sz w:val="24"/>
          <w:szCs w:val="24"/>
        </w:rPr>
        <w:t xml:space="preserve"> method, Ct that is normalized to a refence gene</w:t>
      </w:r>
      <w:r w:rsidR="001C5D9A">
        <w:rPr>
          <w:i/>
          <w:sz w:val="24"/>
          <w:szCs w:val="24"/>
        </w:rPr>
        <w:t>.</w:t>
      </w:r>
    </w:p>
    <w:p w14:paraId="1F966907" w14:textId="42011AD2" w:rsidR="00576AD8" w:rsidRPr="00576AD8" w:rsidRDefault="00576AD8" w:rsidP="00576AD8">
      <w:pPr>
        <w:spacing w:after="0" w:line="240" w:lineRule="auto"/>
        <w:ind w:left="720"/>
        <w:rPr>
          <w:i/>
          <w:sz w:val="24"/>
          <w:szCs w:val="24"/>
        </w:rPr>
      </w:pPr>
      <w:r w:rsidRPr="00576AD8">
        <w:rPr>
          <w:i/>
          <w:sz w:val="24"/>
          <w:szCs w:val="24"/>
        </w:rPr>
        <w:t>5.8.1.</w:t>
      </w:r>
      <w:r w:rsidRPr="00576AD8">
        <w:rPr>
          <w:i/>
          <w:sz w:val="24"/>
          <w:szCs w:val="24"/>
        </w:rPr>
        <w:tab/>
        <w:t xml:space="preserve">Subtract the Ct value of target gene from the Ct value of reference gene to obtain the </w:t>
      </w:r>
      <w:proofErr w:type="spellStart"/>
      <w:r w:rsidRPr="00576AD8">
        <w:rPr>
          <w:i/>
          <w:sz w:val="24"/>
          <w:szCs w:val="24"/>
        </w:rPr>
        <w:t>ΔCt</w:t>
      </w:r>
      <w:proofErr w:type="spellEnd"/>
      <w:r w:rsidRPr="00576AD8">
        <w:rPr>
          <w:i/>
          <w:sz w:val="24"/>
          <w:szCs w:val="24"/>
        </w:rPr>
        <w:t xml:space="preserve"> value</w:t>
      </w:r>
      <w:r w:rsidR="001C5D9A">
        <w:rPr>
          <w:i/>
          <w:sz w:val="24"/>
          <w:szCs w:val="24"/>
        </w:rPr>
        <w:t>.</w:t>
      </w:r>
    </w:p>
    <w:p w14:paraId="6847E70A" w14:textId="3F6EAF00" w:rsidR="00576AD8" w:rsidRPr="00576AD8" w:rsidRDefault="00576AD8" w:rsidP="00576AD8">
      <w:pPr>
        <w:spacing w:after="0" w:line="240" w:lineRule="auto"/>
        <w:ind w:firstLine="720"/>
        <w:rPr>
          <w:i/>
          <w:sz w:val="24"/>
          <w:szCs w:val="24"/>
        </w:rPr>
      </w:pPr>
      <w:r w:rsidRPr="00576AD8">
        <w:rPr>
          <w:i/>
          <w:sz w:val="24"/>
          <w:szCs w:val="24"/>
        </w:rPr>
        <w:t>5.8.2.</w:t>
      </w:r>
      <w:r w:rsidRPr="00576AD8">
        <w:rPr>
          <w:i/>
          <w:sz w:val="24"/>
          <w:szCs w:val="24"/>
        </w:rPr>
        <w:tab/>
        <w:t xml:space="preserve">Average the </w:t>
      </w:r>
      <w:proofErr w:type="spellStart"/>
      <w:r w:rsidRPr="00576AD8">
        <w:rPr>
          <w:i/>
          <w:sz w:val="24"/>
          <w:szCs w:val="24"/>
        </w:rPr>
        <w:t>ΔCt</w:t>
      </w:r>
      <w:proofErr w:type="spellEnd"/>
      <w:r w:rsidRPr="00576AD8">
        <w:rPr>
          <w:i/>
          <w:sz w:val="24"/>
          <w:szCs w:val="24"/>
        </w:rPr>
        <w:t xml:space="preserve"> values of technical replicates</w:t>
      </w:r>
      <w:r w:rsidR="001C5D9A">
        <w:rPr>
          <w:i/>
          <w:sz w:val="24"/>
          <w:szCs w:val="24"/>
        </w:rPr>
        <w:t>.</w:t>
      </w:r>
    </w:p>
    <w:p w14:paraId="29775F00" w14:textId="143C5C22" w:rsidR="00576AD8" w:rsidRPr="00576AD8" w:rsidRDefault="00576AD8" w:rsidP="00576AD8">
      <w:pPr>
        <w:spacing w:after="0" w:line="240" w:lineRule="auto"/>
        <w:ind w:left="720"/>
        <w:rPr>
          <w:i/>
          <w:sz w:val="24"/>
          <w:szCs w:val="24"/>
        </w:rPr>
      </w:pPr>
      <w:r w:rsidRPr="00576AD8">
        <w:rPr>
          <w:i/>
          <w:sz w:val="24"/>
          <w:szCs w:val="24"/>
        </w:rPr>
        <w:t>5.8.3.</w:t>
      </w:r>
      <w:r w:rsidRPr="00576AD8">
        <w:rPr>
          <w:i/>
          <w:sz w:val="24"/>
          <w:szCs w:val="24"/>
        </w:rPr>
        <w:tab/>
        <w:t xml:space="preserve">Plot and </w:t>
      </w:r>
      <w:proofErr w:type="spellStart"/>
      <w:r w:rsidRPr="00576AD8">
        <w:rPr>
          <w:i/>
          <w:sz w:val="24"/>
          <w:szCs w:val="24"/>
        </w:rPr>
        <w:t>analyze</w:t>
      </w:r>
      <w:proofErr w:type="spellEnd"/>
      <w:r w:rsidRPr="00576AD8">
        <w:rPr>
          <w:i/>
          <w:sz w:val="24"/>
          <w:szCs w:val="24"/>
        </w:rPr>
        <w:t xml:space="preserve"> gene expression with statistics software</w:t>
      </w:r>
      <w:r w:rsidRPr="00397BE8">
        <w:rPr>
          <w:i/>
          <w:sz w:val="24"/>
          <w:szCs w:val="24"/>
          <w:vertAlign w:val="superscript"/>
        </w:rPr>
        <w:t xml:space="preserve">11,14 </w:t>
      </w:r>
      <w:r w:rsidRPr="00576AD8">
        <w:rPr>
          <w:i/>
          <w:sz w:val="24"/>
          <w:szCs w:val="24"/>
        </w:rPr>
        <w:t>(see Table of Materials)</w:t>
      </w:r>
      <w:r w:rsidR="001C5D9A">
        <w:rPr>
          <w:i/>
          <w:sz w:val="24"/>
          <w:szCs w:val="24"/>
        </w:rPr>
        <w:t>.</w:t>
      </w:r>
    </w:p>
    <w:p w14:paraId="638439D8" w14:textId="77777777" w:rsidR="00576AD8" w:rsidRPr="00576AD8" w:rsidRDefault="00576AD8" w:rsidP="00576AD8">
      <w:pPr>
        <w:spacing w:after="0" w:line="240" w:lineRule="auto"/>
        <w:rPr>
          <w:i/>
          <w:sz w:val="24"/>
          <w:szCs w:val="24"/>
        </w:rPr>
      </w:pPr>
    </w:p>
    <w:p w14:paraId="67D5577D" w14:textId="2D6FFE05" w:rsidR="00151F52" w:rsidRPr="00280F50" w:rsidRDefault="00576AD8" w:rsidP="00576AD8">
      <w:pPr>
        <w:spacing w:after="0" w:line="240" w:lineRule="auto"/>
        <w:rPr>
          <w:rFonts w:cstheme="minorHAnsi"/>
          <w:i/>
          <w:sz w:val="24"/>
          <w:szCs w:val="24"/>
        </w:rPr>
      </w:pPr>
      <w:r w:rsidRPr="00576AD8">
        <w:rPr>
          <w:i/>
          <w:sz w:val="24"/>
          <w:szCs w:val="24"/>
        </w:rPr>
        <w:t>Note: Alternatively, the gene expression analysis is performed according to published protocols</w:t>
      </w:r>
      <w:r w:rsidRPr="00397BE8">
        <w:rPr>
          <w:i/>
          <w:sz w:val="24"/>
          <w:szCs w:val="24"/>
          <w:vertAlign w:val="superscript"/>
        </w:rPr>
        <w:t>13</w:t>
      </w:r>
      <w:r w:rsidRPr="00576AD8">
        <w:rPr>
          <w:i/>
          <w:sz w:val="24"/>
          <w:szCs w:val="24"/>
        </w:rPr>
        <w:t>.</w:t>
      </w:r>
      <w:r w:rsidR="00280F50" w:rsidRPr="00280F50">
        <w:rPr>
          <w:i/>
          <w:sz w:val="24"/>
          <w:szCs w:val="24"/>
        </w:rPr>
        <w:t>’</w:t>
      </w:r>
    </w:p>
    <w:p w14:paraId="69FEE254" w14:textId="33F66907" w:rsidR="00A60BE0" w:rsidRPr="00280F50" w:rsidRDefault="008341F2" w:rsidP="00A60BE0">
      <w:pPr>
        <w:rPr>
          <w:rFonts w:cstheme="minorHAnsi"/>
          <w:i/>
          <w:color w:val="212121"/>
          <w:sz w:val="24"/>
          <w:szCs w:val="24"/>
        </w:rPr>
      </w:pPr>
      <w:r w:rsidRPr="00280F50">
        <w:rPr>
          <w:rFonts w:cstheme="minorHAnsi"/>
          <w:sz w:val="24"/>
          <w:szCs w:val="24"/>
        </w:rPr>
        <w:br/>
      </w:r>
      <w:r w:rsidRPr="00280F50">
        <w:rPr>
          <w:rFonts w:cstheme="minorHAnsi"/>
          <w:b/>
          <w:sz w:val="24"/>
          <w:szCs w:val="24"/>
        </w:rPr>
        <w:t>7. Please remove trademark (™) and registered (®) symbols from the Table of Equipment and Materials.</w:t>
      </w:r>
      <w:r w:rsidRPr="00280F50">
        <w:rPr>
          <w:rFonts w:cstheme="minorHAnsi"/>
          <w:sz w:val="24"/>
          <w:szCs w:val="24"/>
        </w:rPr>
        <w:br/>
      </w:r>
      <w:r w:rsidR="00A60BE0" w:rsidRPr="00280F50">
        <w:rPr>
          <w:rFonts w:cstheme="minorHAnsi"/>
          <w:i/>
          <w:color w:val="212121"/>
          <w:sz w:val="24"/>
          <w:szCs w:val="24"/>
        </w:rPr>
        <w:t>Author response: All trademark and registered symbols have been removed from the Table of Equipment and Materials</w:t>
      </w:r>
      <w:r w:rsidR="007B10AF">
        <w:rPr>
          <w:rFonts w:cstheme="minorHAnsi"/>
          <w:i/>
          <w:color w:val="212121"/>
          <w:sz w:val="24"/>
          <w:szCs w:val="24"/>
        </w:rPr>
        <w:t>.</w:t>
      </w:r>
    </w:p>
    <w:p w14:paraId="2966AB45" w14:textId="77777777" w:rsidR="00D7725A" w:rsidRPr="00280F50" w:rsidRDefault="00D7725A">
      <w:pPr>
        <w:rPr>
          <w:rFonts w:cstheme="minorHAnsi"/>
          <w:sz w:val="24"/>
          <w:szCs w:val="24"/>
        </w:rPr>
      </w:pPr>
    </w:p>
    <w:p w14:paraId="309834D8" w14:textId="22195CC1" w:rsidR="0003139C" w:rsidRPr="00280F50" w:rsidRDefault="008341F2">
      <w:pPr>
        <w:rPr>
          <w:rFonts w:cstheme="minorHAnsi"/>
          <w:b/>
          <w:sz w:val="24"/>
          <w:szCs w:val="24"/>
        </w:rPr>
      </w:pPr>
      <w:r w:rsidRPr="00280F50">
        <w:rPr>
          <w:rFonts w:cstheme="minorHAnsi"/>
          <w:b/>
          <w:sz w:val="24"/>
          <w:szCs w:val="24"/>
        </w:rPr>
        <w:t xml:space="preserve">8. Please revise the table of materials to include all essential supplies, reagents, and equipment. The table should include the name, company, and </w:t>
      </w:r>
      <w:proofErr w:type="spellStart"/>
      <w:r w:rsidRPr="00280F50">
        <w:rPr>
          <w:rFonts w:cstheme="minorHAnsi"/>
          <w:b/>
          <w:sz w:val="24"/>
          <w:szCs w:val="24"/>
        </w:rPr>
        <w:t>catalog</w:t>
      </w:r>
      <w:proofErr w:type="spellEnd"/>
      <w:r w:rsidRPr="00280F50">
        <w:rPr>
          <w:rFonts w:cstheme="minorHAnsi"/>
          <w:b/>
          <w:sz w:val="24"/>
          <w:szCs w:val="24"/>
        </w:rPr>
        <w:t xml:space="preserve"> number of all relevant materials in separate columns in an </w:t>
      </w:r>
      <w:proofErr w:type="spellStart"/>
      <w:r w:rsidRPr="00280F50">
        <w:rPr>
          <w:rFonts w:cstheme="minorHAnsi"/>
          <w:b/>
          <w:sz w:val="24"/>
          <w:szCs w:val="24"/>
        </w:rPr>
        <w:t>xls</w:t>
      </w:r>
      <w:proofErr w:type="spellEnd"/>
      <w:r w:rsidRPr="00280F50">
        <w:rPr>
          <w:rFonts w:cstheme="minorHAnsi"/>
          <w:b/>
          <w:sz w:val="24"/>
          <w:szCs w:val="24"/>
        </w:rPr>
        <w:t>/</w:t>
      </w:r>
      <w:proofErr w:type="spellStart"/>
      <w:r w:rsidRPr="00280F50">
        <w:rPr>
          <w:rFonts w:cstheme="minorHAnsi"/>
          <w:b/>
          <w:sz w:val="24"/>
          <w:szCs w:val="24"/>
        </w:rPr>
        <w:t>xlsx</w:t>
      </w:r>
      <w:proofErr w:type="spellEnd"/>
      <w:r w:rsidRPr="00280F50">
        <w:rPr>
          <w:rFonts w:cstheme="minorHAnsi"/>
          <w:b/>
          <w:sz w:val="24"/>
          <w:szCs w:val="24"/>
        </w:rPr>
        <w:t xml:space="preserve"> file.</w:t>
      </w:r>
    </w:p>
    <w:p w14:paraId="42080EF6" w14:textId="66C7F6CC" w:rsidR="00D7725A" w:rsidRPr="007B10AF" w:rsidRDefault="00BB7308" w:rsidP="00BB7308">
      <w:pPr>
        <w:rPr>
          <w:rFonts w:cstheme="minorHAnsi"/>
          <w:i/>
          <w:color w:val="212121"/>
          <w:sz w:val="24"/>
          <w:szCs w:val="24"/>
        </w:rPr>
      </w:pPr>
      <w:r w:rsidRPr="00280F50">
        <w:rPr>
          <w:rFonts w:cstheme="minorHAnsi"/>
          <w:i/>
          <w:color w:val="212121"/>
          <w:sz w:val="24"/>
          <w:szCs w:val="24"/>
        </w:rPr>
        <w:t>Author response: The Materials and Reagents table has been revised to contain the above information in a</w:t>
      </w:r>
      <w:r w:rsidR="001D5DB7">
        <w:rPr>
          <w:rFonts w:cstheme="minorHAnsi"/>
          <w:i/>
          <w:color w:val="212121"/>
          <w:sz w:val="24"/>
          <w:szCs w:val="24"/>
        </w:rPr>
        <w:t>n</w:t>
      </w:r>
      <w:r w:rsidRPr="00280F50">
        <w:rPr>
          <w:rFonts w:cstheme="minorHAnsi"/>
          <w:i/>
          <w:color w:val="212121"/>
          <w:sz w:val="24"/>
          <w:szCs w:val="24"/>
        </w:rPr>
        <w:t xml:space="preserve"> </w:t>
      </w:r>
      <w:proofErr w:type="spellStart"/>
      <w:r w:rsidRPr="00280F50">
        <w:rPr>
          <w:rFonts w:cstheme="minorHAnsi"/>
          <w:i/>
          <w:color w:val="212121"/>
          <w:sz w:val="24"/>
          <w:szCs w:val="24"/>
        </w:rPr>
        <w:t>xls</w:t>
      </w:r>
      <w:proofErr w:type="spellEnd"/>
      <w:r w:rsidRPr="00280F50">
        <w:rPr>
          <w:rFonts w:cstheme="minorHAnsi"/>
          <w:i/>
          <w:color w:val="212121"/>
          <w:sz w:val="24"/>
          <w:szCs w:val="24"/>
        </w:rPr>
        <w:t xml:space="preserve"> file (</w:t>
      </w:r>
      <w:r w:rsidR="001C5D9A">
        <w:rPr>
          <w:rFonts w:cstheme="minorHAnsi"/>
          <w:i/>
          <w:color w:val="212121"/>
          <w:sz w:val="24"/>
          <w:szCs w:val="24"/>
        </w:rPr>
        <w:t>see attachment ‘</w:t>
      </w:r>
      <w:r w:rsidRPr="00280F50">
        <w:rPr>
          <w:rFonts w:cstheme="minorHAnsi"/>
          <w:i/>
          <w:color w:val="212121"/>
          <w:sz w:val="24"/>
          <w:szCs w:val="24"/>
        </w:rPr>
        <w:t>Lei et al JoVE_Materials_09-08-2018.xls</w:t>
      </w:r>
      <w:r w:rsidR="001C5D9A">
        <w:rPr>
          <w:rFonts w:cstheme="minorHAnsi"/>
          <w:i/>
          <w:color w:val="212121"/>
          <w:sz w:val="24"/>
          <w:szCs w:val="24"/>
        </w:rPr>
        <w:t>’</w:t>
      </w:r>
      <w:r w:rsidRPr="00280F50">
        <w:rPr>
          <w:rFonts w:cstheme="minorHAnsi"/>
          <w:i/>
          <w:color w:val="212121"/>
          <w:sz w:val="24"/>
          <w:szCs w:val="24"/>
        </w:rPr>
        <w:t xml:space="preserve">). </w:t>
      </w:r>
    </w:p>
    <w:sectPr w:rsidR="00D7725A" w:rsidRPr="007B10AF" w:rsidSect="000B50C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31E91"/>
    <w:multiLevelType w:val="multilevel"/>
    <w:tmpl w:val="216210F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F2"/>
    <w:rsid w:val="0003139C"/>
    <w:rsid w:val="000B50CF"/>
    <w:rsid w:val="00151F52"/>
    <w:rsid w:val="001B4FE0"/>
    <w:rsid w:val="001C5D9A"/>
    <w:rsid w:val="001D5DB7"/>
    <w:rsid w:val="00280F50"/>
    <w:rsid w:val="00367DC7"/>
    <w:rsid w:val="0038154B"/>
    <w:rsid w:val="00397BE8"/>
    <w:rsid w:val="004D000A"/>
    <w:rsid w:val="00576AD8"/>
    <w:rsid w:val="005D2589"/>
    <w:rsid w:val="007B10AF"/>
    <w:rsid w:val="008341F2"/>
    <w:rsid w:val="009543B7"/>
    <w:rsid w:val="00A60BE0"/>
    <w:rsid w:val="00BA4DAA"/>
    <w:rsid w:val="00BB7308"/>
    <w:rsid w:val="00CD1B55"/>
    <w:rsid w:val="00D247BA"/>
    <w:rsid w:val="00D7725A"/>
    <w:rsid w:val="00FA54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2417"/>
  <w15:chartTrackingRefBased/>
  <w15:docId w15:val="{94F9BD92-F688-430E-BF99-055B26E8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paragraph" w:styleId="Heading1">
    <w:name w:val="heading 1"/>
    <w:basedOn w:val="Normal"/>
    <w:link w:val="Heading1Char"/>
    <w:uiPriority w:val="9"/>
    <w:qFormat/>
    <w:rsid w:val="00BA4DA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41F2"/>
    <w:rPr>
      <w:b/>
      <w:bCs/>
    </w:rPr>
  </w:style>
  <w:style w:type="character" w:customStyle="1" w:styleId="Heading1Char">
    <w:name w:val="Heading 1 Char"/>
    <w:basedOn w:val="DefaultParagraphFont"/>
    <w:link w:val="Heading1"/>
    <w:uiPriority w:val="9"/>
    <w:rsid w:val="00BA4DAA"/>
    <w:rPr>
      <w:rFonts w:ascii="Times New Roman" w:eastAsia="Times New Roman" w:hAnsi="Times New Roman" w:cs="Times New Roman"/>
      <w:b/>
      <w:bCs/>
      <w:kern w:val="36"/>
      <w:sz w:val="48"/>
      <w:szCs w:val="48"/>
    </w:rPr>
  </w:style>
  <w:style w:type="character" w:customStyle="1" w:styleId="title-text">
    <w:name w:val="title-text"/>
    <w:basedOn w:val="DefaultParagraphFont"/>
    <w:rsid w:val="00BA4DAA"/>
  </w:style>
  <w:style w:type="paragraph" w:styleId="NormalWeb">
    <w:name w:val="Normal (Web)"/>
    <w:basedOn w:val="Normal"/>
    <w:rsid w:val="00151F52"/>
    <w:pPr>
      <w:widowControl w:val="0"/>
      <w:autoSpaceDE w:val="0"/>
      <w:autoSpaceDN w:val="0"/>
      <w:adjustRightInd w:val="0"/>
      <w:spacing w:before="100" w:beforeAutospacing="1" w:after="100" w:afterAutospacing="1" w:line="240" w:lineRule="auto"/>
      <w:jc w:val="both"/>
    </w:pPr>
    <w:rPr>
      <w:rFonts w:ascii="Calibri" w:eastAsia="PMingLiU"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1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U Wang - leiuy002</dc:creator>
  <cp:keywords/>
  <dc:description/>
  <cp:lastModifiedBy>Lei, U Wang - leiuy002</cp:lastModifiedBy>
  <cp:revision>5</cp:revision>
  <dcterms:created xsi:type="dcterms:W3CDTF">2018-08-14T02:22:00Z</dcterms:created>
  <dcterms:modified xsi:type="dcterms:W3CDTF">2018-08-16T05:46:00Z</dcterms:modified>
</cp:coreProperties>
</file>