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Quasi-Metagenomic Analysis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from Food and Environmental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Ji-Yeon Hyeon, David A. Mann, Anna M. Townsend, Xiangyu Deng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Food Safety, Melton Building, Griffin, GA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Ji-Yeon Hyeon </w:t>
        <w:tab/>
        <w:tab/>
        <w:t xml:space="preserve">(Jiy112@uga.edu)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 Mann </w:t>
        <w:tab/>
        <w:t xml:space="preserve">(dmann29@uga.edu)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M. Townsend </w:t>
        <w:tab/>
        <w:t xml:space="preserve">(annamtownsend@uga.edu)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Xiangyu Deng </w:t>
        <w:tab/>
        <w:tab/>
        <w:t xml:space="preserve">(xdeng@uga.edu)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quasimetagenomics, immunomagnetic separation (IMS), whole genome amplification, sequencing, detection, subtyping, </w:t>
      </w:r>
      <w:r>
        <w:rPr>
          <w:rFonts w:ascii="Calibri" w:hAnsi="Calibri" w:cs="Calibri" w:eastAsia="Calibri"/>
          <w:i/>
          <w:color w:val="auto"/>
          <w:spacing w:val="0"/>
          <w:position w:val="0"/>
          <w:sz w:val="24"/>
          <w:shd w:fill="auto" w:val="clear"/>
        </w:rPr>
        <w:t xml:space="preserve">Salmonella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prepare DNA samples from food and environmental microbiomes for concerted detection and subtyping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through quasimetagenomic sequencing. The combined use of culture enrichment, immunomagnetic separation (IMS), and multiple displacement amplification (MDA) allows effective concentration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genomic DNA from food and environmental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Quasi-metagenomics sequencing refers to the sequencing-based analysis of modified microbiomes of food and environmental samples. In this protocol, microbiome modification is designed to concentrate genomic DNA of a target foodborne pathogen contaminant to facilitate the detection and subtyping of the pathogen in a single workflow. Here, we explain and demonstrate the sample preparation steps for the quasi-metagenomics analysis of </w:t>
      </w:r>
      <w:r>
        <w:rPr>
          <w:rFonts w:ascii="Calibri" w:hAnsi="Calibri" w:cs="Calibri" w:eastAsia="Calibri"/>
          <w:i/>
          <w:color w:val="auto"/>
          <w:spacing w:val="0"/>
          <w:position w:val="0"/>
          <w:sz w:val="24"/>
          <w:shd w:fill="auto" w:val="clear"/>
        </w:rPr>
        <w:t xml:space="preserve">Salmonella enterica</w:t>
      </w:r>
      <w:r>
        <w:rPr>
          <w:rFonts w:ascii="Calibri" w:hAnsi="Calibri" w:cs="Calibri" w:eastAsia="Calibri"/>
          <w:color w:val="auto"/>
          <w:spacing w:val="0"/>
          <w:position w:val="0"/>
          <w:sz w:val="24"/>
          <w:shd w:fill="auto" w:val="clear"/>
        </w:rPr>
        <w:t xml:space="preserve"> from representative food and environmental samples including alfalfa sprouts, ground black pepper, ground beef, chicken breast and environmental swabs. Samples are first subjected to the culture enrichment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for a shortened and adjustable duration (4-24 h).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cells are then selectively captured from the enrichment culture by immunomagnetic separation (IMS). Finally, multiple displacement amplification (MDA) is performed to amplify DNA from IMS-captured cells. The DNA output of this protocol can be sequenced by high throughput sequencing platforms. An optional quantitative PCR analysis can be performed to replace sequencing for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detection or assess the concentration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DNA before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Metagenomics sequencing theoretically allows concerted detection and subtyping of foodborne pathogens. However, food samples present challenges to the pathogen analysis by direct sequencing of the food microbiome. First, foodborne pathogens are often present at low levels in food samples. Most of the commercially available rapid detection methods still require 8 - 48 h culturing to enrich pathogen cells to a detectable level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Second, many foods contain abundant microflora cells and/or food DNA, making foodborne pathogen DNA a small fraction of food metagenome and an elusive target for detection and subtyping by direct metagenomic sequencing.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 of food microbiomes has been reported to allow substantial concentration of foodborne pathogen DNA to facilitate sequencing-based detection of Shiga toxin-producing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Salmonella enterica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Because modified food microbiomes are still mixtures of  different microbial species, their sequencing is termed as quasimetagenomic analysis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Microbiome modification can be performed by culture enrichment alone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in combination with immunomagnetic separation (IMS) and multiple displacement amplification (MDA)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IMS can selectively capture pathogen cells from the enrichment culture via antibody-coated magnetic beads. MDA can generate sufficient amounts of genomic DNA for sequencing through the highly efficient </w:t>
      </w:r>
      <w:r>
        <w:rPr>
          <w:rFonts w:ascii="Calibri" w:hAnsi="Calibri" w:cs="Calibri" w:eastAsia="Calibri"/>
          <w:color w:val="auto"/>
          <w:spacing w:val="0"/>
          <w:position w:val="0"/>
          <w:sz w:val="24"/>
          <w:shd w:fill="auto" w:val="clear"/>
        </w:rPr>
        <w:t xml:space="preserve">ɸ</w:t>
      </w:r>
      <w:r>
        <w:rPr>
          <w:rFonts w:ascii="Calibri" w:hAnsi="Calibri" w:cs="Calibri" w:eastAsia="Calibri"/>
          <w:color w:val="auto"/>
          <w:spacing w:val="0"/>
          <w:position w:val="0"/>
          <w:sz w:val="24"/>
          <w:shd w:fill="auto" w:val="clear"/>
        </w:rPr>
        <w:t xml:space="preserve">29 DNA polymerase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IMS-MDA has allowed culture-independent pathogen detection from clinical samples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shortening of the culture enrichment for quasimetagenomic detection and subtyping of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in food samples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method is to prepare quasi-metagenomic DNA from food samples to allow targeted concentration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genomic DNA and subsequent detection and subtyping of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contaminant by sequencing. Compared to standard methods for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detection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subtyping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quasimetagenomic approach can substantially shorten the turnaround time from contaminated food and environmental samples to molecular subtypes of the pathogen by unifying the two typically separated analyses into a single workflow. This method is particularly useful for applications such as foodborne outbreak response and other trace back investigations where robust pathogen subtyping is required in addition to pathogen detection and rapid analytical turnaround is important.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Sample Preparation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Food samples are prepared for pre-enrichment according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Microbiology Laboratory Guidebook (MLG) of U.S. Department of Agriculture Food Safety and Inspection Service (USDA-FSIS)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Bacteriological analytical manual (BAM) of U.S. Food and Drug Administration (FDA)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Aseptically place a 25 g portion of food sample such as black pepper, chicken breast, ground beef, and alfalfa sprouts </w:t>
      </w:r>
      <w:r>
        <w:rPr>
          <w:rFonts w:ascii="Calibri" w:hAnsi="Calibri" w:cs="Calibri" w:eastAsia="Calibri"/>
          <w:color w:val="auto"/>
          <w:spacing w:val="0"/>
          <w:position w:val="0"/>
          <w:sz w:val="24"/>
          <w:shd w:fill="FFFFFF" w:val="clear"/>
        </w:rPr>
        <w:t xml:space="preserve">or an </w:t>
      </w:r>
      <w:r>
        <w:rPr>
          <w:rFonts w:ascii="Calibri" w:hAnsi="Calibri" w:cs="Calibri" w:eastAsia="Calibri"/>
          <w:color w:val="auto"/>
          <w:spacing w:val="0"/>
          <w:position w:val="0"/>
          <w:sz w:val="24"/>
          <w:shd w:fill="FFFF00" w:val="clear"/>
        </w:rPr>
        <w:t xml:space="preserve">environmental swab into a sterile laboratory blender bag with a built-in filter. Prepare an environmental swab by aseptically moistening a sponge with enrichment broth (Rappaport-Vassiliadis, RV). Then, drag the swab over entire surface or predetermined area and place it into a laboratory blender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Thoroughly mix each 25 g sample with 225 mL of RV enrichment broth using a laboratory blender or hand massage for 30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Variants of RV broth as recommended by MLG and BAM may be used depending on sample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Incubate sample-enrichment broth mixture in a laboratory incubator at 42 °C for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After incubation, collect a 50 mL subsample of enrichment broth from the filtered side of the bag in a separate 50 mL centrifuge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Centrifuge the tube at 100 × g for 10 min to remove solid debris in the homogenate.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Recover the supernatant carefully to a new 50 mL centrifuge tube and centrifuge the tubes at 3,000 - 6,000 × g for 10 min to recover cell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(Optional) Discard the supernatant and wash the pellet by re-suspension in 5 mL of Buffered Peptone Water (BPW) and centrifuge the tubes at 3,000-6,000 × g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BPW can prepared by dissolving 10 g of peptone, 5 g of sodium chloride, 3.5 g of disodium phosphate, and 1.5 g of monopotassium phosphate into 1 L of distilled water. The final pH should be adjusted to 7.2 ± 0.2 at 25 °C. Autoclave at 121 ºC for 15 min. Commercially available BPW can also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Discard supernatant and re-suspend the pellet in 5 mL of BPW.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Immunomagnetic Separation (IMS) and Multiple Displacement Amplification (MDA)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cross-contamination between samples, work in a biosafety cabinet, change pipette tips for each tube, avoid touching the tube with the pipette, and do not place tubes close together in magnetic stand during the washing step.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Thaw the sample buffer and the reaction buffer from the MDA kit on ice or at 4 °C in advance.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Mix 1 mL of re-suspended cell pellet in BPW with 20 </w:t>
      </w:r>
      <w:r>
        <w:rPr>
          <w:rFonts w:ascii="Calibri" w:hAnsi="Calibri" w:cs="Calibri" w:eastAsia="Calibri"/>
          <w:color w:val="auto"/>
          <w:spacing w:val="0"/>
          <w:position w:val="0"/>
          <w:sz w:val="24"/>
          <w:shd w:fill="FFFF00" w:val="clear"/>
        </w:rPr>
        <w:t xml:space="preserve">μL of anti-</w:t>
      </w:r>
      <w:r>
        <w:rPr>
          <w:rFonts w:ascii="Calibri" w:hAnsi="Calibri" w:cs="Calibri" w:eastAsia="Calibri"/>
          <w:i/>
          <w:color w:val="auto"/>
          <w:spacing w:val="0"/>
          <w:position w:val="0"/>
          <w:sz w:val="24"/>
          <w:shd w:fill="FFFF00" w:val="clear"/>
        </w:rPr>
        <w:t xml:space="preserve">Salmonella</w:t>
      </w:r>
      <w:r>
        <w:rPr>
          <w:rFonts w:ascii="Calibri" w:hAnsi="Calibri" w:cs="Calibri" w:eastAsia="Calibri"/>
          <w:color w:val="auto"/>
          <w:spacing w:val="0"/>
          <w:position w:val="0"/>
          <w:sz w:val="24"/>
          <w:shd w:fill="FFFF00" w:val="clear"/>
        </w:rPr>
        <w:t xml:space="preserve"> beads in 1.5 mL microcentrifuge tubes and place it on the rotating mixer for 30 min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Competitive flora, fat particulates, and proteins in the resuspended pellet can interfere with IMS. Dilution of re-suspended cell pellet in BPW is helpful to reduce the loss of the bead-</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complexes from the magnetic stand during washing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Insert the tubes into the magnetic stand and allow 3 min for the proper recovery of beads by inverting the rack several times to concentrate the beads into a pellet on the side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Keep the tubes on the magnetic stand. Aspirate and discard the supernatant from each tube, as well as the remaining liquid in each tube’s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disturb the pellet of IMS beads on the side wall of the tube against the magnet.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Remove the tube holder from the magnetic stand and add 1 mL of wash buffer (PBS containing 0.05 % (v/v) polysorbate 20) and invert several times to remove non-specifically binding bacteria from the complex.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Repeat steps 2.3 - 2.5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After the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wash, perform the final magnetic separation of beads by repeating steps 2.3 - 2.4. Remove tubes from magnetic rack and place them in a microfuge for 1 s to spin down beads. Then, place the tubes in the magnetic rack for 3 min before removing any residual wash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Re-suspend the bead-</w:t>
      </w:r>
      <w:r>
        <w:rPr>
          <w:rFonts w:ascii="Calibri" w:hAnsi="Calibri" w:cs="Calibri" w:eastAsia="Calibri"/>
          <w:i/>
          <w:color w:val="auto"/>
          <w:spacing w:val="0"/>
          <w:position w:val="0"/>
          <w:sz w:val="24"/>
          <w:shd w:fill="FFFF00" w:val="clear"/>
        </w:rPr>
        <w:t xml:space="preserve">Salmonella</w:t>
      </w:r>
      <w:r>
        <w:rPr>
          <w:rFonts w:ascii="Calibri" w:hAnsi="Calibri" w:cs="Calibri" w:eastAsia="Calibri"/>
          <w:color w:val="auto"/>
          <w:spacing w:val="0"/>
          <w:position w:val="0"/>
          <w:sz w:val="24"/>
          <w:shd w:fill="FFFF00" w:val="clear"/>
        </w:rPr>
        <w:t xml:space="preserve"> complexes in 9 </w:t>
      </w:r>
      <w:r>
        <w:rPr>
          <w:rFonts w:ascii="Calibri" w:hAnsi="Calibri" w:cs="Calibri" w:eastAsia="Calibri"/>
          <w:color w:val="auto"/>
          <w:spacing w:val="0"/>
          <w:position w:val="0"/>
          <w:sz w:val="24"/>
          <w:shd w:fill="FFFF00" w:val="clear"/>
        </w:rPr>
        <w:t xml:space="preserve">μL of sSample buffer and incubate at 95 </w:t>
      </w:r>
      <w:r>
        <w:rPr>
          <w:rFonts w:ascii="Calibri" w:hAnsi="Calibri" w:cs="Calibri" w:eastAsia="Calibri"/>
          <w:color w:val="auto"/>
          <w:spacing w:val="0"/>
          <w:position w:val="0"/>
          <w:sz w:val="24"/>
          <w:shd w:fill="FFFF00" w:val="clear"/>
        </w:rPr>
        <w:t xml:space="preserve">°C for 3 min for denaturation.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After cooling to 4 °C on ice, combine with 9 </w:t>
      </w:r>
      <w:r>
        <w:rPr>
          <w:rFonts w:ascii="Calibri" w:hAnsi="Calibri" w:cs="Calibri" w:eastAsia="Calibri"/>
          <w:color w:val="auto"/>
          <w:spacing w:val="0"/>
          <w:position w:val="0"/>
          <w:sz w:val="24"/>
          <w:shd w:fill="FFFF00" w:val="clear"/>
        </w:rPr>
        <w:t xml:space="preserve">μL of Reaction buffer plus 1 μL of enzyme mix and keep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In a thermal cycler, incubate tubes at 30 °C for 2 h for amplification, followed by heating at 65 °C for 10 min to inactivate the enzyme and cool to 4 °C on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Assess the quantity and quality of the MDA products by measuring the DNA concentration and purity (260/280 ratio &gt; 1.8) on a fluorospectrometer instrument.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non-specific binding of IMS beads, genomic DNA from organisms other than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is likely to be present in the MDA products, but it does not affect downstream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Store the final products (20 </w:t>
      </w:r>
      <w:r>
        <w:rPr>
          <w:rFonts w:ascii="Calibri" w:hAnsi="Calibri" w:cs="Calibri" w:eastAsia="Calibri"/>
          <w:color w:val="auto"/>
          <w:spacing w:val="0"/>
          <w:position w:val="0"/>
          <w:sz w:val="24"/>
          <w:shd w:fill="FFFF00" w:val="clear"/>
        </w:rPr>
        <w:t xml:space="preserve">μL) at -20 </w:t>
      </w:r>
      <w:r>
        <w:rPr>
          <w:rFonts w:ascii="Calibri" w:hAnsi="Calibri" w:cs="Calibri" w:eastAsia="Calibri"/>
          <w:color w:val="auto"/>
          <w:spacing w:val="0"/>
          <w:position w:val="0"/>
          <w:sz w:val="24"/>
          <w:shd w:fill="FFFF00" w:val="clear"/>
        </w:rPr>
        <w:t xml:space="preserve">°C until use for real-time PCR and/or library preparation for quasimetagenomics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3. Real-Time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for 1) detecting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without subtyping, and 2) assessing sample quality prior to quasimetagenomics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Prepare 18 </w:t>
      </w:r>
      <w:r>
        <w:rPr>
          <w:rFonts w:ascii="Calibri" w:hAnsi="Calibri" w:cs="Calibri" w:eastAsia="Calibri"/>
          <w:color w:val="auto"/>
          <w:spacing w:val="0"/>
          <w:position w:val="0"/>
          <w:sz w:val="24"/>
          <w:shd w:fill="FFFF00" w:val="clear"/>
        </w:rPr>
        <w:t xml:space="preserve">μL of PCR mixture per sample, containing Universal PCR Master Mix (10 μL), forward primer (2 μL, 900 nM), reverse primer (2 μL, 900 nM), probe (2 μL, 250 nM), and molecular grade water (2 μL).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-specific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oligonucleotide primers (forward: CTCACCAGGAGATTACAACATGG, reverse: AGCTCAGACCAAAAGTGACCATC) and probe were designed to amplify a 94-bp sequence within the </w:t>
      </w:r>
      <w:r>
        <w:rPr>
          <w:rFonts w:ascii="Calibri" w:hAnsi="Calibri" w:cs="Calibri" w:eastAsia="Calibri"/>
          <w:i/>
          <w:color w:val="auto"/>
          <w:spacing w:val="0"/>
          <w:position w:val="0"/>
          <w:sz w:val="24"/>
          <w:shd w:fill="auto" w:val="clear"/>
        </w:rPr>
        <w:t xml:space="preserve">ttr</w:t>
      </w:r>
      <w:r>
        <w:rPr>
          <w:rFonts w:ascii="Calibri" w:hAnsi="Calibri" w:cs="Calibri" w:eastAsia="Calibri"/>
          <w:color w:val="auto"/>
          <w:spacing w:val="0"/>
          <w:position w:val="0"/>
          <w:sz w:val="24"/>
          <w:shd w:fill="auto" w:val="clear"/>
        </w:rPr>
        <w:t xml:space="preserve"> gene (GenBank accession no. AF 282268)</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Mix the MDA product from step 2.12 by gently pipetting up and down bead-</w:t>
      </w:r>
      <w:r>
        <w:rPr>
          <w:rFonts w:ascii="Calibri" w:hAnsi="Calibri" w:cs="Calibri" w:eastAsia="Calibri"/>
          <w:i/>
          <w:color w:val="auto"/>
          <w:spacing w:val="0"/>
          <w:position w:val="0"/>
          <w:sz w:val="24"/>
          <w:shd w:fill="FFFF00" w:val="clear"/>
        </w:rPr>
        <w:t xml:space="preserve">Salmonella</w:t>
      </w:r>
      <w:r>
        <w:rPr>
          <w:rFonts w:ascii="Calibri" w:hAnsi="Calibri" w:cs="Calibri" w:eastAsia="Calibri"/>
          <w:color w:val="auto"/>
          <w:spacing w:val="0"/>
          <w:position w:val="0"/>
          <w:sz w:val="24"/>
          <w:shd w:fill="FFFF00" w:val="clear"/>
        </w:rPr>
        <w:t xml:space="preserve"> complexes along with liquid to create a suspension. Add 2 </w:t>
      </w:r>
      <w:r>
        <w:rPr>
          <w:rFonts w:ascii="Calibri" w:hAnsi="Calibri" w:cs="Calibri" w:eastAsia="Calibri"/>
          <w:color w:val="auto"/>
          <w:spacing w:val="0"/>
          <w:position w:val="0"/>
          <w:sz w:val="24"/>
          <w:shd w:fill="FFFF00" w:val="clear"/>
        </w:rPr>
        <w:t xml:space="preserve">μL of the suspension into 18 μL of PCR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Run real-time PCR using an optimized real-time PCR protocol, specifying two holding periods, one at 50 °C for 2 min and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another at 95 °C for 10 min, followed by 40 cycles of 95 °C for 15 s and 60 °C for 60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Calculate the threshold cycle (Ct), which is the number of cycles required for the fluorescence from the amplified DNA to cross the threshold line.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 line is set in the linear phase between base line and plateau of the amplification plots of samples. Negative results correspond to Ct values over 40 or samples with Ct values higher than that of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Library Preparation for Quasimetagenomic Sequencing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MDA products can be sequenced by both short read and long read (nanopore) sequencing platforms. Use the latest version of DNA library prep kits provided by the manufacturers of the sequencing platforms. Perform DNA library preparation according to manufacturers’ instruction. Use the 2D low-input genomic DNA protocol for library preparation for the long-read sequencing platform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library preparation for the short-read sequencing platform, minor modifications to the manufacturer’s protocol are provided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Transfer 40 </w:t>
      </w:r>
      <w:r>
        <w:rPr>
          <w:rFonts w:ascii="Calibri" w:hAnsi="Calibri" w:cs="Calibri" w:eastAsia="Calibri"/>
          <w:color w:val="auto"/>
          <w:spacing w:val="0"/>
          <w:position w:val="0"/>
          <w:sz w:val="24"/>
          <w:shd w:fill="FFFF00" w:val="clear"/>
        </w:rPr>
        <w:t xml:space="preserve">μL of MDA products to a new plate and add 20 μL of PCR purification beads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Incubate the plate at room temperature for 5 min without shaking.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Wash the beads with 80% ethanol and dry the beads for 12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Re-suspend dried beads in 53 </w:t>
      </w:r>
      <w:r>
        <w:rPr>
          <w:rFonts w:ascii="Calibri" w:hAnsi="Calibri" w:cs="Calibri" w:eastAsia="Calibri"/>
          <w:color w:val="auto"/>
          <w:spacing w:val="0"/>
          <w:position w:val="0"/>
          <w:sz w:val="24"/>
          <w:shd w:fill="FFFF00" w:val="clear"/>
        </w:rPr>
        <w:t xml:space="preserve">μL of resuspension buffer and incubate for 2 min without shaking.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Dilute and pool libraries following manufacturer’s instruction.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 pM pooled and denatured library is now ready to be sequenced.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quasimetagenomic sequencing, the overall quantity and purity of IMS-MDA products can be evaluated by fluorospectrometer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Targeted quantity assessment of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DNA can be performed by real-time PCR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also serves as an alternative for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detection if subtyping is not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Fluorospectrometer readings allow initial evaluation of sample preparation. Concentration of IMS-MDA products prepared from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contaminated chicken breast samples ranged from 701.54 to 945.86 ng/µL, suggesting that the sample DNA has been amplified. According to manufacturer’s guidance, the minimum DNA sample concentration for short read and long read sequencing is 0.2 ng/µL and 1 µg, respectively. The 260/280 ratio ranged from 1.85 to 1.88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showing high purity of the DNA samples with low levels of protein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Lower Ct values indicate higher concentrations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genomic DNA in the sample.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Ct values of IMS-MDA products decrease as enrichment time increases. In our previous study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Ct values were lower than 25, the majority (&gt;50%) of the SE genome was likely to be sequenced, and serotype prediction from raw sequencing reads was successful.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Unsuccessful culture enrichment or IMS can result in a relatively high Ct values indicating low concentration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genomic DNA in the final sample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can happen despite a high DNA concentration and purity of the IMS-MDA products as suggested by fluorospectrometer readings.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Tables and figures legends: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Quality and quantity assessment of DNA samples for quasi-metagenomic sequencing.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cells were inoculated in 25 g of raw chicken breast of two brands at 1 CFU/g.  Inoculated samples were enriched in RV for 4, 8, and 12 h before IMS-MDA.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food and environmental samples for quasi-metagenomics detection and subtyping of </w:t>
      </w:r>
      <w:r>
        <w:rPr>
          <w:rFonts w:ascii="Calibri" w:hAnsi="Calibri" w:cs="Calibri" w:eastAsia="Calibri"/>
          <w:b/>
          <w:i/>
          <w:color w:val="auto"/>
          <w:spacing w:val="0"/>
          <w:position w:val="0"/>
          <w:sz w:val="24"/>
          <w:shd w:fill="auto" w:val="clear"/>
        </w:rPr>
        <w:t xml:space="preserve">Salmonella</w:t>
      </w:r>
      <w:r>
        <w:rPr>
          <w:rFonts w:ascii="Calibri" w:hAnsi="Calibri" w:cs="Calibri" w:eastAsia="Calibri"/>
          <w:b/>
          <w:color w:val="auto"/>
          <w:spacing w:val="0"/>
          <w:position w:val="0"/>
          <w:sz w:val="24"/>
          <w:shd w:fill="auto" w:val="clear"/>
        </w:rPr>
        <w:t xml:space="preserve">. Samples are placed in sterile filter stomacher bags along with RV broth.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Real-time PCR for </w:t>
      </w:r>
      <w:r>
        <w:rPr>
          <w:rFonts w:ascii="Calibri" w:hAnsi="Calibri" w:cs="Calibri" w:eastAsia="Calibri"/>
          <w:b/>
          <w:i/>
          <w:color w:val="auto"/>
          <w:spacing w:val="0"/>
          <w:position w:val="0"/>
          <w:sz w:val="24"/>
          <w:shd w:fill="auto" w:val="clear"/>
        </w:rPr>
        <w:t xml:space="preserve">Salmonella</w:t>
      </w:r>
      <w:r>
        <w:rPr>
          <w:rFonts w:ascii="Calibri" w:hAnsi="Calibri" w:cs="Calibri" w:eastAsia="Calibri"/>
          <w:b/>
          <w:color w:val="auto"/>
          <w:spacing w:val="0"/>
          <w:position w:val="0"/>
          <w:sz w:val="24"/>
          <w:shd w:fill="auto" w:val="clear"/>
        </w:rPr>
        <w:t xml:space="preserve"> detection or sample assessment for quasi-metagenomics sequencing.</w:t>
      </w:r>
      <w:r>
        <w:rPr>
          <w:rFonts w:ascii="Calibri" w:hAnsi="Calibri" w:cs="Calibri" w:eastAsia="Calibri"/>
          <w:color w:val="auto"/>
          <w:spacing w:val="0"/>
          <w:position w:val="0"/>
          <w:sz w:val="24"/>
          <w:shd w:fill="auto" w:val="clear"/>
        </w:rPr>
        <w:t xml:space="preserve">  Amplification curves of real-time PCR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DNA in IMS-MDA products after 4, 8 and 12 h of enrichment time are shown. A sample after only 2 h enrichment is also included.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cells (0.27 CFU/g) were inoculated 25 g of raw chicken breast from two brands A and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hjikhbkhikjnlh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often-low abundance and in-homogenous presence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in food and environmental samples, culture enrichment before IMS-MDA is still necessary for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detection and subtyping; it is therefore a critical step of the protocol. To identify optimal conditions to increase the abundance of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relative to sample background flora, different enrichment media may be evaluated for specific samples. According to MLG and BAM, both selective medium such as RV broth and non-selective medium such as buffered peptone water and lactose broth can be used for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enrichment from food samples. The use of RV at 42 °C has been evaluated in our previous study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enrichment from raw chicken meat, iceberg lettuce and black peppercorns to support quasimetagenomic analysis of the pathogen.  According to FDA BAM {Jacobson, 2008 #1}and AOAC precollaborative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collaborative studies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RV is recommended for the analysis of high microbial and low microbial load foods.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duration of culture enrichment depends on multiple factors, such as sample type, level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contamination, and the physiological state of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contaminant. For example, when low levels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&lt; 1 CFU/g) cells are present in a meat sample and under refrigeration stress, longer enrichment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&gt; 12 h) may be needed to revive and enrich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cells. Sufficient abundance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in the modified microbiome leads to adequate sequencing coverage of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contaminant genome, which can allow strain-level single nucleotide polymorphism (SNP) typing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Shorter culture enrichment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less than 12 h) is possible for rapid detection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serotyping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Higher levels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contamination and/or longer culture enrichment of contaminated food samples can result in higher concentrations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genomic DNA in modified food microbiomes, which lead to lower Ct values from the real-time PCR analysis. Ct values display a negative correlation with sequencing coverage of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contaminant genome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therefore can be used for optimization and modification of the workflow. According to our experience, culture enrichment, especially the length of it, is often the focus of troubleshooting efforts. For example, the Ct value of the IMS-MDA product from a raw chicken breast sample was relatively high at 35.94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sample was inoculated with 2.5 CFU/g of SE cells and incubated in BPW at 37 °C for 2 h. Sequencing of this sample did not provide sufficient coverage of the SE genome to allow serotype prediction. In comparison, all the other samples with 4 h or longer enrichment were successfully serotyped from quasimetagenomic sequencing data (data not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sequencing, we recommend using Kraken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identify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reads for further bioinformatics analyses. CFSAN SNP pipeline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SeqSero</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can be used for SNP typing and serotyping prediction from raw sequencing reads,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quasimetagenomic technique has several limitations. First, DNA concentration and purity of IMS-MDA products measured by a fluorospectrometer should be used only as a preliminary indicator of proper sample preparation. Due to the high efficiency of MDA, trace amounts of input DNA can be amplified to suffice whole genome sequencing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high quality and quantity DNA samples can still be generated even if culture enrichment or IMS fails to effectively concentrate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cells. The optional real-time PCR analysis provides a more targeted and informative assessment of the entire sample preparation workflow.  Second, difficult-to-culture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cells, such as viable but nonculturable (VBNC) bacteria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may not grow during culture enrichment. Therefore, these cells may not be detected by our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compared with traditional methods, our sample preparation method and quasi-metogenomic sequencing approach can allow substantial reduction of the analytical turnaround from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-contaminated food and environmental samples to robust subtyping of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contaminants. In addition to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this technique has the potential be applied to rapid and concerted detection and subtyping other foodborne pathogens.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Mark Harrison and Gwen Hirsch of the University of Georgia for kindly providing the bacterial strain and other support to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Valderrama, W. B., Dudley, E. G., Doores, S. &amp; Cutter, C. N. Commercially Available Rapid Methods for Detection of Selected Food-borne Pathogens. </w:t>
      </w:r>
      <w:r>
        <w:rPr>
          <w:rFonts w:ascii="Calibri" w:hAnsi="Calibri" w:cs="Calibri" w:eastAsia="Calibri"/>
          <w:i/>
          <w:color w:val="auto"/>
          <w:spacing w:val="0"/>
          <w:position w:val="0"/>
          <w:sz w:val="24"/>
          <w:shd w:fill="auto" w:val="clear"/>
        </w:rPr>
        <w:t xml:space="preserve">Critical Reviews in Food Science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(9), 1519-1531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Leonard, S. R., Mammel, M. K., Lacher, D. W. &amp; Elkins, C. A. Application of metagenomic sequencing to food safety: detection of Shiga Toxin-producing Escherichia coli on fresh bagged spinach.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(23), 8183-8191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Leonard, S. R., Mammel, M. K., Lacher, D. W. &amp; Elkins, C. A. Strain-Level Discrimination of Shiga Toxin-Producing Escherichia coli in Spinach Using Metagenomic Sequencing.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e0167870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Hyeon, J.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Quasi-metagenomics and realtime sequencing aided detection and subtyping of Salmonella enterica from food samples.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10.1128/AEM.02340-17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Hyeon, J. Y. &amp; Deng, X. Rapid detection of Salmonella in raw chicken breast using real-time PCR combined with immunomagnetic separation and whole genome amplification. </w:t>
      </w:r>
      <w:r>
        <w:rPr>
          <w:rFonts w:ascii="Calibri" w:hAnsi="Calibri" w:cs="Calibri" w:eastAsia="Calibri"/>
          <w:i/>
          <w:color w:val="auto"/>
          <w:spacing w:val="0"/>
          <w:position w:val="0"/>
          <w:sz w:val="24"/>
          <w:shd w:fill="auto" w:val="clear"/>
        </w:rPr>
        <w:t xml:space="preserve">Food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111-116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Hosono,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Unbiased whole-genome amplification directly from clinical samples.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954-964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Seth-Smith, 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Whole-genome sequences of Chlamydia trachomatis directly from clinical samples without culture.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855-866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Jacobson, A. P., Gill, V. S., Irvin, K. A., Wang, H. &amp; Hammack, T. S. Evaluation of methods to prepare samples of leafy green vegetables for preenrichment with the Bacteriological Analytical Manual Salmonella culture method. </w:t>
      </w:r>
      <w:r>
        <w:rPr>
          <w:rFonts w:ascii="Calibri" w:hAnsi="Calibri" w:cs="Calibri" w:eastAsia="Calibri"/>
          <w:i/>
          <w:color w:val="auto"/>
          <w:spacing w:val="0"/>
          <w:position w:val="0"/>
          <w:sz w:val="24"/>
          <w:shd w:fill="auto" w:val="clear"/>
        </w:rPr>
        <w:t xml:space="preserve">Journal of Food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400-404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Jacobson, A. P., Hammack, T. S. &amp; Andrews, W. H. Evaluation of sample preparation methods for the isolation of Salmonella from alfalfa and mung bean seeds with the Bacteriological Analytical Manual's Salmonella culture method. </w:t>
      </w:r>
      <w:r>
        <w:rPr>
          <w:rFonts w:ascii="Calibri" w:hAnsi="Calibri" w:cs="Calibri" w:eastAsia="Calibri"/>
          <w:i/>
          <w:color w:val="auto"/>
          <w:spacing w:val="0"/>
          <w:position w:val="0"/>
          <w:sz w:val="24"/>
          <w:shd w:fill="auto" w:val="clear"/>
        </w:rPr>
        <w:t xml:space="preserve">Journal of AOAC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1083-1089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analysis of subtyping methods against a whole-genome-sequencing standard for Salmonella enterica serotype Enteritidis.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212-218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Anonymous, Microbiology Laboratory Guidebook</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www.fsis.usda.gov/wps/portal/fsis/topics/science/laboratories-and-procedures/guidebooks-and-methods/microbiology-laboratory-guidebook/microbiology-laboratory-guidebook</w:t>
        </w:r>
      </w:hyperlink>
      <w:r>
        <w:rPr>
          <w:rFonts w:ascii="Calibri" w:hAnsi="Calibri" w:cs="Calibri" w:eastAsia="Calibri"/>
          <w:color w:val="auto"/>
          <w:spacing w:val="0"/>
          <w:position w:val="0"/>
          <w:sz w:val="24"/>
          <w:shd w:fill="auto" w:val="clear"/>
        </w:rPr>
        <w:t xml:space="preserve">&gt; (accessed August 1,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Andrews, W. H., Wang, H., Jacobson, A. &amp; Hammack, T. </w:t>
      </w:r>
      <w:r>
        <w:rPr>
          <w:rFonts w:ascii="Calibri" w:hAnsi="Calibri" w:cs="Calibri" w:eastAsia="Calibri"/>
          <w:i/>
          <w:color w:val="auto"/>
          <w:spacing w:val="0"/>
          <w:position w:val="0"/>
          <w:sz w:val="24"/>
          <w:shd w:fill="auto" w:val="clear"/>
        </w:rPr>
        <w:t xml:space="preserve">Bacteriological Analytical Manual (BAM) Chapter 5: Salmonella</w:t>
      </w:r>
      <w:r>
        <w:rPr>
          <w:rFonts w:ascii="Calibri" w:hAnsi="Calibri" w:cs="Calibri" w:eastAsia="Calibri"/>
          <w:color w:val="auto"/>
          <w:spacing w:val="0"/>
          <w:position w:val="0"/>
          <w:sz w:val="24"/>
          <w:shd w:fill="auto" w:val="clear"/>
        </w:rPr>
        <w:t xml:space="preserve">,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www.fda.gov/Food/FoodScienceResearch/LaboratoryMethods/ucm070149.htm</w:t>
        </w:r>
      </w:hyperlink>
      <w:r>
        <w:rPr>
          <w:rFonts w:ascii="Calibri" w:hAnsi="Calibri" w:cs="Calibri" w:eastAsia="Calibri"/>
          <w:color w:val="auto"/>
          <w:spacing w:val="0"/>
          <w:position w:val="0"/>
          <w:sz w:val="24"/>
          <w:shd w:fill="auto" w:val="clear"/>
        </w:rPr>
        <w:t xml:space="preserve">&gt; (accessed August 1, 2018)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Malorny,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Diagnostic real-time PCR for detection of Salmonella in food.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(12), 7046-7052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June, G. A., Sherrod, P. S., Hammack, T. S., Amaguana, R. M. &amp; Andrews, W. H. Relative effectiveness of selenite cystine broth, tetrathionate broth, and Rappaport-Vassiliadis medium for the recovery of Salmonella from raw flesh and other highly contaminated foods: precollaborative study. </w:t>
      </w:r>
      <w:r>
        <w:rPr>
          <w:rFonts w:ascii="Calibri" w:hAnsi="Calibri" w:cs="Calibri" w:eastAsia="Calibri"/>
          <w:i/>
          <w:color w:val="auto"/>
          <w:spacing w:val="0"/>
          <w:position w:val="0"/>
          <w:sz w:val="24"/>
          <w:shd w:fill="auto" w:val="clear"/>
        </w:rPr>
        <w:t xml:space="preserve">Journal of AOAC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375-380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Hammack, T. S., Amaguana, R. M., June, G. A., Sherrod, P. S. &amp; Andrews, W. H. Relative effectiveness of selenite cystine broth, tetrathionate broth, and Rappaport-Vassiliadis medium for the recovery of Salmonella spp. from foods with a low microbial load. </w:t>
      </w:r>
      <w:r>
        <w:rPr>
          <w:rFonts w:ascii="Calibri" w:hAnsi="Calibri" w:cs="Calibri" w:eastAsia="Calibri"/>
          <w:i/>
          <w:color w:val="auto"/>
          <w:spacing w:val="0"/>
          <w:position w:val="0"/>
          <w:sz w:val="24"/>
          <w:shd w:fill="auto" w:val="clear"/>
        </w:rPr>
        <w:t xml:space="preserve">Journal of Food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16-21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Wood, D. E. &amp; Salzberg, S. L. Kraken: ultrafast metagenomic sequence classification using exact alignments.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R46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Davis S, P. J., Luo Y, Payne J, Shpuntoff A, Rand H, Strain E. CFSAN SNP Pipeline: an automated method for constructing SNP matrices from next-generation sequence data. </w:t>
      </w:r>
      <w:r>
        <w:rPr>
          <w:rFonts w:ascii="Calibri" w:hAnsi="Calibri" w:cs="Calibri" w:eastAsia="Calibri"/>
          <w:i/>
          <w:color w:val="auto"/>
          <w:spacing w:val="0"/>
          <w:position w:val="0"/>
          <w:sz w:val="24"/>
          <w:shd w:fill="auto" w:val="clear"/>
        </w:rPr>
        <w:t xml:space="preserve">PeerJ Computer Science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(e20)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Salmonella serotype determination utilizing high-throughput genome sequencing data.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1685-1692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Rodrigue,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Whole genome amplification and de novo assembly of single bacterial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e6864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Ramamurthy, T., Ghosh, A., Pazhani, G. P. &amp; Shinoda, S. Current Perspectives on Viable but Non-Culturable (VBNC) Pathogenic Bacteria. </w:t>
      </w:r>
      <w:r>
        <w:rPr>
          <w:rFonts w:ascii="Calibri" w:hAnsi="Calibri" w:cs="Calibri" w:eastAsia="Calibri"/>
          <w:i/>
          <w:color w:val="auto"/>
          <w:spacing w:val="0"/>
          <w:position w:val="0"/>
          <w:sz w:val="24"/>
          <w:shd w:fill="auto" w:val="clear"/>
        </w:rPr>
        <w:t xml:space="preserve">Front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103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sis.usda.gov/wps/portal/fsis/topics/science/laboratories-and-procedures/guidebooks-and-methods/microbiology-laboratory-guidebook/microbiology-laboratory-guidebook" Id="docRId0" Type="http://schemas.openxmlformats.org/officeDocument/2006/relationships/hyperlink" /><Relationship TargetMode="External" Target="http://www.fda.gov/Food/FoodScienceResearch/LaboratoryMethods/ucm070149.ht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