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Extraction of Lignin with High &amp;#946;-O-4 Content by Mild Ethanol Extraction and its Effect on the Depolymerization Yield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Douwe S Zijlstra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Alessandra De Santi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Bert Oldenburger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Johannes G de Vries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Katalin Barta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Peter J Deuss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Engineering (ENTEG), University of Groningen, Groningen,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Stratingh Institute for Chemistry, University of Groningen, Groningen,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Leibniz-Insitut f&amp;#252;r Katalyse e.V., Universit&amp;#228;t Rostock, Rostock, Germany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J Deuss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p.j.deuss@rug.nl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+31503634918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Douwe S Zijlstra</w:t>
        <w:tab/>
        <w:t xml:space="preserve">(</w:t>
      </w:r>
      <w:r>
        <w:rPr>
          <w:rFonts w:ascii="Calibri" w:hAnsi="Calibri" w:cs="Calibri" w:eastAsia="Calibri"/>
          <w:color w:val="000000"/>
          <w:spacing w:val="0"/>
          <w:position w:val="0"/>
          <w:sz w:val="24"/>
          <w:shd w:fill="auto" w:val="clear"/>
        </w:rPr>
        <w:t xml:space="preserve">d.s.zijlstra@rug.nl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Alessandra de Santi</w:t>
        <w:tab/>
        <w:t xml:space="preserve">(a.de.santi@rug.nl)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Bert Oldenburger</w:t>
        <w:tab/>
        <w:t xml:space="preserve">(b.oldenburger@student.rug.nl)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Katalin Barta</w:t>
        <w:tab/>
        <w:tab/>
        <w:t xml:space="preserve">(k.barta@rug.nl)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 de Vries</w:t>
        <w:tab/>
        <w:t xml:space="preserve">(johannes.devries@catalysis.de)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Lignocellulose, fractionation, lignin, 2D-NMR, depolymerization, acetals, phenols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perform ethanol extraction of lignin from several biomass sources. The effect of the extraction conditions on the lignin yield and &amp;#946;-O-4 content are presented. Selective depolymerization is performed on the obtained lignins to obtain high aromatic monomer products.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Lignin valorization strategies are a key factor for achieving more economically competitive biorefineries based on lignocellulosic biomass. Most of t</w:t>
      </w:r>
      <w:r>
        <w:rPr>
          <w:rFonts w:ascii="Calibri" w:hAnsi="Calibri" w:cs="Calibri" w:eastAsia="Calibri"/>
          <w:color w:val="000000"/>
          <w:spacing w:val="0"/>
          <w:position w:val="0"/>
          <w:sz w:val="24"/>
          <w:shd w:fill="auto" w:val="clear"/>
        </w:rPr>
        <w:t xml:space="preserve">he emerging elegant procedures to obtain specific aromatic products rely on the lignin substrate having a high content of the readily cleavable </w:t>
      </w:r>
      <w:r>
        <w:rPr>
          <w:rFonts w:ascii="Calibri" w:hAnsi="Calibri" w:cs="Calibri" w:eastAsia="Calibri"/>
          <w:color w:val="auto"/>
          <w:spacing w:val="0"/>
          <w:position w:val="0"/>
          <w:sz w:val="24"/>
          <w:shd w:fill="auto" w:val="clear"/>
        </w:rPr>
        <w:t xml:space="preserve">&amp;#946;-O-4 linkage as present in the native lignin structure. This provides a miss-match with typical technical lignins that are highly degraded and therefore are low in &amp;#946;-O-4 linkages. Therefore, the extraction yields, and the quality of the obtained lignin are of utmost importance to access new lignin valorization pathways. In this manuscript, a simple protocol is presented to obtain lignins with high &amp;#946;-O-4 content by relatively mild ethanol extraction that can be applied to different lignocellulose sources. Furthermore, analysis procedures to determine the quality of the lignins are presented together with a depolymerization protocol that yields specific </w:t>
      </w:r>
      <w:r>
        <w:rPr>
          <w:rFonts w:ascii="Calibri" w:hAnsi="Calibri" w:cs="Calibri" w:eastAsia="Calibri"/>
          <w:color w:val="000000"/>
          <w:spacing w:val="0"/>
          <w:position w:val="0"/>
          <w:sz w:val="24"/>
          <w:shd w:fill="auto" w:val="clear"/>
        </w:rPr>
        <w:t xml:space="preserve">phenolic 2-arylmethyl-1,3-dioxolanes, which can be used to evaluate the obtained lignins. The presented results demonstrate the link between lignin quality and potential for the lignins to be depolymerized into specific monomeric aromatic chemicals. Overall, the extraction and depolymerization demonstrates </w:t>
      </w:r>
      <w:r>
        <w:rPr>
          <w:rFonts w:ascii="Calibri" w:hAnsi="Calibri" w:cs="Calibri" w:eastAsia="Calibri"/>
          <w:color w:val="auto"/>
          <w:spacing w:val="0"/>
          <w:position w:val="0"/>
          <w:sz w:val="24"/>
          <w:shd w:fill="auto" w:val="clear"/>
        </w:rPr>
        <w:t xml:space="preserve">a trade-off between the lignin extraction yield and the retention of the native aryl-ether structure and thus the potential of the lignin to be used as the substrate for the production of chemicals for higher-value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chemical industry to become sustainable, renewable feedstocks such as lignocellulosic biomass should be used as alternative to current dominant fossil ones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to make the use of such feedstocks economically viable, high-value applications should be sought for all its contents. Lignocellulosic biomass can contain about 30 wt% of the lignin that is an aromatic biopolymer for which currently only a few applications have been developed beyond its use as low-value fuel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Therefore, the methodology towards potentially increased-value aromatic components is of major interest to ensure the success of future biorefineries.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research has focused heavily on the development of novel methodologies for the selective cleavage of the most abundant &amp;#946;-O-4 linkage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lignin to obtain specific aromatic, typically phenolic, monomers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For example, the application of acids between 80 &amp;#176;C to 180 &amp;#176;C is very effective in cleaving the &amp;#946;-O-4 linkage forming aldehyde and ketone fragments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Our groups and others have recently demonstrated that acidolysis combined with the methodologies to stabilize and trap reactive fragments is extremely potent to obtain phenolic monomers with specific chemical motifs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Of these, in particular acetal trapping of reactive aldehydes with alcohols to obtain phenolic 2-arylmethyl-1,3-dioxolanes (acetals) proved powerful due to its relative simple application and the retention of the highly functionalized nature of the lignin monomers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These acetals are obtained from the depolymerization in a ratio that relates to the distribution of the H, G and S monomers present in the parent lignin feedstock.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Acid catalyzed depolymerization, like many of the most elegant methodologies developed, are relatively mild and do not cleave stronger C-C bonds that occur in lignin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C-C bonds become especially abundant when harsh lignocellulose fractionation conditions are applied due to the condensation of reactive fragments released from the cleavage of weaker C-O bonds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The loss of &amp;#946;-O-4 content from the biomass processing method is clearly demonstrated by the analysis of a range of technical lignins, which were shown to only retain up to 6 &amp;#946;-O-4 linkages per 100 aromatic units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in lignocellulose these numbers range from 45 to 90 linkages per 100 aromatic units depending on the source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Turning to milder extraction conditions, lignins can be obtained with the linkage distributions that better reflect the natural lignin. Nevertheless, this demands a trade-off between the extraction efficiency and the quality of the obtained lignin material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also has precedence in organosolv extraction of lignin, which is a popular method to fractionate lignin. Many variations of this process exist, with the methods employing different temperatures, acid content, extraction times and solvents. Here, the extraction severity has a direct impact on the obtained lignin structure and thus its suitability for further valorization</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For example, organosolv lignin produced by the ethanol based Alcell process, operated for 5 years at demonstration scale, had relatively low amount of &amp;#946;-O-4 linkages left as it was operated at relatively high temperature to ensure efficient delignification in order to obtain high quality carbohydrates for bioethanol production. Nevertheless, biobased solvents with little environmental impact like ethanol are preferred and thus the extraction methods that result in lignins of higher value are of interest. Alcoholic solvents are of particular interest as in addition to being the extraction medium they also incorporate into the lignin structure, for example, &amp;#946;’-O-4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which partly “protects” the structure from undesired cleavage. A suitable method would potentially be first to obtain lignin with a high &amp;#946;-O-4 content and in a sequential step to remove the remainder of the lignin to access high value cellulose.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describe a straight forward and highly reproducible procedure for the extraction of high &amp;#946;-O-4 lignin by mild ethanol extraction. Depending on the biomass source, this can lead to relatively high extraction efficiency and yield. Procedures for the characterization of the obtained lignin are provided as well as how to “deprotect” the etherified &amp;#946;’-O-4</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Additionally, an assessment procedure is presented for the potential of these lignins in selective depolymerization procedures that rely on selective cleavage of the &amp;#946;-O-4 linkages. This assessment is performed using the iron(III) triflate catalyzed depolymerization in the presence of ethylene glycol to obtain phenolic 2-arylmethyl-1,3-dioxolanes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which demonstrates the link between &amp;#946;-O-4 content in the lignin material and the monomer yields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results show the balance between high lignin extraction efficiency and the potential of the obtained lignin to be depolymerized to specific aromatic monomers.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Pretreatment of the Walnut Feedstock before Lignin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Production of cut walnut shells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Feed the walnut shells to a hammer cutter to fracture the shells. Equip the hammer cutter with a 5 mm sieve at the outlet. Collect the fractured walnut shells in a 1 L glass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w:t>
        <w:tab/>
        <w:t xml:space="preserve">Feed the fractured shells to a micro hammer cutter to obtain ground shells. Equip the micro hammer cutter with a 2 mm sieve at the outlet. Collect the ground walnut shells in a 1 L glass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Extraction of fatty acids from ground walnut shells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Put 150 g of the cut walnut shells in a 500 mL round-bottom flask. Add 200 mL of toluene and a stirring bar to the round-bottom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Attach a reflux condenser to the round-bottom flask. Heat the mixture at reflux temperature (111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an oil bath for 2 h with vigorous stirring.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Stop the heating after 2 h and let the mixture cool down to room temperature by removing it from the oil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w:t>
        <w:tab/>
        <w:t xml:space="preserve">Remove the toluene by filtration (185 mm diameter, 10 &amp;#181;m pore size).</w:t>
      </w:r>
      <w:r>
        <w:rPr>
          <w:rFonts w:ascii="Calibri" w:hAnsi="Calibri" w:cs="Calibri" w:eastAsia="Calibri"/>
          <w:color w:val="auto"/>
          <w:spacing w:val="0"/>
          <w:position w:val="0"/>
          <w:sz w:val="24"/>
          <w:shd w:fill="auto" w:val="clear"/>
        </w:rPr>
        <w:t xml:space="preserve"> Discard the toluene filtrate.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w:t>
        <w:tab/>
        <w:t xml:space="preserve">Remove the toluene residues by heating the walnut shells overnight in a vacuum oven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50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Milling of pre-extracted walnut shells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Place 7 ZrO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grinding balls with a 20 mm diameter into a 250 mL grinding bowl made of ZrO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Fill the bowl with 40 g of walnut particles. Add 60 mL of isopropanol to the grinding bowl.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Perform the grinding of the walnut shells with a rotary ball mill. Grind in 4 cycles of 2 min grinding at 27 x g followed by a 4 min pause. Keep the temperature of the bowl below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at any time. Perform no more than 3 batches and let the bowl cool down afterwards.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Collect the finely ground walnut shells into a 500 mL round-bottom flask. Remove the isopropanol by rotary evaporation at 40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125 mbar.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Dry the walnut shells overnight in a vacuum oven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50 mbar.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Sieve the finely ground walnut shells through a 1 mm sieve. Ground the particles that are too large again with the rotary ball mill.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Wood Feedstocks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Cutting of the wooden planks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tab/>
        <w:t xml:space="preserve">Place the wooden planks under a drill, which is equipped with a flat wood speed drill bit. Collect the wood shavings in a glass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tab/>
        <w:t xml:space="preserve">Place the wooden shavings in a coffee grinder to cut them into smaller pieces.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Extraction of fatty acids from wood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tab/>
        <w:t xml:space="preserve">Perform the extraction of the fatty acids from wood in precisely the same manner as described for walnut shells in Step 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 milling of the wood is performed in the ball mill, as the conditions described in Step 1.3 did not result in a reduction of the particle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Extraction of High &amp;#946;-O-4 Ethanosolv Lignin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Mild ethanol extraction (Method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Put 25 g of the feedstock in a 500 mL round-bottom flask. Add an 80:20 ethanol/water mixture (200 mL), 4 mL of 37% HCl solution (0.24 M) and a magnetic stirring bar to the round-bottom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t>
        <w:tab/>
        <w:t xml:space="preserve">Attach a reflux condenser to the round-bottom flask. Heat the mixture at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reflux temperature with an oil bath for 5 h with vigorous stirring.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w:t>
        <w:tab/>
        <w:t xml:space="preserve">Allow the mixture to cool to room temperature by removing it from the oil bath. Filter the mixture (185 mm diameter, 10 &amp;#181;m pore size) and wash the residue with 4 times 25 mL of ethanol.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Work-up and isolation of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t>
        <w:tab/>
        <w:t xml:space="preserve">Collect the liquor in a 500 mL round-bottom flask. Concentrate the liquor by rotary evaporation at 40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150 mbar.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Dissolve the obtained solid in 30 mL of acetone. </w:t>
      </w:r>
      <w:r>
        <w:rPr>
          <w:rFonts w:ascii="Calibri" w:hAnsi="Calibri" w:cs="Calibri" w:eastAsia="Calibri"/>
          <w:color w:val="auto"/>
          <w:spacing w:val="0"/>
          <w:position w:val="0"/>
          <w:sz w:val="24"/>
          <w:shd w:fill="auto" w:val="clear"/>
        </w:rPr>
        <w:t xml:space="preserve">Use an ultrasonic bath if the solid does not dissolve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w:t>
        <w:tab/>
        <w:t xml:space="preserve">Precipitate the lignin by adding the mixture to 600 mL of water. </w:t>
      </w:r>
      <w:r>
        <w:rPr>
          <w:rFonts w:ascii="Calibri" w:hAnsi="Calibri" w:cs="Calibri" w:eastAsia="Calibri"/>
          <w:color w:val="auto"/>
          <w:spacing w:val="0"/>
          <w:position w:val="0"/>
          <w:sz w:val="24"/>
          <w:shd w:fill="auto" w:val="clear"/>
        </w:rPr>
        <w:t xml:space="preserve">If no precipitation occurs, add a small amount of saturated aqueous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to flocculate the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 </w:t>
        <w:tab/>
        <w:t xml:space="preserve">Collect the lignin by filtration (185 mm diameter, 10 &amp;#181;m pore size). Wash the lignin with 25 mL of water 4 times. Discard the filtrate if no analysis of the hemicellulose fraction is required. </w:t>
      </w:r>
      <w:r>
        <w:rPr>
          <w:rFonts w:ascii="Calibri" w:hAnsi="Calibri" w:cs="Calibri" w:eastAsia="Calibri"/>
          <w:color w:val="auto"/>
          <w:spacing w:val="0"/>
          <w:position w:val="0"/>
          <w:sz w:val="24"/>
          <w:shd w:fill="auto" w:val="clear"/>
        </w:rPr>
        <w:t xml:space="preserve">If the filtrate is very turbid, add it to a centrifugation tube and collect the (solid) bottom fraction by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w:t>
        <w:tab/>
        <w:t xml:space="preserve">Allow the lignin to air dry overnight. Dry the lignin further in a vacuum oven (overnight at 50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50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 </w:t>
        <w:tab/>
        <w:t xml:space="preserve">Determine the yield after the lignin is dried overnight in a vacuum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Determine the lignin extraction efficiency by dividing it with the total lignin content as determined by the Klason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Higher temperature ethanol extraction (Method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Put 15 g of the feedstock in a 250 mL autoclave. Add an 80:20 ethanol/water mixture (120 mL), 2.4 mL of HCl (0.24 M) and a magnetic stirring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tab/>
        <w:t xml:space="preserve">Heat the mixture at 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h with a stirring speed of 5.2 x g. Cool the mixture afterwards in an ice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w:t>
        <w:tab/>
        <w:t xml:space="preserve">Filter the mixture (185 mm diameter, 10 &amp;#181;m pore size) and wash the residue 4 times with 15 mL of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w:t>
        <w:tab/>
        <w:t xml:space="preserve">Perform further work-up and isolation precisely as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Larger scale higher temperature ethanol extraction of walnut shell (Method 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w:t>
        <w:tab/>
        <w:t xml:space="preserve">Put 90 g of finely ground walnut shell in a 1 L high pressure autoclave. Add an 80:20 ethanol/water mixture (750 mL) and 6.25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(0.12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w:t>
        <w:tab/>
        <w:t xml:space="preserve">Heat the mixture at 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h with a stirring speed of 35.8 x g. Cool the mixture back to room temperature by turning on the reactors cooling system after the 5 h reaction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w:t>
        <w:tab/>
        <w:t xml:space="preserve">Filter the mixture (185 mm diameter, 10 &amp;#181;m pore size) and wash the residue 4 times with 75 mL of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multiple filters saves a lot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w:t>
        <w:tab/>
        <w:t xml:space="preserve">Collect the liquors in 2 equal batches. Perform the work-up and isolation as described as in Step 3.2 with double amount of the solvents for both batches.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tab/>
        <w:t xml:space="preserve">Control experiments of Step 3.1. (</w:t>
      </w:r>
      <w:r>
        <w:rPr>
          <w:rFonts w:ascii="Calibri" w:hAnsi="Calibri" w:cs="Calibri" w:eastAsia="Calibri"/>
          <w:b/>
          <w:color w:val="auto"/>
          <w:spacing w:val="0"/>
          <w:position w:val="0"/>
          <w:sz w:val="24"/>
          <w:shd w:fill="auto" w:val="clear"/>
        </w:rPr>
        <w:t xml:space="preserve">Method A*) </w:t>
      </w:r>
      <w:r>
        <w:rPr>
          <w:rFonts w:ascii="Calibri" w:hAnsi="Calibri" w:cs="Calibri" w:eastAsia="Calibri"/>
          <w:color w:val="auto"/>
          <w:spacing w:val="0"/>
          <w:position w:val="0"/>
          <w:sz w:val="24"/>
          <w:shd w:fill="auto" w:val="clear"/>
        </w:rPr>
        <w:t xml:space="preserve">and Step 3.3. (</w:t>
      </w:r>
      <w:r>
        <w:rPr>
          <w:rFonts w:ascii="Calibri" w:hAnsi="Calibri" w:cs="Calibri" w:eastAsia="Calibri"/>
          <w:b/>
          <w:color w:val="auto"/>
          <w:spacing w:val="0"/>
          <w:position w:val="0"/>
          <w:sz w:val="24"/>
          <w:shd w:fill="auto" w:val="clear"/>
        </w:rPr>
        <w:t xml:space="preserve">Method B*</w:t>
      </w:r>
      <w:r>
        <w:rPr>
          <w:rFonts w:ascii="Calibri" w:hAnsi="Calibri" w:cs="Calibri" w:eastAsia="Calibri"/>
          <w:color w:val="auto"/>
          <w:spacing w:val="0"/>
          <w:position w:val="0"/>
          <w:sz w:val="24"/>
          <w:shd w:fill="auto" w:val="clear"/>
        </w:rPr>
        <w:t xml:space="preserv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Put the exact some materials as described in Step 3.1.1 but replace the HCl solution with 1.67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(0.12M). The rest of Step 3.1-3.2 is identical to </w:t>
      </w:r>
      <w:r>
        <w:rPr>
          <w:rFonts w:ascii="Calibri" w:hAnsi="Calibri" w:cs="Calibri" w:eastAsia="Calibri"/>
          <w:b/>
          <w:color w:val="auto"/>
          <w:spacing w:val="0"/>
          <w:position w:val="0"/>
          <w:sz w:val="24"/>
          <w:shd w:fill="auto" w:val="clear"/>
        </w:rPr>
        <w:t xml:space="preserve">Method</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r>
      <w:r>
        <w:rPr>
          <w:rFonts w:ascii="Calibri" w:hAnsi="Calibri" w:cs="Calibri" w:eastAsia="Calibri"/>
          <w:color w:val="auto"/>
          <w:spacing w:val="0"/>
          <w:position w:val="0"/>
          <w:sz w:val="24"/>
          <w:shd w:fill="auto" w:val="clear"/>
        </w:rPr>
        <w:t xml:space="preserve">Put the exact some materials as described in Step 3.3.1 but replace the HCl solution with 1.0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(0.12M). The rest of Step 3.3 is identical to </w:t>
      </w:r>
      <w:r>
        <w:rPr>
          <w:rFonts w:ascii="Calibri" w:hAnsi="Calibri" w:cs="Calibri" w:eastAsia="Calibri"/>
          <w:b/>
          <w:color w:val="auto"/>
          <w:spacing w:val="0"/>
          <w:position w:val="0"/>
          <w:sz w:val="24"/>
          <w:shd w:fill="auto" w:val="clear"/>
        </w:rPr>
        <w:t xml:space="preserve">Method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De-etherification of the Lignin (optional)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Dissolve 1000 mg of lignin in a 24 mL of 1:1 1,4-dioxane/water mixture in a 100 mL round-bottom flask. Add 1 mL of a 37% HCl solution to the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Add a stirring bar and attach a reflux condenser to the round-bottom flask. Heat the mixture to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an oil bath for 5 h with vigorous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tab/>
        <w:t xml:space="preserve">Allow the mixture to cool down to room temperature by removing it from the oil bath. Add the mixture to 160 mL of water to precipitate the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Collect the lignin by filtration (185 mm diameter, 10 &amp;#181;m pore size) and wash the lignin with 25 mL of water 2 times. Allow the lignin to air dry overnight. Dry the lignin further in a vacuum oven (overnight at 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50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Lignin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Two-dimensional nuclear magnetic resonance (2D-NMR)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FFFF00" w:val="clear"/>
        </w:rPr>
        <w:t xml:space="preserve">5.1.1. </w:t>
        <w:tab/>
        <w:t xml:space="preserve">Dissolve 60 mg of dried lignin in 0.7 mL of d</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-acetone. </w:t>
      </w:r>
      <w:r>
        <w:rPr>
          <w:rFonts w:ascii="Calibri" w:hAnsi="Calibri" w:cs="Calibri" w:eastAsia="Calibri"/>
          <w:color w:val="auto"/>
          <w:spacing w:val="0"/>
          <w:position w:val="0"/>
          <w:sz w:val="24"/>
          <w:shd w:fill="auto" w:val="clear"/>
        </w:rPr>
        <w:t xml:space="preserve">Add a few drops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if the lignin does not fully dissolve. Put the mixture in an NMR-tube and take a 2D proton heteronuclear single quantum coherence spectra (HSQC) with an NMR spectrometer with the following parameters: (11, -1), (160, -10), nt = 4, ni = 512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w:t>
        <w:tab/>
        <w:t xml:space="preserve">Analyze the obtained HSQC spectra. Adjust the spectra by manual phase corrections on both axis until all signals are positive, as this is especially important along the horizontal (f2) axis. Perform no baseline corrections. The positions of all the linkages are given in Step 5.1.3 and 5.1.6.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Integrate the signals in the aromatic region that correspond to the three different aromatic units (proton numbering as per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signals are in the region [(Proton range)(Carbon range)]: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w:t>
        <w:tab/>
        <w:tab/>
        <w:t xml:space="preserve">[(6.48-6.90)(104-109)]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w:t>
        <w:tab/>
        <w:tab/>
        <w:t xml:space="preserve">[(7.17-7.50)(105-109)]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condensed</w:t>
      </w:r>
      <w:r>
        <w:rPr>
          <w:rFonts w:ascii="Calibri" w:hAnsi="Calibri" w:cs="Calibri" w:eastAsia="Calibri"/>
          <w:color w:val="auto"/>
          <w:spacing w:val="0"/>
          <w:position w:val="0"/>
          <w:sz w:val="24"/>
          <w:shd w:fill="auto" w:val="clear"/>
        </w:rPr>
        <w:t xml:space="preserve">:</w:t>
        <w:tab/>
        <w:t xml:space="preserve">[(6.35-6.65)(106-109)]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tab/>
        <w:tab/>
        <w:t xml:space="preserve">[(6.78-7.14)(111.5-116)]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w:t>
        <w:tab/>
        <w:tab/>
        <w:t xml:space="preserve">[(6.48-7.06)(115-120.5)]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w:t>
        <w:tab/>
        <w:tab/>
        <w:t xml:space="preserve">[(6.65-6.96)(120.5-124.5)]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w:t>
        <w:tab/>
        <w:tab/>
        <w:t xml:space="preserve">[(7.05-7.29)(128.5-133)]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w:t>
      </w:r>
      <w:r>
        <w:rPr>
          <w:rFonts w:ascii="Calibri" w:hAnsi="Calibri" w:cs="Calibri" w:eastAsia="Calibri"/>
          <w:color w:val="auto"/>
          <w:spacing w:val="0"/>
          <w:position w:val="0"/>
          <w:sz w:val="24"/>
          <w:shd w:fill="auto" w:val="clear"/>
          <w:vertAlign w:val="subscript"/>
        </w:rPr>
        <w:t xml:space="preserve">3/5 </w:t>
      </w:r>
      <w:r>
        <w:rPr>
          <w:rFonts w:ascii="Calibri" w:hAnsi="Calibri" w:cs="Calibri" w:eastAsia="Calibri"/>
          <w:color w:val="auto"/>
          <w:spacing w:val="0"/>
          <w:position w:val="0"/>
          <w:sz w:val="24"/>
          <w:shd w:fill="auto" w:val="clear"/>
        </w:rPr>
        <w:t xml:space="preserve">overlaps with the G</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signal, and it is assumed that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has the same intensity as H</w:t>
      </w:r>
      <w:r>
        <w:rPr>
          <w:rFonts w:ascii="Calibri" w:hAnsi="Calibri" w:cs="Calibri" w:eastAsia="Calibri"/>
          <w:color w:val="auto"/>
          <w:spacing w:val="0"/>
          <w:position w:val="0"/>
          <w:sz w:val="24"/>
          <w:shd w:fill="auto" w:val="clear"/>
          <w:vertAlign w:val="subscript"/>
        </w:rPr>
        <w:t xml:space="preserve">3/5</w:t>
      </w:r>
      <w:r>
        <w:rPr>
          <w:rFonts w:ascii="Calibri" w:hAnsi="Calibri" w:cs="Calibri" w:eastAsia="Calibri"/>
          <w:color w:val="auto"/>
          <w:spacing w:val="0"/>
          <w:position w:val="0"/>
          <w:sz w:val="24"/>
          <w:shd w:fill="auto" w:val="clear"/>
        </w:rPr>
        <w:t xml:space="preserve">. The signal for condensed G overlaps with 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If no (or hardly any) G</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G</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signals are present, this indicates that full condensation of G has occurred.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w:t>
        <w:tab/>
        <w:t xml:space="preserve">Calculate the amount of aromatic units with the formula: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aromatic = (((S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2) + S</w:t>
      </w:r>
      <w:r>
        <w:rPr>
          <w:rFonts w:ascii="Calibri" w:hAnsi="Calibri" w:cs="Calibri" w:eastAsia="Calibri"/>
          <w:color w:val="auto"/>
          <w:spacing w:val="0"/>
          <w:position w:val="0"/>
          <w:sz w:val="24"/>
          <w:shd w:fill="auto" w:val="clear"/>
          <w:vertAlign w:val="subscript"/>
        </w:rPr>
        <w:t xml:space="preserve">condensed</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3) +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w:t>
        <w:tab/>
        <w:t xml:space="preserve">Calculate the percentage of G, H and S units with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Ratio S = (((S</w:t>
      </w:r>
      <w:r>
        <w:rPr>
          <w:rFonts w:ascii="Calibri" w:hAnsi="Calibri" w:cs="Calibri" w:eastAsia="Calibri"/>
          <w:color w:val="auto"/>
          <w:spacing w:val="0"/>
          <w:position w:val="0"/>
          <w:sz w:val="24"/>
          <w:shd w:fill="auto" w:val="clear"/>
          <w:vertAlign w:val="subscript"/>
        </w:rPr>
        <w:t xml:space="preserve">2/6 </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 2) + S</w:t>
      </w:r>
      <w:r>
        <w:rPr>
          <w:rFonts w:ascii="Calibri" w:hAnsi="Calibri" w:cs="Calibri" w:eastAsia="Calibri"/>
          <w:color w:val="auto"/>
          <w:spacing w:val="0"/>
          <w:position w:val="0"/>
          <w:sz w:val="24"/>
          <w:shd w:fill="auto" w:val="clear"/>
          <w:vertAlign w:val="subscript"/>
        </w:rPr>
        <w:t xml:space="preserve">condensed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 total aromatic x 100%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Ratio G =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 G</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3) : total aromatic x 100%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Ratio H =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2) : total aromatic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Integrate the signals in the aliphatic region signals that correspond to the &amp;#946;-O-4, &amp;#946;-&amp;#946; and &amp;#946;-5 linkages and Hibbert Ketones. These are in the region [(proton range)(carbon range)]: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&amp;#946;-O-4</w:t>
      </w:r>
      <w:r>
        <w:rPr>
          <w:rFonts w:ascii="Calibri" w:hAnsi="Calibri" w:cs="Calibri" w:eastAsia="Calibri"/>
          <w:color w:val="auto"/>
          <w:spacing w:val="0"/>
          <w:position w:val="0"/>
          <w:sz w:val="24"/>
          <w:shd w:fill="auto" w:val="clear"/>
          <w:vertAlign w:val="subscript"/>
        </w:rPr>
        <w:t xml:space="preserve">&amp;#945;</w:t>
        <w:tab/>
        <w:tab/>
        <w:tab/>
      </w:r>
      <w:r>
        <w:rPr>
          <w:rFonts w:ascii="Calibri" w:hAnsi="Calibri" w:cs="Calibri" w:eastAsia="Calibri"/>
          <w:color w:val="auto"/>
          <w:spacing w:val="0"/>
          <w:position w:val="0"/>
          <w:sz w:val="24"/>
          <w:shd w:fill="auto" w:val="clear"/>
        </w:rPr>
        <w:t xml:space="preserve">[(4.76-5.10)(73-77.5)]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&amp;#946;’-O-4</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ab/>
        <w:tab/>
        <w:tab/>
        <w:t xml:space="preserve">[(4.44-4.84)(81.5-86)]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&amp;#946;-O-4</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 xml:space="preserve"> and &amp;#946;’-O-4</w:t>
      </w:r>
      <w:r>
        <w:rPr>
          <w:rFonts w:ascii="Calibri" w:hAnsi="Calibri" w:cs="Calibri" w:eastAsia="Calibri"/>
          <w:color w:val="auto"/>
          <w:spacing w:val="0"/>
          <w:position w:val="0"/>
          <w:sz w:val="24"/>
          <w:shd w:fill="auto" w:val="clear"/>
          <w:vertAlign w:val="subscript"/>
        </w:rPr>
        <w:t xml:space="preserve">&amp;#946;</w:t>
      </w:r>
      <w:r>
        <w:rPr>
          <w:rFonts w:ascii="Calibri" w:hAnsi="Calibri" w:cs="Calibri" w:eastAsia="Calibri"/>
          <w:color w:val="auto"/>
          <w:spacing w:val="0"/>
          <w:position w:val="0"/>
          <w:sz w:val="24"/>
          <w:shd w:fill="auto" w:val="clear"/>
        </w:rPr>
        <w:tab/>
        <w:t xml:space="preserve">[(4.03-4.48)(85-90.5)]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&amp;#946;-O-4</w:t>
      </w:r>
      <w:r>
        <w:rPr>
          <w:rFonts w:ascii="Calibri" w:hAnsi="Calibri" w:cs="Calibri" w:eastAsia="Calibri"/>
          <w:color w:val="auto"/>
          <w:spacing w:val="0"/>
          <w:position w:val="0"/>
          <w:sz w:val="24"/>
          <w:shd w:fill="auto" w:val="clear"/>
          <w:vertAlign w:val="subscript"/>
        </w:rPr>
        <w:t xml:space="preserve">&amp;#947;</w:t>
      </w:r>
      <w:r>
        <w:rPr>
          <w:rFonts w:ascii="Calibri" w:hAnsi="Calibri" w:cs="Calibri" w:eastAsia="Calibri"/>
          <w:color w:val="auto"/>
          <w:spacing w:val="0"/>
          <w:position w:val="0"/>
          <w:sz w:val="24"/>
          <w:shd w:fill="auto" w:val="clear"/>
        </w:rPr>
        <w:t xml:space="preserve"> and &amp;#946;’-O-4</w:t>
      </w:r>
      <w:r>
        <w:rPr>
          <w:rFonts w:ascii="Calibri" w:hAnsi="Calibri" w:cs="Calibri" w:eastAsia="Calibri"/>
          <w:color w:val="auto"/>
          <w:spacing w:val="0"/>
          <w:position w:val="0"/>
          <w:sz w:val="24"/>
          <w:shd w:fill="auto" w:val="clear"/>
          <w:vertAlign w:val="subscript"/>
        </w:rPr>
        <w:t xml:space="preserve">&amp;#947;</w:t>
        <w:tab/>
      </w:r>
      <w:r>
        <w:rPr>
          <w:rFonts w:ascii="Calibri" w:hAnsi="Calibri" w:cs="Calibri" w:eastAsia="Calibri"/>
          <w:color w:val="auto"/>
          <w:spacing w:val="0"/>
          <w:position w:val="0"/>
          <w:sz w:val="24"/>
          <w:shd w:fill="auto" w:val="clear"/>
        </w:rPr>
        <w:t xml:space="preserve">[(3.10-4.00)(58.5-62)]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&amp;#946;-5</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ab/>
        <w:tab/>
        <w:tab/>
        <w:t xml:space="preserve">[(5.42-5.63)(88-92)]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&amp;#946;-5</w:t>
      </w:r>
      <w:r>
        <w:rPr>
          <w:rFonts w:ascii="Calibri" w:hAnsi="Calibri" w:cs="Calibri" w:eastAsia="Calibri"/>
          <w:color w:val="auto"/>
          <w:spacing w:val="0"/>
          <w:position w:val="0"/>
          <w:sz w:val="24"/>
          <w:shd w:fill="auto" w:val="clear"/>
          <w:vertAlign w:val="subscript"/>
        </w:rPr>
        <w:t xml:space="preserve">&amp;#946;</w:t>
        <w:tab/>
        <w:tab/>
        <w:tab/>
      </w:r>
      <w:r>
        <w:rPr>
          <w:rFonts w:ascii="Calibri" w:hAnsi="Calibri" w:cs="Calibri" w:eastAsia="Calibri"/>
          <w:color w:val="auto"/>
          <w:spacing w:val="0"/>
          <w:position w:val="0"/>
          <w:sz w:val="24"/>
          <w:shd w:fill="auto" w:val="clear"/>
        </w:rPr>
        <w:t xml:space="preserve">[(3.36-3.56)(53-54.5)]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&amp;#946;-5</w:t>
      </w:r>
      <w:r>
        <w:rPr>
          <w:rFonts w:ascii="Calibri" w:hAnsi="Calibri" w:cs="Calibri" w:eastAsia="Calibri"/>
          <w:color w:val="auto"/>
          <w:spacing w:val="0"/>
          <w:position w:val="0"/>
          <w:sz w:val="24"/>
          <w:shd w:fill="auto" w:val="clear"/>
          <w:vertAlign w:val="subscript"/>
        </w:rPr>
        <w:t xml:space="preserve">&amp;#947;</w:t>
        <w:tab/>
        <w:tab/>
        <w:tab/>
      </w:r>
      <w:r>
        <w:rPr>
          <w:rFonts w:ascii="Calibri" w:hAnsi="Calibri" w:cs="Calibri" w:eastAsia="Calibri"/>
          <w:color w:val="auto"/>
          <w:spacing w:val="0"/>
          <w:position w:val="0"/>
          <w:sz w:val="24"/>
          <w:shd w:fill="auto" w:val="clear"/>
        </w:rPr>
        <w:t xml:space="preserve">[(3.50-4.00)(62-64.5)]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&amp;#946;-&amp;#946;</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ab/>
        <w:tab/>
        <w:tab/>
        <w:t xml:space="preserve">[(4.59-4.77)(86.5-89.5)]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&amp;#946;-&amp;#946;</w:t>
      </w:r>
      <w:r>
        <w:rPr>
          <w:rFonts w:ascii="Calibri" w:hAnsi="Calibri" w:cs="Calibri" w:eastAsia="Calibri"/>
          <w:color w:val="auto"/>
          <w:spacing w:val="0"/>
          <w:position w:val="0"/>
          <w:sz w:val="24"/>
          <w:shd w:fill="auto" w:val="clear"/>
          <w:vertAlign w:val="subscript"/>
        </w:rPr>
        <w:t xml:space="preserve">&amp;#946;</w:t>
        <w:tab/>
        <w:tab/>
        <w:tab/>
      </w:r>
      <w:r>
        <w:rPr>
          <w:rFonts w:ascii="Calibri" w:hAnsi="Calibri" w:cs="Calibri" w:eastAsia="Calibri"/>
          <w:color w:val="auto"/>
          <w:spacing w:val="0"/>
          <w:position w:val="0"/>
          <w:sz w:val="24"/>
          <w:shd w:fill="auto" w:val="clear"/>
        </w:rPr>
        <w:t xml:space="preserve">[(2.98-3.20)(55.5-59)]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&amp;#946;-&amp;#946;</w:t>
      </w:r>
      <w:r>
        <w:rPr>
          <w:rFonts w:ascii="Calibri" w:hAnsi="Calibri" w:cs="Calibri" w:eastAsia="Calibri"/>
          <w:color w:val="auto"/>
          <w:spacing w:val="0"/>
          <w:position w:val="0"/>
          <w:sz w:val="24"/>
          <w:shd w:fill="auto" w:val="clear"/>
          <w:vertAlign w:val="subscript"/>
        </w:rPr>
        <w:t xml:space="preserve">&amp;#947;</w:t>
        <w:tab/>
        <w:tab/>
        <w:tab/>
      </w:r>
      <w:r>
        <w:rPr>
          <w:rFonts w:ascii="Calibri" w:hAnsi="Calibri" w:cs="Calibri" w:eastAsia="Calibri"/>
          <w:color w:val="auto"/>
          <w:spacing w:val="0"/>
          <w:position w:val="0"/>
          <w:sz w:val="24"/>
          <w:shd w:fill="auto" w:val="clear"/>
        </w:rPr>
        <w:t xml:space="preserve">[(3.75-3.96)(72.5-76)] and [(4.10-4.31)(72.5-76)]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HK</w:t>
      </w:r>
      <w:r>
        <w:rPr>
          <w:rFonts w:ascii="Calibri" w:hAnsi="Calibri" w:cs="Calibri" w:eastAsia="Calibri"/>
          <w:color w:val="auto"/>
          <w:spacing w:val="0"/>
          <w:position w:val="0"/>
          <w:sz w:val="24"/>
          <w:shd w:fill="auto" w:val="clear"/>
          <w:vertAlign w:val="subscript"/>
        </w:rPr>
        <w:t xml:space="preserve">&amp;#947;</w:t>
      </w:r>
      <w:r>
        <w:rPr>
          <w:rFonts w:ascii="Calibri" w:hAnsi="Calibri" w:cs="Calibri" w:eastAsia="Calibri"/>
          <w:color w:val="auto"/>
          <w:spacing w:val="0"/>
          <w:position w:val="0"/>
          <w:sz w:val="24"/>
          <w:shd w:fill="auto" w:val="clear"/>
        </w:rPr>
        <w:tab/>
        <w:tab/>
        <w:tab/>
        <w:t xml:space="preserve">[(4.20-4.30)(66-68)]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&amp;#946;-protons of the &amp;#946;-O-4 and &amp;#946;’-O-4 linkages overlap. The structural motifs of these linkages are given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The total number of linkages per 100 C9 units are all based on the signal of the &amp;#945; proton of the linkages.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Calculate the total number of linkages with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&amp;#946;-O-4 linkages = (&amp;#946;-O-4</w:t>
      </w:r>
      <w:r>
        <w:rPr>
          <w:rFonts w:ascii="Calibri" w:hAnsi="Calibri" w:cs="Calibri" w:eastAsia="Calibri"/>
          <w:color w:val="auto"/>
          <w:spacing w:val="0"/>
          <w:position w:val="0"/>
          <w:sz w:val="24"/>
          <w:shd w:fill="auto" w:val="clear"/>
          <w:vertAlign w:val="subscript"/>
        </w:rPr>
        <w:t xml:space="preserve">&amp;#945; </w:t>
      </w:r>
      <w:r>
        <w:rPr>
          <w:rFonts w:ascii="Calibri" w:hAnsi="Calibri" w:cs="Calibri" w:eastAsia="Calibri"/>
          <w:color w:val="auto"/>
          <w:spacing w:val="0"/>
          <w:position w:val="0"/>
          <w:sz w:val="24"/>
          <w:shd w:fill="auto" w:val="clear"/>
        </w:rPr>
        <w:t xml:space="preserve">+ &amp;#946;’-O-4</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 total aromatic x 100</w:t>
      </w:r>
      <w:r>
        <w:rPr>
          <w:rFonts w:ascii="Calibri" w:hAnsi="Calibri" w:cs="Calibri" w:eastAsia="Calibri"/>
          <w:color w:val="auto"/>
          <w:spacing w:val="0"/>
          <w:position w:val="0"/>
          <w:sz w:val="24"/>
          <w:shd w:fill="auto" w:val="clear"/>
          <w:vertAlign w:val="sub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 &amp;#946;-5 linkages = &amp;#946;-5</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 total aromatic x 100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 &amp;#946;-&amp;#946;</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linkages = &amp;#946;-&amp;#946;</w:t>
      </w:r>
      <w:r>
        <w:rPr>
          <w:rFonts w:ascii="Calibri" w:hAnsi="Calibri" w:cs="Calibri" w:eastAsia="Calibri"/>
          <w:color w:val="auto"/>
          <w:spacing w:val="0"/>
          <w:position w:val="0"/>
          <w:sz w:val="24"/>
          <w:shd w:fill="auto" w:val="clear"/>
          <w:vertAlign w:val="subscript"/>
        </w:rPr>
        <w:t xml:space="preserve">&amp;#945; </w:t>
      </w:r>
      <w:r>
        <w:rPr>
          <w:rFonts w:ascii="Calibri" w:hAnsi="Calibri" w:cs="Calibri" w:eastAsia="Calibri"/>
          <w:color w:val="auto"/>
          <w:spacing w:val="0"/>
          <w:position w:val="0"/>
          <w:sz w:val="24"/>
          <w:shd w:fill="auto" w:val="clear"/>
        </w:rPr>
        <w:t xml:space="preserve">/ total aromatic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Gel permeation chromatography (GPC)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Dissolve 10 mg of dried lignin in 1 mL of tetrahydrofuran (THF) (with a drop of toluene as the internal standard). Filter this mixture through a 0.45 &amp;#181;m syringe filter into an autosampler vial with a reduced volume inlet of 0.3 mL. Close the autosampler vial with a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w:t>
        <w:tab/>
        <w:t xml:space="preserve">Inject 20 &amp;#181;L of the sample into a THF GPC. Process the obtained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Correct the obtained signal for the reference signal (toluene). Select the elution volume for the correct range (~200-10000 Da). Calculate mass distribution by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Depolymerization of Lignins to Phenolic 2-Arylmethyl-1,3-Dioxolanes (Acetals)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tab/>
        <w:t xml:space="preserve">Place 50 mg of dried lignin in a 20 mL microwave vial as the reaction vessel equipped with a magnetic stirrer. Add 0.85 mL of 1,4-dioxane, 50 &amp;#181;L of ethylene glycol in 1,4-dioxane (0.54 mL/mL) and 50 &amp;#181;L of octadecane (internal standard) in 1,4-dioxane (26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tab/>
        <w:t xml:space="preserve">Close the reaction vessel and heat the solution to 140 &amp;#176;C while stirring at 3.8 x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When the reaction vessel reaches 140 &amp;#176;C, add 50 &amp;#181;L of Fe(III)OTf</w:t>
      </w:r>
      <w:r>
        <w:rPr>
          <w:rFonts w:ascii="Calibri" w:hAnsi="Calibri" w:cs="Calibri" w:eastAsia="Calibri"/>
          <w:color w:val="auto"/>
          <w:spacing w:val="0"/>
          <w:position w:val="0"/>
          <w:sz w:val="24"/>
          <w:shd w:fill="FFFF00" w:val="clear"/>
          <w:vertAlign w:val="subscript"/>
        </w:rPr>
        <w:t xml:space="preserve">3 </w:t>
      </w:r>
      <w:r>
        <w:rPr>
          <w:rFonts w:ascii="Calibri" w:hAnsi="Calibri" w:cs="Calibri" w:eastAsia="Calibri"/>
          <w:color w:val="auto"/>
          <w:spacing w:val="0"/>
          <w:position w:val="0"/>
          <w:sz w:val="24"/>
          <w:shd w:fill="FFFF00" w:val="clear"/>
        </w:rPr>
        <w:t xml:space="preserve">in 1,4-dioxane (0.1 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w:t>
        <w:tab/>
        <w:t xml:space="preserve">Stir the reactor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w:t>
        <w:tab/>
        <w:t xml:space="preserve">Cool the reactor to room temperature and remove the depolymerization liquid as described in Step 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 Work up and Analysis of Depolymerization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Filter the liquid over Celite (permeability: 2.60-6-50 darcy; particle size: 150 mesh Tyler; sieve retain (140 M US): 2.0-25.0%) and collect in a 2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Concentrate the liquid overnight at 35 &amp;#176;C in a rotational vacuum concentrator.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Extract the final oil/solid with the following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 </w:t>
        <w:tab/>
        <w:t xml:space="preserve">Suspended and swell the residue in 0.15 mL of dichloromethane (DCM) by extensive mixing (by vortex), 15 min of sonication and 30 min in automatic wheel.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 </w:t>
        <w:tab/>
        <w:t xml:space="preserve">Centrifuge the samples for up to 10 s using a minispin tabletop centrifuge to ensure that the liquid is at the bottom of the tube (centrifugation speed: 671 x 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w:t>
        <w:tab/>
        <w:t xml:space="preserve">Add 0.75 mL of toluene and mix extensively (by vortex and 10 min sonication).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 </w:t>
        <w:tab/>
        <w:t xml:space="preserve">Centrifuge the samples for up to 10 s using a minispin tabletop centrifuge (centrifugation speed: 671 x g) to ensure that the liquid is at the bottom of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7.3.5. </w:t>
        <w:tab/>
        <w:t xml:space="preserve">Separate the light organic liquid from the solid or thick oily residue and filter this liquid over a plug of Celite and collect in a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for suspension/washing is repeated three times, and in the last extraction, 0.5 mL of toluene is used.</w:t>
      </w:r>
    </w:p>
    <w:p>
      <w:pPr>
        <w:tabs>
          <w:tab w:val="left" w:pos="629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Concentrate the combined organic phases by rotary evaporation (40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20 mbar).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w:t>
        <w:tab/>
        <w:t xml:space="preserve">Dissolve the oily residue in 1 mL of DCM for gas chromatography flame ionization detector (GC-FID)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Perform GC-FID using a GC equipped with an FID detector and use helium as the carrier gas. Standard settings: 1 &amp;#181;L injection, a split ration of 50:1, a helium flow of 0.95 mL/min. Equip the GC apparatus with a HP5 column (30 m x 0.25 mm x 0.25 &amp;#181;m) and run with a temperature profile which starts with a 5 min 60 &amp;#176;C isotherm. Follow-up by a 10 &amp;#176;C/min ramp for 20 min to 260 &amp;#176;C. Hold this temperature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7.7 </w:t>
        <w:tab/>
        <w:t xml:space="preserve">Integrate the peaks in the spectra manually. The retention times of the peaks are as following: octadecane (21.4 min), H-acetal (19.5 min), G-acetal (20.8 min), S-acetal (23.4 min). Use the obtained values in Step 7.8 to perform the quantification.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Perform the quantification of G acetal, which is based on a calibration curve with a standard compound isolated using an internal standard (octadecane).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curve: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Yield G-acetal: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previous results</w:t>
      </w:r>
      <w:r>
        <w:rPr>
          <w:rFonts w:ascii="Calibri" w:hAnsi="Calibri" w:cs="Calibri" w:eastAsia="Calibri"/>
          <w:color w:val="auto"/>
          <w:spacing w:val="0"/>
          <w:position w:val="0"/>
          <w:sz w:val="24"/>
          <w:shd w:fill="auto" w:val="clear"/>
          <w:vertAlign w:val="superscript"/>
        </w:rPr>
        <w:t xml:space="preserve">9,21,23</w:t>
      </w:r>
      <w:r>
        <w:rPr>
          <w:rFonts w:ascii="Calibri" w:hAnsi="Calibri" w:cs="Calibri" w:eastAsia="Calibri"/>
          <w:color w:val="auto"/>
          <w:spacing w:val="0"/>
          <w:position w:val="0"/>
          <w:sz w:val="24"/>
          <w:shd w:fill="auto" w:val="clear"/>
        </w:rPr>
        <w:t xml:space="preserve"> a response factor was estimated for H and S acetal as 2.19 and 1.82, respectively.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obtained feedstock after pretreatment are shown (left column). All feedstock was obtained as small chips present apart from beech wood, which was acquired as shavings of suitable particle size for extraction. The lignins obtained after the extraction show a wide range of colors and particle sizes. The lignins obtained from mild treatments (method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second column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typically red/pink in color and acquired as small flakes. When harsher conditions are applied (methods B and C*), the obtained lignins have a brown/brownish yellow color (third and fourth column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yield did increase for all the extractions performed under harsher conditions (methods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and C*) compared to milder conditions (Reaction scheme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results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effect was much more profound for walnut (10.2% increase), beech (8.5% increase) and cedar wood (5.1% increase) compared to pine wood (only 0.5% increase). Based on the lignin content of the biomass before extraction (40.3% for walnut, 28.6% for pine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18.8% for beech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35.1% for cedar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lignin extraction efficiency of beech wood is especially high (73.9%), whereas for the other sources lower extraction efficiency was obtained. Methods A* and B*, control experiments with sulfuric acid for methods A and B, showed some clear differences in extraction yield. Mild extraction of walnut shells with sulfuric acid (method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gave only a very low yield of 2.6%, which is markedly lower than the extraction with hydrochloric acid (method A) (2.6% and 5.0%). However, with harsher extraction conditions, the extraction with sulfuric acid (method B*) shows a higher yield compared to hydrochloric acid (method B) (19.3% and 15.2%), but it should be noted that sugar traces are present in the product obtained by extraction with sulfuric acid.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NMR analysis of the different lignins (example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H/G/S ratio and amount of linkages were determined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Due to the overlap of the &amp;#946; and &amp;#947;-protons of the &amp;#946;-O-4 and the &amp;#946;’-O-4 linkage, the amount of linkages is quantified using the &amp;#945;-protons. Additionally, the G</w:t>
      </w:r>
      <w:r>
        <w:rPr>
          <w:rFonts w:ascii="Calibri" w:hAnsi="Calibri" w:cs="Calibri" w:eastAsia="Calibri"/>
          <w:color w:val="auto"/>
          <w:spacing w:val="0"/>
          <w:position w:val="0"/>
          <w:sz w:val="24"/>
          <w:shd w:fill="auto" w:val="clear"/>
          <w:vertAlign w:val="subscript"/>
        </w:rPr>
        <w:t xml:space="preserve">5/6</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3/5 </w:t>
      </w:r>
      <w:r>
        <w:rPr>
          <w:rFonts w:ascii="Calibri" w:hAnsi="Calibri" w:cs="Calibri" w:eastAsia="Calibri"/>
          <w:color w:val="auto"/>
          <w:spacing w:val="0"/>
          <w:position w:val="0"/>
          <w:sz w:val="24"/>
          <w:shd w:fill="auto" w:val="clear"/>
        </w:rPr>
        <w:t xml:space="preserve">signals overlap but these can be corrected by adjusting the ratios accordingly using the H</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signals. Also, a signal corresponding to the &amp;#947;-protons of the Hibbert Ketones and a signal for oxidized S units, which likely are caused by lignin end-groups, are identified.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ratios obtained from NMR show that in general extractions with method B provides lignin with higher S content compared to those with method A in the case that the native material contains S units. Also, the extractions with method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provide lignin with a lower amount of total &amp;#946;-O-4 linkages compared to method A, indicating increased degradation upon increase in temperature. An exception is the walnut lignin obtained from methods methods A and B for which the amount of total &amp;#946;-O-4 linkages was very similar. The number of &amp;#946;-&amp;#946; and &amp;#946;-5 linkages does decrease when harsher conditions are applied, although to a lesser extent. Additionally, NMR revealed that all the lignins obtained after ethanol extraction showed a degree of structural modification of the &amp;#946;-O-4 linkage. These have at least ~50% substitution at the &amp;#945;-OH group, resulting in the &amp;#945;-ethoxylated &amp;#946;’-O-4 linkage. The lignin extraction shows high reproducibility, which was proven by performing the mild extraction of walnut shells (method A) 4 times. Especially, the deviation in the total number of &amp;#946;-O-4 linkages is remarkably small. When the extraction was performed under harsher conditions (methods B and C*), the percentage of &amp;#945;-ethoxylation increased. In the HSQC spectra of beech lignin extracted at harsher condition (method B), a signal for S condensed is visible, which fits perfectly with the significant decrease in the amount of &amp;#946;-O-4 linkages. The walnut extraction performed at large scale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shows a significant decrease for all linkages and a signal for S condensed is visible in the HSQC spectra. The relatively high yield for the extraction of cedar at mild conditions (method A) is caused by the presence of a substantial amount of fatty acid. Control experiments with sulfuric acid gave good insight in the effect of the acid on the composition of the obtained lignin. With mild extraction conditions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a very pure lignin was obtained which was similar in composition compared to the other mild extractions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The somewhat lower amount of &amp;#946;-O-4 linkages can be attributed to a less efficient incorporation of ethanol into the lignin framework, resulting in a lower number of &amp;#946;’-O-4 linkages. At harsher extraction conditions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the differences with the obtained lignin is much more profound compared with the lignin obtained from walnut shells extracted in the presence of hydrochloric acid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The total number of &amp;#946;-O-4 linkages shows a sharp decrease (35 and 74, respectively) and the lignin obtained with sulfuric acid shows a high amount of condensation in the aromatic region (48%), which was determined by the integration of the signals corresponding the S</w:t>
      </w:r>
      <w:r>
        <w:rPr>
          <w:rFonts w:ascii="Calibri" w:hAnsi="Calibri" w:cs="Calibri" w:eastAsia="Calibri"/>
          <w:color w:val="auto"/>
          <w:spacing w:val="0"/>
          <w:position w:val="0"/>
          <w:sz w:val="24"/>
          <w:shd w:fill="auto" w:val="clear"/>
          <w:vertAlign w:val="subscript"/>
        </w:rPr>
        <w:t xml:space="preserve">condensed</w:t>
      </w:r>
      <w:r>
        <w:rPr>
          <w:rFonts w:ascii="Calibri" w:hAnsi="Calibri" w:cs="Calibri" w:eastAsia="Calibri"/>
          <w:color w:val="auto"/>
          <w:spacing w:val="0"/>
          <w:position w:val="0"/>
          <w:sz w:val="24"/>
          <w:shd w:fill="auto" w:val="clear"/>
        </w:rPr>
        <w:t xml:space="preserve"> and G</w:t>
      </w:r>
      <w:r>
        <w:rPr>
          <w:rFonts w:ascii="Calibri" w:hAnsi="Calibri" w:cs="Calibri" w:eastAsia="Calibri"/>
          <w:color w:val="auto"/>
          <w:spacing w:val="0"/>
          <w:position w:val="0"/>
          <w:sz w:val="24"/>
          <w:shd w:fill="auto" w:val="clear"/>
          <w:vertAlign w:val="subscript"/>
        </w:rPr>
        <w:t xml:space="preserve">condensed</w:t>
      </w:r>
      <w:r>
        <w:rPr>
          <w:rFonts w:ascii="Calibri" w:hAnsi="Calibri" w:cs="Calibri" w:eastAsia="Calibri"/>
          <w:color w:val="auto"/>
          <w:spacing w:val="0"/>
          <w:position w:val="0"/>
          <w:sz w:val="24"/>
          <w:shd w:fill="auto" w:val="clear"/>
        </w:rPr>
        <w:t xml:space="preserve"> (Step 5.1.3). This high amount of condensation can be fully attributed to sulfuric acid, as the product obtained from the same extraction with hydrochloric acid showed no condensation in the aromatic region. The composition of the product obtained at harsh larger scale extraction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shows no big difference with the product obtained at a smaller scale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The only big difference is the lower amount of condensation in the aromatic region in the large-scale extraction (9%) and subsequently a higher amount of &amp;#946;-O-4 linkages. This difference could be caused by the difference in the heating profile between the different autoclaves.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lignins were also analyzed by GPC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provide insight in the molecular weight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reveal that when harsher extraction conditions (method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are applied, both the weight average molecular weight (M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and the polydispersity are increasing for all sources. The number average molecular weight (M</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between the extraction conditions are comparable for each source. Overall, these results show that harsher extraction conditions have a two-fold effect, and larger fragments are extracted in addition to additional breakdown of such fragments.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applications, the formation of &amp;#946;’-O-4 linkage is undesired, for example, when applying depolymerization methods that rely on the oxidation of the benzylic (&amp;#945;) hydroxyl group</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The transformation of &amp;#946;’-O-4 linkage of ethanosolv lignin to regular &amp;#946;-O-4 linkages was previously reported</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and was performed with a lignin batch obtained from walnut shells that is comparable to the lignin obtained from walnut shells reported in this paper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lignin consisted of 30 native &amp;#946;-O-4 linkages and 39 &amp;#945;-ethoxylated &amp;#946;’-O-4 linkages (34 and 38 linkages, respectively for the lignin in this paper). De-etherification converted almost all the &amp;#945;-ethoxylated linkages to the native structure as the obtained lignin consisted of 57 &amp;#946;-O-4 linkages and only 3 &amp;#945;-ethoxylated &amp;#946;’-O-4 linkages, showing a small loss in the total number of &amp;#946;-O-4 units. The mass of the lignin was 72% of the original lignin, which is primarily caused by the loss of the ethyl group.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demonstrate the potential of the lignin for the production of aromatic monomers through mild depolymerization, acidolysis reations with Fe(OTf)</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the presence of ethylene glycol were performed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reaction yields three different</w:t>
      </w:r>
      <w:r>
        <w:rPr>
          <w:rFonts w:ascii="Calibri" w:hAnsi="Calibri" w:cs="Calibri" w:eastAsia="Calibri"/>
          <w:color w:val="000000"/>
          <w:spacing w:val="0"/>
          <w:position w:val="0"/>
          <w:sz w:val="24"/>
          <w:shd w:fill="auto" w:val="clear"/>
        </w:rPr>
        <w:t xml:space="preserve"> phenolic 2-arylmethyl-1,3-dioxolanes (acetals) that relate to the H, G and S units present in the lignin.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shows the yield of the S, G and H acetals and the total yields are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It is visible that the lignin extraction method has a major effect being the yield of acetals. Lower yields are obtained for lignin extracted using harsher conditions (method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is likely due to a more modified (higher percentage of &amp;#945;-ethoxylation) condensed structure as described in the previous paragraph.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the &amp;#946;-O-4 units is reflected by providing correlations to monomer yield in depolymerization such as presented in the protocol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 clear trend is visible considering the total</w:t>
      </w:r>
      <w:r>
        <w:rPr>
          <w:rFonts w:ascii="Calibri" w:hAnsi="Calibri" w:cs="Calibri" w:eastAsia="Calibri"/>
          <w:color w:val="000000"/>
          <w:spacing w:val="0"/>
          <w:position w:val="0"/>
          <w:sz w:val="24"/>
          <w:shd w:fill="auto" w:val="clear"/>
        </w:rPr>
        <w:t xml:space="preserve"> &amp;#946;-O-4 content and the non-etherified &amp;#946;-O-4 linkages, where a higher &amp;#946;-O-4 content generally results in higher yield of phenolic 2-arylmethyl-1,3-dioxolanes (acetals) which is in line with previous results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When considering the etherified &amp;#946;’-O-4 linkages, the trend is also clear, showing that the depolymerization yield is not related to the number of &amp;#946;’-O-4 linkages. Under reaction conditions, the etherified &amp;#946;-O-4 linkages can be de-etherified but this additional step results in the loss of material, as described earlier.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correcting the monomer depolymerization yield for the lignin extraction yield, the following results can be obtained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These show that comparing methods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&amp;amp;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generally higher amounts of acetal can be obtained by harsher extraction providing higher overall lignin yields followed by a (less selective) depolymerization. Nevertheless, the results for pinewood also show that this is dependent on the biomass source since the increase in extraction severity does not provide a significant yield increase. Retention of the &amp;#946;-O-4 structure is preferred for this wood type to give higher overall phenolic 2-phenylmethyl-1,3-dioxolane (acetals) yields.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Chemical structures of the obtained products. </w:t>
      </w:r>
      <w:r>
        <w:rPr>
          <w:rFonts w:ascii="Calibri" w:hAnsi="Calibri" w:cs="Calibri" w:eastAsia="Calibri"/>
          <w:color w:val="000000"/>
          <w:spacing w:val="0"/>
          <w:position w:val="0"/>
          <w:sz w:val="24"/>
          <w:shd w:fill="auto" w:val="clear"/>
        </w:rPr>
        <w:t xml:space="preserve">(a) Common structural motifs as present in the lignin structure. (b) Acid catalyzed lignin depolymerization combined with acetal trapping to obtain phenolic 2-arylmethyl-1,3-dioxolanes (acetals).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Obtained lignin from different feedstocks. </w:t>
      </w:r>
      <w:r>
        <w:rPr>
          <w:rFonts w:ascii="Calibri" w:hAnsi="Calibri" w:cs="Calibri" w:eastAsia="Calibri"/>
          <w:color w:val="000000"/>
          <w:spacing w:val="0"/>
          <w:position w:val="0"/>
          <w:sz w:val="24"/>
          <w:shd w:fill="auto" w:val="clear"/>
        </w:rPr>
        <w:t xml:space="preserve">Image of the four different lignocellulose feedstocks after pretreatment (Steps 1 and 2) and the obtained lignins after organosolv extraction at different conditions (method A-step 3.1, method B-step 3.3 and method C*-step 3.4).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Reaction scheme for ethanosolv extraction</w:t>
      </w:r>
      <w:r>
        <w:rPr>
          <w:rFonts w:ascii="Calibri" w:hAnsi="Calibri" w:cs="Calibri" w:eastAsia="Calibri"/>
          <w:color w:val="auto"/>
          <w:spacing w:val="0"/>
          <w:position w:val="0"/>
          <w:sz w:val="24"/>
          <w:shd w:fill="auto" w:val="clear"/>
        </w:rPr>
        <w:t xml:space="preserve">. Overview of the obtained linkages: &amp;#946;-O-4 (R’ = H), &amp;#946;’-O-4 (R’ = Et), &amp;#946;-&amp;#946; and &amp;#946;-5. Conditions: (A)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0.24 M HCl (step 3.1), (B) 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0.24 M HCl (step 3.3), (C*) 120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0.12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(step 3.4) and the control experiment A* an</w:t>
      </w:r>
      <w:r>
        <w:rPr>
          <w:rFonts w:ascii="Calibri" w:hAnsi="Calibri" w:cs="Calibri" w:eastAsia="Calibri"/>
          <w:color w:val="000000"/>
          <w:spacing w:val="0"/>
          <w:position w:val="0"/>
          <w:sz w:val="24"/>
          <w:shd w:fill="auto" w:val="clear"/>
        </w:rPr>
        <w:t xml:space="preserve">d B* (step 3.5).</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HSQC analysis of lignin. </w:t>
      </w:r>
      <w:r>
        <w:rPr>
          <w:rFonts w:ascii="Calibri" w:hAnsi="Calibri" w:cs="Calibri" w:eastAsia="Calibri"/>
          <w:color w:val="000000"/>
          <w:spacing w:val="0"/>
          <w:position w:val="0"/>
          <w:sz w:val="24"/>
          <w:shd w:fill="auto" w:val="clear"/>
        </w:rPr>
        <w:t xml:space="preserve">Identification of all lignin linkages measured with 2D-HSQC of lignin obtained from walnut shells using mild treatment (step 3.1). The signals for HK</w:t>
      </w:r>
      <w:r>
        <w:rPr>
          <w:rFonts w:ascii="Calibri" w:hAnsi="Calibri" w:cs="Calibri" w:eastAsia="Calibri"/>
          <w:color w:val="000000"/>
          <w:spacing w:val="0"/>
          <w:position w:val="0"/>
          <w:sz w:val="24"/>
          <w:shd w:fill="auto" w:val="clear"/>
          <w:vertAlign w:val="subscript"/>
        </w:rPr>
        <w:t xml:space="preserve">&amp;#947; </w:t>
      </w:r>
      <w:r>
        <w:rPr>
          <w:rFonts w:ascii="Calibri" w:hAnsi="Calibri" w:cs="Calibri" w:eastAsia="Calibri"/>
          <w:color w:val="000000"/>
          <w:spacing w:val="0"/>
          <w:position w:val="0"/>
          <w:sz w:val="24"/>
          <w:shd w:fill="auto" w:val="clear"/>
        </w:rPr>
        <w:t xml:space="preserve">and S’</w:t>
      </w:r>
      <w:r>
        <w:rPr>
          <w:rFonts w:ascii="Calibri" w:hAnsi="Calibri" w:cs="Calibri" w:eastAsia="Calibri"/>
          <w:color w:val="000000"/>
          <w:spacing w:val="0"/>
          <w:position w:val="0"/>
          <w:sz w:val="24"/>
          <w:shd w:fill="auto" w:val="clear"/>
          <w:vertAlign w:val="subscript"/>
        </w:rPr>
        <w:t xml:space="preserve">2/6</w:t>
      </w:r>
      <w:r>
        <w:rPr>
          <w:rFonts w:ascii="Calibri" w:hAnsi="Calibri" w:cs="Calibri" w:eastAsia="Calibri"/>
          <w:color w:val="000000"/>
          <w:spacing w:val="0"/>
          <w:position w:val="0"/>
          <w:sz w:val="24"/>
          <w:shd w:fill="auto" w:val="clear"/>
        </w:rPr>
        <w:t xml:space="preserve"> are magnified to make them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Molecular weight of lignin. </w:t>
      </w:r>
      <w:r>
        <w:rPr>
          <w:rFonts w:ascii="Calibri" w:hAnsi="Calibri" w:cs="Calibri" w:eastAsia="Calibri"/>
          <w:color w:val="000000"/>
          <w:spacing w:val="0"/>
          <w:position w:val="0"/>
          <w:sz w:val="24"/>
          <w:shd w:fill="auto" w:val="clear"/>
        </w:rPr>
        <w:t xml:space="preserve">GPC graphs of the obtained lignins divided by source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walnut,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 pine wood,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 beech wood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 cedar wood). The lines correspond to different samples as given by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De-etherification of lignin. </w:t>
      </w:r>
      <w:r>
        <w:rPr>
          <w:rFonts w:ascii="Calibri" w:hAnsi="Calibri" w:cs="Calibri" w:eastAsia="Calibri"/>
          <w:color w:val="000000"/>
          <w:spacing w:val="0"/>
          <w:position w:val="0"/>
          <w:sz w:val="24"/>
          <w:shd w:fill="auto" w:val="clear"/>
        </w:rPr>
        <w:t xml:space="preserve">Reaction scheme of the de-etherification of the obtained ethanosolv lignin from walnut shells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Lignin depolymerization to acetals. </w:t>
      </w:r>
      <w:r>
        <w:rPr>
          <w:rFonts w:ascii="Calibri" w:hAnsi="Calibri" w:cs="Calibri" w:eastAsia="Calibri"/>
          <w:color w:val="000000"/>
          <w:spacing w:val="0"/>
          <w:position w:val="0"/>
          <w:sz w:val="24"/>
          <w:shd w:fill="auto" w:val="clear"/>
        </w:rPr>
        <w:t xml:space="preserve">Reaction scheme for depolymerization of lignin to phenolic 2-arylmethyl-1,3-dioxolanes (acetals). H unit: 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H; G unit: 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OMe,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H; S unit: 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OMe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Acetal yield per source. </w:t>
      </w:r>
      <w:r>
        <w:rPr>
          <w:rFonts w:ascii="Calibri" w:hAnsi="Calibri" w:cs="Calibri" w:eastAsia="Calibri"/>
          <w:color w:val="000000"/>
          <w:spacing w:val="0"/>
          <w:position w:val="0"/>
          <w:sz w:val="24"/>
          <w:shd w:fill="auto" w:val="clear"/>
        </w:rPr>
        <w:t xml:space="preserve">Yields of phenolic 2-arylmethyl-1,3-dioxolanes (acetals) obtained from depolymerization of lignin from different sources.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Influence of &amp;#946;-O-4 linkages on the acetal yield. </w:t>
      </w:r>
      <w:r>
        <w:rPr>
          <w:rFonts w:ascii="Calibri" w:hAnsi="Calibri" w:cs="Calibri" w:eastAsia="Calibri"/>
          <w:color w:val="000000"/>
          <w:spacing w:val="0"/>
          <w:position w:val="0"/>
          <w:sz w:val="24"/>
          <w:shd w:fill="auto" w:val="clear"/>
        </w:rPr>
        <w:t xml:space="preserve">Yields of phenolic 2-arylmethyl-1,3-dioxolanes (acetals) obtained from lignin depolymerization compared to the total &amp;#946;-O-4 (blue), non-etherified &amp;#946;-O-4 (orange) and etherified &amp;#946;-O-4 (gray) content in the lignin feedstock.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Table 1. Ethanosolv extraction results</w:t>
      </w:r>
      <w:r>
        <w:rPr>
          <w:rFonts w:ascii="Calibri" w:hAnsi="Calibri" w:cs="Calibri" w:eastAsia="Calibri"/>
          <w:color w:val="000000"/>
          <w:spacing w:val="0"/>
          <w:position w:val="0"/>
          <w:sz w:val="24"/>
          <w:shd w:fill="auto" w:val="clear"/>
        </w:rPr>
        <w:t xml:space="preserve">. Obtained yields, aromatic distribution and linkages for the different extractions performed on biomass. *Sulfuric acid is used as acid.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Yield of lignin (wt%)/Lignin content in the feedstock as determined by Klason lignin determination.</w:t>
      </w:r>
      <w:r>
        <w:rPr>
          <w:rFonts w:ascii="Calibri" w:hAnsi="Calibri" w:cs="Calibri" w:eastAsia="Calibri"/>
          <w:color w:val="000000"/>
          <w:spacing w:val="0"/>
          <w:position w:val="0"/>
          <w:sz w:val="24"/>
          <w:shd w:fill="auto" w:val="clear"/>
          <w:vertAlign w:val="superscript"/>
        </w:rPr>
        <w:t xml:space="preserve"> 2</w:t>
      </w:r>
      <w:r>
        <w:rPr>
          <w:rFonts w:ascii="Calibri" w:hAnsi="Calibri" w:cs="Calibri" w:eastAsia="Calibri"/>
          <w:color w:val="000000"/>
          <w:spacing w:val="0"/>
          <w:position w:val="0"/>
          <w:sz w:val="24"/>
          <w:shd w:fill="auto" w:val="clear"/>
        </w:rPr>
        <w:t xml:space="preserve">Hemicellulose and S-condensed present in the product.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32% of the S-units are condensed.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Molecular weights of the obtained lignins.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Acetal yields of lignin depolymerization. </w:t>
      </w:r>
      <w:r>
        <w:rPr>
          <w:rFonts w:ascii="Calibri" w:hAnsi="Calibri" w:cs="Calibri" w:eastAsia="Calibri"/>
          <w:color w:val="000000"/>
          <w:spacing w:val="0"/>
          <w:position w:val="0"/>
          <w:sz w:val="24"/>
          <w:shd w:fill="auto" w:val="clear"/>
        </w:rPr>
        <w:t xml:space="preserve">Yields of phenolic 2-arylmethyl-1,3-dioxolones (acetals) obtained from depolymerization of lignin from different sources. Conditions: 50 mg lignin, 60 wt% ethylene glycol, 10 wt% Fe(OTf)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solvent: 1,4-dioxane, 140 &amp;#176;C (1 mL total volume), 15 minutes (step 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Overall acetal yield corrected with extraction yield. </w:t>
      </w:r>
      <w:r>
        <w:rPr>
          <w:rFonts w:ascii="Calibri" w:hAnsi="Calibri" w:cs="Calibri" w:eastAsia="Calibri"/>
          <w:color w:val="000000"/>
          <w:spacing w:val="0"/>
          <w:position w:val="0"/>
          <w:sz w:val="24"/>
          <w:shd w:fill="auto" w:val="clear"/>
        </w:rPr>
        <w:t xml:space="preserve">Yields of phenolic 2-arylmethyl-1.3-dioxolanes (acetals) obtained from depolymerization of lignin from different sources corrected for lignin extraction yield.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Calculation: 100*(lignin yield/100)*(total acetal yield/100). Conditions: 50 mg lignin, 60 wt% ethylene glycol, 10 wt% Fe(OTf)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solvent: 1,4-dioxane, 140 &amp;#176;C, 15 min (reaction via step 6 &amp;amp; work-up via step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the extractions at different conditions and from different biomass sources reveal how the optimal conditions for lignin extraction with a relatively high content of &amp;#946;-O-4 linkages can vary depending on the source. For example, walnut extraction at harsher conditions (method B) provides a three-fold increase in the yield with a near retention of the amount of &amp;#946;-O-4 units, while for beech and cedar the yield increases but is accompanied by a significant drop in the amount of &amp;#946;-O-4 units. On the other hand, for pine, the harsher extraction conditions provide very little benefit in yield and also lead to a lignin with a very low amount of &amp;#946;-O-4 units. This means that typically some form of optimization has to be involved to get the correct balance between the lignin yield and quality in the form of retention of the amount of &amp;#946;-O-4 units in the obtained lignin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 increase in the M</w:t>
      </w:r>
      <w:r>
        <w:rPr>
          <w:rFonts w:ascii="Calibri" w:hAnsi="Calibri" w:cs="Calibri" w:eastAsia="Calibri"/>
          <w:color w:val="auto"/>
          <w:spacing w:val="0"/>
          <w:position w:val="0"/>
          <w:sz w:val="24"/>
          <w:shd w:fill="auto" w:val="clear"/>
          <w:vertAlign w:val="subscript"/>
        </w:rPr>
        <w:t xml:space="preserve">w</w:t>
      </w:r>
      <w:r>
        <w:rPr>
          <w:rFonts w:ascii="Calibri" w:hAnsi="Calibri" w:cs="Calibri" w:eastAsia="Calibri"/>
          <w:color w:val="auto"/>
          <w:spacing w:val="0"/>
          <w:position w:val="0"/>
          <w:sz w:val="24"/>
          <w:shd w:fill="auto" w:val="clear"/>
        </w:rPr>
        <w:t xml:space="preserve"> of the lignin material obtained from harsher extraction conditions demonstrates that under these conditions larger fragments can be extracted providing higher yields. However, at these conditions, additional fragmentation occurs, providing additional lower molecular weight material and thus increasing the polydispersity as can be clearly seen in the GPC graphs of walnut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cedar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 the form of the signal at ~500 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HSQC NMR is an important informative tool to provide comparative data on the quality of different lignins. It should be noted that in this procedure a standard HSQC experiment is performed, this is great for obtaining comparative data but is not necessarily quantitative due to differences in relaxation times. The high amount of linkages displayed for some lignins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overestimated. Quantitative HSQC experiments provide better results but cost significantly more NMR time, although alternatives exist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our experience, the numbers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should be divided by a factor of a 1.3 to better reflect the actual amount of &amp;#946;-O-4 units per 100 aromatic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mentioned, the reported results point out how finding optimum conditions can vary depending on the source in order to obtain the maximum monomer yields. For instance, when walnut is used as the starting material, the overall total acetals yield increases around two times if harsher conditions (method B) are employed for lignin extraction. However, this is mainly due to the great difference in lignin extraction yield, without affecting the &amp;#946;-O-4 content. Differently, when pine is used milder extraction conditions (method A) are preferable. In fact, lignin extraction results in very similar yields in the two cases but harsher conditions cause a drop in &amp;#946;-O-4 units (especially non-etherified &amp;#946;-O-4 linkages) which can be the reason for such a low monomer yield, as indicated in the previous paragraph. A significant loss of non-etherified &amp;#946;-O-4 linkages can be observed as well in the cases of beech and cedar if conditions (method B) are applied for extraction which possibly leads to a lower monomers yield. However, the overall acetal yield does not differ that much depending on the extraction conditions. In fact, an approximate two-fold increase in lignin extraction yield is observed for both biomass sources switching from methods A to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compensates for the roughly two-fold decrease in monomer yield.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conflict of interest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work was funded by the European Union (Marie Curie ITN ‘SuBiCat’ PITN-GA-2013-607044, PJD, KB and JGdV), in addition to financial support from the European Research Council, ERC Starting Grant 2015 (CatASus) 638076 (AdS and KB) and the research programme Talent Scheme (Vidi) with project number 723.015.005 (KB), which is partly financed by the Netherlands Organisation for Scientific Research (NWO).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Tuck, C.O., P&amp;#233;rez E., Horv&amp;#225;th, I.T., Sheldon, R.A., Poliakoff, M. Valorization of Biomass: Deriving More Value from Waste.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695-699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Ragauskas, A.J.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Lignin Valorization: Improving Lignin Processing in the Biorefinery.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709-719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Sun, Z., Fridrich, B., de Santi, A., Elangovan, S., Barta, K. Bright Side of Lignin Depolymerization: Toward New Platform Chemicals. </w:t>
      </w:r>
      <w:r>
        <w:rPr>
          <w:rFonts w:ascii="Calibri" w:hAnsi="Calibri" w:cs="Calibri" w:eastAsia="Calibri"/>
          <w:i/>
          <w:color w:val="000000"/>
          <w:spacing w:val="0"/>
          <w:position w:val="0"/>
          <w:sz w:val="24"/>
          <w:shd w:fill="auto" w:val="clear"/>
        </w:rPr>
        <w:t xml:space="preserve">Chemical Reviews,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614-678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Schutyser, W., Renders, T., Van den Bosch, S., Koelewijn, S.-F., Beckham, G.T., Sels, B.F., Chemicals from lignin: an interplay of lignocellulose fractionation, depolymerization, and upgrading.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852-908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K&amp;#228;rk&amp;#228;s, M.D., Matsuura, B.S., Monos, T.M., Magallanes, G., Stephenson, C.R.J. Transition-metal catalyzed valorization of lignin: the key to a sustainable carbon-neutral future. </w:t>
      </w:r>
      <w:r>
        <w:rPr>
          <w:rFonts w:ascii="Calibri" w:hAnsi="Calibri" w:cs="Calibri" w:eastAsia="Calibri"/>
          <w:i/>
          <w:color w:val="000000"/>
          <w:spacing w:val="0"/>
          <w:position w:val="0"/>
          <w:sz w:val="24"/>
          <w:shd w:fill="auto" w:val="clear"/>
        </w:rPr>
        <w:t xml:space="preserve">Organic &amp;amp; Biomolecular Chemistry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(6), 1853-1914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Deuss, P.J., Barta, K. From models to lignin: Transition metal catalysis for selective bond cleavage reactions. </w:t>
      </w:r>
      <w:r>
        <w:rPr>
          <w:rFonts w:ascii="Calibri" w:hAnsi="Calibri" w:cs="Calibri" w:eastAsia="Calibri"/>
          <w:i/>
          <w:color w:val="000000"/>
          <w:spacing w:val="0"/>
          <w:position w:val="0"/>
          <w:sz w:val="24"/>
          <w:shd w:fill="auto" w:val="clear"/>
        </w:rPr>
        <w:t xml:space="preserve">Coordination Chemistry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510-532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Yokoyama, T. Revisiting the Mechanism of &amp;#946;-O-4 Bond Cleavage During Acidolysis of Lignin. Part 6: A Review. </w:t>
      </w:r>
      <w:r>
        <w:rPr>
          <w:rFonts w:ascii="Calibri" w:hAnsi="Calibri" w:cs="Calibri" w:eastAsia="Calibri"/>
          <w:i/>
          <w:color w:val="000000"/>
          <w:spacing w:val="0"/>
          <w:position w:val="0"/>
          <w:sz w:val="24"/>
          <w:shd w:fill="auto" w:val="clear"/>
        </w:rPr>
        <w:t xml:space="preserve">Journal of Wood Chemistry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27-42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Sturgeon, M.R.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Mechanistic Investigation of Acid-Catalyzed Cleavage of Aryl-Ether Linkages: Implications for Lignin Depolymerization in Acidic Environments. </w:t>
      </w:r>
      <w:r>
        <w:rPr>
          <w:rFonts w:ascii="Calibri" w:hAnsi="Calibri" w:cs="Calibri" w:eastAsia="Calibri"/>
          <w:i/>
          <w:color w:val="000000"/>
          <w:spacing w:val="0"/>
          <w:position w:val="0"/>
          <w:sz w:val="24"/>
          <w:shd w:fill="auto" w:val="clear"/>
        </w:rPr>
        <w:t xml:space="preserve">ACS Sustainable Chemistry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472-485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Deuss, P.J., Scott, M., Tran, F., Westwood, N.J., de Vries, J.G., Barta, K. Aromatic monomers by in situ conversion of reactive intermediates in the acid-catalyzed depolymerization of lignin,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(23), 7456-7467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Jastrzebski, R., Constant, S., Lancefield, C.S., Westwood, N.J., Weckhuysen, B.M., Bruijnincx, P.C.A. Tandem Catalytic Depolymerization of Lignin by Water-Tolerant Lewis Acids and Rhodium Complexes, </w:t>
      </w:r>
      <w:r>
        <w:rPr>
          <w:rFonts w:ascii="Calibri" w:hAnsi="Calibri" w:cs="Calibri" w:eastAsia="Calibri"/>
          <w:i/>
          <w:color w:val="000000"/>
          <w:spacing w:val="0"/>
          <w:position w:val="0"/>
          <w:sz w:val="24"/>
          <w:shd w:fill="auto" w:val="clear"/>
        </w:rPr>
        <w:t xml:space="preserve">ChemSusChem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 2074-2079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Kaiho, A., Kogo, M., Sakai, R., Saito, K., Watanabe, T. In situ trapping of enol intermediates with alcohol during acid-catalysed de-polymerization of lignin in a nonpolar solvent.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(5), 2780-2783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Huang, X., Zhu, J., Kor&amp;#225;nyi, T.I., Boot, D.B., Hensen, E.J.M. Effective Release of Lignin Fragments from Lignocellulose by Lewis Acid Metal Triflates in the Lignin-First Approach. </w:t>
      </w:r>
      <w:r>
        <w:rPr>
          <w:rFonts w:ascii="Calibri" w:hAnsi="Calibri" w:cs="Calibri" w:eastAsia="Calibri"/>
          <w:i/>
          <w:color w:val="000000"/>
          <w:spacing w:val="0"/>
          <w:position w:val="0"/>
          <w:sz w:val="24"/>
          <w:shd w:fill="auto" w:val="clear"/>
        </w:rPr>
        <w:t xml:space="preserve">ChemSusChem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(23), 3262-3267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Kaiho, A., Mazzarella, D., Satake, M., Kogo, M., Sakai, R., Watanabe, T. Construction of di(trimethylolpropane) cross linkage and phenylnaphthalene structure coupled with selective &amp;#946;-O-4 bond cleavage for synthesizing lignin-based epoxy resins with controlled glass transition temperature. </w:t>
      </w:r>
      <w:r>
        <w:rPr>
          <w:rFonts w:ascii="Calibri" w:hAnsi="Calibri" w:cs="Calibri" w:eastAsia="Calibri"/>
          <w:i/>
          <w:color w:val="000000"/>
          <w:spacing w:val="0"/>
          <w:position w:val="0"/>
          <w:sz w:val="24"/>
          <w:shd w:fill="auto" w:val="clear"/>
        </w:rPr>
        <w:t xml:space="preserve">Green Chemistry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(24), 6526-6535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Lahive, C.W.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Advanced model compounds for understanding acid-catalyzed lignin depolymerization: Identification of renewable aromatics and a lignin-derived solvent.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(28), 8900-8911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Shuai, L., Saha, B. Towards high-yield lignin monomer production. </w:t>
      </w:r>
      <w:r>
        <w:rPr>
          <w:rFonts w:ascii="Calibri" w:hAnsi="Calibri" w:cs="Calibri" w:eastAsia="Calibri"/>
          <w:i/>
          <w:color w:val="000000"/>
          <w:spacing w:val="0"/>
          <w:position w:val="0"/>
          <w:sz w:val="24"/>
          <w:shd w:fill="auto" w:val="clear"/>
        </w:rPr>
        <w:t xml:space="preserve">Green Chemistry.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(16), 3752-3758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Rinaldi,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Paving the Way for Lignin Valorisation: Recent Advances in Bioengineering, Biorefining and Catalysis.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(29), 8167-8215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Schutyser, W., Renders, T., van den Bosch, S., Koelewijn, S.-F., Beckham, G.T., Sels, B.F. Chemicals from lignin: an interplay of lignocellulose fractionation, depolymerization, and upgrading.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(3), 852-908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Constant,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 insights into the structure and composition of technical lignins: a comparative characterization study. </w:t>
      </w:r>
      <w:r>
        <w:rPr>
          <w:rFonts w:ascii="Calibri" w:hAnsi="Calibri" w:cs="Calibri" w:eastAsia="Calibri"/>
          <w:i/>
          <w:color w:val="000000"/>
          <w:spacing w:val="0"/>
          <w:position w:val="0"/>
          <w:sz w:val="24"/>
          <w:shd w:fill="auto" w:val="clear"/>
        </w:rPr>
        <w:t xml:space="preserve">Green Chemistry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(9), 2651-2665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Smit., A., Huijgen, W., Effective fractionation of lignocellulose in herbaceous biomass and hardwood using a mild acetone organosolv process.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(22), 5505-5514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Lancefield, C.S., Panovic, I., Deuss, P.J., Barta, K., Westwood, N.J. Pre-treatment of lignocellulosic feedstocks using biorenewable alcohols: towards complete biomass valorization.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202-214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Deuss, P.J., Lancefield, C.S., Narani, A., de Vries, J.G., Westwood, N.J., Barta, K. Phenolic acetals from lignins of varying compositions via iron (III) triflate catalysed depolymerization.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2774-2782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Bauer, S., Sorek, H., Mitchell, V.D., Ib&amp;#225;&amp;#241;ez, A.B., Wemmber, D.E., Characterization of Miscanthus giganteus Lignin Isolated by Ethanol Organosolv Process under Reflux Condition. </w:t>
      </w:r>
      <w:r>
        <w:rPr>
          <w:rFonts w:ascii="Calibri" w:hAnsi="Calibri" w:cs="Calibri" w:eastAsia="Calibri"/>
          <w:i/>
          <w:color w:val="000000"/>
          <w:spacing w:val="0"/>
          <w:position w:val="0"/>
          <w:sz w:val="24"/>
          <w:shd w:fill="auto" w:val="clear"/>
        </w:rPr>
        <w:t xml:space="preserve">Journal of Agricultural and Food Chemistry </w:t>
      </w:r>
      <w:r>
        <w:rPr>
          <w:rFonts w:ascii="Calibri" w:hAnsi="Calibri" w:cs="Calibri" w:eastAsia="Calibri"/>
          <w:b/>
          <w:color w:val="000000"/>
          <w:spacing w:val="0"/>
          <w:position w:val="0"/>
          <w:sz w:val="24"/>
          <w:shd w:fill="auto" w:val="clear"/>
        </w:rPr>
        <w:t xml:space="preserve">60 </w:t>
      </w:r>
      <w:r>
        <w:rPr>
          <w:rFonts w:ascii="Calibri" w:hAnsi="Calibri" w:cs="Calibri" w:eastAsia="Calibri"/>
          <w:color w:val="000000"/>
          <w:spacing w:val="0"/>
          <w:position w:val="0"/>
          <w:sz w:val="24"/>
          <w:shd w:fill="auto" w:val="clear"/>
        </w:rPr>
        <w:t xml:space="preserve">(33), 8203-8212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Deuss, P.J.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Metal triflates for the production of aromatics from lignin. </w:t>
      </w:r>
      <w:r>
        <w:rPr>
          <w:rFonts w:ascii="Calibri" w:hAnsi="Calibri" w:cs="Calibri" w:eastAsia="Calibri"/>
          <w:i/>
          <w:color w:val="000000"/>
          <w:spacing w:val="0"/>
          <w:position w:val="0"/>
          <w:sz w:val="24"/>
          <w:shd w:fill="auto" w:val="clear"/>
        </w:rPr>
        <w:t xml:space="preserve">ChemSusChem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2974-2981.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Nicholson, D. J., Leavit, A. T., Francis, R. C. A three-stage Klason method for more accurate determinations of hardwood lignin content. </w:t>
      </w:r>
      <w:r>
        <w:rPr>
          <w:rFonts w:ascii="Calibri" w:hAnsi="Calibri" w:cs="Calibri" w:eastAsia="Calibri"/>
          <w:i/>
          <w:color w:val="000000"/>
          <w:spacing w:val="0"/>
          <w:position w:val="0"/>
          <w:sz w:val="24"/>
          <w:shd w:fill="auto" w:val="clear"/>
        </w:rPr>
        <w:t xml:space="preserve">Cellulose Chemistry and Technology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(1-2), 53-59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Sun, 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Complete lignocellulose conversion with integrated catalyst recycling yielding valuable aromatics and fuels. </w:t>
      </w:r>
      <w:r>
        <w:rPr>
          <w:rFonts w:ascii="Calibri" w:hAnsi="Calibri" w:cs="Calibri" w:eastAsia="Calibri"/>
          <w:i/>
          <w:color w:val="000000"/>
          <w:spacing w:val="0"/>
          <w:position w:val="0"/>
          <w:sz w:val="24"/>
          <w:shd w:fill="auto" w:val="clear"/>
        </w:rPr>
        <w:t xml:space="preserve">Nature catalysis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82-92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Lancefield, C.S., Ojo, O.S., Tran, F., Westwood, N.J. Isolation of Functionalized Phenolic Monomers through Selective Oxidation and C-O Bond Cleavage of the &amp;#946;-O-4 Linkages in Lignin.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258-262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Rahimi, A., Ulbrich, A., Coon, J.J., Stahl, S.S. Formic-acid-induced depolymerization of oxidized lignin to aromatics.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 249-252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Bosque, I., Magallanes, G., Rigoulet, M., K&amp;#228;rk&amp;#228;s, M.D., Stephenson, C.R.J. Redox Catalysis Facilitates Lignin Depolymerization, </w:t>
      </w:r>
      <w:r>
        <w:rPr>
          <w:rFonts w:ascii="Calibri" w:hAnsi="Calibri" w:cs="Calibri" w:eastAsia="Calibri"/>
          <w:i/>
          <w:color w:val="000000"/>
          <w:spacing w:val="0"/>
          <w:position w:val="0"/>
          <w:sz w:val="24"/>
          <w:shd w:fill="auto" w:val="clear"/>
        </w:rPr>
        <w:t xml:space="preserve">ACS Central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621-628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Sette, M., Wechselberger, R., Crestini, C., Elucidation of Lignin Structure by Quantitative 2D NMR. </w:t>
      </w:r>
      <w:r>
        <w:rPr>
          <w:rFonts w:ascii="Calibri" w:hAnsi="Calibri" w:cs="Calibri" w:eastAsia="Calibri"/>
          <w:i/>
          <w:color w:val="000000"/>
          <w:spacing w:val="0"/>
          <w:position w:val="0"/>
          <w:sz w:val="24"/>
          <w:shd w:fill="auto" w:val="clear"/>
        </w:rPr>
        <w:t xml:space="preserve">Chemistry -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(34), 9529-9535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