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CRISPR-Cas9-Based Genome Engineering to Generate Jurkat Reporter Models for HIV-1 Infection with Selected Proviral Integration Sites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Julia K Bialek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Thomas Walther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Joachim Hauber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Ulrike C Lange</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Heinrich Pette Institute, Leibniz Institute for Experimental Virology, Hamburg,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Anesthesiology, University Medical Center Hamburg-Eppendorf, Hamburg,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German Center for Infection Research (DZIF), Hamburg Partner Site,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 C Lange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ulrike.lange@leibniz-hpi.de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+49-40-48051-347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K Bialek</w:t>
        <w:tab/>
        <w:tab/>
        <w:t xml:space="preserve">(bialek.julia@mh-hannover.de)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Walther</w:t>
        <w:tab/>
        <w:t xml:space="preserve">(t.walther@uni-luebeck.de)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Joachim Hauber</w:t>
        <w:tab/>
        <w:t xml:space="preserve">(joachim.hauber@leibniz-hpi.de)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HIV, HIV latency, HIV integration sites, cell culture model, genome engineering, CRISPR-Cas9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genome engineering workflow for the generation of new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for HIV-1 infection that recapitulate proviral integration at selected genomic sites. Targeting of HIV-derived reporters is facilitated by CRISPR-Cas9-mediated, site-specific genome manipulation. Detailed protocols for single-cell clone generation, screening, and correct targeting verification are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immunodeficiency virus (HIV) integrates its proviral DNA non-randomly into the host cell genome at recurrent sites and genomic hotspots. Here we present a detailed protocol for the generation of novel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for HIV infection with chosen genomic integration sites using CRISPR-Cas9-based genome engineering technology. With this method, a reporter sequence of choice can be integrated into a targeted, chosen genomic locus, reflecting clinically relevant integration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the design of an HIV-derived reporter and choosing of a target site and gRNA sequence are described. A targeting vector with homology arms is constructed and transfected into Jurkat T cells. The reporter sequence is targeted to the selected genomic site by homologous recombination facilitated by a Cas9-mediated double-strand break at the target site. Single-cell clones are generated and screened for targeting events by flow cytometry and PCR. Selected clones are then expanded, and correct targeting is verified by PCR, sequencing, and Southern blotting. Potential off-target events of CRISPR-Cas9-mediated genome engineering are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this protocol, novel cell culture systems that model HIV infection at clinically relevant integration sites can be generated. Although the generation of single-cell clones and verification of correct reporter sequence integration is time-consuming, the resulting clonal lines are powerful tools to functionally analyze proviral integration site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Integration of proviral DNA into the host genome upon infection is a critical step in the life cycle of human immunodeficiency virus (HIV). Following integration, HIV persists by establishing latency in long-lived CD4+ T cell subsets such as memory CD4+ T cells. HIV integration appears to be non-random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number of genomic hotspots with recurrently integrated proviral DNA has been detected in several studies through the sequencing of integration sites in acutely and chronically infected individuals</w:t>
      </w:r>
      <w:r>
        <w:rPr>
          <w:rFonts w:ascii="Calibri" w:hAnsi="Calibri" w:cs="Calibri" w:eastAsia="Calibri"/>
          <w:color w:val="auto"/>
          <w:spacing w:val="0"/>
          <w:position w:val="0"/>
          <w:sz w:val="24"/>
          <w:shd w:fill="auto" w:val="clear"/>
          <w:vertAlign w:val="superscript"/>
        </w:rPr>
        <w:t xml:space="preserve">2,3,4,5,6,7,8</w:t>
      </w:r>
      <w:r>
        <w:rPr>
          <w:rFonts w:ascii="Calibri" w:hAnsi="Calibri" w:cs="Calibri" w:eastAsia="Calibri"/>
          <w:color w:val="auto"/>
          <w:spacing w:val="0"/>
          <w:position w:val="0"/>
          <w:sz w:val="24"/>
          <w:shd w:fill="auto" w:val="clear"/>
        </w:rPr>
        <w:t xml:space="preserve">. Interestingly, at some of these integration sites, the same locus was detected in a large fraction of infected cells, leading to the idea that integration at recurrent sites might positively affect clonal expansion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advance our understanding of the significance of recurrent integration sites, proviral integration site choice must be explored. However, several technical aspects hamper studying HIV integration site choice and the consequences. Broadly used cell culture models for HIV latency like JLat cell lines do not reflect clinically relevant recurrent integration sites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Studies on primary patient-derived cells, on the one hand, enable description of integration site landscape by sequencing but do not allow for functional analyses. To our knowledge, no adequate experimental model is available to functionally analyze selected clinically relevant integration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workflow to generate novel models for HIV infection using CRISPR-Cas9-based genome engineering technology. The workflow described herein can be used to generate T cell-derived reporter cell lines that model HIV infection, carrying a genomically integrated proviral reporter at a chosen integration site. They are thus serving as new tools to explore how the proviral integration site can impact HIV biology and how the provirus responds to different treatment strategies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inducibility by latency reversing agents). Our method uses the advantages of CRISPR-Cas9-based genome engineering, in which integration of the reporter sequence by homologous recombination is facilitated by a Cas9 nuclease-induced double-strand break at the target site. Target sites for integration are chosen according to proximity to the described recurrent integration sites from studies on HIV-infected individuals and the presence of suitable PAM motifs for Cas9-mediated genome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exemplary results, we have focused on the BACH2 gene locus, which codes for the BTB And CNC Homology transcriptional regulator 2. In chronically HIV-infected individuals on antiretroviral therapy, BACH2 is one of the loci showing enrichment of integrated HIV-1 sequences</w:t>
      </w:r>
      <w:r>
        <w:rPr>
          <w:rFonts w:ascii="Calibri" w:hAnsi="Calibri" w:cs="Calibri" w:eastAsia="Calibri"/>
          <w:color w:val="auto"/>
          <w:spacing w:val="0"/>
          <w:position w:val="0"/>
          <w:sz w:val="24"/>
          <w:shd w:fill="auto" w:val="clear"/>
          <w:vertAlign w:val="superscript"/>
        </w:rPr>
        <w:t xml:space="preserve">3,6,7,8,10</w:t>
      </w:r>
      <w:r>
        <w:rPr>
          <w:rFonts w:ascii="Calibri" w:hAnsi="Calibri" w:cs="Calibri" w:eastAsia="Calibri"/>
          <w:color w:val="auto"/>
          <w:spacing w:val="0"/>
          <w:position w:val="0"/>
          <w:sz w:val="24"/>
          <w:shd w:fill="auto" w:val="clear"/>
        </w:rPr>
        <w:t xml:space="preserve">. We have chosen a minimal HIV-derived reporter consisting of HIV-1-derived long terminal repeat (LTR), tdTomato coding sequence, and bovine growth hormone (BGH) polyadenylation signal (PA), which we have targeted to two specific sites in BACH2 intron 5. The presented protocol is optimized for Jurkat cells, a human CD4+ T cell-derived suspension cell line, but other cell lines may be used and the protocol adapted accordingly. We present a detailed workflow for selection of target site, construction of target vector with homology arms, CRISPR-Cas9-mediated targeting of the reporter into the chosen genomic site, generation and selection of clonal lines, and comprehensive verification of newly generated, targeted reporter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Targeting Strategy for Genome Engineering and Targeting Vector (tv)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first step of genome engineering involves selection and generation of the necessary tools for CRISPR-Cas9-mediated targeting. Selection of a genomic integration site locus, choice of cell type for targeting, and design of an HIV-derived reporter for integration should precede this step. This protocol describes targeting of an HIV-LTR_tdTomato_BGH-PA minimal reporter into Jurkat target cells. A flow chart of the workflow for CRISPR-Cas9-based targeting, generation, screening and verification of clonal lines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described targeting strategy uses the </w:t>
      </w:r>
      <w:r>
        <w:rPr>
          <w:rFonts w:ascii="Calibri" w:hAnsi="Calibri" w:cs="Calibri" w:eastAsia="Calibri"/>
          <w:i/>
          <w:color w:val="auto"/>
          <w:spacing w:val="0"/>
          <w:position w:val="0"/>
          <w:sz w:val="24"/>
          <w:shd w:fill="auto" w:val="clear"/>
        </w:rPr>
        <w:t xml:space="preserve">S. pyogenes</w:t>
      </w:r>
      <w:r>
        <w:rPr>
          <w:rFonts w:ascii="Calibri" w:hAnsi="Calibri" w:cs="Calibri" w:eastAsia="Calibri"/>
          <w:color w:val="auto"/>
          <w:spacing w:val="0"/>
          <w:position w:val="0"/>
          <w:sz w:val="24"/>
          <w:shd w:fill="auto" w:val="clear"/>
        </w:rPr>
        <w:t xml:space="preserve"> Cas9 (SpCas9) to generate gRNA-directed dsDNA breaks at a selected integration site. The reporter is then targeted into the chosen genomic locus through homologous recombination by providing a non-linearized targeting vector (tv) that contains the reporter sequence flanked by so-called 5’ and 3’ homology arms (HA)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Choice of targeted locus, gRNA, and targeting vector design</w:t>
      </w: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thegenomic locus to be targeted based on the individual scientific question. Use published lists of recurrent integration sites of HIV found in patients in different studies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a guideline.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extract the genomic sequence of the desired genomic locus to be targeted (sequence of the complete gene or at least 5 kb of genomic sequence) using UCSC genome browser (http:// genome.edu.ucsc.edu).</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guide RNAs (gRNAs) of 20 nt for targeting of the chosen genomic locus using the E-CRISP webtool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http://www.e-crisp.org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“Homo sapiens GRCh38” as the organism. Input 2000 bp of the genomic sequence covering the desired genomic locus extracted in step 1.1.1.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a gRNA search using medium application settings (any PAM, any 5’ base, off-targets tolerate mismatches, and introns/CPG islands are excluded). A list with possible gRNA designs will appear, ranking from highest to lower scores for specificity and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 gRNA that preferably shows a high score for specificity and efficiency and is as close as possible to the desired genomic locus to be targeted.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 compromise between proximity to the desired genomic locus and design of specific and efficient gRNA has to be found.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Blast the chosen gRNA sequence against the reference genome using the NCBI blast browser (</w:t>
      </w:r>
      <w:hyperlink xmlns:r="http://schemas.openxmlformats.org/officeDocument/2006/relationships" r:id="docRId1">
        <w:r>
          <w:rPr>
            <w:rFonts w:ascii="Calibri" w:hAnsi="Calibri" w:cs="Calibri" w:eastAsia="Calibri"/>
            <w:color w:val="1155CC"/>
            <w:spacing w:val="0"/>
            <w:position w:val="0"/>
            <w:sz w:val="24"/>
            <w:u w:val="single"/>
            <w:shd w:fill="auto" w:val="clear"/>
          </w:rPr>
          <w:t xml:space="preserve">https://blast.ncbi.nlm.nih.gov</w:t>
        </w:r>
      </w:hyperlink>
      <w:r>
        <w:rPr>
          <w:rFonts w:ascii="Calibri" w:hAnsi="Calibri" w:cs="Calibri" w:eastAsia="Calibri"/>
          <w:color w:val="auto"/>
          <w:spacing w:val="0"/>
          <w:position w:val="0"/>
          <w:sz w:val="24"/>
          <w:shd w:fill="auto" w:val="clear"/>
        </w:rPr>
        <w:t xml:space="preserve">) to check for uniqueness of the gRNA binding site.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“human” as the genome. Input the gRNA sequence as the query sequence. Select “highly similar sequences” (megablast) as the program. Ensure that the gRNA sequence is unique. If not, chose a different gRNA from step 1.1.2.3 and blast again.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gRNA sequence is chosen, select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1000 bp upstream and downstream of gRNA sequence from genomic sequence extracted in step 1.1.1 as 5’ and 3’ HA accordingly.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gRNAs should be homologous to the chosen genomic integration site locus and located adjacent to a protospacer adjacent motif (PAM;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NGG for SpCas9)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tv contains the reporter sequence that is 5’ and 3’ flanked by HAs. HAs cover 1000 bp upstream and downstream of the gRNA sequence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full gRNA sequence should not be included in the HA. An overlap of up to 5 nt is acceptable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gRNA and targeting vectors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 For vector schemes,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a vector for expression of SpCas9 and gRNA, use the pX330-U6-Chimeric_BB-cBh-hSpCas9 as the backbone from which both SpCas9 and the single guide RNA (sgRNA) can be simultaneously expressed. To clone the gRNA sequence into the backbone, use the BbsI restriction sites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the tv, choose a high-copy plasmid as backbone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pMK or cDNA3.1).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assemble the reporter (in this protocol: LTR_tdTomato_BGH-PA) into the construct backbone by Gibson Assembly clong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using a commercial assembly cloning kit, and introduce 5’ and 3’ flanking restriction sites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5’ PacI and 3’ SmaI) for subsequent restriction digestion cloning of the HAs.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Amplify 1000 bp of the HA fragments chosen in step 1.1.4 from genomic DNA (gDNA) of the cell type to be targeted (in this protocol: Jurkat cells) using a DNA polymerase with proofreading activity (see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for PCR ingredients and cycling conditions). Then, introduce reporter flanking restriction sites on the 5’ and 3’ ends of each HA (PacI on 5’ HA on both ends, SmaI on 3’ HA on both ends).</w:t>
      </w:r>
    </w:p>
    <w:p>
      <w:pPr>
        <w:spacing w:before="0" w:after="0" w:line="276"/>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Sequentially clone HAs into construct backbone already containing the reporter (generated in step 1.2.2.1) by restriction enzyme cloning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First, clone in 5’ HA using PacI restriction sites, then clone in 3’ HA using SmaI restriction sites.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tv backbone contains an additional fluorescent reporter, unwanted backbone integration can be assessed by flow cytometry (see steps 3.2.2 and 3.2.3). If tv backbone contains no fluorescent reporter, backbone integration must be assessed using PCR (see step 3.2.8).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CRISPR-Cas9-Based Targeting of Jurkat Cells</w:t>
      </w: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Transfection of Jurkat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24 h prior to transfection, plate 1.25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Jurkat T cells in 2.5 mL of RPMI 1640 supplemented with 10% (v/v) fetal calf serum (FCS) and 4 mM L-glutamine [referred to as “RPMI w.o. antibiotics (AB)”] per well of a 6-well cell culture plate. For a single targeting experiment, prepare one complete 6-well plate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6 wells each with 2.5 mL of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On the following day, co-transfect the cells with circular tv and pX330-U6-Chimeric_BB-cBh-hSpCas9/gRNA using a transfection reagent specific for Jurkat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Add 2 µg of circular tv and 2 µg of pX330-U6-Chimeric_BB-cBh-hSpCas9/gRNA per well to 250 µL of commercial RPMI medium with reduced serum concentration optimized for transfection (RPMI with 50% reduction in serum) in a reaction tube and mix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Add 12 µL of transfection reagent slowly to the DNA/medium without touching the wall of the tube and swirl. Let the mixture incubate for 15 min and add dropwise to one well of cells. Incubate the cells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preparation of transfection reaction can be scaled up. No medium change is required after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Enrichment of transfected cells by fluorescence-activated cell sorting (FACS)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72 h post-transfection, pool the transfected cells, count them, and prepare for enrichment by FACS. Collect the cells in a 50 mL conical tube, centrifuge at 300 x g and room temperature (RT) for 4 min, wash the cells once in PBS, centrifuge again, suspend the pellet in an appropriate amount of FACS buffer (PBS supplemented with 1% FCS + 1 mM EDTA) at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and finally transfer into a FACS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Subject the cells to FACS and sort those that express the fluorescent reporter of the tv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tdTomato in this protocol). Collect the cells in RPMI 1640 supplemented with 10% FCS, 4 mM L-glutamine, and 50 U/mL penicillin and streptomycin (referred to as “RPMI w/ 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After FACS sorting, wash the cells once by adding 20 mL of RPMI w/ AB to sorted cells and centrifuge at 300 x g for 4 min at RT. Resuspend the cell pellet in an appropriate amount of RPMI w/ AB and plate the cells in one well of a cell culture plate with the  appropriate volume according to cell number post-FACS.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Culture sort the cells in a small volume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24-well), as considerable levels of cell death have been observed in the first week post-targeting (up to 80-90%).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Expand the mixed targeted cell population up to a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a 75 cm² cell culture flask. This will take around 10-14 days post-FACS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Confirmation of targeting events by flow cytometry in the mixed targeted cell population</w:t>
      </w: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10-14 days of expansion (when cells have reached a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 plate two wells with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the mixed targeted cell population in 1 mL of RPMI w/ AB in a 12-well cell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Induce the HIV LTR of the reporter (generation of tv is described in step 1.2.2.1.) in one of the wells by adding 50 ng/mL phorbol 12-myristate 13-acetate (PMA) and 1 µM Ionomycin (referred to as PMA-Iono). Use cells in the second well as the non-induced control. Culture both the induced and the non-induced cells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0.5 mL of cell suspension of non-induced and induced cells (each), wash them once in PBS, and suspend each in 200 µL of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100,000 cells by flow cytometry. Gate the viable single-cells based on size in forward and sideward scatter, and analyze fluorescent reporter gene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At this step (10-14 days post-FACS sorting), transient expression of fluorescent reporter by transfection should no longer be detectable. Fluorescent expression at this time point indicates genomic integration of reporter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targeting events by PCR on genomic DNA of the mixed targeted cell population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To detect targeting events via PCR, design two primer pairs specific for the 5’ integration (int.) junction and 3’ int. junction. For the 5’ int. junction PCR, the forward primer should bind upstream of the 5’ HA and the reverse primer in the LTR of the reporter (primers P1 and P2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primer pair for the 3’ int. junction PCR should span from the PA of the reporter to 100-200 bp downstream of the 3’ HA (primers P3 and P4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Primers P1 and P4 will also serve for amplification of the non-targeted allele in the mixed targeted population. For a schematic,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gDNA from 2 mL of cell suspension of the mixed targeted cell population from step 2.2.4. Use a gDNA extraction kit according to the manufacturer’s protocol. Then prepare the gDNA of non-targeted cells as a control.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int. junction PCRs (primers P1/P2 and P3/P4 for 5’ and 3’ int. junction, respectively) and non-targeted allele PCR (primers P1/P4) using a high-fidelity DNA polymerase (see </w:t>
      </w:r>
      <w:r>
        <w:rPr>
          <w:rFonts w:ascii="Calibri" w:hAnsi="Calibri" w:cs="Calibri" w:eastAsia="Calibri"/>
          <w:b/>
          <w:color w:val="auto"/>
          <w:spacing w:val="0"/>
          <w:position w:val="0"/>
          <w:sz w:val="24"/>
          <w:shd w:fill="auto" w:val="clear"/>
        </w:rPr>
        <w:t xml:space="preserve">Tables 3</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4 </w:t>
      </w:r>
      <w:r>
        <w:rPr>
          <w:rFonts w:ascii="Calibri" w:hAnsi="Calibri" w:cs="Calibri" w:eastAsia="Calibri"/>
          <w:color w:val="auto"/>
          <w:spacing w:val="0"/>
          <w:position w:val="0"/>
          <w:sz w:val="24"/>
          <w:shd w:fill="auto" w:val="clear"/>
        </w:rPr>
        <w:t xml:space="preserve">for PCR ingredients and cycling conditions). Analyze 5 µL of PCR products on a 1.5% agarose/TAE gel.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the mixed targeted population contains cells that have undergone genome engineering, a specific PCR product should be observed that is not detectable in gDNA of non-targeted cells (negative control). For the non-targeted allele PCR, one should observe a product of the same size for both the targeted and non-targeted cells (positive control for genomic P1 and P4 primers). If no bands are observed, consider altering PCR cycling conditions by increasing the number of cycles or altering the PCR buffer (for example through addition of DMSO or increased amounts of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by changing the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Clonal Lines and Screening for Correct Targeting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After confirmation of the targeting events in the mixed targeted cell population by flow cytometry and PCR (sections 2.2-2.4), generate single-cell clones (duration: 28 to 35 days) and screen for correct integration of the reporter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single-cell clones through dilution plating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Jurkat-conditioned medium in advance: take off RPMI w/ AB medium from healthy, untreated Jurkat T cells grown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centrifuge for 5 min at 300 x g, and filter the supernatant using a 0.22 µm syringe filter unit.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Keep the conditioned medium at 4 °C for short-term storage or at -20 °C for storage longer than 1 week. Prepare 20 to 30 mL of conditioned medium prior to dilution 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Count the targeted cells from step 2.2.4 after 10-14 days of expansion and dilute them in RPMI w/ AB to a concentration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Take 100 µL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solution and dilute with 9.9 mL of medium to achieve a concentration of 1000 cells/mL. Take 1 mL of 1000 cells/mL solution and dilute with 9 mL of medium to achieve a concentration of 100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Plate 96-well plates containing 1 cell per well and 2 cells per well. For 1 cell per well, take 1 mL of 100 cells/mL solution and mix gently with 5 mL of conditioned medium and 4 mL of fresh medium in a sterile reagent reservoir.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For 2 cells per well, take 2 mL of 100 cells/mL solution and mix gently with 5 mL of conditioned medium and 3 mL of fresh medium. Plate 96-well round-bottom plates with 100 µL of the respective cell dilution per well using a multichannel pipet.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5 to 10 96-well plates per targeting construct are sufficient to obtain clones for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Stack the 96-well plates, cover each stack with a 6-well plate containing 3 mL of PBS in each well, and incubate the plates at 37 °C in a humidified cell culture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 weeks.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 Do not change the cell culture medium during this time. Do not open the incubator more than once or twice a week. The best results are observed in incubators with open water reservoir.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After 3 weeks of incubation, visually confirm the presence of grown colonies using light microscopy (4X magnification) and mark the wells with grown colonies so they are visible as points on the bottom of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Prepare one 96-well round-bottom plate with 100 µL of RPMI w/ AB per well. Gently resuspend cells of a marked well by pipetting. Transfer 100 µL of cell suspension into one well of the new 96-well plate already containing 100 µl of RPMI w/ AB, then mix gently by pipetting. Transfer 100 µL of this cell suspension into a second empty 96-well round-bottom plate to duplicate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Continue with all marked wells with grown colonies. Fill all the blank wells with 200 µL of RPMI w/ AB medium. Incubate the plates at 37° C and 5% CO</w:t>
      </w:r>
      <w:r>
        <w:rPr>
          <w:rFonts w:ascii="Calibri" w:hAnsi="Calibri" w:cs="Calibri" w:eastAsia="Calibri"/>
          <w:color w:val="auto"/>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 One of these plates will serve for expansion of single-cell clones (“stock plate”) and the other as a “duplicate plate” for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Screening of single-cell clones by flow cytometry and PCR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While the single-cell clones are expanding, use the duplicate plate from step 3.1.8 to screen single-cell clones for presence of reporter sequence by PCR (steps 3.2.4-3.2.12) and expression of fluorescent reporter by flow cytometry (steps 3.2.2-3.2.3)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Let the duplicate plate incubate for 24 to 48 h and duplicate the plate again. To do this, add 100 µL of RPMI w/ AB to every well, mix gently by pipetting, and transfer 100 µL to a new 96-well round-bottom plate using a multichannel pipet. Use one plate for flow cytometry screening and the other for PCR-based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For flow cytometry screening, stimulate the cells with PMA-Iono. Prepare a mastermix of 0.1 µL of Ionomocin (1 mM stock), 0.1 µL of PMA (50 µg/µL stock), and 4.8 µL of RPMI w/ AB per number of wells, then add 5 µL of mastermix per well.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Induction is necessary to successfully identify clones, where the LTR might be transcriptionally silent and therefore the fluorescent reporter is not expressed.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Let cells incubate for 24 h and prepare cells for flow cytometry as described in step 2.3.3. Gate any viable single-cells based on size in forward and sideward scatter and analyze fluorescent reporter gene expression by flow cytometry (for example results,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If tv backbone contains a second fluorescent reporter with promoter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GFP), screen any clones for backbone reporter expression also (see step 1.2.2 and the following note for explanation).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 Backbone reporter expression indicates unwanted integration of backbone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w:t>
        <w:tab/>
        <w:t xml:space="preserve">Once the clones in the second duplicate plate have grown sufficiently (usually 24 to 48 h after duplication of the 96-well plate), prepare cell lysates containing gDNA for PCR screening. Centrifuge the plate for 10 min at 300 x g at RT. Carefully take off the supernatant without disturbing the cell pellet.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All steps for the preparation of lysates and PCR reactions can be performed with multichannel pipettes.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Wash cells with 100 µL of PBS by gentle pipetting and centrifuging the plate for 5 min at 300 x g at RT. Take off the PBS and add 200 µL of lysis buffer [200 mN NaCl, 100 mM Tris-HCl pH 8-8.5, 5 mM EDTA, 0.1% SDS; then add 250-1000 µg/mL of proteinase K (lyophilized powder, weigh in freshly)] per well. Mix gently by pipetting, and transfer the suspension to a new PCR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Seal the plate with paraffin film and incubate for 1 h at 55 °C in a thermocycler. Centrifuge at maximum speed for 10 min (3000 x g) to spin down cell debris, and transfer the supernatant to a new PCR plate.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Cell lysates in plates can be stored at this stage at 4 °C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Prepare a 96-well PCR plate with 110 µL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add 10 µL of cell lysate (1:12 dilution). Cell lysates might be viscous and difficult to pipet. Use at least 20-µL pipet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Inactivate proteinase K by incubation for 10 min at 99 °C in a thermocycler. Subsequently use the inactivated and diluted cell lysates for PCR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Design primers for screening PCR (P5 and P6) based on the chosen reporter sequence to amplify 500-800 bp of the reporter sequence. For positive control PCR, use primers P7 and P8 that amplify 630 bp of a wild-type, non-targeted genomic locus (</w:t>
      </w:r>
      <w:r>
        <w:rPr>
          <w:rFonts w:ascii="Calibri" w:hAnsi="Calibri" w:cs="Calibri" w:eastAsia="Calibri"/>
          <w:i/>
          <w:color w:val="auto"/>
          <w:spacing w:val="0"/>
          <w:position w:val="0"/>
          <w:sz w:val="24"/>
          <w:shd w:fill="auto" w:val="clear"/>
        </w:rPr>
        <w:t xml:space="preserve">NUP188</w:t>
      </w:r>
      <w:r>
        <w:rPr>
          <w:rFonts w:ascii="Calibri" w:hAnsi="Calibri" w:cs="Calibri" w:eastAsia="Calibri"/>
          <w:color w:val="auto"/>
          <w:spacing w:val="0"/>
          <w:position w:val="0"/>
          <w:sz w:val="24"/>
          <w:shd w:fill="auto" w:val="clear"/>
        </w:rPr>
        <w:t xml:space="preserve"> gene)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5</w:t>
      </w:r>
      <w:r>
        <w:rPr>
          <w:rFonts w:ascii="Calibri" w:hAnsi="Calibri" w:cs="Calibri" w:eastAsia="Calibri"/>
          <w:color w:val="auto"/>
          <w:spacing w:val="0"/>
          <w:position w:val="0"/>
          <w:sz w:val="24"/>
          <w:shd w:fill="auto" w:val="clear"/>
        </w:rPr>
        <w:t xml:space="preserve">). Design a third primer pair that amplifies 500-600 bp of the tv backbone as a control for unspecific integration of tv backbone sequences (backbone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For screening, control, and backbone PCR, use a commercial PCR mastermix (see </w:t>
      </w:r>
      <w:r>
        <w:rPr>
          <w:rFonts w:ascii="Calibri" w:hAnsi="Calibri" w:cs="Calibri" w:eastAsia="Calibri"/>
          <w:b/>
          <w:color w:val="auto"/>
          <w:spacing w:val="0"/>
          <w:position w:val="0"/>
          <w:sz w:val="24"/>
          <w:shd w:fill="auto" w:val="clear"/>
        </w:rPr>
        <w:t xml:space="preserve">Tables 6</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7 </w:t>
      </w:r>
      <w:r>
        <w:rPr>
          <w:rFonts w:ascii="Calibri" w:hAnsi="Calibri" w:cs="Calibri" w:eastAsia="Calibri"/>
          <w:color w:val="auto"/>
          <w:spacing w:val="0"/>
          <w:position w:val="0"/>
          <w:sz w:val="24"/>
          <w:shd w:fill="auto" w:val="clear"/>
        </w:rPr>
        <w:t xml:space="preserve">for PCR ingredients and cycling conditions). Use 2 µL of the diluted and inactivated lysate prepared in step 3.2.8 as a template and run PCR for 38 to 40 cycles of PCR amplification in 96-well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Analyze 5 µL of PCR products on a 1.5% agarose/TAE gel.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For control PCR, a specific band of 630 bp should be observed for every sample, confirming that the quality of cell lysates is adequate for PCR. A specific band in screening PCR (500-800 bp depending on primer design) indicates integration of the reporter sequence. A specific band for backbone PCR (500-600 bp, depending on primer design) indicates unwanted integration of tv backbone sequences (for example results,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Combine the results of flow cytometry (step 3.2.3) and PCR-based screening (step 3.2.12). Select clones which show correct sizes of PCR products in screening PCR and positive control PCR and expression of fluorescent reporter after induction with PMA-Iono in flow cytometry. Exclude clones that show any PCR product in backbone PCR or expression of tv backbone-encoded fluorescent protein, indicating unspecific integration of tv backbone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w:t>
        <w:tab/>
        <w:t xml:space="preserve">Gradually expand selected clones from the 96-well stock plate to bigger well formats (48/24/12/6-well) until achieving a T75 cell culture flask format by adding fresh medium every 2 to 3 days. Maintain a cell density between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w:t>
        <w:tab/>
        <w:t xml:space="preserve">Make sure to prepare cell stocks of clones during expansion: count the cells, centrifuge at 300 x g for 5 min at RT, discard the supernatant, and suspend the cells gently in FCS + 10% DMSO at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Aliquot in cryogenic vials and use a cryo-freezing container to freeze the cells to 80 °C at 1 °C/min. For long term storage, transfer them to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It is advisable to retain a T75 cell culture flask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around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during the expansion in preparation of gDNA for verification of targeting by Southern blotting (see section 3.4).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Verification of integration sites by PCR/sequencing in selected clones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5’ and 3’ int. junctions of the selected clones are PCR amplified and submitted to Sanger sequencing to verify correct targeting at the DNA sequence level.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gDNA of the selected clones and Jurkat wild-type cells using a commercial gDNA extraction kit.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primer pairs binding the 5’ end of the reporter and upstream of 5’ HA for 5’ int. junction (primers P1 and P2) and the 3’ end of the reporter and downstream of 3’ HA for 3’ int. junction (primers P3 and P4) as described in step 2.4. Use primers P1 and P4 to amplify the targeted integration site on the allele without reporter integrant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Prepare PCR reactions with 100-200 ng of gDNA as a template and perform PCR using a polymerase with proofreading activity (see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2 </w:t>
      </w:r>
      <w:r>
        <w:rPr>
          <w:rFonts w:ascii="Calibri" w:hAnsi="Calibri" w:cs="Calibri" w:eastAsia="Calibri"/>
          <w:color w:val="auto"/>
          <w:spacing w:val="0"/>
          <w:position w:val="0"/>
          <w:sz w:val="24"/>
          <w:shd w:fill="auto" w:val="clear"/>
        </w:rPr>
        <w:t xml:space="preserve">for PCR ingredients and cycling conditions).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no bands are observed, consider altering the PCR cycling conditions by increasing the number of cycles or altering the PCR buffer (for example, by adding DMSO or increased amounts of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by changing the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Analyze 5 µL of PCR products on a 1.5% agarose/TAE gel. If correct band sizes are observed, purify the remaining PCR product using a commercial kit and subject it to Sanger sequencing. Verify sequences of 5’ int. junction, 3’ int. junction, and targeted site of the allele without reporter integrant by aligning them with expected sequences.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homologous allele where the reporter has not integrated will likely show Cas9-mediated changes at the target site, such as nucleotide insertions or deletions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For clones that show correct int. junction sequences after alignment, perform a PCR amplifying the whole targeted reporter and subject it to Sanger sequencing to verify the correct sequence of the integrant.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Southern blot analysis for verification of targeting in selected clones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Southern blot analysis of selected clones is required to verify correct targeting and exclude Cas9-mediated recombination events that may have occurred at the targeted integration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 a strategy for appropriate gDNA digestion and probe the design prior to starting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 restriction enzyme for gDNA restriction that generates appropriate fragments of 2 to 10 kb length at the targeted site. Certain restriction enzymes, such as </w:t>
      </w:r>
      <w:r>
        <w:rPr>
          <w:rFonts w:ascii="Calibri" w:hAnsi="Calibri" w:cs="Calibri" w:eastAsia="Calibri"/>
          <w:i/>
          <w:color w:val="auto"/>
          <w:spacing w:val="0"/>
          <w:position w:val="0"/>
          <w:sz w:val="24"/>
          <w:shd w:fill="auto" w:val="clear"/>
        </w:rPr>
        <w:t xml:space="preserve">Asp</w:t>
      </w:r>
      <w:r>
        <w:rPr>
          <w:rFonts w:ascii="Calibri" w:hAnsi="Calibri" w:cs="Calibri" w:eastAsia="Calibri"/>
          <w:color w:val="auto"/>
          <w:spacing w:val="0"/>
          <w:position w:val="0"/>
          <w:sz w:val="24"/>
          <w:shd w:fill="auto" w:val="clear"/>
        </w:rPr>
        <w:t xml:space="preserve">718, </w:t>
      </w:r>
      <w:r>
        <w:rPr>
          <w:rFonts w:ascii="Calibri" w:hAnsi="Calibri" w:cs="Calibri" w:eastAsia="Calibri"/>
          <w:i/>
          <w:color w:val="auto"/>
          <w:spacing w:val="0"/>
          <w:position w:val="0"/>
          <w:sz w:val="24"/>
          <w:shd w:fill="auto" w:val="clear"/>
        </w:rPr>
        <w:t xml:space="preserve">Bam</w:t>
      </w:r>
      <w:r>
        <w:rPr>
          <w:rFonts w:ascii="Calibri" w:hAnsi="Calibri" w:cs="Calibri" w:eastAsia="Calibri"/>
          <w:color w:val="auto"/>
          <w:spacing w:val="0"/>
          <w:position w:val="0"/>
          <w:sz w:val="24"/>
          <w:shd w:fill="auto" w:val="clear"/>
        </w:rPr>
        <w:t xml:space="preserve">HI, </w:t>
      </w:r>
      <w:r>
        <w:rPr>
          <w:rFonts w:ascii="Calibri" w:hAnsi="Calibri" w:cs="Calibri" w:eastAsia="Calibri"/>
          <w:i/>
          <w:color w:val="auto"/>
          <w:spacing w:val="0"/>
          <w:position w:val="0"/>
          <w:sz w:val="24"/>
          <w:shd w:fill="auto" w:val="clear"/>
        </w:rPr>
        <w:t xml:space="preserve">Bgl</w:t>
      </w:r>
      <w:r>
        <w:rPr>
          <w:rFonts w:ascii="Calibri" w:hAnsi="Calibri" w:cs="Calibri" w:eastAsia="Calibri"/>
          <w:color w:val="auto"/>
          <w:spacing w:val="0"/>
          <w:position w:val="0"/>
          <w:sz w:val="24"/>
          <w:shd w:fill="auto" w:val="clear"/>
        </w:rPr>
        <w:t xml:space="preserve">I,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II, </w:t>
      </w:r>
      <w:r>
        <w:rPr>
          <w:rFonts w:ascii="Calibri" w:hAnsi="Calibri" w:cs="Calibri" w:eastAsia="Calibri"/>
          <w:i/>
          <w:color w:val="auto"/>
          <w:spacing w:val="0"/>
          <w:position w:val="0"/>
          <w:sz w:val="24"/>
          <w:shd w:fill="auto" w:val="clear"/>
        </w:rPr>
        <w:t xml:space="preserve">Eco</w:t>
      </w:r>
      <w:r>
        <w:rPr>
          <w:rFonts w:ascii="Calibri" w:hAnsi="Calibri" w:cs="Calibri" w:eastAsia="Calibri"/>
          <w:color w:val="auto"/>
          <w:spacing w:val="0"/>
          <w:position w:val="0"/>
          <w:sz w:val="24"/>
          <w:shd w:fill="auto" w:val="clear"/>
        </w:rPr>
        <w:t xml:space="preserve">RV, </w:t>
      </w:r>
      <w:r>
        <w:rPr>
          <w:rFonts w:ascii="Calibri" w:hAnsi="Calibri" w:cs="Calibri" w:eastAsia="Calibri"/>
          <w:i/>
          <w:color w:val="auto"/>
          <w:spacing w:val="0"/>
          <w:position w:val="0"/>
          <w:sz w:val="24"/>
          <w:shd w:fill="auto" w:val="clear"/>
        </w:rPr>
        <w:t xml:space="preserve">Hind</w:t>
      </w:r>
      <w:r>
        <w:rPr>
          <w:rFonts w:ascii="Calibri" w:hAnsi="Calibri" w:cs="Calibri" w:eastAsia="Calibri"/>
          <w:color w:val="auto"/>
          <w:spacing w:val="0"/>
          <w:position w:val="0"/>
          <w:sz w:val="24"/>
          <w:shd w:fill="auto" w:val="clear"/>
        </w:rPr>
        <w:t xml:space="preserve">III, </w:t>
      </w:r>
      <w:r>
        <w:rPr>
          <w:rFonts w:ascii="Calibri" w:hAnsi="Calibri" w:cs="Calibri" w:eastAsia="Calibri"/>
          <w:i/>
          <w:color w:val="auto"/>
          <w:spacing w:val="0"/>
          <w:position w:val="0"/>
          <w:sz w:val="24"/>
          <w:shd w:fill="auto" w:val="clear"/>
        </w:rPr>
        <w:t xml:space="preserve">Nco</w:t>
      </w:r>
      <w:r>
        <w:rPr>
          <w:rFonts w:ascii="Calibri" w:hAnsi="Calibri" w:cs="Calibri" w:eastAsia="Calibri"/>
          <w:color w:val="auto"/>
          <w:spacing w:val="0"/>
          <w:position w:val="0"/>
          <w:sz w:val="24"/>
          <w:shd w:fill="auto" w:val="clear"/>
        </w:rPr>
        <w:t xml:space="preserve">I, </w:t>
      </w:r>
      <w:r>
        <w:rPr>
          <w:rFonts w:ascii="Calibri" w:hAnsi="Calibri" w:cs="Calibri" w:eastAsia="Calibri"/>
          <w:i/>
          <w:color w:val="auto"/>
          <w:spacing w:val="0"/>
          <w:position w:val="0"/>
          <w:sz w:val="24"/>
          <w:shd w:fill="auto" w:val="clear"/>
        </w:rPr>
        <w:t xml:space="preserve">Pst</w:t>
      </w:r>
      <w:r>
        <w:rPr>
          <w:rFonts w:ascii="Calibri" w:hAnsi="Calibri" w:cs="Calibri" w:eastAsia="Calibri"/>
          <w:color w:val="auto"/>
          <w:spacing w:val="0"/>
          <w:position w:val="0"/>
          <w:sz w:val="24"/>
          <w:shd w:fill="auto" w:val="clear"/>
        </w:rPr>
        <w:t xml:space="preserve">I, </w:t>
      </w:r>
      <w:r>
        <w:rPr>
          <w:rFonts w:ascii="Calibri" w:hAnsi="Calibri" w:cs="Calibri" w:eastAsia="Calibri"/>
          <w:i/>
          <w:color w:val="auto"/>
          <w:spacing w:val="0"/>
          <w:position w:val="0"/>
          <w:sz w:val="24"/>
          <w:shd w:fill="auto" w:val="clear"/>
        </w:rPr>
        <w:t xml:space="preserve">Pvu</w:t>
      </w:r>
      <w:r>
        <w:rPr>
          <w:rFonts w:ascii="Calibri" w:hAnsi="Calibri" w:cs="Calibri" w:eastAsia="Calibri"/>
          <w:color w:val="auto"/>
          <w:spacing w:val="0"/>
          <w:position w:val="0"/>
          <w:sz w:val="24"/>
          <w:shd w:fill="auto" w:val="clear"/>
        </w:rPr>
        <w:t xml:space="preserve">II, </w:t>
      </w:r>
      <w:r>
        <w:rPr>
          <w:rFonts w:ascii="Calibri" w:hAnsi="Calibri" w:cs="Calibri" w:eastAsia="Calibri"/>
          <w:i/>
          <w:color w:val="auto"/>
          <w:spacing w:val="0"/>
          <w:position w:val="0"/>
          <w:sz w:val="24"/>
          <w:shd w:fill="auto" w:val="clear"/>
        </w:rPr>
        <w:t xml:space="preserve">Sca</w:t>
      </w:r>
      <w:r>
        <w:rPr>
          <w:rFonts w:ascii="Calibri" w:hAnsi="Calibri" w:cs="Calibri" w:eastAsia="Calibri"/>
          <w:color w:val="auto"/>
          <w:spacing w:val="0"/>
          <w:position w:val="0"/>
          <w:sz w:val="24"/>
          <w:shd w:fill="auto" w:val="clear"/>
        </w:rPr>
        <w:t xml:space="preserve">I, </w:t>
      </w:r>
      <w:r>
        <w:rPr>
          <w:rFonts w:ascii="Calibri" w:hAnsi="Calibri" w:cs="Calibri" w:eastAsia="Calibri"/>
          <w:i/>
          <w:color w:val="auto"/>
          <w:spacing w:val="0"/>
          <w:position w:val="0"/>
          <w:sz w:val="24"/>
          <w:shd w:fill="auto" w:val="clear"/>
        </w:rPr>
        <w:t xml:space="preserve">Stu</w:t>
      </w:r>
      <w:r>
        <w:rPr>
          <w:rFonts w:ascii="Calibri" w:hAnsi="Calibri" w:cs="Calibri" w:eastAsia="Calibri"/>
          <w:color w:val="auto"/>
          <w:spacing w:val="0"/>
          <w:position w:val="0"/>
          <w:sz w:val="24"/>
          <w:shd w:fill="auto" w:val="clear"/>
        </w:rPr>
        <w:t xml:space="preserve">I, and </w:t>
      </w:r>
      <w:r>
        <w:rPr>
          <w:rFonts w:ascii="Calibri" w:hAnsi="Calibri" w:cs="Calibri" w:eastAsia="Calibri"/>
          <w:i/>
          <w:color w:val="auto"/>
          <w:spacing w:val="0"/>
          <w:position w:val="0"/>
          <w:sz w:val="24"/>
          <w:shd w:fill="auto" w:val="clear"/>
        </w:rPr>
        <w:t xml:space="preserve">Sst</w:t>
      </w:r>
      <w:r>
        <w:rPr>
          <w:rFonts w:ascii="Calibri" w:hAnsi="Calibri" w:cs="Calibri" w:eastAsia="Calibri"/>
          <w:color w:val="auto"/>
          <w:spacing w:val="0"/>
          <w:position w:val="0"/>
          <w:sz w:val="24"/>
          <w:shd w:fill="auto" w:val="clear"/>
        </w:rPr>
        <w:t xml:space="preserve">I have been successfully used for digesting high molecular weight gDNA.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Design two different Southern probes: a reporter-specific probe and genomic probe. The reporter-specific probe hybridizes to a sequence within the reporter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tdTomato-specific probe). The genomic probe hybridizes to a genomic region close to (but not overlapping) one HA.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Choose the genomic probe so that the fragment generated by gDNA digestion that will be detected by genomic probe binding differs in length (more than 2 kb) from the targeted and non-targeted alleles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 probe length of 400 to 1000 bp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 Design PCR primers to amplify the two required probes. Amplify the reporter-specific probe from tv template using a high-fidelity DNA polymerase (see </w:t>
      </w:r>
      <w:r>
        <w:rPr>
          <w:rFonts w:ascii="Calibri" w:hAnsi="Calibri" w:cs="Calibri" w:eastAsia="Calibri"/>
          <w:b/>
          <w:color w:val="auto"/>
          <w:spacing w:val="0"/>
          <w:position w:val="0"/>
          <w:sz w:val="24"/>
          <w:shd w:fill="auto" w:val="clear"/>
        </w:rPr>
        <w:t xml:space="preserve">Tables 3</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4 </w:t>
      </w:r>
      <w:r>
        <w:rPr>
          <w:rFonts w:ascii="Calibri" w:hAnsi="Calibri" w:cs="Calibri" w:eastAsia="Calibri"/>
          <w:color w:val="auto"/>
          <w:spacing w:val="0"/>
          <w:position w:val="0"/>
          <w:sz w:val="24"/>
          <w:shd w:fill="auto" w:val="clear"/>
        </w:rPr>
        <w:t xml:space="preserve">for PCR ingredients and cycling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3.4.1.5. Amplify the genomic probe from wild-type Jurkat gDNA prepared with a commercial gDNA extraction kit using a DNA polymerase with proofreading activity (see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2 </w:t>
      </w:r>
      <w:r>
        <w:rPr>
          <w:rFonts w:ascii="Calibri" w:hAnsi="Calibri" w:cs="Calibri" w:eastAsia="Calibri"/>
          <w:color w:val="auto"/>
          <w:spacing w:val="0"/>
          <w:position w:val="0"/>
          <w:sz w:val="24"/>
          <w:shd w:fill="auto" w:val="clear"/>
        </w:rPr>
        <w:t xml:space="preserve">for PCR ingredients and cycling conditions). Purify the PCR products on an agarose/TAE gel and extract the fragments using a commercial gel extraction kit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Extract high molecular weight gDNA from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of the wild-type Jurkat cells and selected clones from step 3.2.14.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 Pellet the cells by centrifugation at 300 x g for 5 min at RT, wash it once with PBS, and suspend the pellet in 4 mL of lysis buffer [200 mM NaCL, 100 mM Tris-HCl pH 8, 5 mM EDTA, 0.1% SDS; then add 250-1000 µg/mL proteinase K (lyophilized powder, weigh in freshly)]. Incubate o/n at 55 °C, shaking at 350 rpm in a tabletop thermomixer.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3.4.2.2. Add 4 mL of isopropanol and mix by inversion 10 to 20 times. The gDNA should become visible as white precipitate. Spool the precipitated gDNA onto the fine tip of a glass pipette, wash by emerging in 750 µL of 70% EtOH, and let dry at RT (5 to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3.4.2.3. Shed the precipitate into a 1.5 mL reaction tube containing 500 µL of 1x TE buffer (10 mM Tris-HCl pH 8.0, 1 mM EDTA) and leave to dissolve o/n at 4 °C, shaking at 350 rpm. Any pipetting of gDNA from this stage should be done with wide-bore tips to avoid shearing.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Preparation of high molecular weight gDNA is essential for Southern blot analysis, and commercially available gDNA preparation kits are not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Digest (two times) 15 µg of gDNA of the selected clones and wild-type Jurkat cells with selected restriction enzyme (see step 3.4.1.1) in a 60 µL reaction with 6 µL of enzyme (20 Units/µL): first, add DNA, digestion buffer, and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incubate o/n at 37 °C, then add enzyme and incubate o/n at enzyme-specific digestion temperature. 15 ug of digested gDNA is required per Southern probe.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7 µL of the 60 µL restriction digest for analytical gel electrophoresis on a 1% agarose/TAE gel. A smear indicates complete digestion and good DNA quality for Southern blot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Precipitate the remaining restriction digest by adding 1:10 3 M sodium acetate and 2 volumes 100% EtOH, then incubate for 1 h at -80 °C and centrifuge for 30 min at 15600 x g at 4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and wash the pellet with 70% EtOH. Centrifuge for 15 min at 15600 x g at 4 °C, discard the supernatant, let the pellet dry briefly at RT, and dissolve in 20 µL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1% agarose/TAE blotting gel, loading 20 uL of digested gDNA per lane. Run the gel for 2 h at 60 V, 400 mA.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percentage of agarose gel and running time/voltage may be adjusted according to expected fragment size for Southern blot detection calculated in step 3.4.1.1. The following steps of Southern blot analysis are described in detail in a supplementary protocol (steps 1 to 18). These steps comprise of: washing of the blotting gel, blotting onto a nylon membrane, radioactive probe generation, probe hybridization, and development of autoradiograph film. Compare the obtained banding pattern after autoradiograph development in step 1 (supplementary protocol) with the expected pattern according to Southern strategy (for example results, see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 of off-target events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Since CRISPR-Cas9-mediated genome engineering can generate off-target effects, PCR-amplify the ten highest-ranked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-predicted off-target sites in selected clones and subject them to Sanger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CCTop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http://crispr.cos.uni-heidelberg.de</w:t>
        </w:r>
      </w:hyperlink>
      <w:r>
        <w:rPr>
          <w:rFonts w:ascii="Calibri" w:hAnsi="Calibri" w:cs="Calibri" w:eastAsia="Calibri"/>
          <w:color w:val="auto"/>
          <w:spacing w:val="0"/>
          <w:position w:val="0"/>
          <w:sz w:val="24"/>
          <w:shd w:fill="auto" w:val="clear"/>
        </w:rPr>
        <w:t xml:space="preserve">) to generate a list of the ten highest-ranked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predicted off-target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3.5.1.1. Input the gRNA sequence including PAM as used for targeting as the query sequence. Select “NGG” as PAM and “Human genome” as the reference for off-target prediction.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3.5.1.2. Set maximal total mismatches to “4” and target site length to the length of the gRNA without PAM. The output file will provide a ranked list of genomic off-target sites for respective gRNA.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extract the genomic sequence 500 bp upstream and downstream of each of the ten highest-ranked off-target hits using UCSC Genome Browser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http://genome.edu.ucsc.edu</w:t>
        </w:r>
      </w:hyperlink>
      <w:r>
        <w:rPr>
          <w:rFonts w:ascii="Calibri" w:hAnsi="Calibri" w:cs="Calibri" w:eastAsia="Calibri"/>
          <w:color w:val="auto"/>
          <w:spacing w:val="0"/>
          <w:position w:val="0"/>
          <w:sz w:val="24"/>
          <w:shd w:fill="auto" w:val="clear"/>
        </w:rPr>
        <w:t xml:space="preserve">) and the position of the off-target hit from CCTop results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For each off the target sites to be analysed, design a PCR primer pair that amplifies a fragment of 600 to 700 bp in length including the predicted off-target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Extract gDNA from the selected clones and Jurkat wild-type cells using a commercial gDNA extraction kit. For every off-target site, perform a PCR using a DNA polymerase with proofreading activity (see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2 </w:t>
      </w:r>
      <w:r>
        <w:rPr>
          <w:rFonts w:ascii="Calibri" w:hAnsi="Calibri" w:cs="Calibri" w:eastAsia="Calibri"/>
          <w:color w:val="auto"/>
          <w:spacing w:val="0"/>
          <w:position w:val="0"/>
          <w:sz w:val="24"/>
          <w:shd w:fill="auto" w:val="clear"/>
        </w:rPr>
        <w:t xml:space="preserve">for PCR ingredients and cycling conditions) on wild-type and the respective clone-derived gDNA.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Analyze 5 µL of PCR products on a 1.5% agarose/TAE gel. If correct band sizes are observed, purify the remaining PCR product using a commercial PCR purification kit and subject it to Sanger sequencing. Compare sequences of the off-target sites in Jurkat cells and the targeted clones.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representative experiment we have chosen to target a minimal HIV-1-derived reporter consisting of a LTR, tdTomato-coding sequence, and polyA-signal sequence to two loci in intron 5 of the BACH2 gene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loci for targeting were chosen according to proximity to published recurrent integration sites found in different studies on primary T cells from HIV-infected patients</w:t>
      </w:r>
      <w:r>
        <w:rPr>
          <w:rFonts w:ascii="Calibri" w:hAnsi="Calibri" w:cs="Calibri" w:eastAsia="Calibri"/>
          <w:color w:val="auto"/>
          <w:spacing w:val="0"/>
          <w:position w:val="0"/>
          <w:sz w:val="24"/>
          <w:shd w:fill="auto" w:val="clear"/>
          <w:vertAlign w:val="superscript"/>
        </w:rPr>
        <w:t xml:space="preserve">2,4,5,6,7,8</w:t>
      </w:r>
      <w:r>
        <w:rPr>
          <w:rFonts w:ascii="Calibri" w:hAnsi="Calibri" w:cs="Calibri" w:eastAsia="Calibri"/>
          <w:color w:val="auto"/>
          <w:spacing w:val="0"/>
          <w:position w:val="0"/>
          <w:sz w:val="24"/>
          <w:shd w:fill="auto" w:val="clear"/>
        </w:rPr>
        <w:t xml:space="preserve"> and the presence of a PAM motif NGG necessary for Cas9-mediated induction of double-strand breaks. Target vectors were constructed and transfected according to the described protocol. The workflow for transfection, checking for targeting events, generation of single-cell clones, and screening and selection of clones is schematically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weeks after FACS-enrichment of transfected cells, we were able to detect reporter gene expression after PMA-Iono induction by flow cytometry in 4 to 12% of cells, depending on integration site (data not shown) and PCR products on genomic DNA spanning the whole 5’ and 3’ integration junction from upstream of 5’ HA into reporter sequence and downstream of 3’ HA into reporter sequence,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Having confirmed that targeting events occurred, we went on to generate single-cell clones by limiting dilution plating. In our hands, plating 5 to 10 96-well plates per targeting construct was sufficient to obtain enough clones for a successful screen. In the protocol (section 3.2), it is described how to perform a screening of single-cell clones in duplicated 96-wells. In this regard, only positive clones must be expanded, which saves both time and effort.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example data of FACS-screening after PMA-Iono induction and PCR screening are shown. We observed a number of clones with high, low, and no fluorescent reporter gene expression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PCR-screening, it is important to include a control PCR which amplifies a genomic locus of choice to determine whether the quality of cell lysates is adequate for PCR. In our case, we have chosen a 630 bp sequence in the NUP188 gene locus for control PCR (for primer sequences, see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Primers for screening PCR were then designed to amplify a shorter sequence located in the reporter. Additionally, PCR for a sequence on the target vector backbone was performed to exclude any clones which had unspecifically integrated target vector backbone sequences (backbone PCR,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Pre-selected clones were then expanded and further analyzed for correct targeting by Southern blot and PCR and sequencing. Southern blot was performed using a reporter-specific probe and a probe specific for the genomic locus binding outside the reporter but not within the homology arms of the targeting vector. Interestingly, all the clones that were tested by Southern blot were positive in screening PCR beforehand, but only a portion showed correct band sizes in Southern blot analysis and had heterozygously integrated the reporter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is therefore necessary to not only rely on screening PCR results but also verify correct targeting by Southern blotting. To verify correct targeting at the DNA sequence level, integration junctions were amplified by PCR and products were subjected to Sanger sequencing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Notably, sequencing of the target site homologous allele, where the reporter had not integrated, revealed Cas9-mediated changes.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examples for a Cas9-mediated deletion is shown. To test for Cas9-mediated off-target effects, a list of the highest-ranked off-target sites was generated as described in section 3.5. Ten highest-ranked off-target sites were PCR-amplified from genomic DNA of the clones, and the products subjected to Sanger sequencing. In the targeted single-cell clones we generated, no variations from Jurkat wild-type sequences were observed at the ten highest-ranked off-target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CRISPR-Cas9-mediated targeting, generation, and selection of clonal reporter lines with defined integration site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Generate the target vector and transduce Jurkat T cells with the target vector and Cas9/gRNA expression plasmid.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Enrich the transfected cells 72 h post transfection by FACS.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Let the cells grow for 10 to 14 days and confirm the occurrence of targeting events by PCR and flow cytometry.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Generate single-cell clones by limiting dilution and let clones grow for 3 weeks.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Screen the clones for correct targeting by PCR and flow cytometry in 96-well format. Expand selected clones.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Verify correct targeting in selected clones by Southern blot, PCR and sequencing, and analysis of off-target events of Cas9 endonuclease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Targeting strategy and vector design.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gRNA and choice of homology arms. 20 nt gRNA is homologous to the chosen genomic target site and situated adjacent to a PAM. Homology arms are complementary to 1000 bp up- and downstream of the gRNA and should not include the gRNA sequence.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Schematics of targeting vector and gRNA/Cas9 vector. The targeting vector consists of the chosen reporter sequence that is 5’ and 3’ flanked by the homology arms. The gRNA/Cas9 vector is based on the pX330-U6-Chimeric_BB-cBh-hSpCas9 backbone.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of targeting by homologous recombination. Target vector and guideRNA/Cas9 vector are transfected into Jurkat cells. Cas9 mediates a double strand break at genomic target site (indicated by *) and facilitates homologous recombination and integration of reporter sequence into the genomic target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Screening of single-cell clones for targeting events.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primer design for detection of targeting events by PCR in mixed targeted cell population. Primer pairs for detection of 5’ integration junction (P1, P2) and 3’ integration junction (P3, P4) are indicated as arrows. Primer P1 and P4 also serve to amplify targeted locus of the allele without reporter integrant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Genomic DNA of mixed targeted cell population was prepared 10 days after FACS enrichment of transfected cells and analyzed for 5’ integration junction (P1, P2), 3’ integration junction (P3, P4; data not shown) and wild-type allele of the targeted locus (P1, P4). Wild-type Jurkat cells (wt) served as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First screen of single-cell clones in 96-well plates. 96-well plates with single-cell clones were screened for correct targeting by flow cytometry after PMA-Iono induction and PCR analysis. Results for example clones are shown. PCR was performed on cell lysates with reporter-specific primers (screening PCR; P5, P6) and primers amplifying a genomic locus (control PCR, here: NUP188 locus; P7, P8). Cell lysates of wild-type Jurkat cells (wt) and genomic DNA from HIVisB2 clone (B2)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prepared with commercially available kit served as a negative control for screening PCR and positive control for control PCR,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selected single-cell clones for correct reporter integration.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 analysis of integration junctions and targeted locus on the allele without reporter integrant. Primer pairs for detection of 5’ integration junction (P1, P2), 3’ integration junction (P3, P4) and targeted locus of allele without reporter integrant (P1, P4) were used. PCR products were amplified from genomic DNA of single-cell clones and subjected to Sanger sequencing. Sequencing results were aligned to expected sequences. Shown are example data of one clone. Sequence chromatograms from genome/HA junction and HA/reporter junction are shown for both 5’ and 3’ integration junction. Matches are indicated as dots. Binding site of gRNA is marked with a box. Cas9-induced mutations are highlighted in red. Schematic of primer design is shown below. Arrows indicate primer positions used for amplification.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Southern blot analysis of selected targeted single-cell clones and Jurkat wild-type cells. Southern blot analysis was carried out on genomic DNA with a reporter-specific probe and a probe recognizing a genomic sequence in both targeted and wild-type allele (genomic probe). Data of 7 example clones is shown. Clones with correct band sizes are marked with boxes. Diluted target vector plasmid served as positive control (+). Schematic for Southern blot analysis is shown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 for PCR using a polymerase with proofreading activity. </w:t>
      </w:r>
      <w:r>
        <w:rPr>
          <w:rFonts w:ascii="Calibri" w:hAnsi="Calibri" w:cs="Calibri" w:eastAsia="Calibri"/>
          <w:color w:val="auto"/>
          <w:spacing w:val="0"/>
          <w:position w:val="0"/>
          <w:sz w:val="24"/>
          <w:shd w:fill="auto" w:val="clear"/>
        </w:rPr>
        <w:t xml:space="preserve">The amount of each reagent to be added per PCR reaction is indicated. PCR is intended for amplification using genomic DNA as template. The recipe is used in step 1.2.2.2 (amplification of homology arms), step 3.3.3 (verification of integration sites), step 3.4.1.5 (generation of genomic probe for Southern blot), and step 3.5.4 (analysis of off-target events).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Cycling conditions for PCR using a polymerase with proofreading activity. </w:t>
      </w:r>
      <w:r>
        <w:rPr>
          <w:rFonts w:ascii="Calibri" w:hAnsi="Calibri" w:cs="Calibri" w:eastAsia="Calibri"/>
          <w:color w:val="auto"/>
          <w:spacing w:val="0"/>
          <w:position w:val="0"/>
          <w:sz w:val="24"/>
          <w:shd w:fill="auto" w:val="clear"/>
        </w:rPr>
        <w:t xml:space="preserve">Cycling conditions correspond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recipe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Recipe for PCR using a high-fidelity polymerase. </w:t>
      </w:r>
      <w:r>
        <w:rPr>
          <w:rFonts w:ascii="Calibri" w:hAnsi="Calibri" w:cs="Calibri" w:eastAsia="Calibri"/>
          <w:color w:val="auto"/>
          <w:spacing w:val="0"/>
          <w:position w:val="0"/>
          <w:sz w:val="24"/>
          <w:shd w:fill="auto" w:val="clear"/>
        </w:rPr>
        <w:t xml:space="preserve">The amount of each reagent to be added per PCR reaction is indicated. PCR is intended for robust amplification of DNA templates. The recipe is used in step 2.4.2 (detection of targeting events) and step 3.4.1.4 (generation of reporter-specific probe for Southern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Cycling conditions for PCR using a high-fidelity polymerase. </w:t>
      </w:r>
      <w:r>
        <w:rPr>
          <w:rFonts w:ascii="Calibri" w:hAnsi="Calibri" w:cs="Calibri" w:eastAsia="Calibri"/>
          <w:color w:val="auto"/>
          <w:spacing w:val="0"/>
          <w:position w:val="0"/>
          <w:sz w:val="24"/>
          <w:shd w:fill="auto" w:val="clear"/>
        </w:rPr>
        <w:t xml:space="preserve">Cycling conditions correspond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recipe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Oligonucleotide sequences for control PCR</w:t>
      </w:r>
      <w:r>
        <w:rPr>
          <w:rFonts w:ascii="Calibri" w:hAnsi="Calibri" w:cs="Calibri" w:eastAsia="Calibri"/>
          <w:color w:val="auto"/>
          <w:spacing w:val="0"/>
          <w:position w:val="0"/>
          <w:sz w:val="24"/>
          <w:shd w:fill="auto" w:val="clear"/>
        </w:rPr>
        <w:t xml:space="preserve">. Forward and reverse primers for the amplification of a 630 bp fragment of NUP188 locus are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Recipe for screening-PCR. </w:t>
      </w:r>
      <w:r>
        <w:rPr>
          <w:rFonts w:ascii="Calibri" w:hAnsi="Calibri" w:cs="Calibri" w:eastAsia="Calibri"/>
          <w:color w:val="auto"/>
          <w:spacing w:val="0"/>
          <w:position w:val="0"/>
          <w:sz w:val="24"/>
          <w:shd w:fill="auto" w:val="clear"/>
        </w:rPr>
        <w:t xml:space="preserve">The amount of each reagent to be added per PCR reaction is indicated. PCR recipe is intended for screening PCR in step 3.2.11.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Cycling conditions for screening-PCR. </w:t>
      </w:r>
      <w:r>
        <w:rPr>
          <w:rFonts w:ascii="Calibri" w:hAnsi="Calibri" w:cs="Calibri" w:eastAsia="Calibri"/>
          <w:color w:val="auto"/>
          <w:spacing w:val="0"/>
          <w:position w:val="0"/>
          <w:sz w:val="24"/>
          <w:shd w:fill="auto" w:val="clear"/>
        </w:rPr>
        <w:t xml:space="preserve">Cycling conditions correspond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recipe listed in </w:t>
      </w:r>
      <w:r>
        <w:rPr>
          <w:rFonts w:ascii="Calibri" w:hAnsi="Calibri" w:cs="Calibri" w:eastAsia="Calibri"/>
          <w:b/>
          <w:color w:val="auto"/>
          <w:spacing w:val="0"/>
          <w:position w:val="0"/>
          <w:sz w:val="24"/>
          <w:shd w:fill="auto" w:val="clear"/>
        </w:rPr>
        <w:t xml:space="preserve">Table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to generate HIV-1-derived Jurkat reporter models with chosen proviral integration sites applying CRISPR-Cas9-based genome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points of the protocol require careful attention during the planning stage. First, the locus to be targeted should be chosen carefully, as some loci might be easier to target than others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depending on the chromatin status of the region and the target sequence itself). Repetitive sequences are hard to clone into the targeting vector and are often not unique within the genome. Regions of repressive chromatin are harder to target with the CRISPR-Cas9 system</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choice of gRNA is crucial for CRISPR-Cas9-mediated targeting. For the purpose of generating models for HIV infection with representative integration sites, one would want the gRNA to bind as close as possible to an integration hotspot. However, this site might not be ideal for Cas9 recruitment; therefore, a compromise must be made between proximity of the gRNA sequence to the integration site of choice and gRNA quality. We have found the E-CRISP webtool reliable in predicting functional gRNAs. It is also possible to carry out a gRNA pre-test by transiently expressing several gRNAs together with Cas9 in the cell type to be targeted, followed by a screening for mutations. A suitable gRNA will direct Cas9 efficiently to the target site and the gRNA complementary site will show mutations. The length of HAs (1000 bp upstream and downstream of the integration site) was chosen according to previously published studies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Generally, reducing the length of homology arms will result in reduced targeting frequency. A length of 1000 bp of homology arm presents a good compromise between sufficient targeting frequency and ease of target vector construction.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enough time must be spent on a good design of the reporter construct. The minimal reporter used in this protocol, which contains an HIV-1 NL4-3 derived LTR and a tdTomato coding sequence, was designed based on the following principle: single LTRs have been described as solely remaining proviral fragments in several cases of clonal expansion in chronically HIV-1-infected individuals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expected that the LTR is strongly influences the chromatin status at integration sites and organizes the recruitment of cellular complexes. We have chosen a minimal HIV reporter focusing on the HIV LTR as main regulatory genetic element, then introduced tdTomato as a fluorescent LTR activity marker instead of further HIV-1 genes, as genome engineering frequency was reported to be higher with smaller targeting inserts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Considering the time-consuming steps of tv cloning, clonal selection, screening, and verification of the clones, it is advised to carefully consider the design of the HIV reporter in the context of functional studies that will eventually be carried out on targeted cell lines. One might, for example, consider the inclusion of gag leader sequence, 3' HIV LTR, and/or other viral gene sequences in the reporter. The protocol can be readily adapted to such different reporter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it is important to consider the choice of cell type to be targeted as single-cell clone generation can be difficult with certain cell lines. We found that Jurkat cells are not very efficient in single clone generation; however, we decided to choose this cell type for its previously known use in latent HIV infection 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obtained the best results in Jurkat clonal dilution plating with 50% conditioned medium, when plates were left undisturbed in an incubator that was opened no more than 3 times a week. If using a different cell line is desired, it is advised to pre-test the possibility of generating single-cell clones by carrying out a dilution plating experiment. Another point to keep in mind is the variation of transfection rates of different cell lines. If transfection is not feasible for the chosen cell line, electroporating the cells for targeting may be necessary. Note that the choice of cell line used for targeting may not be determined by technical aspects only, such as efficiency for transfection or single clone generation. Functional aspects may also be considered, such as transcriptional activity or inducibility of the targeted gene locus. This might require screening of different cell lines prior to the targeting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emphasized that the described protocol is time-intensive. It should be expected to take 3 to 6 months from the first step to final clonal cell lines. The Southern blot analysis, which is used to check for site-specific single integration events, may seem cumbersome, but in our experience it is highly important - as only a subset of single-cell clones that showed the expected integration junctions per PCR showed a correct patterning in the Southern blot. Ideally, experimenters should generate a number of clones with the same insert targeted to the same integration site to control for clonal effects in any subsequent experiments that make use of the clones. It is possible to do heterozygous as well as homozygous targeting. In heterozygous reporter cell lines, the allele without an integrant is likely to show modifications at the Cas9 targeting site, which can be screened by PCR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homozygous targeting, we suggest that both alleles be targeted consecutively.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into account these considerations, this workflow provides a means to generate powerful cellular models that can be used to increase the understanding of chronic HIV infection. For example, proviral activity in response to latency-reversing agents can be tested in the context of recurrent integration sites. This may be of particular interest to researchers in the field, since position effects have been postulated to impact HIV latency and reversal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Britta Weseloh and Bettina Abel for technical assistance. We also thank Arne Düsedau and Jana Hennesen (flow cytometry technology platform, Heinrich Pette Institut) for technical support.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Hughes, S. H., Coffin, J. M. What Integration Sites Tell Us about HIV Persistence.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Marini, B., Kertesz-Farkas,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Nuclear architecture dictates HIV-1 integration site selection.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(7551),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Cesana, D., Santoni de Sio, F.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HIV-1-mediated insertional activation of STAT5B and BACH2 trigger viral reservoir in T regulatory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Cohn, L. B., Silva, 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HIV-1 Integration Landscape during Latent and Active Infection.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(3),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Han, Y., Lassen,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Resting CD4+ T cells from human immunodeficiency virus type 1 (HIV-1)-infected individuals carry integrated HIV-1 genomes within actively transcribed host genes.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(12), 6122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Ikeda, T., Shibata, J., Yoshimura, K., Koito, A., Matsushita, S. Recurrent HIV-1 integration at the BACH2 locus in resting CD4+ T cell populations during effective highly active antiretroviral therapy.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(5),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Wagner, T. A., Mclaughlin,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Proliferation of cells with HIV integrated into cancer genes contributes to persistent infection.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(6196),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Maldarelli, F., Wu,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Specific HIV integration sites are linked to clonal expansion and persistence of infected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(6193),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Jordan, A., Bisgrove, D., Verdin, E. HIV reproducibly establishes a latent infection after acute infection of T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1868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Mack, K. D., Jin,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HIV insertions within and proximal to host cell genes are a common finding in tissues containing high levels of HIV DNA and macrophage-associated p24 antigen expression. </w:t>
      </w:r>
      <w:r>
        <w:rPr>
          <w:rFonts w:ascii="Calibri" w:hAnsi="Calibri" w:cs="Calibri" w:eastAsia="Calibri"/>
          <w:i/>
          <w:color w:val="auto"/>
          <w:spacing w:val="0"/>
          <w:position w:val="0"/>
          <w:sz w:val="24"/>
          <w:shd w:fill="auto" w:val="clear"/>
        </w:rPr>
        <w:t xml:space="preserve">Journal of Acquired Immune Deficiency Syndromes.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Byrne, S. M., Ortiz, L., Mali, P., Aach, J., Church, G. M. Multi-kilobase homozygous targeted gene replacement in human induced pluripotent stem cells.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ZhangLab CRISPR Genome Engineering Toolbox: Target Sequence Cloning Protocol. </w:t>
      </w:r>
      <w:r>
        <w:rPr>
          <w:rFonts w:ascii="Calibri" w:hAnsi="Calibri" w:cs="Calibri" w:eastAsia="Calibri"/>
          <w:i/>
          <w:color w:val="auto"/>
          <w:spacing w:val="0"/>
          <w:position w:val="0"/>
          <w:sz w:val="24"/>
          <w:shd w:fill="auto" w:val="clear"/>
        </w:rPr>
        <w:t xml:space="preserve">Addgene website</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https://www.addgene.org/static/cms/filer_public/e6/5a/e65a9ef8-c8ac-4f88-98da-3b7d7960394c/zhang-lab-general-cloning-protocol.pdf</w:t>
        </w:r>
      </w:hyperlink>
      <w:r>
        <w:rPr>
          <w:rFonts w:ascii="Calibri" w:hAnsi="Calibri" w:cs="Calibri" w:eastAsia="Calibri"/>
          <w:color w:val="auto"/>
          <w:spacing w:val="0"/>
          <w:position w:val="0"/>
          <w:sz w:val="24"/>
          <w:shd w:fill="auto" w:val="clear"/>
        </w:rPr>
        <w:t xml:space="preserve">&gt;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Addgene, Moser, F. Gibson Assembly Protocol. </w:t>
      </w:r>
      <w:r>
        <w:rPr>
          <w:rFonts w:ascii="Calibri" w:hAnsi="Calibri" w:cs="Calibri" w:eastAsia="Calibri"/>
          <w:i/>
          <w:color w:val="auto"/>
          <w:spacing w:val="0"/>
          <w:position w:val="0"/>
          <w:sz w:val="24"/>
          <w:shd w:fill="auto" w:val="clear"/>
        </w:rPr>
        <w:t xml:space="preserve">Addgene website</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https://www.addgene.org/protocols/gibson-assembly/</w:t>
        </w:r>
      </w:hyperlink>
      <w:r>
        <w:rPr>
          <w:rFonts w:ascii="Calibri" w:hAnsi="Calibri" w:cs="Calibri" w:eastAsia="Calibri"/>
          <w:color w:val="auto"/>
          <w:spacing w:val="0"/>
          <w:position w:val="0"/>
          <w:sz w:val="24"/>
          <w:shd w:fill="auto" w:val="clear"/>
        </w:rPr>
        <w:t xml:space="preserve">&gt;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Addgene Plasmid Cloning by PCR. </w:t>
      </w:r>
      <w:r>
        <w:rPr>
          <w:rFonts w:ascii="Calibri" w:hAnsi="Calibri" w:cs="Calibri" w:eastAsia="Calibri"/>
          <w:i/>
          <w:color w:val="auto"/>
          <w:spacing w:val="0"/>
          <w:position w:val="0"/>
          <w:sz w:val="24"/>
          <w:shd w:fill="auto" w:val="clear"/>
        </w:rPr>
        <w:t xml:space="preserve">Addgene website</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https://www.addgene.org/protocols/pcr-cloning/</w:t>
        </w:r>
      </w:hyperlink>
      <w:r>
        <w:rPr>
          <w:rFonts w:ascii="Calibri" w:hAnsi="Calibri" w:cs="Calibri" w:eastAsia="Calibri"/>
          <w:color w:val="auto"/>
          <w:spacing w:val="0"/>
          <w:position w:val="0"/>
          <w:sz w:val="24"/>
          <w:shd w:fill="auto" w:val="clear"/>
        </w:rPr>
        <w:t xml:space="preserve">&gt;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Addgene Plasmid Cloning by Restriction Enzyme Digest (aka Subcloning). </w:t>
      </w:r>
      <w:r>
        <w:rPr>
          <w:rFonts w:ascii="Calibri" w:hAnsi="Calibri" w:cs="Calibri" w:eastAsia="Calibri"/>
          <w:i/>
          <w:color w:val="auto"/>
          <w:spacing w:val="0"/>
          <w:position w:val="0"/>
          <w:sz w:val="24"/>
          <w:shd w:fill="auto" w:val="clear"/>
        </w:rPr>
        <w:t xml:space="preserve">Addgene website</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https://www.addgene.org/protocols/subcloning/</w:t>
        </w:r>
      </w:hyperlink>
      <w:r>
        <w:rPr>
          <w:rFonts w:ascii="Calibri" w:hAnsi="Calibri" w:cs="Calibri" w:eastAsia="Calibri"/>
          <w:color w:val="auto"/>
          <w:spacing w:val="0"/>
          <w:position w:val="0"/>
          <w:sz w:val="24"/>
          <w:shd w:fill="auto" w:val="clear"/>
        </w:rPr>
        <w:t xml:space="preserve">&gt;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Stemmer, M., Thumberger, T., Del Sol Keyer, M., Wittbrodt, J., Mateo, J. L. CCTop: An intuitive, flexible and reliable CRISPR-Cas9 target prediction tool. </w:t>
      </w:r>
      <w:r>
        <w:rPr>
          <w:rFonts w:ascii="Calibri" w:hAnsi="Calibri" w:cs="Calibri" w:eastAsia="Calibri"/>
          <w:i/>
          <w:color w:val="auto"/>
          <w:spacing w:val="0"/>
          <w:position w:val="0"/>
          <w:sz w:val="24"/>
          <w:shd w:fill="auto" w:val="clear"/>
        </w:rPr>
        <w:t xml:space="preserve">Public Library of Science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Lange, U. C., Bialek, J. K., Walther, T., Hauber, J. Pinpointing recurrent proviral integration sites in new models for latent HIV-1 infection.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(March),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Bialek, J. K., Dunay,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Targeted HIV-1 Latency Reversal Using CRISPR-Cas9-Derived Transcriptional Activator Systems.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e0158294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Lee, C. M., Davis, T. H., Bao, G. Examination of CRISPR-Cas9 design tools and the effect of target site accessibility on Cas9 activity.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 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Jensen, K. T., Fløe,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Chromatin accessibility and guide sequence secondary structure affect CRISPR-Cas9 gene editing efficiency.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(13), 1892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Simonetti, F. R., Sobolewski,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Clonally expanded CD4 + T cells can produce infectious HIV-1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 1883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Chen, H. C., Martinez, J. P., Zorita, E., Meyerhans, A., Filion, G. J. Position effects influence HIV latency reversal.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num w:numId="2">
    <w:abstractNumId w:val="240"/>
  </w:num>
  <w:num w:numId="4">
    <w:abstractNumId w:val="234"/>
  </w:num>
  <w:num w:numId="6">
    <w:abstractNumId w:val="228"/>
  </w:num>
  <w:num w:numId="8">
    <w:abstractNumId w:val="222"/>
  </w:num>
  <w:num w:numId="10">
    <w:abstractNumId w:val="216"/>
  </w:num>
  <w:num w:numId="12">
    <w:abstractNumId w:val="210"/>
  </w:num>
  <w:num w:numId="14">
    <w:abstractNumId w:val="204"/>
  </w:num>
  <w:num w:numId="16">
    <w:abstractNumId w:val="198"/>
  </w:num>
  <w:num w:numId="18">
    <w:abstractNumId w:val="192"/>
  </w:num>
  <w:num w:numId="20">
    <w:abstractNumId w:val="186"/>
  </w:num>
  <w:num w:numId="22">
    <w:abstractNumId w:val="180"/>
  </w:num>
  <w:num w:numId="24">
    <w:abstractNumId w:val="174"/>
  </w:num>
  <w:num w:numId="26">
    <w:abstractNumId w:val="168"/>
  </w:num>
  <w:num w:numId="28">
    <w:abstractNumId w:val="162"/>
  </w:num>
  <w:num w:numId="30">
    <w:abstractNumId w:val="156"/>
  </w:num>
  <w:num w:numId="32">
    <w:abstractNumId w:val="150"/>
  </w:num>
  <w:num w:numId="34">
    <w:abstractNumId w:val="144"/>
  </w:num>
  <w:num w:numId="36">
    <w:abstractNumId w:val="138"/>
  </w:num>
  <w:num w:numId="38">
    <w:abstractNumId w:val="132"/>
  </w:num>
  <w:num w:numId="40">
    <w:abstractNumId w:val="126"/>
  </w:num>
  <w:num w:numId="42">
    <w:abstractNumId w:val="120"/>
  </w:num>
  <w:num w:numId="44">
    <w:abstractNumId w:val="114"/>
  </w:num>
  <w:num w:numId="46">
    <w:abstractNumId w:val="108"/>
  </w:num>
  <w:num w:numId="48">
    <w:abstractNumId w:val="102"/>
  </w:num>
  <w:num w:numId="50">
    <w:abstractNumId w:val="96"/>
  </w:num>
  <w:num w:numId="52">
    <w:abstractNumId w:val="90"/>
  </w:num>
  <w:num w:numId="54">
    <w:abstractNumId w:val="84"/>
  </w:num>
  <w:num w:numId="56">
    <w:abstractNumId w:val="78"/>
  </w:num>
  <w:num w:numId="58">
    <w:abstractNumId w:val="72"/>
  </w:num>
  <w:num w:numId="60">
    <w:abstractNumId w:val="66"/>
  </w:num>
  <w:num w:numId="62">
    <w:abstractNumId w:val="60"/>
  </w:num>
  <w:num w:numId="64">
    <w:abstractNumId w:val="54"/>
  </w:num>
  <w:num w:numId="66">
    <w:abstractNumId w:val="48"/>
  </w:num>
  <w:num w:numId="68">
    <w:abstractNumId w:val="42"/>
  </w:num>
  <w:num w:numId="70">
    <w:abstractNumId w:val="36"/>
  </w:num>
  <w:num w:numId="72">
    <w:abstractNumId w:val="30"/>
  </w:num>
  <w:num w:numId="74">
    <w:abstractNumId w:val="24"/>
  </w:num>
  <w:num w:numId="76">
    <w:abstractNumId w:val="18"/>
  </w:num>
  <w:num w:numId="78">
    <w:abstractNumId w:val="12"/>
  </w:num>
  <w:num w:numId="80">
    <w:abstractNumId w:val="6"/>
  </w:num>
  <w:num w:numId="8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genome.edu.ucsc.edu/" Id="docRId3" Type="http://schemas.openxmlformats.org/officeDocument/2006/relationships/hyperlink" /><Relationship TargetMode="External" Target="https://www.addgene.org/protocols/subcloning/" Id="docRId7" Type="http://schemas.openxmlformats.org/officeDocument/2006/relationships/hyperlink" /><Relationship TargetMode="External" Target="http://www.e-crisp.org/" Id="docRId0" Type="http://schemas.openxmlformats.org/officeDocument/2006/relationships/hyperlink" /><Relationship TargetMode="External" Target="http://crispr.cos.uni-heidelberg.de/" Id="docRId2" Type="http://schemas.openxmlformats.org/officeDocument/2006/relationships/hyperlink" /><Relationship TargetMode="External" Target="https://www.addgene.org/static/cms/filer_public/e6/5a/e65a9ef8-c8ac-4f88-98da-3b7d7960394c/zhang-lab-general-cloning-protocol.pdf" Id="docRId4" Type="http://schemas.openxmlformats.org/officeDocument/2006/relationships/hyperlink" /><Relationship TargetMode="External" Target="https://www.addgene.org/protocols/pcr-cloning/" Id="docRId6" Type="http://schemas.openxmlformats.org/officeDocument/2006/relationships/hyperlink" /><Relationship Target="numbering.xml" Id="docRId8" Type="http://schemas.openxmlformats.org/officeDocument/2006/relationships/numbering" /><Relationship TargetMode="External" Target="https://blast.ncbi.nlm.nih.gov/" Id="docRId1" Type="http://schemas.openxmlformats.org/officeDocument/2006/relationships/hyperlink" /><Relationship TargetMode="External" Target="https://www.addgene.org/protocols/gibson-assembly/" Id="docRId5" Type="http://schemas.openxmlformats.org/officeDocument/2006/relationships/hyperlink" /><Relationship Target="styles.xml" Id="docRId9" Type="http://schemas.openxmlformats.org/officeDocument/2006/relationships/styles" /></Relationships>
</file>