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Digital Analysis of Immunostaining of ZW10 Interacting Protein in Human Lung Tissues</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30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Yuan Wen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Xie Song-ping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Liu Pan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Liu Xiao-yan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Pan Shan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Yin Qian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Sun Meng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Huang Xiao-xing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Xiao Rui-jing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Xiong Jie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Zhang Qiu-ping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Shao Liang</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Hematology, Zhongnan Hospital of Wuhan University, Wuhan, People’s Republic of China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Thoracic Surgery, Renmin Hospital of Wuhan University, Wuhan, People’s Republic of China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Human Anatomy, Histology and Embryology, Institute of Basic Medical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Sciences, Chinese Academy of Medical Sciences, School of Basic Medicine, Peking Union Medical College, Beijing, People’s Republic of China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Immunology, School of Basic Medical Sciences, Wuhan University, Wuhan, People’s Republic of China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Gastroenterology, The Central Hospital of Wuhan, Wuhan, People’s Republic of China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Transfusion, Zhongnan Hospital of Wuhan University, Wuhan, People’s Republic of China</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Shao Liang</w:t>
        <w:tab/>
        <w:tab/>
        <w:t xml:space="preserve">(liangsmd@163.com)</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(+86)-027-67812751</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Yuan Wen</w:t>
        <w:tab/>
        <w:tab/>
        <w:t xml:space="preserve">(2015203010044@ whu.edu.cn)</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Xie Song-ping</w:t>
        <w:tab/>
        <w:tab/>
        <w:t xml:space="preserve">(songping0428@126.com)</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Liu Pan</w:t>
        <w:tab/>
        <w:tab/>
        <w:tab/>
        <w:t xml:space="preserve">(270815386@qq.com)</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Liu Xiao-yan</w:t>
        <w:tab/>
        <w:tab/>
        <w:t xml:space="preserve">(yuanshi.wuyu@aliyun.com)</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Pan Shan </w:t>
        <w:tab/>
        <w:tab/>
        <w:t xml:space="preserve">(panshan@whu.edu.cn)</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Yin Qian </w:t>
        <w:tab/>
        <w:tab/>
        <w:t xml:space="preserve">(yinqian@whu.edu.cn)</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Sun Meng </w:t>
        <w:tab/>
        <w:tab/>
        <w:t xml:space="preserve">(sky152234@126.com)</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Huang Xiao-xing</w:t>
        <w:tab/>
        <w:t xml:space="preserve">(huangxx@whu.edu.cn)</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Xiao Rui-jing</w:t>
        <w:tab/>
        <w:tab/>
        <w:t xml:space="preserve">(xrj7619@aliyun.com)</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Xiong Jie</w:t>
        <w:tab/>
        <w:tab/>
        <w:t xml:space="preserve">(jiexiong@whu.edu.cn)</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Zhang Qiu-ping</w:t>
        <w:tab/>
        <w:t xml:space="preserve">(qpzhang@whu.edu.cn)</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Shao Liang</w:t>
        <w:tab/>
        <w:tab/>
        <w:t xml:space="preserve">(liangsmd@163.com)</w:t>
        <w:br/>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Automatic digital technique, lung cancer, ZW10 interacting protein, immunostaining, digitized whole-slide imaging, H-score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ZW10 interacting protein (ZWINT) participates in the mitotic spindle checkpoint and the pathogenesis of carcinoma. Here, we introduce a methodology of the immunostaining of ZWINT in human lung cancer tissues, followed by the digital scanning of whole slides and image analysis. This methodology can provide high-quality digital images and reliable results.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study is to introduce a methodology of the immunostaining of human lung tissues, followed by whole-slide digital scanning and image analysis. Digital scanning is a fast way to scan a stack of slides and produce digital images with high quality. It can produce concordant results with conventional light microscopy (CLM) by pathologists. Furthermore, the availability of digital images makes it possible that the same slide can be concurrently observed by multiple people. Moreover, digital images of slides can be stored in a database, which means the long-term deterioration of glass slides is avoided. The limitations of this technique are as follows. First, it needs high-quality prepared tissue and the original immunohistochemistry (IHC) slides without any damage or excess sealant residue. Second, tumor or nontumor areas should be specified by experienced pathologists before the analysis using software, in order to avoid any confusion about the tumor or nontumor areas during scoring. Third, the operator needs to control the color reproduction throughout the digitization process in whole-slide imaging.</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ZW10 interacting protein (ZWINT) is a necessary component of the kinetochore complex which is involved in the mitotic spindle checkpoint</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It has been reported that the depletion of ZWINT leads to aberrant premature chromosome segregation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Recent studies have suggested that ZWINT is involved in the pathogenesis of multiple tumors by promoting the proliferation of tumor cells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We previously reported the overexpression of ZWINT in lung cancer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It has been widely accepted that the analysis of slides by pathologists using CLM is time-consuming and not quantitative</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 Moreover, the deterioration of stored glass slides might make it impossible to retract previously created slides. The emerging method of computer-based, digital whole-slide imaging (WSI) may overcome these limitations</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this end, we describe a methodology of the immunostaining of ZWINT in human lung cancer tissues, coupled with whole-slide digital scanning and software-based image analysis. The main advantage of this methodology is the production of concordant results with CLM. This technology can be widely used in the areas of pathological scoring of hematoxylin-eosin staining (H&amp;E) and IHC, fluorescence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(FISH), tissue microarrays (TMA), and drug discovery and development.</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All methods described here have been approved by the Ethical Committee of Zhongnan Hospital of Wuhan University and Renmin Hospital of Wuhan University.</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numPr>
          <w:ilvl w:val="0"/>
          <w:numId w:val="2"/>
        </w:numPr>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IHC Slides</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numPr>
          <w:ilvl w:val="0"/>
          <w:numId w:val="4"/>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Fix the lung tissue sample by</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immersing the human lung tissue fragment (about 3 x 3 cm) in 4% paraformaldehyde in phosphate-buffered saline (PBS) for 24 h at room temperature (RT).</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6"/>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Dehydrate the tissue in 80%, 95%, and 100% ethanol for 15 min, 20 min, and 20 min, respectively, at room temperature. Finally, immerse the tissue in 100% xylene 3x for 20 min each at room temperature. </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8"/>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embedding, immerse the tissue in paraffin (63 °C) for 30 min. Change the paraffin and immerse the tissue again for another 45 min. Finally, change the paraffin again and immerse the tissue in it for an additional 1 h. </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10"/>
        </w:numPr>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 rotary microtome to cut the tissue into 5 µm-thick sections and place them on 20 µg/mL poly-L-lysine-coated slides.</w:t>
      </w:r>
      <w:r>
        <w:rPr>
          <w:rFonts w:ascii="Calibri" w:hAnsi="Calibri" w:cs="Calibri" w:eastAsia="Calibri"/>
          <w:b/>
          <w:color w:val="auto"/>
          <w:spacing w:val="0"/>
          <w:position w:val="0"/>
          <w:sz w:val="24"/>
          <w:shd w:fill="FFFF00"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12"/>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dewaxing, place the slides in a 65 °C oven for 2 h and, then, immerse the sections in dimethylbenzene for 15 min, followed by soaking in 100% xylene for 15 min.</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14"/>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Hydrate the slides with the tissue sections 2x for 5 min in 100% ethanol, followed by a treatment with serially diluted ethanol of 5 min in 95% ethanol, 5 min in 80% ethanol, 5 min in 70% ethanol, and 5 min in 50% ethanol.</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16"/>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antigen repair.</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numPr>
          <w:ilvl w:val="0"/>
          <w:numId w:val="18"/>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Dilute citric acid repair liquid (20x) to 1x with double-distilled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20"/>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slides with the tissue sections and the 1x citric acid repair liquid (300 mL) in an antigen repair box and, then, heat them in the microwave oven at high power for 2 min, followed by heating at low power to sustain boiling for 6 min.</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22"/>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Allow the sections to cool down naturally to room temperature.</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24"/>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Replace the citric acid repair liquid with 0.01 M PBS, wash the sections 3x, each time for 5 min, in the rotary shaker at room temperature.</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26"/>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Eliminate the endogenous peroxidase.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numPr>
          <w:ilvl w:val="0"/>
          <w:numId w:val="28"/>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Dilute 30%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3% with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add it to the slides (make sure it covers all tissues), and incubate the slides in a wet box at room temperature for 30 min.</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wet box is a plastic box of 10 x 15 cm and can contain water.</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numPr>
          <w:ilvl w:val="0"/>
          <w:numId w:val="30"/>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the slides 3x, each time for 5 min, with 0.01 M PBS in the rotary shaker at room temperature.</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32"/>
        </w:num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Block the nonspecific antigen</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numPr>
          <w:ilvl w:val="0"/>
          <w:numId w:val="34"/>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Dilute the concentrated normal goat serum to 10% goat serum with PBS with 0.1% Tween 20 (PBST).</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36"/>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10% goat serum to the slides and incubate them in the wet box at 37 °C for 30 min.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goat serum should cover all tissues in the slides.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numPr>
          <w:ilvl w:val="0"/>
          <w:numId w:val="38"/>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Stain the tissues.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numPr>
          <w:ilvl w:val="0"/>
          <w:numId w:val="40"/>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the slides with rabbit anti-human anti-ZWINT antibody (1:50) at 4 °C overnight.</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42"/>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the slides 3x, each time for 5 min, with 0.01 M PBST (1 mL of 0.1% Tween 20 in 1,000 mL PBS) in the rotary shaker at room temperature. </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44"/>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the slides with secondary antibody (anti-rabbit detection system, 1:200) for 30 min at 37 °C.</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46"/>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the slides 3x, each time for 5 min, with 0.01 M PBST in the rotary shaker.</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48"/>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visualize the immunostaining, add the slides to 300 µL of fresh 3,3-diaminobenzidine and, then, wash the slides with tap water at room temperature.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degree of dyeing is monitored under a microscope (magnification 10X - 40X).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numPr>
          <w:ilvl w:val="0"/>
          <w:numId w:val="50"/>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Counterstain the tissue. Stain the slides with hematoxylin staining solution for 2 min at room temperature and, then, wash the slides with tap water for 15 min.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nucleus appears blue under the microscope (magnification 10X - 40X). If the degree of blue staining is more potent, hydrochloric alcohol differentiation for 3 - 5 s can be used, followed by rinsing the tissue back to blue with tap water for 15 min to facilitate the prominent staining of the tissue.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numPr>
          <w:ilvl w:val="0"/>
          <w:numId w:val="52"/>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Dehydrate the slides for 5 min in 50% ethanol, 5 min in 70% ethanol, 2x in 80% ethanol for 5 min, 5 min in 95% ethanol, and finally, 2x for 5 min each in 100% ethanol at room temperature.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numPr>
          <w:ilvl w:val="0"/>
          <w:numId w:val="54"/>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transparency, immerse the tissue sections in a tank containing 100% xylene for 15 min and transfer the sections to another tank containing 100% xylene for 15 min at room temperature.</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56"/>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sealing, take 50 - 100 </w:t>
      </w:r>
      <w:r>
        <w:rPr>
          <w:rFonts w:ascii="Calibri" w:hAnsi="Calibri" w:cs="Calibri" w:eastAsia="Calibri"/>
          <w:color w:val="auto"/>
          <w:spacing w:val="0"/>
          <w:position w:val="0"/>
          <w:sz w:val="24"/>
          <w:shd w:fill="FFFF00" w:val="clear"/>
        </w:rPr>
        <w:t xml:space="preserve">μL of neutral gum and add 5% xylene to the mixture (avoid mixing in bubbles). Add 15 μL of the above-mentioned mixture to the lung tissue sections. Seal the film with cover glass and gently press the bubbles out.</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numPr>
          <w:ilvl w:val="0"/>
          <w:numId w:val="58"/>
        </w:numPr>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Automatic Whole-slide Scanning of IHC Slides</w:t>
      </w: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p>
    <w:p>
      <w:pPr>
        <w:widowControl w:val="false"/>
        <w:numPr>
          <w:ilvl w:val="0"/>
          <w:numId w:val="60"/>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Allow the sealed slides to dry for 12 h at room temperature to desiccate them.</w:t>
      </w: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p>
    <w:p>
      <w:pPr>
        <w:widowControl w:val="false"/>
        <w:numPr>
          <w:ilvl w:val="0"/>
          <w:numId w:val="62"/>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the </w:t>
      </w:r>
      <w:r>
        <w:rPr>
          <w:rFonts w:ascii="Calibri" w:hAnsi="Calibri" w:cs="Calibri" w:eastAsia="Calibri"/>
          <w:b/>
          <w:color w:val="auto"/>
          <w:spacing w:val="0"/>
          <w:position w:val="0"/>
          <w:sz w:val="24"/>
          <w:shd w:fill="FFFF00" w:val="clear"/>
        </w:rPr>
        <w:t xml:space="preserve">Bright field manually </w:t>
      </w:r>
      <w:r>
        <w:rPr>
          <w:rFonts w:ascii="Calibri" w:hAnsi="Calibri" w:cs="Calibri" w:eastAsia="Calibri"/>
          <w:color w:val="auto"/>
          <w:spacing w:val="0"/>
          <w:position w:val="0"/>
          <w:sz w:val="24"/>
          <w:shd w:fill="FFFF00" w:val="clear"/>
        </w:rPr>
        <w:t xml:space="preserve">option and enter the manual scanning interface.</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64"/>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Revise the name of the slides and select a storage path for the images.</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66"/>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the scanning area and choose the option </w:t>
      </w:r>
      <w:r>
        <w:rPr>
          <w:rFonts w:ascii="Calibri" w:hAnsi="Calibri" w:cs="Calibri" w:eastAsia="Calibri"/>
          <w:b/>
          <w:color w:val="auto"/>
          <w:spacing w:val="0"/>
          <w:position w:val="0"/>
          <w:sz w:val="24"/>
          <w:shd w:fill="FFFF00" w:val="clear"/>
        </w:rPr>
        <w:t xml:space="preserve">Scan samples using user-set thresholds</w:t>
      </w:r>
      <w:r>
        <w:rPr>
          <w:rFonts w:ascii="Calibri" w:hAnsi="Calibri" w:cs="Calibri" w:eastAsia="Calibri"/>
          <w:color w:val="auto"/>
          <w:spacing w:val="0"/>
          <w:position w:val="0"/>
          <w:sz w:val="24"/>
          <w:shd w:fill="FFFF00" w:val="clear"/>
        </w:rPr>
        <w:t xml:space="preserve">. The threshold is about 50 with a scanning area expansion value of 200 </w:t>
      </w:r>
      <w:r>
        <w:rPr>
          <w:rFonts w:ascii="Calibri" w:hAnsi="Calibri" w:cs="Calibri" w:eastAsia="Calibri"/>
          <w:color w:val="auto"/>
          <w:spacing w:val="0"/>
          <w:position w:val="0"/>
          <w:sz w:val="24"/>
          <w:shd w:fill="FFFF00" w:val="clear"/>
        </w:rPr>
        <w:t xml:space="preserve">μm.</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68"/>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the scanning focus value, select the focus automatically</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it ranges from 1050 to 2650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and finally, select </w:t>
      </w:r>
      <w:r>
        <w:rPr>
          <w:rFonts w:ascii="Calibri" w:hAnsi="Calibri" w:cs="Calibri" w:eastAsia="Calibri"/>
          <w:b/>
          <w:color w:val="auto"/>
          <w:spacing w:val="0"/>
          <w:position w:val="0"/>
          <w:sz w:val="24"/>
          <w:shd w:fill="FFFF00" w:val="clear"/>
        </w:rPr>
        <w:t xml:space="preserve">Single-layer mode</w:t>
      </w:r>
      <w:r>
        <w:rPr>
          <w:rFonts w:ascii="Calibri" w:hAnsi="Calibri" w:cs="Calibri" w:eastAsia="Calibri"/>
          <w:color w:val="auto"/>
          <w:spacing w:val="0"/>
          <w:position w:val="0"/>
          <w:sz w:val="24"/>
          <w:shd w:fill="FFFF00"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70"/>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Load the IHC slides on the workstation and start the automatic scanning.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slides are not damaged. Keeping the slides clean and translucent and avoid dust, confetti, and excess sealant residue on the slides. The glass slide and coverslip should be devoid of marks. Do not clean the slides with xylene. The size of the slides is given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numPr>
          <w:ilvl w:val="0"/>
          <w:numId w:val="72"/>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Automatically scan the entire tissue section on a slide with 20X, 40X, or 100X magnification.</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74"/>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and store the images at the end of the whole-slide scanning.</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numPr>
          <w:ilvl w:val="0"/>
          <w:numId w:val="76"/>
        </w:numPr>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Analysis of the Slides by Imaging Software </w:t>
      </w: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p>
    <w:p>
      <w:pPr>
        <w:widowControl w:val="false"/>
        <w:numPr>
          <w:ilvl w:val="0"/>
          <w:numId w:val="78"/>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Start the histopathological image analysis software and select </w:t>
      </w:r>
      <w:r>
        <w:rPr>
          <w:rFonts w:ascii="Calibri" w:hAnsi="Calibri" w:cs="Calibri" w:eastAsia="Calibri"/>
          <w:b/>
          <w:color w:val="auto"/>
          <w:spacing w:val="0"/>
          <w:position w:val="0"/>
          <w:sz w:val="24"/>
          <w:shd w:fill="FFFF00" w:val="clear"/>
        </w:rPr>
        <w:t xml:space="preserve">Local computer</w:t>
      </w:r>
      <w:r>
        <w:rPr>
          <w:rFonts w:ascii="Calibri" w:hAnsi="Calibri" w:cs="Calibri" w:eastAsia="Calibri"/>
          <w:color w:val="auto"/>
          <w:spacing w:val="0"/>
          <w:position w:val="0"/>
          <w:sz w:val="24"/>
          <w:shd w:fill="FFFF00"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80"/>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file which stores the scanning data.</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82"/>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the appropriate zoom level from range 2X to 40X.</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84"/>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Adjust the color to set the optimal contrast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Toggle color adjust</w:t>
      </w:r>
      <w:r>
        <w:rPr>
          <w:rFonts w:ascii="Calibri" w:hAnsi="Calibri" w:cs="Calibri" w:eastAsia="Calibri"/>
          <w:color w:val="auto"/>
          <w:spacing w:val="0"/>
          <w:position w:val="0"/>
          <w:sz w:val="24"/>
          <w:shd w:fill="FFFF00"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86"/>
        </w:num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Manually circle and name the portions of interest on each image.</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instance, you can circle one area and name it as </w:t>
      </w:r>
      <w:r>
        <w:rPr>
          <w:rFonts w:ascii="Calibri" w:hAnsi="Calibri" w:cs="Calibri" w:eastAsia="Calibri"/>
          <w:b/>
          <w:color w:val="auto"/>
          <w:spacing w:val="0"/>
          <w:position w:val="0"/>
          <w:sz w:val="24"/>
          <w:shd w:fill="auto" w:val="clear"/>
        </w:rPr>
        <w:t xml:space="preserve">Tumor area</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numPr>
          <w:ilvl w:val="0"/>
          <w:numId w:val="88"/>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Plugins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QC</w:t>
      </w:r>
      <w:r>
        <w:rPr>
          <w:rFonts w:ascii="Calibri" w:hAnsi="Calibri" w:cs="Calibri" w:eastAsia="Calibri"/>
          <w:color w:val="auto"/>
          <w:spacing w:val="0"/>
          <w:position w:val="0"/>
          <w:sz w:val="24"/>
          <w:shd w:fill="FFFF00" w:val="clear"/>
        </w:rPr>
        <w:t xml:space="preserve">. At this time, </w:t>
      </w:r>
      <w:r>
        <w:rPr>
          <w:rFonts w:ascii="Calibri" w:hAnsi="Calibri" w:cs="Calibri" w:eastAsia="Calibri"/>
          <w:b/>
          <w:color w:val="auto"/>
          <w:spacing w:val="0"/>
          <w:position w:val="0"/>
          <w:sz w:val="24"/>
          <w:shd w:fill="FFFF00" w:val="clear"/>
        </w:rPr>
        <w:t xml:space="preserve">Scenario builder</w:t>
      </w:r>
      <w:r>
        <w:rPr>
          <w:rFonts w:ascii="Calibri" w:hAnsi="Calibri" w:cs="Calibri" w:eastAsia="Calibri"/>
          <w:color w:val="auto"/>
          <w:spacing w:val="0"/>
          <w:position w:val="0"/>
          <w:sz w:val="24"/>
          <w:shd w:fill="FFFF00" w:val="clear"/>
        </w:rPr>
        <w:t xml:space="preserve"> pops up.</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90"/>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Density quant</w:t>
      </w:r>
      <w:r>
        <w:rPr>
          <w:rFonts w:ascii="Calibri" w:hAnsi="Calibri" w:cs="Calibri" w:eastAsia="Calibri"/>
          <w:color w:val="auto"/>
          <w:spacing w:val="0"/>
          <w:position w:val="0"/>
          <w:sz w:val="24"/>
          <w:shd w:fill="FFFF00" w:val="clear"/>
        </w:rPr>
        <w:t xml:space="preserve"> and adjust the </w:t>
      </w:r>
      <w:r>
        <w:rPr>
          <w:rFonts w:ascii="Calibri" w:hAnsi="Calibri" w:cs="Calibri" w:eastAsia="Calibri"/>
          <w:b/>
          <w:color w:val="auto"/>
          <w:spacing w:val="0"/>
          <w:position w:val="0"/>
          <w:sz w:val="24"/>
          <w:shd w:fill="FFFF00" w:val="clear"/>
        </w:rPr>
        <w:t xml:space="preserve">Detection</w:t>
      </w:r>
      <w:r>
        <w:rPr>
          <w:rFonts w:ascii="Calibri" w:hAnsi="Calibri" w:cs="Calibri" w:eastAsia="Calibri"/>
          <w:color w:val="auto"/>
          <w:spacing w:val="0"/>
          <w:position w:val="0"/>
          <w:sz w:val="24"/>
          <w:shd w:fill="FFFF00" w:val="clear"/>
        </w:rPr>
        <w:t xml:space="preserve"> bar. </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process should be performed carefully. The bar of </w:t>
      </w:r>
      <w:r>
        <w:rPr>
          <w:rFonts w:ascii="Calibri" w:hAnsi="Calibri" w:cs="Calibri" w:eastAsia="Calibri"/>
          <w:b/>
          <w:color w:val="auto"/>
          <w:spacing w:val="0"/>
          <w:position w:val="0"/>
          <w:sz w:val="24"/>
          <w:shd w:fill="auto" w:val="clear"/>
        </w:rPr>
        <w:t xml:space="preserve">Blue tolerance</w:t>
      </w:r>
      <w:r>
        <w:rPr>
          <w:rFonts w:ascii="Calibri" w:hAnsi="Calibri" w:cs="Calibri" w:eastAsia="Calibri"/>
          <w:color w:val="auto"/>
          <w:spacing w:val="0"/>
          <w:position w:val="0"/>
          <w:sz w:val="24"/>
          <w:shd w:fill="auto" w:val="clear"/>
        </w:rPr>
        <w:t xml:space="preserve"> is used to adjust the color of the cellular nucleus. The bar of </w:t>
      </w:r>
      <w:r>
        <w:rPr>
          <w:rFonts w:ascii="Calibri" w:hAnsi="Calibri" w:cs="Calibri" w:eastAsia="Calibri"/>
          <w:b/>
          <w:color w:val="auto"/>
          <w:spacing w:val="0"/>
          <w:position w:val="0"/>
          <w:sz w:val="24"/>
          <w:shd w:fill="auto" w:val="clear"/>
        </w:rPr>
        <w:t xml:space="preserve">Brown tolerance</w:t>
      </w:r>
      <w:r>
        <w:rPr>
          <w:rFonts w:ascii="Calibri" w:hAnsi="Calibri" w:cs="Calibri" w:eastAsia="Calibri"/>
          <w:color w:val="auto"/>
          <w:spacing w:val="0"/>
          <w:position w:val="0"/>
          <w:sz w:val="24"/>
          <w:shd w:fill="auto" w:val="clear"/>
        </w:rPr>
        <w:t xml:space="preserve"> is used to adjust the saturation of the fill color in the image. The results of the images after adjustments should be consistent with the original counterparts.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numPr>
          <w:ilvl w:val="0"/>
          <w:numId w:val="92"/>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Adjust the </w:t>
      </w:r>
      <w:r>
        <w:rPr>
          <w:rFonts w:ascii="Calibri" w:hAnsi="Calibri" w:cs="Calibri" w:eastAsia="Calibri"/>
          <w:b/>
          <w:color w:val="auto"/>
          <w:spacing w:val="0"/>
          <w:position w:val="0"/>
          <w:sz w:val="24"/>
          <w:shd w:fill="FFFF00" w:val="clear"/>
        </w:rPr>
        <w:t xml:space="preserve">Score levels</w:t>
      </w:r>
      <w:r>
        <w:rPr>
          <w:rFonts w:ascii="Calibri" w:hAnsi="Calibri" w:cs="Calibri" w:eastAsia="Calibri"/>
          <w:color w:val="auto"/>
          <w:spacing w:val="0"/>
          <w:position w:val="0"/>
          <w:sz w:val="24"/>
          <w:shd w:fill="FFFF00" w:val="clear"/>
        </w:rPr>
        <w:t xml:space="preserve"> to make the staining intensity of the circled areas similar to that of the original images. </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Dark brown indicates strong positive, brownish yellow is moderately positive, light yellow is weakly positive, and white is negative.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numPr>
          <w:ilvl w:val="0"/>
          <w:numId w:val="94"/>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Store and name the model as a file. Apply the model to other slides and select </w:t>
      </w:r>
      <w:r>
        <w:rPr>
          <w:rFonts w:ascii="Calibri" w:hAnsi="Calibri" w:cs="Calibri" w:eastAsia="Calibri"/>
          <w:b/>
          <w:color w:val="auto"/>
          <w:spacing w:val="0"/>
          <w:position w:val="0"/>
          <w:sz w:val="24"/>
          <w:shd w:fill="FFFF00" w:val="clear"/>
        </w:rPr>
        <w:t xml:space="preserve">Selected annotation</w:t>
      </w:r>
      <w:r>
        <w:rPr>
          <w:rFonts w:ascii="Calibri" w:hAnsi="Calibri" w:cs="Calibri" w:eastAsia="Calibri"/>
          <w:color w:val="auto"/>
          <w:spacing w:val="0"/>
          <w:position w:val="0"/>
          <w:sz w:val="24"/>
          <w:shd w:fill="FFFF00"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numPr>
          <w:ilvl w:val="0"/>
          <w:numId w:val="96"/>
        </w:num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Let the software automatically calculate the H-score for the circled areas in the image.</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numPr>
          <w:ilvl w:val="0"/>
          <w:numId w:val="98"/>
        </w:num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Quantification of the Scores Using the H-scoring System</w:t>
      </w:r>
      <w:r>
        <w:rPr>
          <w:rFonts w:ascii="Calibri" w:hAnsi="Calibri" w:cs="Calibri" w:eastAsia="Calibri"/>
          <w:color w:val="auto"/>
          <w:spacing w:val="0"/>
          <w:position w:val="0"/>
          <w:sz w:val="24"/>
          <w:shd w:fill="auto" w:val="clear"/>
          <w:vertAlign w:val="superscript"/>
        </w:rPr>
        <w:t xml:space="preserve">9,10</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numPr>
          <w:ilvl w:val="0"/>
          <w:numId w:val="100"/>
        </w:num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percentage of immunostaining and the staining intensity (0: negative, 1+: weak, 2+: moderate, 3+: strong).</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numPr>
          <w:ilvl w:val="0"/>
          <w:numId w:val="102"/>
        </w:num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 scoring system (H-score) to calculate the pathological scoring of the tumor and adjacent nontumor areas.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H-score = (% of cells with weak intensity x 1) + (% of cells with moderate intensity x 2) + (% of cells with strong intensity x 3). Therefore, the maximum H-score is 300 if 100% of the cells are quantified with strong intensity.</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measured the expression levels of ZWINT in 28 pairs of non-small-cell lung cancer (NSCLC) specimens (tumor and adjacent nontumor tissues), including 14 squamous cell carcinomas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(SCCs) and 14 adenocarcinomas (ADCs), by IHC. The whole-slide digital scanning of the slides provided digital images of high quality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results showed that the H-score of the lung cancer was significantly higher than that of adjacent noncancer tissues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0.0001, two-tailed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b/>
          <w:color w:val="auto"/>
          <w:spacing w:val="0"/>
          <w:position w:val="0"/>
          <w:sz w:val="24"/>
          <w:shd w:fill="auto" w:val="clear"/>
        </w:rPr>
        <w:t xml:space="preserve">Figures 1A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1B</w:t>
      </w:r>
      <w:r>
        <w:rPr>
          <w:rFonts w:ascii="Calibri" w:hAnsi="Calibri" w:cs="Calibri" w:eastAsia="Calibri"/>
          <w:color w:val="auto"/>
          <w:spacing w:val="0"/>
          <w:position w:val="0"/>
          <w:sz w:val="24"/>
          <w:shd w:fill="auto" w:val="clear"/>
        </w:rPr>
        <w:t xml:space="preserve">). Additionally, we found that the expression level of ZWINT in SCCs was significantly higher than that in ADCs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Immunohistochemical staining for lung cancer tissues.</w:t>
      </w:r>
      <w:r>
        <w:rPr>
          <w:rFonts w:ascii="Calibri" w:hAnsi="Calibri" w:cs="Calibri" w:eastAsia="Calibri"/>
          <w:color w:val="auto"/>
          <w:spacing w:val="0"/>
          <w:position w:val="0"/>
          <w:sz w:val="24"/>
          <w:shd w:fill="auto" w:val="clear"/>
        </w:rPr>
        <w:t xml:space="preserve"> This figure has been modified from Yuan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with permission from Dove Press.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representative immunohistochemical images of lung cancer patients (magnifications: 10X and 40X).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H-score of lung cancer and adjacent noncancer tissues.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the H-score of ADCs and SCCs. The error bars indicate standard deviation.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0.001.</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koeroknerokneroktnt</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Slide sizes.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Whole-slide scanning is becoming a hot topic for its robust scanning and production of high-</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quality images for clinical and research purposes</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Images can be produced by slide-scanning microscopes within minutes</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By applying this methodology, we obtained high-quality images for ZWINT IHC slides and compared the H-score between tumor and nontumor tissues. In the protocol presented here, the most critical steps are the preparation of the high-quality IHC slides, the image acquisition, and the specification of the tumor and nontumor areas before the pathological scoring</w:t>
      </w:r>
      <w:r>
        <w:rPr>
          <w:rFonts w:ascii="Calibri" w:hAnsi="Calibri" w:cs="Calibri" w:eastAsia="Calibri"/>
          <w:color w:val="auto"/>
          <w:spacing w:val="0"/>
          <w:position w:val="0"/>
          <w:sz w:val="24"/>
          <w:shd w:fill="auto" w:val="clear"/>
          <w:vertAlign w:val="superscript"/>
        </w:rPr>
        <w:t xml:space="preserve">13,14,15,16</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method has some advantages compared to </w:t>
      </w:r>
      <w:r>
        <w:rPr>
          <w:rFonts w:ascii="Calibri" w:hAnsi="Calibri" w:cs="Calibri" w:eastAsia="Calibri"/>
          <w:color w:val="auto"/>
          <w:spacing w:val="0"/>
          <w:position w:val="0"/>
          <w:sz w:val="24"/>
          <w:shd w:fill="F6F6F6" w:val="clear"/>
        </w:rPr>
        <w:t xml:space="preserve">(CLM)</w:t>
      </w:r>
      <w:r>
        <w:rPr>
          <w:rFonts w:ascii="Calibri" w:hAnsi="Calibri" w:cs="Calibri" w:eastAsia="Calibri"/>
          <w:color w:val="auto"/>
          <w:spacing w:val="0"/>
          <w:position w:val="0"/>
          <w:sz w:val="24"/>
          <w:shd w:fill="auto" w:val="clear"/>
        </w:rPr>
        <w:t xml:space="preserve">. Digital scanning is fast enough (~ 20 slides/hour) to scan a stack of slides and produce high-quality digital images. It can produce concordant results with CLM but takes relatively less time. The availability of digital images makes it possible that the same slide can be concurrently observed by multiple people. Digital images of slides can be stored in a database, which means the long-term deterioration of glass slides is avoided.</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limitations of this technique include the need for high-quality tissue and IHC slides</w:t>
      </w:r>
      <w:r>
        <w:rPr>
          <w:rFonts w:ascii="Calibri" w:hAnsi="Calibri" w:cs="Calibri" w:eastAsia="Calibri"/>
          <w:color w:val="auto"/>
          <w:spacing w:val="0"/>
          <w:position w:val="0"/>
          <w:sz w:val="24"/>
          <w:shd w:fill="auto" w:val="clear"/>
          <w:vertAlign w:val="superscript"/>
        </w:rPr>
        <w:t xml:space="preserve">6,8,11</w:t>
      </w:r>
      <w:r>
        <w:rPr>
          <w:rFonts w:ascii="Calibri" w:hAnsi="Calibri" w:cs="Calibri" w:eastAsia="Calibri"/>
          <w:color w:val="auto"/>
          <w:spacing w:val="0"/>
          <w:position w:val="0"/>
          <w:sz w:val="24"/>
          <w:shd w:fill="auto" w:val="clear"/>
        </w:rPr>
        <w:t xml:space="preserve"> and technical expertise to specify the tumor or nontumor tissue samples before the analysis using imaging software, in order to avoid any confusion about the tumor or nontumor areas during scoring</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operator also needs to monitor the color reproduction throughout the digitization process in whole-slide imaging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can be actively applied in FISH, TMA, and drug discovery and development</w:t>
      </w:r>
      <w:r>
        <w:rPr>
          <w:rFonts w:ascii="Calibri" w:hAnsi="Calibri" w:cs="Calibri" w:eastAsia="Calibri"/>
          <w:color w:val="auto"/>
          <w:spacing w:val="0"/>
          <w:position w:val="0"/>
          <w:sz w:val="24"/>
          <w:shd w:fill="auto" w:val="clear"/>
          <w:vertAlign w:val="superscript"/>
        </w:rPr>
        <w:t xml:space="preserve">6,18</w:t>
      </w:r>
      <w:r>
        <w:rPr>
          <w:rFonts w:ascii="Calibri" w:hAnsi="Calibri" w:cs="Calibri" w:eastAsia="Calibri"/>
          <w:color w:val="auto"/>
          <w:spacing w:val="0"/>
          <w:position w:val="0"/>
          <w:sz w:val="24"/>
          <w:shd w:fill="auto" w:val="clear"/>
        </w:rPr>
        <w:t xml:space="preserve">. Tabata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have investigated the use of WSI in primary pathological diagnoses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They retrospectively analyzed 1070 WSI specimens from nine hospitals in Japan and confirmed the validation of the use of WSI in primary diagnoses. One of the main advantages of WSI is that it allows simultaneous viewing of the slides by multiple students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Therefore, the validation of whole-slide scanning images might contribute to the development of digital diagnostics for educational and research purposes</w:t>
      </w:r>
      <w:r>
        <w:rPr>
          <w:rFonts w:ascii="Calibri" w:hAnsi="Calibri" w:cs="Calibri" w:eastAsia="Calibri"/>
          <w:color w:val="auto"/>
          <w:spacing w:val="0"/>
          <w:position w:val="0"/>
          <w:sz w:val="24"/>
          <w:shd w:fill="auto" w:val="clear"/>
          <w:vertAlign w:val="superscript"/>
        </w:rPr>
        <w:t xml:space="preserve">6,18,21</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was supported by the National Natural Foundation of China (No. 81500151, 81400121, 81270607, 81541027, and 81501352) and the Natural Foundation of Hubei Province (China) (No. 2017CFB631). The authors express their appreciation to Guo Qin, Chang Min, Li Hui, and their colleagues at Wuhan Google Biological Technology Co., LTD for their technical support. The authors also thank Muhammad Jamal for the language editing.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 </w:t>
      </w:r>
      <w:r>
        <w:rPr>
          <w:rFonts w:ascii="Calibri" w:hAnsi="Calibri" w:cs="Calibri" w:eastAsia="Calibri"/>
          <w:color w:val="auto"/>
          <w:spacing w:val="0"/>
          <w:position w:val="0"/>
          <w:sz w:val="24"/>
          <w:u w:val="single"/>
          <w:shd w:fill="auto" w:val="clear"/>
        </w:rPr>
        <w:t xml:space="preserve">Endo, H.</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Ikeda, K.</w:t>
      </w:r>
      <w:r>
        <w:rPr>
          <w:rFonts w:ascii="Calibri" w:hAnsi="Calibri" w:cs="Calibri" w:eastAsia="Calibri"/>
          <w:color w:val="auto"/>
          <w:spacing w:val="0"/>
          <w:position w:val="0"/>
          <w:sz w:val="24"/>
          <w:shd w:fill="auto" w:val="clear"/>
        </w:rPr>
        <w:t xml:space="preserve">, Urano, T., Horie-Inoue, K., </w:t>
      </w:r>
      <w:r>
        <w:rPr>
          <w:rFonts w:ascii="Calibri" w:hAnsi="Calibri" w:cs="Calibri" w:eastAsia="Calibri"/>
          <w:color w:val="auto"/>
          <w:spacing w:val="0"/>
          <w:position w:val="0"/>
          <w:sz w:val="24"/>
          <w:u w:val="single"/>
          <w:shd w:fill="auto" w:val="clear"/>
        </w:rPr>
        <w:t xml:space="preserve">Inoue, S</w:t>
      </w:r>
      <w:r>
        <w:rPr>
          <w:rFonts w:ascii="Calibri" w:hAnsi="Calibri" w:cs="Calibri" w:eastAsia="Calibri"/>
          <w:color w:val="auto"/>
          <w:spacing w:val="0"/>
          <w:position w:val="0"/>
          <w:sz w:val="24"/>
          <w:shd w:fill="auto" w:val="clear"/>
        </w:rPr>
        <w:t xml:space="preserve">. Terf/TRIM17 stimulates degradation of kinetochore protein ZWINT and regulates cell proliferation. </w:t>
      </w:r>
      <w:r>
        <w:rPr>
          <w:rFonts w:ascii="Calibri" w:hAnsi="Calibri" w:cs="Calibri" w:eastAsia="Calibri"/>
          <w:i/>
          <w:color w:val="auto"/>
          <w:spacing w:val="0"/>
          <w:position w:val="0"/>
          <w:sz w:val="24"/>
          <w:u w:val="single"/>
          <w:shd w:fill="auto" w:val="clear"/>
        </w:rPr>
        <w:t xml:space="preserve">The Journal of Biochemistry</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(2), 139-144 (2012).</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u w:val="single"/>
          <w:shd w:fill="auto" w:val="clear"/>
        </w:rPr>
        <w:t xml:space="preserve">Wang, 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Human Zwint-1 specifies localization of Zeste White 10 to kinetochores and is essential for mitotic checkpoint signaling. </w:t>
      </w:r>
      <w:r>
        <w:rPr>
          <w:rFonts w:ascii="Calibri" w:hAnsi="Calibri" w:cs="Calibri" w:eastAsia="Calibri"/>
          <w:i/>
          <w:color w:val="auto"/>
          <w:spacing w:val="0"/>
          <w:position w:val="0"/>
          <w:sz w:val="24"/>
          <w:u w:val="single"/>
          <w:shd w:fill="auto" w:val="clear"/>
        </w:rPr>
        <w:t xml:space="preserve">Journal of Biological Chemistry</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(52), 54590-54598 (2004).</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u w:val="single"/>
          <w:shd w:fill="auto" w:val="clear"/>
        </w:rPr>
        <w:t xml:space="preserve">Lin, Y.T.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Chen, 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Wu, 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Lee, W.H</w:t>
      </w:r>
      <w:r>
        <w:rPr>
          <w:rFonts w:ascii="Calibri" w:hAnsi="Calibri" w:cs="Calibri" w:eastAsia="Calibri"/>
          <w:color w:val="auto"/>
          <w:spacing w:val="0"/>
          <w:position w:val="0"/>
          <w:sz w:val="24"/>
          <w:shd w:fill="auto" w:val="clear"/>
        </w:rPr>
        <w:t xml:space="preserve">. Hec1 sequentially recruits Zwint-1 and ZW10 to kinetochores for faithful chromosome segregation and spindle checkpoint control. </w:t>
      </w:r>
      <w:r>
        <w:rPr>
          <w:rFonts w:ascii="Calibri" w:hAnsi="Calibri" w:cs="Calibri" w:eastAsia="Calibri"/>
          <w:i/>
          <w:color w:val="auto"/>
          <w:spacing w:val="0"/>
          <w:position w:val="0"/>
          <w:sz w:val="24"/>
          <w:u w:val="single"/>
          <w:shd w:fill="auto" w:val="clear"/>
        </w:rPr>
        <w:t xml:space="preserve">Oncogene</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(52), 6901-6914 (2006).</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u w:val="single"/>
          <w:shd w:fill="auto" w:val="clear"/>
        </w:rPr>
        <w:t xml:space="preserve">Ying, H. </w:t>
      </w:r>
      <w:r>
        <w:rPr>
          <w:rFonts w:ascii="Calibri" w:hAnsi="Calibri" w:cs="Calibri" w:eastAsia="Calibri"/>
          <w:i/>
          <w:color w:val="auto"/>
          <w:spacing w:val="0"/>
          <w:position w:val="0"/>
          <w:sz w:val="24"/>
          <w:u w:val="single"/>
          <w:shd w:fill="auto" w:val="clear"/>
        </w:rPr>
        <w:t xml:space="preserve">et al</w:t>
      </w:r>
      <w:r>
        <w:rPr>
          <w:rFonts w:ascii="Calibri" w:hAnsi="Calibri" w:cs="Calibri" w:eastAsia="Calibri"/>
          <w:color w:val="auto"/>
          <w:spacing w:val="0"/>
          <w:position w:val="0"/>
          <w:sz w:val="24"/>
          <w:shd w:fill="auto" w:val="clear"/>
        </w:rPr>
        <w:t xml:space="preserve">. Overexpression of Zwint predicts poor prognosis and promotes the proliferation of hepatocellular carcinoma by regulating cell-cycle-related proteins. </w:t>
      </w:r>
      <w:r>
        <w:rPr>
          <w:rFonts w:ascii="Calibri" w:hAnsi="Calibri" w:cs="Calibri" w:eastAsia="Calibri"/>
          <w:i/>
          <w:color w:val="auto"/>
          <w:spacing w:val="0"/>
          <w:position w:val="0"/>
          <w:sz w:val="24"/>
          <w:u w:val="single"/>
          <w:shd w:fill="auto" w:val="clear"/>
        </w:rPr>
        <w:t xml:space="preserve">OncoTargets and Therapy</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689-702 (2018).</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Yuan,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Bioinformatic analysis of prognostic value of ZW10 interacting protein in lung cancer. </w:t>
      </w:r>
      <w:r>
        <w:rPr>
          <w:rFonts w:ascii="Calibri" w:hAnsi="Calibri" w:cs="Calibri" w:eastAsia="Calibri"/>
          <w:i/>
          <w:color w:val="auto"/>
          <w:spacing w:val="0"/>
          <w:position w:val="0"/>
          <w:sz w:val="24"/>
          <w:shd w:fill="auto" w:val="clear"/>
        </w:rPr>
        <w:t xml:space="preserve">OncoTargets and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1683-1695 (2018).</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p>
    <w:p>
      <w:pPr>
        <w:widowControl w:val="false"/>
        <w:spacing w:before="0" w:after="0" w:line="30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6. Higgins, C. Applications and challenges of digital pathology and whole slide imaging. </w:t>
      </w:r>
      <w:r>
        <w:rPr>
          <w:rFonts w:ascii="Calibri" w:hAnsi="Calibri" w:cs="Calibri" w:eastAsia="Calibri"/>
          <w:i/>
          <w:color w:val="auto"/>
          <w:spacing w:val="0"/>
          <w:position w:val="0"/>
          <w:sz w:val="24"/>
          <w:shd w:fill="FFFFFF" w:val="clear"/>
        </w:rPr>
        <w:t xml:space="preserve">Biotechnic &amp; Histochemistry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90</w:t>
      </w:r>
      <w:r>
        <w:rPr>
          <w:rFonts w:ascii="Calibri" w:hAnsi="Calibri" w:cs="Calibri" w:eastAsia="Calibri"/>
          <w:color w:val="auto"/>
          <w:spacing w:val="0"/>
          <w:position w:val="0"/>
          <w:sz w:val="24"/>
          <w:shd w:fill="FFFFFF" w:val="clear"/>
        </w:rPr>
        <w:t xml:space="preserve"> (5), 341-347 (2015).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u w:val="single"/>
          <w:shd w:fill="auto" w:val="clear"/>
        </w:rPr>
        <w:t xml:space="preserve">Webster, J.D.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Dunstan, R.W</w:t>
      </w:r>
      <w:r>
        <w:rPr>
          <w:rFonts w:ascii="Calibri" w:hAnsi="Calibri" w:cs="Calibri" w:eastAsia="Calibri"/>
          <w:color w:val="auto"/>
          <w:spacing w:val="0"/>
          <w:position w:val="0"/>
          <w:sz w:val="24"/>
          <w:shd w:fill="auto" w:val="clear"/>
        </w:rPr>
        <w:t xml:space="preserve">. Whole-slide imaging and automated image analysis: considerations and opportunities in the practice of pathology. </w:t>
      </w:r>
      <w:r>
        <w:rPr>
          <w:rFonts w:ascii="Calibri" w:hAnsi="Calibri" w:cs="Calibri" w:eastAsia="Calibri"/>
          <w:i/>
          <w:color w:val="auto"/>
          <w:spacing w:val="0"/>
          <w:position w:val="0"/>
          <w:sz w:val="24"/>
          <w:u w:val="single"/>
          <w:shd w:fill="auto" w:val="clear"/>
        </w:rPr>
        <w:t xml:space="preserve">Veterinary Pathology</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211-223 (2014).</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p>
    <w:p>
      <w:pPr>
        <w:widowControl w:val="false"/>
        <w:spacing w:before="0" w:after="0" w:line="30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8.</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Al-Janabi, S., Huisman, A., van Diest, P.J. Digital pathology: current status and future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perspectives. </w:t>
      </w:r>
      <w:r>
        <w:rPr>
          <w:rFonts w:ascii="Calibri" w:hAnsi="Calibri" w:cs="Calibri" w:eastAsia="Calibri"/>
          <w:i/>
          <w:color w:val="auto"/>
          <w:spacing w:val="0"/>
          <w:position w:val="0"/>
          <w:sz w:val="24"/>
          <w:shd w:fill="auto" w:val="clear"/>
        </w:rPr>
        <w:t xml:space="preserve">Histopathology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 1-9 (2012).</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 Bonomi, P.D.</w:t>
      </w:r>
      <w:r>
        <w:rPr>
          <w:rFonts w:ascii="Calibri" w:hAnsi="Calibri" w:cs="Calibri" w:eastAsia="Calibri"/>
          <w:i/>
          <w:color w:val="auto"/>
          <w:spacing w:val="0"/>
          <w:position w:val="0"/>
          <w:sz w:val="24"/>
          <w:shd w:fill="FFFFFF" w:val="clear"/>
        </w:rPr>
        <w:t xml:space="preserve"> et al. </w:t>
      </w:r>
      <w:r>
        <w:rPr>
          <w:rFonts w:ascii="Calibri" w:hAnsi="Calibri" w:cs="Calibri" w:eastAsia="Calibri"/>
          <w:color w:val="auto"/>
          <w:spacing w:val="0"/>
          <w:position w:val="0"/>
          <w:sz w:val="24"/>
          <w:shd w:fill="FFFFFF" w:val="clear"/>
        </w:rPr>
        <w:t xml:space="preserve">Predictive biomarkers for response to EGFR-directed monoclonal antibodies for advanced squamous cell lung cancer. </w:t>
      </w:r>
      <w:r>
        <w:rPr>
          <w:rFonts w:ascii="Calibri" w:hAnsi="Calibri" w:cs="Calibri" w:eastAsia="Calibri"/>
          <w:i/>
          <w:color w:val="auto"/>
          <w:spacing w:val="0"/>
          <w:position w:val="0"/>
          <w:sz w:val="24"/>
          <w:shd w:fill="FFFFFF" w:val="clear"/>
        </w:rPr>
        <w:t xml:space="preserve">Annals of Oncology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29</w:t>
      </w:r>
      <w:r>
        <w:rPr>
          <w:rFonts w:ascii="Calibri" w:hAnsi="Calibri" w:cs="Calibri" w:eastAsia="Calibri"/>
          <w:color w:val="auto"/>
          <w:spacing w:val="0"/>
          <w:position w:val="0"/>
          <w:sz w:val="24"/>
          <w:shd w:fill="FFFFFF" w:val="clear"/>
        </w:rPr>
        <w:t xml:space="preserve"> (8), 1701-1709 (2018).</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p>
    <w:p>
      <w:pPr>
        <w:widowControl w:val="false"/>
        <w:spacing w:before="0" w:after="0" w:line="30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10. Villalobos, M.</w:t>
      </w:r>
      <w:r>
        <w:rPr>
          <w:rFonts w:ascii="Calibri" w:hAnsi="Calibri" w:cs="Calibri" w:eastAsia="Calibri"/>
          <w:i/>
          <w:color w:val="auto"/>
          <w:spacing w:val="0"/>
          <w:position w:val="0"/>
          <w:sz w:val="24"/>
          <w:shd w:fill="FFFFFF" w:val="clear"/>
        </w:rPr>
        <w:t xml:space="preserve"> et al. </w:t>
      </w:r>
      <w:r>
        <w:rPr>
          <w:rFonts w:ascii="Calibri" w:hAnsi="Calibri" w:cs="Calibri" w:eastAsia="Calibri"/>
          <w:color w:val="auto"/>
          <w:spacing w:val="0"/>
          <w:position w:val="0"/>
          <w:sz w:val="24"/>
          <w:shd w:fill="FFFFFF" w:val="clear"/>
        </w:rPr>
        <w:t xml:space="preserve">ERCC1 assessment in upfront treatment with and without cisplatin-based chemotherapy in stage IIIB/IV non-squamous non-small cell</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lung</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cancer. </w:t>
      </w:r>
      <w:r>
        <w:rPr>
          <w:rFonts w:ascii="Calibri" w:hAnsi="Calibri" w:cs="Calibri" w:eastAsia="Calibri"/>
          <w:i/>
          <w:color w:val="auto"/>
          <w:spacing w:val="0"/>
          <w:position w:val="0"/>
          <w:sz w:val="24"/>
          <w:shd w:fill="FFFFFF" w:val="clear"/>
        </w:rPr>
        <w:t xml:space="preserve">Medical Oncology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35</w:t>
      </w:r>
      <w:r>
        <w:rPr>
          <w:rFonts w:ascii="Calibri" w:hAnsi="Calibri" w:cs="Calibri" w:eastAsia="Calibri"/>
          <w:color w:val="auto"/>
          <w:spacing w:val="0"/>
          <w:position w:val="0"/>
          <w:sz w:val="24"/>
          <w:shd w:fill="FFFFFF" w:val="clear"/>
        </w:rPr>
        <w:t xml:space="preserve"> (7), 106 (2018).</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u w:val="single"/>
          <w:shd w:fill="auto" w:val="clear"/>
        </w:rPr>
        <w:t xml:space="preserve">Griffin, J.</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Treanor, D</w:t>
      </w:r>
      <w:r>
        <w:rPr>
          <w:rFonts w:ascii="Calibri" w:hAnsi="Calibri" w:cs="Calibri" w:eastAsia="Calibri"/>
          <w:color w:val="auto"/>
          <w:spacing w:val="0"/>
          <w:position w:val="0"/>
          <w:sz w:val="24"/>
          <w:shd w:fill="auto" w:val="clear"/>
        </w:rPr>
        <w:t xml:space="preserve">. Digital pathology in clinical use: where are we now and what is holding us back? </w:t>
      </w:r>
      <w:r>
        <w:rPr>
          <w:rFonts w:ascii="Calibri" w:hAnsi="Calibri" w:cs="Calibri" w:eastAsia="Calibri"/>
          <w:i/>
          <w:color w:val="auto"/>
          <w:spacing w:val="0"/>
          <w:position w:val="0"/>
          <w:sz w:val="24"/>
          <w:u w:val="single"/>
          <w:shd w:fill="auto" w:val="clear"/>
        </w:rPr>
        <w:t xml:space="preserve">Histopathology</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 134-145 (2017).</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u w:val="single"/>
          <w:shd w:fill="auto" w:val="clear"/>
        </w:rPr>
        <w:t xml:space="preserve">Huisman, 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Looijen, 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van den Brink, S.M.</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van Diest P.J</w:t>
      </w:r>
      <w:r>
        <w:rPr>
          <w:rFonts w:ascii="Calibri" w:hAnsi="Calibri" w:cs="Calibri" w:eastAsia="Calibri"/>
          <w:color w:val="auto"/>
          <w:spacing w:val="0"/>
          <w:position w:val="0"/>
          <w:sz w:val="24"/>
          <w:shd w:fill="auto" w:val="clear"/>
        </w:rPr>
        <w:t xml:space="preserve">. Creation of a fully digital pathology slide archive by high-volume tissue slide scanning. </w:t>
      </w:r>
      <w:r>
        <w:rPr>
          <w:rFonts w:ascii="Calibri" w:hAnsi="Calibri" w:cs="Calibri" w:eastAsia="Calibri"/>
          <w:i/>
          <w:color w:val="auto"/>
          <w:spacing w:val="0"/>
          <w:position w:val="0"/>
          <w:sz w:val="24"/>
          <w:u w:val="single"/>
          <w:shd w:fill="auto" w:val="clear"/>
        </w:rPr>
        <w:t xml:space="preserve">Human Pathology</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 751-775 (2010).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u w:val="single"/>
          <w:shd w:fill="auto" w:val="clear"/>
        </w:rPr>
        <w:t xml:space="preserve">Gray, 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Wright, 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Jackson, P.</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Hale, M.</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Treanor, D</w:t>
      </w:r>
      <w:r>
        <w:rPr>
          <w:rFonts w:ascii="Calibri" w:hAnsi="Calibri" w:cs="Calibri" w:eastAsia="Calibri"/>
          <w:color w:val="auto"/>
          <w:spacing w:val="0"/>
          <w:position w:val="0"/>
          <w:sz w:val="24"/>
          <w:shd w:fill="auto" w:val="clear"/>
        </w:rPr>
        <w:t xml:space="preserve">. Quantification of histochemical stains using whole slide imaging: development of a method and demonstration of its usefulness in laboratory quality control. </w:t>
      </w:r>
      <w:r>
        <w:rPr>
          <w:rFonts w:ascii="Calibri" w:hAnsi="Calibri" w:cs="Calibri" w:eastAsia="Calibri"/>
          <w:i/>
          <w:color w:val="auto"/>
          <w:spacing w:val="0"/>
          <w:position w:val="0"/>
          <w:sz w:val="24"/>
          <w:u w:val="single"/>
          <w:shd w:fill="auto" w:val="clear"/>
        </w:rPr>
        <w:t xml:space="preserve">Journal of Clinical Pathology</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(3), 192-199 (2015).</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u w:val="single"/>
          <w:shd w:fill="auto" w:val="clear"/>
        </w:rPr>
        <w:t xml:space="preserve">Hofman, F.M.</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Taylor, C.R</w:t>
      </w:r>
      <w:r>
        <w:rPr>
          <w:rFonts w:ascii="Calibri" w:hAnsi="Calibri" w:cs="Calibri" w:eastAsia="Calibri"/>
          <w:color w:val="auto"/>
          <w:spacing w:val="0"/>
          <w:position w:val="0"/>
          <w:sz w:val="24"/>
          <w:shd w:fill="auto" w:val="clear"/>
        </w:rPr>
        <w:t xml:space="preserve">. Immunohistochemistry. </w:t>
      </w:r>
      <w:r>
        <w:rPr>
          <w:rFonts w:ascii="Calibri" w:hAnsi="Calibri" w:cs="Calibri" w:eastAsia="Calibri"/>
          <w:i/>
          <w:color w:val="auto"/>
          <w:spacing w:val="0"/>
          <w:position w:val="0"/>
          <w:sz w:val="24"/>
          <w:u w:val="single"/>
          <w:shd w:fill="auto" w:val="clear"/>
        </w:rPr>
        <w:t xml:space="preserve">Current Protocols in Immunology</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Unit 21.4 (2013).</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u w:val="single"/>
          <w:shd w:fill="auto" w:val="clear"/>
        </w:rPr>
        <w:t xml:space="preserve">Ramos-Vara, J.A</w:t>
      </w:r>
      <w:r>
        <w:rPr>
          <w:rFonts w:ascii="Calibri" w:hAnsi="Calibri" w:cs="Calibri" w:eastAsia="Calibri"/>
          <w:color w:val="auto"/>
          <w:spacing w:val="0"/>
          <w:position w:val="0"/>
          <w:sz w:val="24"/>
          <w:shd w:fill="auto" w:val="clear"/>
        </w:rPr>
        <w:t xml:space="preserve">. Principles and Methods of Immunohistochemistry. </w:t>
      </w:r>
      <w:r>
        <w:rPr>
          <w:rFonts w:ascii="Calibri" w:hAnsi="Calibri" w:cs="Calibri" w:eastAsia="Calibri"/>
          <w:i/>
          <w:color w:val="auto"/>
          <w:spacing w:val="0"/>
          <w:position w:val="0"/>
          <w:sz w:val="24"/>
          <w:u w:val="single"/>
          <w:shd w:fill="auto" w:val="clear"/>
        </w:rPr>
        <w:t xml:space="preserve">Methods in Molecular Biology</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1641</w:t>
      </w:r>
      <w:r>
        <w:rPr>
          <w:rFonts w:ascii="Calibri" w:hAnsi="Calibri" w:cs="Calibri" w:eastAsia="Calibri"/>
          <w:color w:val="auto"/>
          <w:spacing w:val="0"/>
          <w:position w:val="0"/>
          <w:sz w:val="24"/>
          <w:shd w:fill="auto" w:val="clear"/>
        </w:rPr>
        <w:t xml:space="preserve">, 115-128 (2017).</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Otali, D., Fredenburgh, J., Oelschlager, D.K., Grizzle, W.E. A standard tissue as a control for histochemical and immunohistochemical staining. </w:t>
      </w:r>
      <w:r>
        <w:rPr>
          <w:rFonts w:ascii="Calibri" w:hAnsi="Calibri" w:cs="Calibri" w:eastAsia="Calibri"/>
          <w:i/>
          <w:color w:val="auto"/>
          <w:spacing w:val="0"/>
          <w:position w:val="0"/>
          <w:sz w:val="24"/>
          <w:shd w:fill="auto" w:val="clear"/>
        </w:rPr>
        <w:t xml:space="preserve">Biotechnic &amp; Histochemistry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(5), 309-326 (2016).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0"/>
          <w:position w:val="0"/>
          <w:sz w:val="24"/>
          <w:u w:val="single"/>
          <w:shd w:fill="auto" w:val="clear"/>
        </w:rPr>
        <w:t xml:space="preserve">Clarke, E.L.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Treanor, D</w:t>
      </w:r>
      <w:r>
        <w:rPr>
          <w:rFonts w:ascii="Calibri" w:hAnsi="Calibri" w:cs="Calibri" w:eastAsia="Calibri"/>
          <w:color w:val="auto"/>
          <w:spacing w:val="0"/>
          <w:position w:val="0"/>
          <w:sz w:val="24"/>
          <w:shd w:fill="auto" w:val="clear"/>
        </w:rPr>
        <w:t xml:space="preserve">. Colour in digital pathology: a review. </w:t>
      </w:r>
      <w:r>
        <w:rPr>
          <w:rFonts w:ascii="Calibri" w:hAnsi="Calibri" w:cs="Calibri" w:eastAsia="Calibri"/>
          <w:i/>
          <w:color w:val="auto"/>
          <w:spacing w:val="0"/>
          <w:position w:val="0"/>
          <w:sz w:val="24"/>
          <w:u w:val="single"/>
          <w:shd w:fill="auto" w:val="clear"/>
        </w:rPr>
        <w:t xml:space="preserve">Histopathology</w:t>
      </w:r>
      <w:r>
        <w:rPr>
          <w:rFonts w:ascii="Calibri" w:hAnsi="Calibri" w:cs="Calibri" w:eastAsia="Calibri"/>
          <w:color w:val="auto"/>
          <w:spacing w:val="0"/>
          <w:position w:val="0"/>
          <w:sz w:val="24"/>
          <w:u w:val="single"/>
          <w:shd w:fill="auto" w:val="clear"/>
        </w:rPr>
        <w:t xml:space="preserve">. </w:t>
      </w:r>
      <w:r>
        <w:rPr>
          <w:rFonts w:ascii="Calibri" w:hAnsi="Calibri" w:cs="Calibri" w:eastAsia="Calibri"/>
          <w:b/>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(2), 153-163 (2017).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0"/>
          <w:position w:val="0"/>
          <w:sz w:val="24"/>
          <w:u w:val="single"/>
          <w:shd w:fill="auto" w:val="clear"/>
        </w:rPr>
        <w:t xml:space="preserve">Potts, S.J</w:t>
      </w:r>
      <w:r>
        <w:rPr>
          <w:rFonts w:ascii="Calibri" w:hAnsi="Calibri" w:cs="Calibri" w:eastAsia="Calibri"/>
          <w:color w:val="auto"/>
          <w:spacing w:val="0"/>
          <w:position w:val="0"/>
          <w:sz w:val="24"/>
          <w:shd w:fill="auto" w:val="clear"/>
        </w:rPr>
        <w:t xml:space="preserve">. Digital pathology in drug discovery and development: multisite integration. </w:t>
      </w:r>
      <w:r>
        <w:rPr>
          <w:rFonts w:ascii="Calibri" w:hAnsi="Calibri" w:cs="Calibri" w:eastAsia="Calibri"/>
          <w:i/>
          <w:color w:val="auto"/>
          <w:spacing w:val="0"/>
          <w:position w:val="0"/>
          <w:sz w:val="24"/>
          <w:u w:val="single"/>
          <w:shd w:fill="auto" w:val="clear"/>
        </w:rPr>
        <w:t xml:space="preserve">Drug Discovery Today</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(19-20), 935-941 (2009).</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19. Tabata, K.</w:t>
      </w:r>
      <w:r>
        <w:rPr>
          <w:rFonts w:ascii="Calibri" w:hAnsi="Calibri" w:cs="Calibri" w:eastAsia="Calibri"/>
          <w:i/>
          <w:color w:val="auto"/>
          <w:spacing w:val="0"/>
          <w:position w:val="0"/>
          <w:sz w:val="24"/>
          <w:shd w:fill="FFFFFF" w:val="clear"/>
        </w:rPr>
        <w:t xml:space="preserve"> et al. </w:t>
      </w:r>
      <w:r>
        <w:rPr>
          <w:rFonts w:ascii="Calibri" w:hAnsi="Calibri" w:cs="Calibri" w:eastAsia="Calibri"/>
          <w:color w:val="auto"/>
          <w:spacing w:val="0"/>
          <w:position w:val="0"/>
          <w:sz w:val="24"/>
          <w:shd w:fill="FFFFFF" w:val="clear"/>
        </w:rPr>
        <w:t xml:space="preserve">Whole-slide imaging at primary pathological diagnosis: Validation of whole-slide imaging-based primary pathological diagnosis at twelve Japanese academic institutes. </w:t>
      </w:r>
      <w:r>
        <w:rPr>
          <w:rFonts w:ascii="Calibri" w:hAnsi="Calibri" w:cs="Calibri" w:eastAsia="Calibri"/>
          <w:i/>
          <w:color w:val="auto"/>
          <w:spacing w:val="0"/>
          <w:position w:val="0"/>
          <w:sz w:val="24"/>
          <w:shd w:fill="FFFFFF" w:val="clear"/>
        </w:rPr>
        <w:t xml:space="preserve">Pathology International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67</w:t>
      </w:r>
      <w:r>
        <w:rPr>
          <w:rFonts w:ascii="Calibri" w:hAnsi="Calibri" w:cs="Calibri" w:eastAsia="Calibri"/>
          <w:color w:val="auto"/>
          <w:spacing w:val="0"/>
          <w:position w:val="0"/>
          <w:sz w:val="24"/>
          <w:shd w:fill="FFFFFF" w:val="clear"/>
        </w:rPr>
        <w:t xml:space="preserve"> (11), 547-554 (2017).</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Saco, A., Bombi, J.A., Garcia, A., Ramírez, J., Ordi, J. Current Status of Whole-Slide Imaging in Education. </w:t>
      </w:r>
      <w:r>
        <w:rPr>
          <w:rFonts w:ascii="Calibri" w:hAnsi="Calibri" w:cs="Calibri" w:eastAsia="Calibri"/>
          <w:i/>
          <w:color w:val="auto"/>
          <w:spacing w:val="0"/>
          <w:position w:val="0"/>
          <w:sz w:val="24"/>
          <w:shd w:fill="auto" w:val="clear"/>
        </w:rPr>
        <w:t xml:space="preserve">Pathobiology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(2-3), 79-88 (2016).</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Griffin, J., Treanor, D. Digital pathology in clinical use: where are we now and what is holding us back? </w:t>
      </w:r>
      <w:r>
        <w:rPr>
          <w:rFonts w:ascii="Calibri" w:hAnsi="Calibri" w:cs="Calibri" w:eastAsia="Calibri"/>
          <w:i/>
          <w:color w:val="auto"/>
          <w:spacing w:val="0"/>
          <w:position w:val="0"/>
          <w:sz w:val="24"/>
          <w:shd w:fill="auto" w:val="clear"/>
        </w:rPr>
        <w:t xml:space="preserve">Histopathology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 134-145 (2017).</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num w:numId="2">
    <w:abstractNumId w:val="300"/>
  </w:num>
  <w:num w:numId="4">
    <w:abstractNumId w:val="294"/>
  </w:num>
  <w:num w:numId="6">
    <w:abstractNumId w:val="288"/>
  </w:num>
  <w:num w:numId="8">
    <w:abstractNumId w:val="282"/>
  </w:num>
  <w:num w:numId="10">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4">
    <w:abstractNumId w:val="204"/>
  </w:num>
  <w:num w:numId="36">
    <w:abstractNumId w:val="198"/>
  </w:num>
  <w:num w:numId="38">
    <w:abstractNumId w:val="192"/>
  </w:num>
  <w:num w:numId="40">
    <w:abstractNumId w:val="186"/>
  </w:num>
  <w:num w:numId="42">
    <w:abstractNumId w:val="180"/>
  </w:num>
  <w:num w:numId="44">
    <w:abstractNumId w:val="174"/>
  </w:num>
  <w:num w:numId="46">
    <w:abstractNumId w:val="168"/>
  </w:num>
  <w:num w:numId="48">
    <w:abstractNumId w:val="162"/>
  </w:num>
  <w:num w:numId="50">
    <w:abstractNumId w:val="156"/>
  </w:num>
  <w:num w:numId="52">
    <w:abstractNumId w:val="150"/>
  </w:num>
  <w:num w:numId="54">
    <w:abstractNumId w:val="144"/>
  </w:num>
  <w:num w:numId="56">
    <w:abstractNumId w:val="138"/>
  </w:num>
  <w:num w:numId="58">
    <w:abstractNumId w:val="132"/>
  </w:num>
  <w:num w:numId="60">
    <w:abstractNumId w:val="126"/>
  </w:num>
  <w:num w:numId="62">
    <w:abstractNumId w:val="120"/>
  </w:num>
  <w:num w:numId="64">
    <w:abstractNumId w:val="114"/>
  </w:num>
  <w:num w:numId="66">
    <w:abstractNumId w:val="108"/>
  </w:num>
  <w:num w:numId="68">
    <w:abstractNumId w:val="102"/>
  </w:num>
  <w:num w:numId="70">
    <w:abstractNumId w:val="96"/>
  </w:num>
  <w:num w:numId="72">
    <w:abstractNumId w:val="90"/>
  </w:num>
  <w:num w:numId="74">
    <w:abstractNumId w:val="84"/>
  </w:num>
  <w:num w:numId="76">
    <w:abstractNumId w:val="78"/>
  </w:num>
  <w:num w:numId="78">
    <w:abstractNumId w:val="72"/>
  </w:num>
  <w:num w:numId="80">
    <w:abstractNumId w:val="66"/>
  </w:num>
  <w:num w:numId="82">
    <w:abstractNumId w:val="60"/>
  </w:num>
  <w:num w:numId="84">
    <w:abstractNumId w:val="54"/>
  </w:num>
  <w:num w:numId="86">
    <w:abstractNumId w:val="48"/>
  </w:num>
  <w:num w:numId="88">
    <w:abstractNumId w:val="42"/>
  </w:num>
  <w:num w:numId="90">
    <w:abstractNumId w:val="36"/>
  </w:num>
  <w:num w:numId="92">
    <w:abstractNumId w:val="30"/>
  </w:num>
  <w:num w:numId="94">
    <w:abstractNumId w:val="24"/>
  </w:num>
  <w:num w:numId="96">
    <w:abstractNumId w:val="18"/>
  </w:num>
  <w:num w:numId="98">
    <w:abstractNumId w:val="12"/>
  </w:num>
  <w:num w:numId="100">
    <w:abstractNumId w:val="6"/>
  </w:num>
  <w:num w:numId="10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