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Structural Studies of Macromolecules in Solution using Small Angle X-Ray Scattering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Tyler Mrozowich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Steffane McLennan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Overduin</w:t>
      </w:r>
      <w:r>
        <w:rPr>
          <w:rFonts w:ascii="Calibri" w:hAnsi="Calibri" w:cs="Calibri" w:eastAsia="Calibri"/>
          <w:color w:val="000000"/>
          <w:spacing w:val="0"/>
          <w:position w:val="0"/>
          <w:sz w:val="24"/>
          <w:shd w:fill="auto" w:val="clear"/>
          <w:vertAlign w:val="superscript"/>
        </w:rPr>
        <w:t xml:space="preserve">2, 4</w:t>
      </w:r>
      <w:r>
        <w:rPr>
          <w:rFonts w:ascii="Calibri" w:hAnsi="Calibri" w:cs="Calibri" w:eastAsia="Calibri"/>
          <w:color w:val="000000"/>
          <w:spacing w:val="0"/>
          <w:position w:val="0"/>
          <w:sz w:val="24"/>
          <w:shd w:fill="auto" w:val="clear"/>
        </w:rPr>
        <w:t xml:space="preserve">, Trushar Patel</w:t>
      </w:r>
      <w:r>
        <w:rPr>
          <w:rFonts w:ascii="Calibri" w:hAnsi="Calibri" w:cs="Calibri" w:eastAsia="Calibri"/>
          <w:color w:val="000000"/>
          <w:spacing w:val="0"/>
          <w:position w:val="0"/>
          <w:sz w:val="24"/>
          <w:shd w:fill="auto" w:val="clear"/>
          <w:vertAlign w:val="superscript"/>
        </w:rPr>
        <w:t xml:space="preserve">1, 3, 4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Alberta RNA Research and Training Institute, Department of Chemistry and Biochemistry, University of Lethbridge, 4401 University Drive, Lethbridge, Alberta,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University of Alberta, Edmonton, Alberta,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Microbiology, Immunology and Infectious Diseases, Cumming School of Medicine, University of Calgary, 2500 University Dr. NW Calgary, Alberta,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DiscoveryLab, Faculty of Medicine &amp;amp; Dentistry, University of Alberta, Edmonton, Alberta, Canada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Michael Overduin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overduin@ualberta.ca)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Tel.: +1-780-492-3518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Trushar Patel (trushar.patel@uleth.ca)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Tel.: +1-403-332-4443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Tyler Mrozowich (tyler.mrozowich@uleth.ca)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Steffane McLennan (steffane@ualberta.ca)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Extracellular matrix protein, hybrid solution structure, laminin, multidomain protein, nidogen,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protein interaction, protein structure, structural domain, small angle X-ray scattering, three-dimensional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how Small Angle X-Ray Scattering (SAXS) can be utilized to obtain information on low-resolution envelopes representing the macromolecular structures. When used in conjunction with high-resolution structural techniques such as X-Ray Crystallography and Nuclear Magnetic Resonance, SAXS can provide detailed insights into multidomain proteins and macromolecular complexes in-solution.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involving proteins with multiple globular domains present technical challenges for determining how such complexes form and how the domains are oriented/positioned. Here, a protocol with the potential for elucidating which specific domains mediate interactions in multicomponent system through </w:t>
      </w:r>
      <w:r>
        <w:rPr>
          <w:rFonts w:ascii="Calibri" w:hAnsi="Calibri" w:cs="Calibri" w:eastAsia="Calibri"/>
          <w:i/>
          <w:color w:val="000000"/>
          <w:spacing w:val="0"/>
          <w:position w:val="0"/>
          <w:sz w:val="24"/>
          <w:shd w:fill="auto" w:val="clear"/>
        </w:rPr>
        <w:t xml:space="preserve">ab initio</w:t>
      </w:r>
      <w:r>
        <w:rPr>
          <w:rFonts w:ascii="Calibri" w:hAnsi="Calibri" w:cs="Calibri" w:eastAsia="Calibri"/>
          <w:color w:val="000000"/>
          <w:spacing w:val="0"/>
          <w:position w:val="0"/>
          <w:sz w:val="24"/>
          <w:shd w:fill="auto" w:val="clear"/>
        </w:rPr>
        <w:t xml:space="preserve"> modeling is described. A method for calculating solution structures of macromolecules and their assemblies is provided that involves integrating data from small angle X-ray scattering (SAXS), chromatography, and atomic resolution structures together in a hybrid approach. A specific example is that of the complex of full-length nidogen-1, which assembles extracellular matrix proteins and forms an extended, curved nanostructure. One of its globular domains attaches to laminin </w:t>
      </w:r>
      <w:r>
        <w:rPr>
          <w:rFonts w:ascii="Cambria Math" w:hAnsi="Cambria Math" w:cs="Cambria Math" w:eastAsia="Cambria Math"/>
          <w:color w:val="000000"/>
          <w:spacing w:val="0"/>
          <w:position w:val="0"/>
          <w:sz w:val="24"/>
          <w:shd w:fill="auto" w:val="clear"/>
        </w:rPr>
        <w:t xml:space="preserve">𝛾</w:t>
      </w:r>
      <w:r>
        <w:rPr>
          <w:rFonts w:ascii="Calibri" w:hAnsi="Calibri" w:cs="Calibri" w:eastAsia="Calibri"/>
          <w:color w:val="000000"/>
          <w:spacing w:val="0"/>
          <w:position w:val="0"/>
          <w:sz w:val="24"/>
          <w:shd w:fill="auto" w:val="clear"/>
        </w:rPr>
        <w:t xml:space="preserve">-1, which structures the basement membrane. This provides a basis for determining accurate structures of flexible multidomain protein complexes and is enabled by synchrotron sources coupled with automation robotics and size exclusion chromatography systems. This combination allows rapid analysis in which multiple oligomeric states are separated just prior to SAXS data collection. The analysis yields information on the radius of gyration, particle dimension, molecular shape and interdomain pairing. The protocol for generating 3D models of complexes by fitting high-resolution structures of the component proteins is also given.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Cells contain intricate networks of proteins that act as molecular machines to carry out cellular functions such as signaling cascades and maintaining structural integrity. The ways in which these different components move and interact in three-dimensional space gives rise to the specific functions of the macromolecules. The importance of protein structure, dynamics, and interactions in determining function has provided the need for continually evolving, complex techniques to measure these properties.  Of these, Nuclear Magnetic Resonance (NMR), X-Ray Crystallography (XRC) and more recently, Cryo-Electron Microscopy (CEM) provide high-resolution structural information.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XRC and CEM yield structures of one of many biomolecular states and lack information about the dynamics of the protein structure, while 3D structure determination by NMR is typically limited to smaller globular proteins. One way to overcome these limitations is to utilize Small Angle X-Ray Scattering (SAXS) to generate molecular envelopes of large, multidomain, or complexed systems, and combine the high-resolution rigid macromolecular structures to elucidate the global architecture and dynamic features.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SAXS Sample Preparation and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SAXS experiments require homogeneous, stable and non-aggregating protein samples; observe stability and oligomeric state with size exclusion chromatography (S), DLS and/or AUC prior to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Subject samples (nidogen-1 and laminin </w:t>
      </w:r>
      <w:r>
        <w:rPr>
          <w:rFonts w:ascii="Cambria Math" w:hAnsi="Cambria Math" w:cs="Cambria Math" w:eastAsia="Cambria Math"/>
          <w:color w:val="000000"/>
          <w:spacing w:val="0"/>
          <w:position w:val="0"/>
          <w:sz w:val="24"/>
          <w:shd w:fill="auto" w:val="clear"/>
        </w:rPr>
        <w:t xml:space="preserve">𝛾</w:t>
      </w:r>
      <w:r>
        <w:rPr>
          <w:rFonts w:ascii="Calibri" w:hAnsi="Calibri" w:cs="Calibri" w:eastAsia="Calibri"/>
          <w:color w:val="000000"/>
          <w:spacing w:val="0"/>
          <w:position w:val="0"/>
          <w:sz w:val="24"/>
          <w:shd w:fill="auto" w:val="clear"/>
        </w:rPr>
        <w:t xml:space="preserve">-1 in this case) to DLS analysis and tricine SDS-PAGE to visualize sample purity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Samples may cover a range of concentrations (1-4 mg/mL) depending on their size, their solution behavior such as self-association and aggregation along with stability; here, five concentrations of nidogen-1, (139 kDa), three of laminin </w:t>
      </w:r>
      <w:r>
        <w:rPr>
          <w:rFonts w:ascii="Cambria Math" w:hAnsi="Cambria Math" w:cs="Cambria Math" w:eastAsia="Cambria Math"/>
          <w:color w:val="000000"/>
          <w:spacing w:val="0"/>
          <w:position w:val="0"/>
          <w:sz w:val="24"/>
          <w:shd w:fill="auto" w:val="clear"/>
        </w:rPr>
        <w:t xml:space="preserve">𝛾</w:t>
      </w:r>
      <w:r>
        <w:rPr>
          <w:rFonts w:ascii="Calibri" w:hAnsi="Calibri" w:cs="Calibri" w:eastAsia="Calibri"/>
          <w:color w:val="000000"/>
          <w:spacing w:val="0"/>
          <w:position w:val="0"/>
          <w:sz w:val="24"/>
          <w:shd w:fill="auto" w:val="clear"/>
        </w:rPr>
        <w:t xml:space="preserve">-1 (109 kDa) and four of the S-purified equimolar complex were prepared as previously described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Collect SAXS data using an in-house system or synchrotron, according to manufacturer’s or facility guidelines.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Data used in this work was collected using an in-house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that contains a 3-pinhole camera equipped with + 002 microfocus sealed tube (Cu K&amp;#945; radiation at 1.54 Å) and Confocal Max-Flux (CMF) optics operating at 40 W. The system is also equipped with a 200 nm multi-wire 2D detector for data collection. However, with the availability of modern synchrotrons in France, Germany, UK, USA, and other countries, which provide access to an S-SAXS set-up that facilitates separation of a monodispersed preparation from possible aggregation/degradation, we now routinely collect data at synchrotron facilities. A recently published article on a DNA G-quadruplex</w:t>
      </w:r>
      <w:r>
        <w:rPr>
          <w:rFonts w:ascii="Calibri" w:hAnsi="Calibri" w:cs="Calibri" w:eastAsia="Calibri"/>
          <w:color w:val="000000"/>
          <w:spacing w:val="0"/>
          <w:position w:val="0"/>
          <w:sz w:val="24"/>
          <w:shd w:fill="auto" w:val="clear"/>
          <w:vertAlign w:val="superscript"/>
        </w:rPr>
        <w:t xml:space="preserve">11 </w:t>
      </w:r>
      <w:r>
        <w:rPr>
          <w:rFonts w:ascii="Calibri" w:hAnsi="Calibri" w:cs="Calibri" w:eastAsia="Calibri"/>
          <w:color w:val="000000"/>
          <w:spacing w:val="0"/>
          <w:position w:val="0"/>
          <w:sz w:val="24"/>
          <w:shd w:fill="auto" w:val="clear"/>
        </w:rPr>
        <w:t xml:space="preserve">is an example of an S-SAXS data collection strategy. In this case, the SAXS data were collected in the range of 0.08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0.26 Å for 3 hours for nidogen-1 (2.0, 2.5, 3.0, 3.5 and 4.0 mg/mL); the laminin &amp;#947;-1 (1.5, 2.0 and 2.5 mg/mL) and their complex (0.8, 1.0, 1.25 and 1.5 mg/mL).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data analysis approach described above was utilized to calculate the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for nidogen-1, laminin &amp;#947;-1, and their complex using the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We obtained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values of 7.20 (&amp;plusmn;0.10) nm, 8.10 (&amp;plusmn;0.20) nm, and 10.9 (&amp;plusmn;0.4) nm for nidogen-1, laminin &amp;#947;-1 and their complex respectively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In addition,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values of 24 nm, 26 nm, and 35 nm for nidogen-1, laminin &amp;#947;-1, and their complex respectively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were obtained. The DAMMIF program was used to obtain low-resolution structures of nidogen-1 and laminin &amp;#947;-1, which suggested that both proteins adopt an extended shape in solution.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NSD values for nidogen-1 (~1 and 0.8) and laminin &amp;#947;-1 (~0.9 and 0.8 respectively) were also in the acceptable range. The alignment of high-resolution structures, two domains of nidogen-1 and two of laminin &amp;#947;-1, on their low-resolution structures obtained using SAXS allowed identification of their N- and C-terminal regions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Nidogen-1 was identified as an interacting partner of laminin &amp;#947;-1</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and the interaction site was mapped using X-ray crystallography to the C-terminal domains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However, high-resolution structures only involved interacting domains and not the full-length nidogen-1 or the entire laminin &amp;#947;-1 arm. Therefore, we purified a complex containing nidogen-1 (full length) and the laminin &amp;#947;-1 arm to identify the interacting regions as well as to study the relative orientation of the N-terminal domains of both proteins. The SAXS data for the complex yielded an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of 10.9 (&amp;plusmn;0.4) nm and a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of 35 nm. We utilized MONSA to obtain the low-resolution structure of the entire complex, which suggested that indeed, only the C-terminal region of both proteins participate in mediating interactions, whereas the rest of the domains are far apart from each other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Schematics of SAXS set-up. A monodispersed preparation of biomolecules or their complexes is prepared, followed by exposure with high energy X-rays. Depending on the source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in-house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synchrotron), the energy of X-rays and the sample to source distance can vary. The X-rays’ scattering pattern (that depends on the size and shape of biomolecules) is recorded and radially averaged to obtain a 1-dimensional plot (1D) that contains information on the intensity of scattered light with respect to the scattering angle. As buffer molecules also scatter light, the contributions from these molecules are subtracted to obtain a scattering pattern of the biomolecules of interest. At the synchrotron, prior to the SAXS data collection, an additional purification step using in-line size exclusion/high-performance chromatography is also typically performed (top view). This step is critical to remove any aggregated and/or degraded product as well as to remove any unbound biomolecules from the complex. The 1D scattering plot is converted to the electron pair-distance distribution plot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plot), which provides the radius of gyration and maximum particle dimension of biomolecules. This plot is used as the input file for the </w:t>
      </w:r>
      <w:r>
        <w:rPr>
          <w:rFonts w:ascii="Calibri" w:hAnsi="Calibri" w:cs="Calibri" w:eastAsia="Calibri"/>
          <w:i/>
          <w:color w:val="000000"/>
          <w:spacing w:val="0"/>
          <w:position w:val="0"/>
          <w:sz w:val="24"/>
          <w:shd w:fill="auto" w:val="clear"/>
        </w:rPr>
        <w:t xml:space="preserve">ab initio</w:t>
      </w:r>
      <w:r>
        <w:rPr>
          <w:rFonts w:ascii="Calibri" w:hAnsi="Calibri" w:cs="Calibri" w:eastAsia="Calibri"/>
          <w:color w:val="000000"/>
          <w:spacing w:val="0"/>
          <w:position w:val="0"/>
          <w:sz w:val="24"/>
          <w:shd w:fill="auto" w:val="clear"/>
        </w:rPr>
        <w:t xml:space="preserve"> modeling packages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DAMMIN/DAMMIF) to obtain low-resolution structures of biomolecules, or other packages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SASREF/CORAL) if the high-resolution structure of parts of the biomolecules or individual biomolecules of the complex is known.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(A) A plot of an intensity of scattered light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scattering angle (q=4</w:t>
      </w:r>
      <w:r>
        <w:rPr>
          <w:rFonts w:ascii="Calibri" w:hAnsi="Calibri" w:cs="Calibri" w:eastAsia="Calibri"/>
          <w:color w:val="000000"/>
          <w:spacing w:val="0"/>
          <w:position w:val="0"/>
          <w:sz w:val="24"/>
          <w:shd w:fill="auto" w:val="clear"/>
        </w:rPr>
        <w:t xml:space="preserve">πsinθ/λ, nm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suggesting the quality of biomolecules (low region) and shape (high region) of biomolecules. (B) The electron pair-distance distribution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determined from the scattering data suggest an elongated shape of biomolecules under investigation (laminin &amp;#947;-1, nidogen-1, and their complex). (C) Kratky plot suggesting that nidogen-1 and laminin &amp;#947;-1 proteins are not unfolded. (D) Guinier plot for nidogen-1, laminin &amp;#947;-1 and their complex, indicating the linear region for determination of the radius of gyration using data at low-scattering angle.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Low-resolution structure of the complex of nidogen-1, and laminin &amp;#947;-1 obtained by analysis of merged data sets using the program MONSA. The color scheme is the same as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The low-resolution structure of the nidogen-1 and laminin &amp;#947;-1 complex. This movie was prepared using PYMOL to visualize various structural features of the complex. The crystal structure of the laminin-nidogen complex (PDB ID: 1NPE) is shown as ribbon cartoons, highlighting the interacting sites for this complex. The color scheme is the same as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critical steps of SAXS data analysis outlined in the protocol section of this paper include buffer subtraction, Guinier analysis, Kratky analysis, data merging and P(r) distribution. The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bead modeling is too extensive to be covered here in detail and is therefore only covered briefly.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Guinier analysis provides information on sample aggregation and homogeneity as well as providing the Radius of Gyration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for the macromolecule of interest based on the SAXS data from the low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region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 plot is constructed with PRIMUS/qt for SAXS data obtained from each concentration, followed by curve fitting with the maximum range of up to 1.30 for </w:t>
      </w:r>
      <w:r>
        <w:rPr>
          <w:rFonts w:ascii="Calibri" w:hAnsi="Calibri" w:cs="Calibri" w:eastAsia="Calibri"/>
          <w:i/>
          <w:color w:val="000000"/>
          <w:spacing w:val="0"/>
          <w:position w:val="0"/>
          <w:sz w:val="24"/>
          <w:shd w:fill="auto" w:val="clear"/>
        </w:rPr>
        <w:t xml:space="preserve">q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A monodispersed sample preparation should provide a linear Guinier plot in this region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whereas aggregation results in a nonlinear Guinier plot</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If the Guinier analysis is linear, the degree of “unfoldedness” of a macromolecule of interest can be observed with the Kratky plot, which is useful when deciding whether to perform rigid body modeling or construct ensembles of low-resolution models. A globular protein will appear in a Kratky plot to have a bell-shaped curve, whereas extended molecules or unfolded peptides will appear to plateau or even increase in the larger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range and lack the bell-shape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Obtaining the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from Guinier analysis only considers data points from the low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region of the 1D scatter plot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however, it is possible to use almost the entire dataset to perform an indirect Fourier transformation to convert the reciprocal-space information of ln(I(</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into a real space distance distribution function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which provides information on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shape of the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plot represents the gross solution conformation of the macromolecule of interest</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conversion of reciprocal-space data to real-space data is a critical step but a detailed description is not within the scope of this paper. Therefore, refer to an article by Svergun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understand each parameter.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buffer subtracted data at individual concentrations are processed through Guinier analysis with a consistent value for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followed by investigating their folding pattern using Kratky analysis, these data can be merged. The merged data for nidogen-1, laminin &amp;#947;-1, and their complex were processed as described above and the resulting P(r) plots are presented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Ideally, one should also calculate the pair-distance distribution function P(r) for each concentration to determine if SAXS data collected for each concentration provides similar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values. If the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remain similar over a wide range of concentrations, then the user should proceed. It should be noted that depending on the signal, data can be truncated prior to data merging. This is often the case if the concentrations and/or molecular weight of the macromolecules under investigation is 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Low-resolution shape analysis using DAMMIN can be performed in various modes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Fast, Slow, Expert modes,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The Fast mode is an ideal first step to evaluate if the P(r) plot provides good quality models. Typically, at least 10 models should be obtained for each P(r) plot to check if reproducible results, in terms of the low-resolution structure, are obtained, with a low goodness of fit parameter called </w:t>
      </w:r>
      <w:r>
        <w:rPr>
          <w:rFonts w:ascii="Calibri" w:hAnsi="Calibri" w:cs="Calibri" w:eastAsia="Calibri"/>
          <w:color w:val="000000"/>
          <w:spacing w:val="0"/>
          <w:position w:val="0"/>
          <w:sz w:val="24"/>
          <w:shd w:fill="auto" w:val="clear"/>
        </w:rPr>
        <w:t xml:space="preserve">χ (a value of 0.5-1.0 is considered good based on our extensive work), a value that describes an agreement between experimentally collected SAXS data and model-derived data. For publication purpose, we typically use Slow or Expert mode and calculate at least 15 models. In addition to DAMMIN, a faster version of it, DAMMIF</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as well as GASBOR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are also alternatives. Furthermore, to study protein-protein or protein-nucleic acid complexes, it is possible to use the MONSA program</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which facilitates simultaneous fitting of the individual SAXS data for both macromolecules as well as their complex. For more details on high-resolution model calculations as well for RNA-protein interaction studies, refer to a recent article by Patel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SAXS is theoretically simple but undoubtedly a highly complementary method to other structural biology tools and results in low-resolution structural data that can be used on its own or in conjunction with high-resolution techniques to elucidate information about macromolecular structure and dynamics. As long as a monodispersed preparation of macromolecules and their complexes can be obtained, SAXS can be utilized to study in-solution structure and interactions of any type of biological macromolecule. In the case of the complex discussed here, it is remarkable that less than 10% of the overall accessible surface area of nitrogen-1 and laminin &amp;#947;-1 is buried in this complex, whereas the rest of the domains of both proteins are freely accessible to interact with other proteins at the extracellular matrix to maintain its structural rigidity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Obtaining such information for a complex with ~240kDa would be very challenging using other structural biology techniques such as X-Ray Crystallography, NMR, and Cryo-EM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Uncovering protein structure via X-Ray Crystallography or NMR is an inherently time-consuming process. This bottleneck in structure determination is one area where SAXS shows its strength as a structural technique; data acquisition for a single SAXS experiment can take less than an hour and with the help of streamlined analysis software, analysis can be done quickly and efficiently. SAXS has the potential to greatly increase throughput of structural studies as a stand-alone technique because it offers a low-resolution model of the macromolecular structure before high-resolution data is available. A barrier to other structural techniques is the requirement for a highly pure, concentrated sample for data acquisition, which necessitates a high level of protein expression and stability over a long period of time. While SAXS samples also need to be pure and concentrated, the sample volumes are roughly 100 &amp;#181;L making SAXS a relatively inexpensive method of analysis compared to other structural techniques. Moreover, SAXS coupled with size exclusion chromatography is becoming increasingly common which provides an additional quality control step. Recently there has been strong advances in the combination of NMR and SAXS data using the Ensemble Optimization Method (EOM)</w:t>
      </w:r>
      <w:r>
        <w:rPr>
          <w:rFonts w:ascii="Calibri" w:hAnsi="Calibri" w:cs="Calibri" w:eastAsia="Calibri"/>
          <w:color w:val="000000"/>
          <w:spacing w:val="0"/>
          <w:position w:val="0"/>
          <w:sz w:val="24"/>
          <w:shd w:fill="auto" w:val="clear"/>
          <w:vertAlign w:val="superscript"/>
        </w:rPr>
        <w:t xml:space="preserve">45,46</w:t>
      </w:r>
      <w:r>
        <w:rPr>
          <w:rFonts w:ascii="Calibri" w:hAnsi="Calibri" w:cs="Calibri" w:eastAsia="Calibri"/>
          <w:color w:val="000000"/>
          <w:spacing w:val="0"/>
          <w:position w:val="0"/>
          <w:sz w:val="24"/>
          <w:shd w:fill="auto" w:val="clear"/>
        </w:rPr>
        <w:t xml:space="preserve"> to elucidate flexible systems. In a recent paper by Mertens and Svergun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 authors describe multiple recent examples of EOM SAXS in combination with NMR, along with many other examples of SAXS data being used in conjunction with NMR. Advances are continually being made in the field of SAXS, and new techniques are being developed for SAXS to be used in conjunction with, not just complimentary to, other structural techniques. Consequently, we believe that the demand for SAXS will only increase over time, especially in conjunction with NMR to characterize dynamic systems where functions are defined by flexibility.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Authors have no disclosures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project has been supported by NSERC RGPIN-2018-04994, Campus Alberta Innovation Program (RCP-12-002C) and Alberta Prion Research Institute / Alberta Innovates Bio Solutions (201600018) grants awarded to M.O. TRP is a Canada Research Chair in RNA &amp;amp; Protein Biophysics (201704) and acknowledges NSERC Discovery grant (RGPIN-2017-04003). TM is funded by the NSERC Discovery grant to TRP.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Svergun, Dmitri I, &amp;amp; Koch, M. H. J. Advances in structure analysis using small-angle scattering in solution.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(5), 654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660 (2002).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Patel, T. R., Chojnowski, G., Astha, Koul, A., McKenna, S. A., &amp;amp; Bujnicki, J. M. Structural studies of RNA-protein complexes: A hybrid approach involving hydrodynamics, scattering, and computational methods.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118</w:t>
      </w:r>
      <w:r>
        <w:rPr>
          <w:rFonts w:ascii="Calibri" w:hAnsi="Calibri" w:cs="Calibri" w:eastAsia="Calibri"/>
          <w:b/>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(2017).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Stetefeld, J., McKenna, S. A., &amp;amp; Patel, T. R. Dynamic light scattering: a practical guide and applications in biomedical sciences. </w:t>
      </w:r>
      <w:r>
        <w:rPr>
          <w:rFonts w:ascii="Calibri" w:hAnsi="Calibri" w:cs="Calibri" w:eastAsia="Calibri"/>
          <w:i/>
          <w:color w:val="000000"/>
          <w:spacing w:val="0"/>
          <w:position w:val="0"/>
          <w:sz w:val="24"/>
          <w:shd w:fill="auto" w:val="clear"/>
        </w:rPr>
        <w:t xml:space="preserve">Biophysical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(4), 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427 (2016).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Uversky, V. N., Gillespie, J. R., &amp;amp; Fink, A. L. Why are “natively unfolded” proteins unstructured under physiologic conditions? </w:t>
      </w:r>
      <w:r>
        <w:rPr>
          <w:rFonts w:ascii="Calibri" w:hAnsi="Calibri" w:cs="Calibri" w:eastAsia="Calibri"/>
          <w:i/>
          <w:color w:val="000000"/>
          <w:spacing w:val="0"/>
          <w:position w:val="0"/>
          <w:sz w:val="24"/>
          <w:shd w:fill="auto" w:val="clear"/>
        </w:rPr>
        <w:t xml:space="preserve">Proteins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(3), 415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427 (2000).</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Uversky, Vladimir N., Gillespie, J. R., Millett, I. S., Khodyakova, A. V., Vasiliev, A. M., Chernovskaya, T. V., … Abramov, V. M. Natively Unfolded Human Prothymosin &amp;#945; Adopts Partially Folded Collapsed Conformation at Acidic pH.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(45), 15009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15016 (1999).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Kikhney, A. G., &amp;amp; Svergun, D. I. A practical guide to small angle X-ray scattering (SAXS) of flexible and intrinsically disordered proteins.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589</w:t>
      </w:r>
      <w:r>
        <w:rPr>
          <w:rFonts w:ascii="Calibri" w:hAnsi="Calibri" w:cs="Calibri" w:eastAsia="Calibri"/>
          <w:color w:val="000000"/>
          <w:spacing w:val="0"/>
          <w:position w:val="0"/>
          <w:sz w:val="24"/>
          <w:shd w:fill="auto" w:val="clear"/>
        </w:rPr>
        <w:t xml:space="preserve">(19 Pt A), 2570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2577 (2015).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Schneidman-Duhovny, D., Hammel, M., Tainer, J. A., &amp;amp; Sali, A. FoXS, FoXSDock and MultiFoXS: Single-state and multi-state structural modeling of proteins and their complexes based on SAXS profiles.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 (2016).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Svergun, D., Barberato, C., &amp;amp; Koch, M. H. J. </w:t>
      </w:r>
      <w:r>
        <w:rPr>
          <w:rFonts w:ascii="Calibri" w:hAnsi="Calibri" w:cs="Calibri" w:eastAsia="Calibri"/>
          <w:i/>
          <w:color w:val="000000"/>
          <w:spacing w:val="0"/>
          <w:position w:val="0"/>
          <w:sz w:val="24"/>
          <w:shd w:fill="auto" w:val="clear"/>
        </w:rPr>
        <w:t xml:space="preserve">CRYSOL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Program to Evaluate X-ray Solution Scattering of Biological Macromolecules from Atomic Coordinates.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(6), 768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773 (1995).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P&amp;#233;rez, J., &amp;amp; Vachette, P. A Successful Combination: Coupling SE-HPLC with SAXS.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1009</w:t>
      </w:r>
      <w:r>
        <w:rPr>
          <w:rFonts w:ascii="Calibri" w:hAnsi="Calibri" w:cs="Calibri" w:eastAsia="Calibri"/>
          <w:color w:val="000000"/>
          <w:spacing w:val="0"/>
          <w:position w:val="0"/>
          <w:sz w:val="24"/>
          <w:shd w:fill="auto" w:val="clear"/>
        </w:rPr>
        <w:t xml:space="preserve">,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(2017).</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Patel, T. R., Bernards, C., Meier, M., McEleney, K., Winzor, D. J., Koch, M., &amp;amp; Stetefeld, J. Structural elucidation of full-length nidogen and the laminin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nidogen complex in solution. </w:t>
      </w:r>
      <w:r>
        <w:rPr>
          <w:rFonts w:ascii="Calibri" w:hAnsi="Calibri" w:cs="Calibri" w:eastAsia="Calibri"/>
          <w:i/>
          <w:color w:val="000000"/>
          <w:spacing w:val="0"/>
          <w:position w:val="0"/>
          <w:sz w:val="24"/>
          <w:shd w:fill="auto" w:val="clear"/>
        </w:rPr>
        <w:t xml:space="preserve">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(2014).</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Meier, M., Moya-Torres, A., Krahn, N. J., McDougall, M. D., Orriss, G. L., McRae, E. K. S., … Stetefeld, J. Structure and hydrodynamics of a DNA G-quadruplex with a cytosine bulge.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(2018).</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Franke, D., Petoukhov, M. V., Konarev, P. V., Panjkovich, A., Tuukkanen, A., Mertens, H. D. T., … Svergun, D. I. ATSAS 2.8: a comprehensive data analysis suite for small-angle scattering from macromolecular solutions.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(Pt 4), 1212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1225 (2017).</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Konarev, P. V., Volkov, V. V., Sokolova, A. V., Koch, M. H. J., &amp;amp; Svergun, D. I. PRIMUS: a Windows PC-based system for small-angle scattering data analysis.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(5), 1277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1282 (2003).</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Tuukkanen, A. T., &amp;amp; Svergun, D. I. Weak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ligand interactions studied by small-angle X-ray scattering.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(8), 1974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1987 (2014).</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Rambo, R. P., &amp;amp; Tainer, J. A. Accurate assessment of mass, models and resolution by small-angle scattering.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496</w:t>
      </w:r>
      <w:r>
        <w:rPr>
          <w:rFonts w:ascii="Calibri" w:hAnsi="Calibri" w:cs="Calibri" w:eastAsia="Calibri"/>
          <w:color w:val="000000"/>
          <w:spacing w:val="0"/>
          <w:position w:val="0"/>
          <w:sz w:val="24"/>
          <w:shd w:fill="auto" w:val="clear"/>
        </w:rPr>
        <w:t xml:space="preserve">(7446), 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481 (2013).</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Koch, M. H., Vachette, P., &amp;amp; Svergun, D. I. Small-angle scattering: a view on the properties, structures and structural changes of biological macromolecules in solution. </w:t>
      </w:r>
      <w:r>
        <w:rPr>
          <w:rFonts w:ascii="Calibri" w:hAnsi="Calibri" w:cs="Calibri" w:eastAsia="Calibri"/>
          <w:i/>
          <w:color w:val="000000"/>
          <w:spacing w:val="0"/>
          <w:position w:val="0"/>
          <w:sz w:val="24"/>
          <w:shd w:fill="auto" w:val="clear"/>
        </w:rPr>
        <w:t xml:space="preserve">Quarterly Reviews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(2),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(2003).</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Putnam, C. D., Hammel, M., Hura, G. L., &amp;amp; Tainer, J. A. X-ray solution scattering (SAXS) combined with crystallography and computation: defining accurate macromolecular structures, conformations and assemblies in solution. </w:t>
      </w:r>
      <w:r>
        <w:rPr>
          <w:rFonts w:ascii="Calibri" w:hAnsi="Calibri" w:cs="Calibri" w:eastAsia="Calibri"/>
          <w:i/>
          <w:color w:val="000000"/>
          <w:spacing w:val="0"/>
          <w:position w:val="0"/>
          <w:sz w:val="24"/>
          <w:shd w:fill="auto" w:val="clear"/>
        </w:rPr>
        <w:t xml:space="preserve">Quarterly Reviews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(3),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(2007).</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Petoukhov, M. V., &amp;amp; Svergun, D. I. Applications of small-angle X-ray scattering to biomacromolecular solutions. </w:t>
      </w:r>
      <w:r>
        <w:rPr>
          <w:rFonts w:ascii="Calibri" w:hAnsi="Calibri" w:cs="Calibri" w:eastAsia="Calibri"/>
          <w:i/>
          <w:color w:val="000000"/>
          <w:spacing w:val="0"/>
          <w:position w:val="0"/>
          <w:sz w:val="24"/>
          <w:shd w:fill="auto" w:val="clear"/>
        </w:rPr>
        <w:t xml:space="preserve">The International Journal of Biochemistry &amp;amp;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(2),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437 (2013).</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Svergun, D. I. Determination of the regularization parameter in indirect-transform methods using perceptual criteria.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(4),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503 (1992).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Patel, T. R., Morris, G. A., Zwolanek, D., Keene, D. R., Li, J., Harding, S. E., … Stetefeld, J. Nano-structure of the laminin &amp;#947;-1 short arm reveals an extended and curved multidomain assembly. </w:t>
      </w:r>
      <w:r>
        <w:rPr>
          <w:rFonts w:ascii="Calibri" w:hAnsi="Calibri" w:cs="Calibri" w:eastAsia="Calibri"/>
          <w:i/>
          <w:color w:val="000000"/>
          <w:spacing w:val="0"/>
          <w:position w:val="0"/>
          <w:sz w:val="24"/>
          <w:shd w:fill="auto" w:val="clear"/>
        </w:rPr>
        <w:t xml:space="preserve">Matrix Biology: Journal of the International Society for 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(7), 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(2010).</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Patel, T. R., Reuten, R., Xiong, S., Meier, M., Winzor, D. J., Koch, M., &amp;amp; Stetefeld, J. Determination of a molecular shape for netrin-4 from hydrodynamic and small angle X-ray scattering measurements. </w:t>
      </w:r>
      <w:r>
        <w:rPr>
          <w:rFonts w:ascii="Calibri" w:hAnsi="Calibri" w:cs="Calibri" w:eastAsia="Calibri"/>
          <w:i/>
          <w:color w:val="000000"/>
          <w:spacing w:val="0"/>
          <w:position w:val="0"/>
          <w:sz w:val="24"/>
          <w:shd w:fill="auto" w:val="clear"/>
        </w:rPr>
        <w:t xml:space="preserve">Matrix Biology: Journal of the International Society for 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(2012).</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Dzananovic, E., Patel, T. R., Deo, S., McEleney, K., Stetefeld, J., &amp;amp; McKenna, S. A. Recognition of viral RNA stem-loops by the tandem double-stranded RNA binding domains of PKR. </w:t>
      </w:r>
      <w:r>
        <w:rPr>
          <w:rFonts w:ascii="Calibri" w:hAnsi="Calibri" w:cs="Calibri" w:eastAsia="Calibri"/>
          <w:i/>
          <w:color w:val="000000"/>
          <w:spacing w:val="0"/>
          <w:position w:val="0"/>
          <w:sz w:val="24"/>
          <w:shd w:fill="auto" w:val="clear"/>
        </w:rPr>
        <w:t xml:space="preserve">RNA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(3), 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(2013).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Meier, M., Patel, T. R., Booy, E. P., Marushchak, O., Okun, N., Deo, S., … McKenna, S. A. Binding of G-quadruplexes to the N-terminal recognition domain of the RNA helicase associated with AU-rich element (RHAU).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(49), 35014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35027 (2013).</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Dzananovic, E., Patel, T. R., Chojnowski, G., Boniecki, M. J., Deo, S., McEleney, K., … McKenna, S. A. Solution conformation of adenovirus virus associated RNA-I and its interaction with PKR.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(1),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(2014).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Bacik, J.-P., Tavassoli, M., Patel, T. R., McKenna, S. A., Vocadlo, D. J., Khajehpour, M., &amp;amp; Mark, B. L. Conformational itinerary of Pseudomonas aeruginosa 1,6-anhydro-N-acetylmuramic acid kinase during its catalytic cycle.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(7), 4504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4514 (2014).</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Deo, S., Patel, T. R., Dzananovic, E., Booy, E. P., Zeid, K., McEleney, K., … McKenna, S. A. Activation of 2’ 5’-oligoadenylate synthetase by stem loops at the 5’-end of the West Nile virus genome.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(3), e92545 (2014).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Vadlamani, G., Thomas, M. D., Patel, T. R., Donald, L. J., Reeve, T. M., Stetefeld, J., … Mark, B. L. (2015). The &amp;#946;-lactamase gene regulator AmpR is a tetramer that recognizes and binds the D-Ala-D-Ala motif of its repressor UDP-N-acetylmuramic acid (MurNAc)-pentapeptide.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(5), 2630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2643 (2015).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Deo, S., Patel, T. R., Chojnowski, G., Koul, A., Dzananovic, E., McEleney, K., … McKenna, S. A. Characterization of the termini of the West Nile virus genome and their interactions with the small isoform of the 2’ 5’-oligoadenylate synthetase family.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(2),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(2015).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Ariyo, E. O., Booy, E. P., Patel, T. R., Dzananovic, E., McRae, E. K., Meier, M., … McKenna, S. A. Biophysical Characterization of G-Quadruplex Recognition in the PITX1 mRNA by the Specificity Domain of the Helicase RHAU.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(12), e0144510 (2015).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Hyde, E. I., Callow, P., Rajasekar, K. V., Timmins, P., Patel, T. R., Siligardi, G., … Scott, D. J. Intrinsic disorder in the partitioning protein KorB persists after co-operative complex formation with operator DNA and KorA.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474</w:t>
      </w:r>
      <w:r>
        <w:rPr>
          <w:rFonts w:ascii="Calibri" w:hAnsi="Calibri" w:cs="Calibri" w:eastAsia="Calibri"/>
          <w:color w:val="000000"/>
          <w:spacing w:val="0"/>
          <w:position w:val="0"/>
          <w:sz w:val="24"/>
          <w:shd w:fill="auto" w:val="clear"/>
        </w:rPr>
        <w:t xml:space="preserve">(18), 3121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3135 (2017).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Dzananovic, E., Astha, null, Chojnowski, G., Deo, S., Booy, E. P., Padilla-Meier, P., … McKenna, S. A. Impact of the structural integrity of the three-way junction of adenovirus VAI RNA on PKR inhibition.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(10), e0186849 (2017).</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Krahn, N., Meier, M., To, V., Booy, E. P., McEleney, K., O’Neil, J. D., … Stetefeld, J. Nanoscale Assembly of High-Mobility Group AT-Hook 2 Protein with DNA Replication Fork.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(12), 2609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2620 (2017).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Patel, T. R., Besong, T. M. D., Meier, M., McEleney, K., Harding, S. E., Winzor, D. J., &amp;amp; Stetefeld, J. Interaction studies of a protein and carbohydrate system using an integrated approach: a case study of the miniagrin-heparin system. </w:t>
      </w:r>
      <w:r>
        <w:rPr>
          <w:rFonts w:ascii="Calibri" w:hAnsi="Calibri" w:cs="Calibri" w:eastAsia="Calibri"/>
          <w:i/>
          <w:color w:val="000000"/>
          <w:spacing w:val="0"/>
          <w:position w:val="0"/>
          <w:sz w:val="24"/>
          <w:shd w:fill="auto" w:val="clear"/>
        </w:rPr>
        <w:t xml:space="preserve">European Biophysics Journal: EBJ </w:t>
      </w:r>
      <w:r>
        <w:rPr>
          <w:rFonts w:ascii="Calibri" w:hAnsi="Calibri" w:cs="Calibri" w:eastAsia="Calibri"/>
          <w:color w:val="000000"/>
          <w:spacing w:val="0"/>
          <w:position w:val="0"/>
          <w:sz w:val="24"/>
          <w:shd w:fill="auto" w:val="clear"/>
        </w:rPr>
        <w:t xml:space="preserve">(2018).</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Svergun, D. I. Restoring low resolution structure of biological macromolecules from solution scattering using simulated annealing.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(6), 2879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2886 (1999).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Blanchet, C. E., &amp;amp; Svergun, D. I. Small-Angle X-Ray Scattering on Biological Macromolecules and Nanocomposites in Solution. </w:t>
      </w:r>
      <w:r>
        <w:rPr>
          <w:rFonts w:ascii="Calibri" w:hAnsi="Calibri" w:cs="Calibri" w:eastAsia="Calibri"/>
          <w:i/>
          <w:color w:val="000000"/>
          <w:spacing w:val="0"/>
          <w:position w:val="0"/>
          <w:sz w:val="24"/>
          <w:shd w:fill="auto" w:val="clear"/>
        </w:rPr>
        <w:t xml:space="preserve">Annual Review of 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(2013).</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Volkov, V. V., Svergun, D. I. Uniqueness of ab initio shape determination in small-angle scattering.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860-864 (2003).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Kozin, M. B., &amp;amp; Svergun, D. I. Automated matching of high- and low-resolution structural models.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(1),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(2001).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Franke, Daniel, &amp;amp; Svergun, D. I. DAMMIF, a program for rapid ab-initio shape determination in small-angle scattering.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(Pt 2), 342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346 (2009).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Svergun, Dmitri I., Petoukhov, M. V., &amp;amp; Koch, M. H. J. Determination of Domain Structure of Proteins from X-Ray Solution Scattering.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(6), 2946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2953 (2001).</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Baumgartner, R., Czisch, M., Mayer, U., P&amp;#246;schl, E., Huber, R., Timpl, R., &amp;amp; Holak, T. A. Structure of the nidogen binding LE module of the laminin gamma1 chain in solution.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(3), 658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668 (1996).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Stetefeld, J., Mayer, U., Timpl, R., &amp;amp; Huber, R. Crystal structure of three consecutive laminin-type epidermal growth factor-like (LE) modules of laminin gamma1 chain harboring the nidogen binding site.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(3), 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657 (1996).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Takagi, J., Yang, Y., Liu, J.-H., Wang, J.-H., &amp;amp; Springer, T. A. Complex between nidogen and laminin fragments reveals a paradigmatic beta-propeller interface.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(6951), 969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974 (2003).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F&amp;#246;rster, S., Apostol, L. &amp;amp; Bras, W. Scatter: software for the analysis of nano- and mesoscale small-angle scattering. </w:t>
      </w:r>
      <w:r>
        <w:rPr>
          <w:rFonts w:ascii="Calibri" w:hAnsi="Calibri" w:cs="Calibri" w:eastAsia="Calibri"/>
          <w:i/>
          <w:color w:val="000000"/>
          <w:spacing w:val="0"/>
          <w:position w:val="0"/>
          <w:sz w:val="24"/>
          <w:shd w:fill="auto" w:val="clear"/>
        </w:rPr>
        <w:t xml:space="preserve">J. Appl. Cryst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639-646 (2010).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Hopkins, J.B., Gillilan, R.E., Skou, S. BioXTAS RAW: improvements to a free open-source program for small-angle X-ray scattering data reduction and analysis. </w:t>
      </w:r>
      <w:r>
        <w:rPr>
          <w:rFonts w:ascii="Calibri" w:hAnsi="Calibri" w:cs="Calibri" w:eastAsia="Calibri"/>
          <w:i/>
          <w:color w:val="000000"/>
          <w:spacing w:val="0"/>
          <w:position w:val="0"/>
          <w:sz w:val="24"/>
          <w:shd w:fill="auto" w:val="clear"/>
        </w:rPr>
        <w:t xml:space="preserve">J. Appl. Cryst.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1553 (2017).</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Bernad&amp;#243;, P., Mylonas, E., Petoukhov, M.V., Blackledge, M., Svergun, D.I.. Structural characterization of flexible proteins using small-angle X-ray scattering.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(17):5656-64 (2007)</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Tria, G., Mertens, H.D., Kachala, M., Svergun, D.I.. Advanced ensemble modelling of flexible macromolecules using X-ray solution scattering.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(Pt 2):207-17 (2015).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Mertens, H.D.T. &amp;amp; Svergun, D.I. Combining NMR and small angle X-ray scattering for</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study of biomolecular structure and dynamics. </w:t>
      </w:r>
      <w:r>
        <w:rPr>
          <w:rFonts w:ascii="Calibri" w:hAnsi="Calibri" w:cs="Calibri" w:eastAsia="Calibri"/>
          <w:i/>
          <w:color w:val="000000"/>
          <w:spacing w:val="0"/>
          <w:position w:val="0"/>
          <w:sz w:val="24"/>
          <w:shd w:fill="auto" w:val="clear"/>
        </w:rPr>
        <w:t xml:space="preserve">Arch Biochem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628</w:t>
      </w:r>
      <w:r>
        <w:rPr>
          <w:rFonts w:ascii="Calibri" w:hAnsi="Calibri" w:cs="Calibri" w:eastAsia="Calibri"/>
          <w:color w:val="000000"/>
          <w:spacing w:val="0"/>
          <w:position w:val="0"/>
          <w:sz w:val="24"/>
          <w:shd w:fill="auto" w:val="clear"/>
        </w:rPr>
        <w:t xml:space="preserve">:33-41.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