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tbl>
      <w:tblPr>
        <w:tblW w:w="934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673"/>
        <w:gridCol w:w="4674"/>
      </w:tblGrid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Name of Material/ Equipment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sz w:val="22"/>
                <w:szCs w:val="22"/>
                <w:rtl w:val="0"/>
              </w:rPr>
              <w:t>Role in the culture media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Ferric citrate, ferric quinate, iron chloride or iron sulfate  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Calibri" w:cs="Calibri" w:hAnsi="Calibri" w:eastAsia="Calibri"/>
                <w:sz w:val="22"/>
                <w:szCs w:val="22"/>
                <w:rtl w:val="0"/>
              </w:rPr>
              <w:t xml:space="preserve">Iron source for the biomineralization process </w:t>
            </w:r>
          </w:p>
        </w:tc>
      </w:tr>
      <w:tr>
        <w:tblPrEx>
          <w:shd w:val="clear" w:color="auto" w:fill="auto"/>
        </w:tblPrEx>
        <w:trPr>
          <w:trHeight w:val="734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Vitamin supplement solution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Components of this solution can be used by the bacteria as coenzymes or as functional groups for certain enzymes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Trace mineral solution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Contains cofactors for enzymes</w:t>
            </w:r>
          </w:p>
        </w:tc>
      </w:tr>
      <w:tr>
        <w:tblPrEx>
          <w:shd w:val="clear" w:color="auto" w:fill="auto"/>
        </w:tblPrEx>
        <w:trPr>
          <w:trHeight w:val="494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rtl w:val="0"/>
              </w:rPr>
              <w:t>K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2</w:t>
            </w:r>
            <w:r>
              <w:rPr>
                <w:rFonts w:ascii="Calibri" w:cs="Calibri" w:hAnsi="Calibri" w:eastAsia="Calibri"/>
                <w:rtl w:val="0"/>
              </w:rPr>
              <w:t>HPO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4</w:t>
            </w:r>
            <w:r>
              <w:rPr>
                <w:rFonts w:ascii="Calibri" w:cs="Calibri" w:hAnsi="Calibri" w:eastAsia="Calibri"/>
                <w:rtl w:val="0"/>
              </w:rPr>
              <w:t>, KH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2</w:t>
            </w:r>
            <w:r>
              <w:rPr>
                <w:rFonts w:ascii="Calibri" w:cs="Calibri" w:hAnsi="Calibri" w:eastAsia="Calibri"/>
                <w:rtl w:val="0"/>
              </w:rPr>
              <w:t>PO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 xml:space="preserve">4 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Sources of phosphorus and potassium also acting as buffering agents</w:t>
            </w:r>
          </w:p>
        </w:tc>
      </w:tr>
      <w:tr>
        <w:tblPrEx>
          <w:shd w:val="clear" w:color="auto" w:fill="auto"/>
        </w:tblPrEx>
        <w:trPr>
          <w:trHeight w:val="1460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rtl w:val="0"/>
                <w:lang w:val="da-DK"/>
              </w:rPr>
              <w:t>MgSO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4</w:t>
            </w:r>
            <w:r>
              <w:rPr>
                <w:rFonts w:ascii="Calibri" w:cs="Calibri" w:hAnsi="Calibri" w:eastAsia="Calibri"/>
                <w:rtl w:val="0"/>
                <w:lang w:val="ru-RU"/>
              </w:rPr>
              <w:t>.7 H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2</w:t>
            </w:r>
            <w:r>
              <w:rPr>
                <w:rFonts w:ascii="Calibri" w:cs="Calibri" w:hAnsi="Calibri" w:eastAsia="Calibri"/>
                <w:rtl w:val="0"/>
              </w:rPr>
              <w:t>O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bottom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color w:val="333333"/>
                <w:rtl w:val="0"/>
                <w:lang w:val="en-US"/>
              </w:rPr>
              <w:t>Source of magnesium and sulfate. Mg</w:t>
            </w:r>
            <w:r>
              <w:rPr>
                <w:rFonts w:ascii="Calibri" w:cs="Calibri" w:hAnsi="Calibri" w:eastAsia="Calibri"/>
                <w:color w:val="333333"/>
                <w:vertAlign w:val="superscript"/>
                <w:rtl w:val="0"/>
              </w:rPr>
              <w:t>2+</w:t>
            </w:r>
            <w:r>
              <w:rPr>
                <w:rFonts w:ascii="Calibri" w:cs="Calibri" w:hAnsi="Calibri" w:eastAsia="Calibri"/>
                <w:color w:val="333333"/>
                <w:rtl w:val="0"/>
                <w:lang w:val="en-US"/>
              </w:rPr>
              <w:t xml:space="preserve"> can be used as cofactor for enzymes involved in cell division. Sulfate is important for synthesis of polysaccharides in Gram-negative bacteria and can act as an electron acceptor agent in anaerobic conditions.</w:t>
            </w:r>
          </w:p>
        </w:tc>
      </w:tr>
      <w:tr>
        <w:tblPrEx>
          <w:shd w:val="clear" w:color="auto" w:fill="auto"/>
        </w:tblPrEx>
        <w:trPr>
          <w:trHeight w:val="974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HEPES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 xml:space="preserve">Organic buffering agent used to maintain the physiological pH in the cell during the changes of pH in the medium for cellular respiration.  </w:t>
            </w:r>
          </w:p>
        </w:tc>
      </w:tr>
      <w:tr>
        <w:tblPrEx>
          <w:shd w:val="clear" w:color="auto" w:fill="auto"/>
        </w:tblPrEx>
        <w:trPr>
          <w:trHeight w:val="494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rtl w:val="0"/>
              </w:rPr>
              <w:t>NaNO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3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 xml:space="preserve">Nitrogen source for synthesis of aminoacids via nitrate and nitrite reductase 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rtl w:val="0"/>
              </w:rPr>
              <w:t>NH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4</w:t>
            </w:r>
            <w:r>
              <w:rPr>
                <w:rFonts w:ascii="Calibri" w:cs="Calibri" w:hAnsi="Calibri" w:eastAsia="Calibri"/>
                <w:rtl w:val="0"/>
              </w:rPr>
              <w:t>Cl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Nitrogen source for synthesis of aminoacids</w:t>
            </w:r>
          </w:p>
        </w:tc>
      </w:tr>
      <w:tr>
        <w:tblPrEx>
          <w:shd w:val="clear" w:color="auto" w:fill="auto"/>
        </w:tblPrEx>
        <w:trPr>
          <w:trHeight w:val="494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Yeast Extract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Source of amino acids and salts used for protein production</w:t>
            </w:r>
          </w:p>
        </w:tc>
      </w:tr>
      <w:tr>
        <w:tblPrEx>
          <w:shd w:val="clear" w:color="auto" w:fill="auto"/>
        </w:tblPrEx>
        <w:trPr>
          <w:trHeight w:val="494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Peptone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Source of amino acids and salts used for protein production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Potassium L-lactate solution (60%)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Carbon source for heterotrophic metabolism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Sodium succinate hexahydrate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Carbon source for heterotrophic metabolism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Sodium L-tartrate dibasic dihydrate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Carbon source for heterotrophic metabolism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Sodium acetate trihydrate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Carbon source for heterotrophic metabolism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Sodium bicarbonate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Carbon source for autotrophic metabolism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Resazurin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 xml:space="preserve">Redox indicator 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Ascorbic acid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Reducing agent</w:t>
            </w:r>
          </w:p>
        </w:tc>
      </w:tr>
      <w:tr>
        <w:tblPrEx>
          <w:shd w:val="clear" w:color="auto" w:fill="auto"/>
        </w:tblPrEx>
        <w:trPr>
          <w:trHeight w:val="41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Default"/>
            </w:pPr>
            <w:r>
              <w:rPr>
                <w:rFonts w:ascii="Calibri" w:cs="Calibri" w:hAnsi="Calibri" w:eastAsia="Calibri"/>
                <w:rtl w:val="0"/>
              </w:rPr>
              <w:t>L-cysteine.HCl.H</w:t>
            </w:r>
            <w:r>
              <w:rPr>
                <w:rFonts w:ascii="Calibri" w:cs="Calibri" w:hAnsi="Calibri" w:eastAsia="Calibri"/>
                <w:vertAlign w:val="subscript"/>
                <w:rtl w:val="0"/>
              </w:rPr>
              <w:t>2</w:t>
            </w:r>
            <w:r>
              <w:rPr>
                <w:rFonts w:ascii="Calibri" w:cs="Calibri" w:hAnsi="Calibri" w:eastAsia="Calibri"/>
                <w:rtl w:val="0"/>
              </w:rPr>
              <w:t>O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Reducing agent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ffffff"/>
            <w:tcMar>
              <w:top w:type="dxa" w:w="0"/>
              <w:left w:type="dxa" w:w="40"/>
              <w:bottom w:type="dxa" w:w="40"/>
              <w:right w:type="dxa" w:w="40"/>
            </w:tcMar>
            <w:vAlign w:val="bottom"/>
          </w:tcPr>
          <w:p>
            <w:pPr>
              <w:pStyle w:val="Table Style 2"/>
            </w:pPr>
            <w:r>
              <w:rPr>
                <w:rFonts w:ascii="Helvetica Neue" w:hAnsi="Helvetica Neue"/>
                <w:sz w:val="22"/>
                <w:szCs w:val="22"/>
                <w:rtl w:val="0"/>
              </w:rPr>
              <w:t>Agar</w:t>
            </w:r>
          </w:p>
        </w:tc>
        <w:tc>
          <w:tcPr>
            <w:tcW w:type="dxa" w:w="4673"/>
            <w:tcBorders>
              <w:top w:val="single" w:color="aaaaaa" w:sz="8" w:space="0" w:shadow="0" w:frame="0"/>
              <w:left w:val="single" w:color="aaaaaa" w:sz="8" w:space="0" w:shadow="0" w:frame="0"/>
              <w:bottom w:val="single" w:color="aaaaaa" w:sz="8" w:space="0" w:shadow="0" w:frame="0"/>
              <w:right w:val="single" w:color="aaaaaa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