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Chicken Primary Bursal-cell Culture Model to Study Infectious Bursal Disease Virus Pathogenesis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Katherine L. Dulwich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Amin Asfor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Alice G. Gray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Venugopal Nair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J. Broadbent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Pirbright Institute, Ash Road, Woking,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Broadbent </w:t>
        <w:tab/>
        <w:tab/>
        <w:t xml:space="preserve">(andrew.broadbent@pirbright.ac.uk)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L. Dulwich </w:t>
        <w:tab/>
        <w:tab/>
        <w:t xml:space="preserve">(kate.dulwich@pirbright.ac.uk)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Amin Asfor </w:t>
        <w:tab/>
        <w:tab/>
        <w:tab/>
        <w:t xml:space="preserve">(amin.asfor@pirbright.ac.uk)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Alice G. Gray </w:t>
        <w:tab/>
        <w:tab/>
        <w:tab/>
        <w:t xml:space="preserve">(alicegray2396@yahoo.co.uk)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Venugopal Nair </w:t>
        <w:tab/>
        <w:tab/>
        <w:t xml:space="preserve">(venugopal.nair@pirbright.ac.uk)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J. Broadbent </w:t>
        <w:tab/>
        <w:tab/>
        <w:t xml:space="preserve">(andrew.broadbent@pirbright.ac.uk)</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Chicken, primary cells, bursa of Fabricius, B cells, virus, infectious bursal disease virus, IBDV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isolation of chicken primary bursal cells from the bursa of Fabricius, the culture and infection of the cells with </w:t>
      </w:r>
      <w:r>
        <w:rPr>
          <w:rFonts w:ascii="Calibri" w:hAnsi="Calibri" w:cs="Calibri" w:eastAsia="Calibri"/>
          <w:color w:val="auto"/>
          <w:spacing w:val="0"/>
          <w:position w:val="0"/>
          <w:sz w:val="24"/>
          <w:shd w:fill="auto" w:val="clear"/>
        </w:rPr>
        <w:t xml:space="preserve">infectious bursal disease virus,</w:t>
      </w:r>
      <w:r>
        <w:rPr>
          <w:rFonts w:ascii="Calibri" w:hAnsi="Calibri" w:cs="Calibri" w:eastAsia="Calibri"/>
          <w:color w:val="000000"/>
          <w:spacing w:val="0"/>
          <w:position w:val="0"/>
          <w:sz w:val="24"/>
          <w:shd w:fill="auto" w:val="clear"/>
        </w:rPr>
        <w:t xml:space="preserve"> and the quantification of viral replication.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Infectious bursal disease virus (IBDV) is a birnavirus of economic importance to the poultry industry. The virus infects B cells, causing morbidity, mortality, and immunosuppression in infected birds. In this study, we describe the isolation of chicken primary bursal cells from the bursa of Fabricius, the culture and infection of the cells with IBDV, and the quantification of viral replication. The addition of chicken CD40 ligand significantly increased cell proliferation fourfold over six days of culture and significantly enhanced cell viability. Two strains of IBDV, a cell-culture adapted strain, D78, and a very virulent strain, UK661, replicated well in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cell cultures. This model will be of use in determining how cells respond to IBDV infection and will permit a reduction in the number of infected birds used in IBDV pathogenesis studies. The model can also be expanded to include other viruses and could be applied to different species of birds.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global poultry industry is </w:t>
      </w:r>
      <w:r>
        <w:rPr>
          <w:rFonts w:ascii="Calibri" w:hAnsi="Calibri" w:cs="Calibri" w:eastAsia="Calibri"/>
          <w:color w:val="auto"/>
          <w:spacing w:val="0"/>
          <w:position w:val="0"/>
          <w:sz w:val="24"/>
          <w:shd w:fill="auto" w:val="clear"/>
        </w:rPr>
        <w:t xml:space="preserve">essential to secure </w:t>
      </w:r>
      <w:r>
        <w:rPr>
          <w:rFonts w:ascii="Calibri" w:hAnsi="Calibri" w:cs="Calibri" w:eastAsia="Calibri"/>
          <w:color w:val="000000"/>
          <w:spacing w:val="0"/>
          <w:position w:val="0"/>
          <w:sz w:val="24"/>
          <w:shd w:fill="auto" w:val="clear"/>
        </w:rPr>
        <w:t xml:space="preserve">enough food for an expanding human population. However, immunosuppression is the threat to food security and the welfare of affected birds and represents a key economic challenge to the industry. The majority of cases of immunosuppression in chickens are caused by the infection with immunosuppressive viruses, with those most responsible for impairing acquired immunity having a tropism for T and B lymphocytes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birds, the majority of B cells are located within an organ known as the bursa of Fabricius (BF). B cells are susceptible to infection with several immunosuppressive viruses, including those that cause lysis, such as IBDV and Marek’s disease virus (MDV), and those that cause transformation, such as avian leukosis virus (ALV) and reticuloendotheliosis virus (REV).</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develop better strategies for controlling these infections, it is essential to characterize the interaction of the viruses with chicken B cells. However, when B cells are removed from a bird, they do not survive well in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culture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making it difficult to perform a thorough analysis of the interactions of IBDV with chicken B cells, or the early events following ALV or REV infection. Consequently, many host cell-virus interactions have been studied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3-10</w:t>
      </w:r>
      <w:r>
        <w:rPr>
          <w:rFonts w:ascii="Calibri" w:hAnsi="Calibri" w:cs="Calibri" w:eastAsia="Calibri"/>
          <w:color w:val="000000"/>
          <w:spacing w:val="0"/>
          <w:position w:val="0"/>
          <w:sz w:val="24"/>
          <w:shd w:fill="auto" w:val="clear"/>
        </w:rPr>
        <w:t xml:space="preserve">. Although these studies are informative, they involve the use of infected birds which suffer from diseases that can be severe.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CD40 ligand is a molecule that induces B cell proliferation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Following identification of the gene encoding chicken CD40L (chCD40L), a soluble fusion protein was engineered that, when added to the culture media, induced the proliferation of chicken primary B cells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2015, B cells cultured in this fashion were found to support the replication of MDV</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in 2017, we and others found that primary bursal cells stimulated with chCD40L could be used as a model to study IBDV replication</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Here, we describe the isolation and culture of chicken primary bursal cells, the infection of the cells with IBDV, and the quantification of viral replication. Although we describe the method in the context of the BF, this could be applied to isolate and culture cells from different lymphoid organs.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with animals must be ethically approved in advance. In our institution, a</w:t>
      </w:r>
      <w:r>
        <w:rPr>
          <w:rFonts w:ascii="Calibri" w:hAnsi="Calibri" w:cs="Calibri" w:eastAsia="Calibri"/>
          <w:color w:val="auto"/>
          <w:spacing w:val="0"/>
          <w:position w:val="0"/>
          <w:sz w:val="24"/>
          <w:shd w:fill="auto" w:val="clear"/>
        </w:rPr>
        <w:t xml:space="preserve">ll procedures are performed in accordance with the UK Animal (Scientific Procedures) Act 1986 under Home Office Establishment, Personal and Project licenses, after the approval of the internal Animal Welfare and Ethical Review Board (AWERB).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chCD40L</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Culture HEK 293-msCD8-CD40L cells that stably express a soluble chCD40L construct in 1x Roswell Park Memorial Institute (RPMI) medium supplemented with 10% heat-inactivated (hi) fetal calf serum (FCS) and 1 µg/mL puromycin at 37 °C in an atmosphere containing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cells are available from The Pirbright Institute following the </w:t>
      </w:r>
      <w:r>
        <w:rPr>
          <w:rFonts w:ascii="Calibri" w:hAnsi="Calibri" w:cs="Calibri" w:eastAsia="Calibri"/>
          <w:color w:val="auto"/>
          <w:spacing w:val="0"/>
          <w:position w:val="0"/>
          <w:sz w:val="24"/>
          <w:shd w:fill="auto" w:val="clear"/>
        </w:rPr>
        <w:t xml:space="preserve">signing of the appropriate material transfer agreement.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Split the cells at a 1:5 density when confluent. Collect the supernatant (containing the soluble chCD40L construct) each time the cells are split, centrifuge it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to remove cellular debris, and store it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500 mL of the supernatant has been collected, pool the liquid and filter-sterilize it through a 0.2-µm filter.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Concentrate the supernatant using centrifugal protein concentrators with a molecular-weight cutoff of 10 K according to the manufacturer’s instructions. Extract the concentrated supernatant from each column, pool it together, and filter-sterilize it by passing it through a 0.22-µm syringe filter.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final concentration to be used in experiments by serially diluting the chCD40L solution in 1x </w:t>
      </w:r>
      <w:r>
        <w:rPr>
          <w:rFonts w:ascii="Calibri" w:hAnsi="Calibri" w:cs="Calibri" w:eastAsia="Calibri"/>
          <w:color w:val="000000"/>
          <w:spacing w:val="0"/>
          <w:position w:val="0"/>
          <w:sz w:val="24"/>
          <w:shd w:fill="auto" w:val="clear"/>
        </w:rPr>
        <w:t xml:space="preserve">Iscove’s modified Dulbecco’s medium (IMDM)</w:t>
      </w:r>
      <w:r>
        <w:rPr>
          <w:rFonts w:ascii="Calibri" w:hAnsi="Calibri" w:cs="Calibri" w:eastAsia="Calibri"/>
          <w:color w:val="auto"/>
          <w:spacing w:val="0"/>
          <w:position w:val="0"/>
          <w:sz w:val="24"/>
          <w:shd w:fill="auto" w:val="clear"/>
        </w:rPr>
        <w:t xml:space="preserve"> (described in step 2.4) and culturing primary bursal cells in the presence of the dilutions. Determine the number and percentage viability of the cells daily for up to a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lowest concentration where cell proliferation and viability are adequate is the concentration to use in the assay. This is likely to be between 1:20 and 1:50.</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Solutions for Chicken Primary Bursal Cell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1x Hanks’ balanced salt solution (HBBS) with calcium (Ca)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adding 10 mL of 10x HBBS with Ca to 90 mL of sterile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0.47 µL of 7.5%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collagenase D stock solution at 8 mg/mL in 1x HBBS with Ca. Filter-sterilize the solution through a 0.2-µM filter.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advisable to prepare 5-mL aliquots and freeze them at -20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1x RPMI medium supplemented with 5% hi FCS. Store the media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1x 500 mL of IMDM supplemented with 8% hi FCS, 2% hi chicken serum, 50 mM </w:t>
      </w:r>
      <w:r>
        <w:rPr>
          <w:rFonts w:ascii="Calibri" w:hAnsi="Calibri" w:cs="Calibri" w:eastAsia="Calibri"/>
          <w:color w:val="000000"/>
          <w:spacing w:val="0"/>
          <w:position w:val="0"/>
          <w:sz w:val="24"/>
          <w:shd w:fill="auto" w:val="clear"/>
        </w:rPr>
        <w:t xml:space="preserve">β-mercaptoethanol, 50 </w:t>
      </w:r>
      <w:r>
        <w:rPr>
          <w:rFonts w:ascii="Calibri" w:hAnsi="Calibri" w:cs="Calibri" w:eastAsia="Calibri"/>
          <w:color w:val="000000"/>
          <w:spacing w:val="0"/>
          <w:position w:val="0"/>
          <w:sz w:val="24"/>
          <w:shd w:fill="auto" w:val="clear"/>
        </w:rPr>
        <w:t xml:space="preserve">µL of insulin-transferrin-sodium-selenite, and 1% penicillin/streptomycin. Store the media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all the above-mentioned solutions in advance.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1x HBBS with Ca. Store the solution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1x HBBS without Ca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adding 10 mL of 10x HBBS without Ca to 90 mL of sterile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0.47 µL of 7.5%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EDTA at a final concentration of 10 mM. Store the solution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1x collagenase D solution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adding 5 mL of collagenase D stock solution to 13 mL of HBBS with Ca to make a total of 18 mL. Store the solution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the solutions mentioned in steps 2.5 - 2.7 on the day of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Removal of the Bursa of Fabricius (BF)</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Rear and hatch chickens in an appropriate, approved facility and humanely cull them at 2 - 3 weeks of age.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institute-approved methods for culling.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 the BF from each chicken using aseptic techniques.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protocols in place at the institution.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carcass in dorsal recumbency and sterilize the skin and feathers overlaying the abdomen and thorax with a solution of 70% ethanol, diluted in water.</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Make a ventral midline incision in the lower abdomen using a sterilized scalpel or scissors.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Locate the bursa of Fabricius, which is connected to the caudal section of the colon, cranial to the cloaca.</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sterilized forceps and scissors, cut the bursa of Fabricius free from the colon. Take care to avoid puncturing the gut.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organ in cold PBS and transfer it to the laboratory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Primary cells should be isolated as soon as possible after the organ harvest.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Isolation of Chicken Primary Bursal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Working in a </w:t>
      </w:r>
      <w:r>
        <w:rPr>
          <w:rFonts w:ascii="Calibri" w:hAnsi="Calibri" w:cs="Calibri" w:eastAsia="Calibri"/>
          <w:color w:val="auto"/>
          <w:spacing w:val="0"/>
          <w:position w:val="0"/>
          <w:sz w:val="24"/>
          <w:shd w:fill="auto" w:val="clear"/>
        </w:rPr>
        <w:t xml:space="preserve">microbiological safety cabinet, wash the BF at least 3x in 30 mL of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Transfer the tissue to a Petri dish (92 mm in diameter, 21 mm in height) and </w:t>
      </w:r>
      <w:r>
        <w:rPr>
          <w:rFonts w:ascii="Calibri" w:hAnsi="Calibri" w:cs="Calibri" w:eastAsia="Calibri"/>
          <w:color w:val="000000"/>
          <w:spacing w:val="0"/>
          <w:position w:val="0"/>
          <w:sz w:val="24"/>
          <w:shd w:fill="auto" w:val="clear"/>
        </w:rPr>
        <w:t xml:space="preserve">add 5 mL of 1x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ollagenase D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sterile scissors or a scalpel blade, cut the BF into pieces of less than 5 mm in diameter.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tissue at 37 °C with periodic gentle agitation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collagenase solution will begin to digest the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sterile Pasteur pipette, repeatedly aspirate the mixture to encourage disintegration of the tissue. If necessary, cut the tissue into smaller pieces.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another 5 mL of 1x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ollagenase D solution to the tissue and incubate it at 37 °C with periodic gentle agitation for another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steps 4.6 and 4.7 until the tissue is completely digested.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will be small granules that do not dissolve further.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Pass the cell suspension through a 100-µm cell strainer into 20 mL of 1x HBBS without Ca.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cell suspension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Discard the supernatant and resuspend the pellet in 10 mL of 1x RPMI with 5% FCS.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Either overlay 10 mL of the cell suspension on top of 5 mL of density gradient media containing </w:t>
      </w:r>
      <w:r>
        <w:rPr>
          <w:rFonts w:ascii="Calibri" w:hAnsi="Calibri" w:cs="Calibri" w:eastAsia="Calibri"/>
          <w:color w:val="auto"/>
          <w:spacing w:val="0"/>
          <w:position w:val="0"/>
          <w:sz w:val="24"/>
          <w:shd w:fill="FFFFFF" w:val="clear"/>
        </w:rPr>
        <w:t xml:space="preserve">polysucrose and sodium diatrizoate </w:t>
      </w:r>
      <w:r>
        <w:rPr>
          <w:rFonts w:ascii="Calibri" w:hAnsi="Calibri" w:cs="Calibri" w:eastAsia="Calibri"/>
          <w:color w:val="000000"/>
          <w:spacing w:val="0"/>
          <w:position w:val="0"/>
          <w:sz w:val="24"/>
          <w:shd w:fill="auto" w:val="clear"/>
        </w:rPr>
        <w:t xml:space="preserve">or underlay 5 mL of density gradient media beneath the 10-mL cell suspension. Ensure there is a clear interface between the two.</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overlay at </w:t>
      </w:r>
      <w:r>
        <w:rPr>
          <w:rFonts w:ascii="Calibri" w:hAnsi="Calibri" w:cs="Calibri" w:eastAsia="Calibri"/>
          <w:color w:val="auto"/>
          <w:spacing w:val="0"/>
          <w:position w:val="0"/>
          <w:sz w:val="24"/>
          <w:shd w:fill="auto" w:val="clear"/>
        </w:rPr>
        <w:t xml:space="preserve">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20 min at 4 °C. Lower or remove the centrifuge break.</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cells should form a band at the interface between the cell media and the density gradient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sterile Pasteur pipette, remove the cells and place them in cold PBS. Wash the cells 3x by centrifuging them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resuspending them in cold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Culture of Chicken Primary Bursal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cell suspension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resuspend them in 1x complete IMDM.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an aliquot of the cell suspension, add it to a Trypan blue solution and count the number of viable cells that exclude the Trypan blue. Determine the number of cells and the percentage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cell suspension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resuspend it in complete IMDM supplemented with a 1:20 dilution of chicken CD40L at a density of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Titrate the concentrated supernatant containing the chCD40L to determine the optimal dilution, which is likely to lie in the range of 1:10 to 1:50.</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Culture the cells in either 96- or 24-well plates at 37 °C for 48 - 72 h. U-bottomed 96-well plates are preferable to flat-bottomed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Infection of Chicken Primary Bursal Cells with IBDV</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48 - 72 h post-isolation, thaw an aliquot of the virus, vortex the sample, and store it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primary bursal cells, take a 10-µL aliquot of the cell suspension, add it to 10 µL of a Trypan blue solution, and determine the number of cells and percentage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the virus in 1x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omplete IMDM to the appropriate multiplicity of infection (MOI) to make the virus inoculum and vortex.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cell suspension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supernatant and resuspend the cells in the virus inoculum.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cell suspension at 37 °C for 1 h with periodic agitation.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cell suspension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remove the virus inoculum, and wash the cells in 1x complete IMDM media.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cell suspension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remove the supernatant, and resuspend the cells in complete IMDM media supplemented with chicken CD40L at a density of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per mL.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Culture the cells in either 96- or 24-well plates at 37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Quantification of IBDV Replication in Chicken Primary Bursal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desired time-point postinfection, resuspend the cells, transfer them to an appropriate tube, centrifuge them at 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harvest the supernatant for virus titration by either plaque assay or TCID</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assay as per the Reed-Muench method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cells in 1 mL of PBS and prepare them either for immunostaining with an antibody specific to IBDV, or extract RNA using an appropriate kit (following the manufacturer’s instructions) and perform reverse transcription quantitative polymerase chain reaction (RT-qPCR) using primers specific for an IBDV gene (Forward, GAGGTGGCCGACCTCAACT; Reverse, GCCCGGATTATGTCTTTGAAG). Mock-infected cell cultures should be used as a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Chicken Primary Bursal Cells Can Be Cultured in the Presence of Chicken CD40L</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chicken primary bursal cells were cultured in the presence of soluble chCD40L, the number of cells increased fourfold from 9.02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3.63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per mL over a period of 6 days, in contrast to when it was absent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Cell viability was also significantly improved, for example from 25% at day 3 post-culture in the absence of chCD40L to 48% in the presence of chCD40L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Chicken Primary Bursal Cells Can Support the Replication of Both Cell-culture Adapted and Very Virulent Strains of IBDV </w:t>
      </w:r>
    </w:p>
    <w:p>
      <w:pPr>
        <w:tabs>
          <w:tab w:val="left" w:pos="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Mock-infected and infected cell cultures were fixed 18 hours postinfection, labeled with a monoclonal antibody against IBDV VP2 and a secondary antibody conjugated to Alexa Fluor 488, and counterstained with DAPI. Infected cells had evidence of green fluorescence around the nucleus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consistent with the presence of IBDV in the cytoplasm. This was evident for two strains of IBDV, a cell-culture adapted strain, D78, and a very virulent strain, UK661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At 5, 18, 24, and 48 hours postinfection, RNA was extracted from infected cultures and subjected to RT-qPCR with primers specific to a conserved region of the IBDV VP4 gene. The expression of VP4 was first normalized to the house-keeping gene TBP and then expressed as fold change relative to mock samples in a </w:t>
      </w:r>
      <w:r>
        <w:rPr>
          <w:rFonts w:ascii="Calibri" w:hAnsi="Calibri" w:cs="Calibri" w:eastAsia="Calibri"/>
          <w:color w:val="000000"/>
          <w:spacing w:val="0"/>
          <w:position w:val="0"/>
          <w:sz w:val="24"/>
          <w:shd w:fill="auto" w:val="clear"/>
        </w:rPr>
        <w:t xml:space="preserve">ΔΔCt analysis. IBDV VP4 expression increased to 16,603 copies at 48 hours postinfection with D78 and 38,632 copies at 48 hours postinfection with UK661. Taken together, these data demonstrate that the chicken primary bursal cells could support the replication of cell-culture-adapted and very virulent IBDV strains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Chicken primary bursal cells can be cultured in the presence of chicken CD40L.</w:t>
      </w:r>
      <w:r>
        <w:rPr>
          <w:rFonts w:ascii="Calibri" w:hAnsi="Calibri" w:cs="Calibri" w:eastAsia="Calibri"/>
          <w:color w:val="auto"/>
          <w:spacing w:val="0"/>
          <w:position w:val="0"/>
          <w:sz w:val="24"/>
          <w:shd w:fill="auto" w:val="clear"/>
        </w:rPr>
        <w:t xml:space="preserve"> Chicken primary bursal cells were cultured in the presence or absence of chCD40L (black bars and white bars, respectively).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number of live cells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percentage of viable cells were determined at the indicated time-points postinfection. The data shown are representative of at least three replicate experiments, the error bars represent the standard deviation of the mean, and the statistical significance was determined using a paired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at each time-point,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This figure has been modified with permission from Dulwich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Chicken primary bursal cells can support the replication of both cell-culture adapted and very virulent strains of IBDV.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Chicken primary bursal cells were mock-infected or infected with either D78 or UK661 and a sample from each culture was fixed, labeled and imaged: IBDV VP2, green; nuclei, blue. The scale bar is 7 µm.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RNA was extracted at the indicated time-points postinfection, reverse-transcribed, and a conserved region of the IBDV VP4 gene was amplified by quantitative PCR. The log</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fold change in VP4 copy number was normalized to the TBP housekeeping gene and expressed relative to mock-infected samples as per the 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ΔΔCT</w:t>
      </w:r>
      <w:r>
        <w:rPr>
          <w:rFonts w:ascii="Calibri" w:hAnsi="Calibri" w:cs="Calibri" w:eastAsia="Calibri"/>
          <w:color w:val="auto"/>
          <w:spacing w:val="0"/>
          <w:position w:val="0"/>
          <w:sz w:val="24"/>
          <w:shd w:fill="auto" w:val="clear"/>
        </w:rPr>
        <w:t xml:space="preserve"> method. The data shown are representative of at least three replicate experiments, and the error bars represent the standard deviation of the mean. This figure has been modified with permission from Dulwich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atonatonatotanoetnoketkontenko</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describe the successful culture of chicken primary bursal cells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in the presence of soluble chCD40L and demonstrate that these cells can support the replication of an attenuated strain and a very virulent strain of IBDV. This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model can be used to determine how the cells respond to an IBDV infection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which has distinct advantages over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harvesting the BF, it is critical to not puncture the gut so as to avoid bacterial contamination of the isolated bursal cells. In addition, it is important to isolate the primary cells as soon as possible after the organ harvest to limit cell death. The need to use chCD40L is a limitation of the technique; however, work conducted by Soubies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shows that the use of phorbol 12-myristate 13-acetate (PMA) to prolong bursal cell viability instead of chCD40L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may enable the model to be adopted by a greater number of laboratories. The protocol outlined above determines the optimal concentration of chCD40L empirically, by culturing primary B cells in serially diluted concentrations of the molecule and observing cell proliferation and viability. One potential modification to the protocol could be to purify the chCD40L molecule and to add a specific concentration to the cell culture media to avoid batch-to-batch variability.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have shown that following IBDV infection, there is an increase in the expression of genes involved in pro-inflammatory cytokine responses, Type I IFN responses, and apoptosis in the BF</w:t>
      </w:r>
      <w:r>
        <w:rPr>
          <w:rFonts w:ascii="Calibri" w:hAnsi="Calibri" w:cs="Calibri" w:eastAsia="Calibri"/>
          <w:color w:val="auto"/>
          <w:spacing w:val="0"/>
          <w:position w:val="0"/>
          <w:sz w:val="24"/>
          <w:shd w:fill="auto" w:val="clear"/>
          <w:vertAlign w:val="superscript"/>
        </w:rPr>
        <w:t xml:space="preserve">5,9,10</w:t>
      </w:r>
      <w:r>
        <w:rPr>
          <w:rFonts w:ascii="Calibri" w:hAnsi="Calibri" w:cs="Calibri" w:eastAsia="Calibri"/>
          <w:color w:val="auto"/>
          <w:spacing w:val="0"/>
          <w:position w:val="0"/>
          <w:sz w:val="24"/>
          <w:shd w:fill="auto" w:val="clear"/>
        </w:rPr>
        <w:t xml:space="preserve">. However, following infection, there is an influx of inflammatory cells and effector T cells into the BF, which differ in the genes they express compared to the infected B cell population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is, therefore, difficult to interpret how infected cells respond to IBDV. To address this, some research groups have characterized the transcriptional response of cells infected with IBDV in culture</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These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have the advantage of well-defined MOIs and time-points postinfection. However,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have typically been characterized in either fibroblast cells</w:t>
      </w:r>
      <w:r>
        <w:rPr>
          <w:rFonts w:ascii="Calibri" w:hAnsi="Calibri" w:cs="Calibri" w:eastAsia="Calibri"/>
          <w:color w:val="auto"/>
          <w:spacing w:val="0"/>
          <w:position w:val="0"/>
          <w:sz w:val="24"/>
          <w:shd w:fill="auto" w:val="clear"/>
          <w:vertAlign w:val="superscript"/>
        </w:rPr>
        <w:t xml:space="preserve">16,17,20</w:t>
      </w:r>
      <w:r>
        <w:rPr>
          <w:rFonts w:ascii="Calibri" w:hAnsi="Calibri" w:cs="Calibri" w:eastAsia="Calibri"/>
          <w:color w:val="auto"/>
          <w:spacing w:val="0"/>
          <w:position w:val="0"/>
          <w:sz w:val="24"/>
          <w:shd w:fill="auto" w:val="clear"/>
        </w:rPr>
        <w:t xml:space="preserve"> or dendritic cells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While providing some insight into host cell-IBDV interactions, the current belief is that the infection of B cells is crucial to the pathogenesis of IBDV and, therefore, the relevance of the data cannot be overinterpreted. Prior to our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bursal cell culture model, only one study had characterized the cellular response of B cells to IBDV infection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this study utilized an immortalized B cell line that was transformed due to infection with ALV, limiting the conclusions that could be made.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contrast, </w:t>
      </w:r>
      <w:r>
        <w:rPr>
          <w:rFonts w:ascii="Calibri" w:hAnsi="Calibri" w:cs="Calibri" w:eastAsia="Calibri"/>
          <w:color w:val="000000"/>
          <w:spacing w:val="0"/>
          <w:position w:val="0"/>
          <w:sz w:val="24"/>
          <w:shd w:fill="auto" w:val="clear"/>
        </w:rPr>
        <w:t xml:space="preserve">the </w:t>
      </w:r>
      <w:r>
        <w:rPr>
          <w:rFonts w:ascii="Calibri" w:hAnsi="Calibri" w:cs="Calibri" w:eastAsia="Calibri"/>
          <w:i/>
          <w:color w:val="000000"/>
          <w:spacing w:val="0"/>
          <w:position w:val="0"/>
          <w:sz w:val="24"/>
          <w:shd w:fill="auto" w:val="clear"/>
        </w:rPr>
        <w:t xml:space="preserve">ex vivo </w:t>
      </w:r>
      <w:r>
        <w:rPr>
          <w:rFonts w:ascii="Calibri" w:hAnsi="Calibri" w:cs="Calibri" w:eastAsia="Calibri"/>
          <w:color w:val="000000"/>
          <w:spacing w:val="0"/>
          <w:position w:val="0"/>
          <w:sz w:val="24"/>
          <w:shd w:fill="auto" w:val="clear"/>
        </w:rPr>
        <w:t xml:space="preserve">model of IBDV infection described here allows researchers to retain the advantages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studies, such as defined MOIs and time-points, while studying the interactions of the virus with its relevant host cell. As the primary bursal cells are obtained from uninfected BF tissue, there are no inflammatory or T cells present, and we have demonstrated by flow cytometry (using standard conditions) that, following chCD40L stimulation, 97% of the cell population is positive for the B cell marker Bu-1 (data not shown). Given that 3% of the cells are Bu-1 negative, it will be interesting to determine whether these cells become infected with IBDV and explore their gene expression and contribution to the pathogenesis.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anticipate that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chicken primary bursal cell culture model can also be expanded to study the host cell-virus interactions of other B-cell tropic viruses infecting chickens, such as ALV or REV, and could also be expanded to other avian species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ducks or turkeys). </w:t>
      </w:r>
      <w:r>
        <w:rPr>
          <w:rFonts w:ascii="Calibri" w:hAnsi="Calibri" w:cs="Calibri" w:eastAsia="Calibri"/>
          <w:color w:val="auto"/>
          <w:spacing w:val="0"/>
          <w:position w:val="0"/>
          <w:sz w:val="24"/>
          <w:shd w:fill="auto" w:val="clear"/>
        </w:rPr>
        <w:t xml:space="preserve">The ability to culture primary bursal cells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also opens up the possibility to study aspects of the pathogenesis and immunosuppression caused by these viruses without the need to infect birds. 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cause significant morbidity, this will have a substantial impact on the replacement, refinement, and reduction of the use of animals in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w:t>
      </w:r>
      <w:r>
        <w:rPr>
          <w:rFonts w:ascii="Calibri" w:hAnsi="Calibri" w:cs="Calibri" w:eastAsia="Calibri"/>
          <w:i/>
          <w:color w:val="000000"/>
          <w:spacing w:val="0"/>
          <w:position w:val="0"/>
          <w:sz w:val="24"/>
          <w:shd w:fill="auto" w:val="clear"/>
        </w:rPr>
        <w:t xml:space="preserve">ex vivo </w:t>
      </w:r>
      <w:r>
        <w:rPr>
          <w:rFonts w:ascii="Calibri" w:hAnsi="Calibri" w:cs="Calibri" w:eastAsia="Calibri"/>
          <w:color w:val="000000"/>
          <w:spacing w:val="0"/>
          <w:position w:val="0"/>
          <w:sz w:val="24"/>
          <w:shd w:fill="auto" w:val="clear"/>
        </w:rPr>
        <w:t xml:space="preserve">chicken primary bursal cell culture model described here has the potential to expand the understanding of how avian B-cell tropic viruses interact with their host cells while reducing the number of birds used in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infection studies. The techniques can be applied to multiple lymphoid organs, multiple viruses, and, potentially, multiple species of birds, making it an attractive model that can contribute to the avian virology and immunology fields.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the Animal Services team at The Pirbright Institute for their expertise in hatching, rearing, and culling birds and the expertise of Caroline Holt in aseptically removing the bursa of Fabricius. A.B. is funded through the Biotechnology and Biological Sciences Research Council (BBSRC)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grant BBS/E/I/00001845, K.D. is funded through the BBSRC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studentship BBS/E/I/00002115, and A.A. is funded through the National Centre for the Replacement, Refinement &amp; Reduction of Animals in Research (NC3Rs)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grant NC/R001138/1.</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Hoerr, F.J. Clinical aspects of immunosuppression in poultry. </w:t>
      </w:r>
      <w:r>
        <w:rPr>
          <w:rFonts w:ascii="Calibri" w:hAnsi="Calibri" w:cs="Calibri" w:eastAsia="Calibri"/>
          <w:i/>
          <w:color w:val="000000"/>
          <w:spacing w:val="0"/>
          <w:position w:val="0"/>
          <w:sz w:val="24"/>
          <w:shd w:fill="auto" w:val="clear"/>
        </w:rPr>
        <w:t xml:space="preserve">Avian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 </w:t>
      </w:r>
      <w:r>
        <w:rPr>
          <w:rFonts w:ascii="Calibri" w:hAnsi="Calibri" w:cs="Calibri" w:eastAsia="Calibri"/>
          <w:color w:val="000000"/>
          <w:spacing w:val="0"/>
          <w:position w:val="0"/>
          <w:sz w:val="24"/>
          <w:shd w:fill="auto" w:val="clear"/>
        </w:rPr>
        <w:t xml:space="preserve">(1), 2-15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Schermuly,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model for lytic replication, latency, and transformation of an oncogenic alphaherpesvirus.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(23), 7279-7284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Farhanah, M.I.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Bursal immunopathology responses of specific-pathogen-free chickens and red jungle fowl infected with very virulent infectious bursal disease virus. </w:t>
      </w:r>
      <w:r>
        <w:rPr>
          <w:rFonts w:ascii="Calibri" w:hAnsi="Calibri" w:cs="Calibri" w:eastAsia="Calibri"/>
          <w:i/>
          <w:color w:val="000000"/>
          <w:spacing w:val="0"/>
          <w:position w:val="0"/>
          <w:sz w:val="24"/>
          <w:shd w:fill="auto" w:val="clear"/>
        </w:rPr>
        <w:t xml:space="preserve">Archives of Virology</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Farhanah, M.I.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Bursal transcriptome profiling of different inbred chicken lines reveals key differentially expressed genes at 3 days post-infection with very virulent infectious bursal disease virus.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 </w:t>
      </w:r>
      <w:r>
        <w:rPr>
          <w:rFonts w:ascii="Calibri" w:hAnsi="Calibri" w:cs="Calibri" w:eastAsia="Calibri"/>
          <w:color w:val="000000"/>
          <w:spacing w:val="0"/>
          <w:position w:val="0"/>
          <w:sz w:val="24"/>
          <w:shd w:fill="auto" w:val="clear"/>
        </w:rPr>
        <w:t xml:space="preserve">(1), 21-35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Guo,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expression of the Toll-like receptor pathway and related genes of chicken bursa after experimental infection with infectious bursa disease virus. </w:t>
      </w:r>
      <w:r>
        <w:rPr>
          <w:rFonts w:ascii="Calibri" w:hAnsi="Calibri" w:cs="Calibri" w:eastAsia="Calibri"/>
          <w:i/>
          <w:color w:val="000000"/>
          <w:spacing w:val="0"/>
          <w:position w:val="0"/>
          <w:sz w:val="24"/>
          <w:shd w:fill="auto" w:val="clear"/>
        </w:rPr>
        <w:t xml:space="preserve">Archives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 </w:t>
      </w:r>
      <w:r>
        <w:rPr>
          <w:rFonts w:ascii="Calibri" w:hAnsi="Calibri" w:cs="Calibri" w:eastAsia="Calibri"/>
          <w:color w:val="000000"/>
          <w:spacing w:val="0"/>
          <w:position w:val="0"/>
          <w:sz w:val="24"/>
          <w:shd w:fill="auto" w:val="clear"/>
        </w:rPr>
        <w:t xml:space="preserve">(11), 2189-2199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He,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Regulation of chTLR3 by Infectious Bursal Disease Viruses with Different Virulence In Vitro and In Vivo. </w:t>
      </w:r>
      <w:r>
        <w:rPr>
          <w:rFonts w:ascii="Calibri" w:hAnsi="Calibri" w:cs="Calibri" w:eastAsia="Calibri"/>
          <w:i/>
          <w:color w:val="000000"/>
          <w:spacing w:val="0"/>
          <w:position w:val="0"/>
          <w:sz w:val="24"/>
          <w:shd w:fill="auto" w:val="clear"/>
        </w:rPr>
        <w:t xml:space="preserve">Viral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(7), 490-499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Ou,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Transcription profiles of the responses of chicken bursae of Fabricius to IBDV in different timing phases. </w:t>
      </w:r>
      <w:r>
        <w:rPr>
          <w:rFonts w:ascii="Calibri" w:hAnsi="Calibri" w:cs="Calibri" w:eastAsia="Calibri"/>
          <w:i/>
          <w:color w:val="000000"/>
          <w:spacing w:val="0"/>
          <w:position w:val="0"/>
          <w:sz w:val="24"/>
          <w:shd w:fill="auto" w:val="clear"/>
        </w:rPr>
        <w:t xml:space="preserve">Virology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(1), 93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Rasoli,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modulation of immune response and cytokine profiles in the bursae and spleen of chickens infected with very virulent infectious bursal disease virus. </w:t>
      </w:r>
      <w:r>
        <w:rPr>
          <w:rFonts w:ascii="Calibri" w:hAnsi="Calibri" w:cs="Calibri" w:eastAsia="Calibri"/>
          <w:i/>
          <w:color w:val="000000"/>
          <w:spacing w:val="0"/>
          <w:position w:val="0"/>
          <w:sz w:val="24"/>
          <w:shd w:fill="auto" w:val="clear"/>
        </w:rPr>
        <w:t xml:space="preserve">BMC Veterinary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75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Ruby,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Transcriptional profiling reveals a possible role for the timing of the inflammatory response in determining susceptibility to a viral infection.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(18), 9207-9216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Smith,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Analysis of the early immune response to infection by infectious bursal disease virus in chickens differing in their resistance to the disease.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 </w:t>
      </w:r>
      <w:r>
        <w:rPr>
          <w:rFonts w:ascii="Calibri" w:hAnsi="Calibri" w:cs="Calibri" w:eastAsia="Calibri"/>
          <w:color w:val="000000"/>
          <w:spacing w:val="0"/>
          <w:position w:val="0"/>
          <w:sz w:val="24"/>
          <w:shd w:fill="auto" w:val="clear"/>
        </w:rPr>
        <w:t xml:space="preserve">(5), 2469-2482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Tregaskes, C.A.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Conservation of biological properties of the CD40 ligand, CD154 in a non-mammalian vertebrate. </w:t>
      </w:r>
      <w:r>
        <w:rPr>
          <w:rFonts w:ascii="Calibri" w:hAnsi="Calibri" w:cs="Calibri" w:eastAsia="Calibri"/>
          <w:i/>
          <w:color w:val="000000"/>
          <w:spacing w:val="0"/>
          <w:position w:val="0"/>
          <w:sz w:val="24"/>
          <w:shd w:fill="auto" w:val="clear"/>
        </w:rPr>
        <w:t xml:space="preserve">Developmental &amp; Comparative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(4), 361-374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Kothlow,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CD40 ligand supports the long-term maintenance and differentiation of chicken B cells in culture. </w:t>
      </w:r>
      <w:r>
        <w:rPr>
          <w:rFonts w:ascii="Calibri" w:hAnsi="Calibri" w:cs="Calibri" w:eastAsia="Calibri"/>
          <w:i/>
          <w:color w:val="000000"/>
          <w:spacing w:val="0"/>
          <w:position w:val="0"/>
          <w:sz w:val="24"/>
          <w:shd w:fill="auto" w:val="clear"/>
        </w:rPr>
        <w:t xml:space="preserve">Developmental &amp; Comparative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(9), 1015-1026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Dulwich, K.L.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gene expression in chicken primary B cells infected ex vivo with attenuated and very virulent strains of infectious bursal disease virus (IBDV).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 </w:t>
      </w:r>
      <w:r>
        <w:rPr>
          <w:rFonts w:ascii="Calibri" w:hAnsi="Calibri" w:cs="Calibri" w:eastAsia="Calibri"/>
          <w:color w:val="000000"/>
          <w:spacing w:val="0"/>
          <w:position w:val="0"/>
          <w:sz w:val="24"/>
          <w:shd w:fill="auto" w:val="clear"/>
        </w:rPr>
        <w:t xml:space="preserve">(12), 2918-2930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Soubies, S.M.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Propagation and titration of infectious bursal disease virus, including non-cell-culture-adapted strains, using ex vivo-stimulated chicken bursal cells. </w:t>
      </w:r>
      <w:r>
        <w:rPr>
          <w:rFonts w:ascii="Calibri" w:hAnsi="Calibri" w:cs="Calibri" w:eastAsia="Calibri"/>
          <w:i/>
          <w:color w:val="000000"/>
          <w:spacing w:val="0"/>
          <w:position w:val="0"/>
          <w:sz w:val="24"/>
          <w:shd w:fill="auto" w:val="clear"/>
        </w:rPr>
        <w:t xml:space="preserve">Avian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 </w:t>
      </w:r>
      <w:r>
        <w:rPr>
          <w:rFonts w:ascii="Calibri" w:hAnsi="Calibri" w:cs="Calibri" w:eastAsia="Calibri"/>
          <w:color w:val="000000"/>
          <w:spacing w:val="0"/>
          <w:position w:val="0"/>
          <w:sz w:val="24"/>
          <w:shd w:fill="auto" w:val="clear"/>
        </w:rPr>
        <w:t xml:space="preserve">(2), 179-188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Reed, L., Muench, H. A simple method of estimating fifty percent endpoints. </w:t>
      </w:r>
      <w:r>
        <w:rPr>
          <w:rFonts w:ascii="Calibri" w:hAnsi="Calibri" w:cs="Calibri" w:eastAsia="Calibri"/>
          <w:i/>
          <w:color w:val="000000"/>
          <w:spacing w:val="0"/>
          <w:position w:val="0"/>
          <w:sz w:val="24"/>
          <w:shd w:fill="auto" w:val="clear"/>
        </w:rPr>
        <w:t xml:space="preserve">American Journal of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494-497 (1938).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Hui, R.K., Leung, F.C. Differential Expression Profile of Chicken Embryo Fibroblast DF-1 Cells Infected with Cell-Adapted Infectious Bursal Disease Virus.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(6), e0111771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Li, Y.P.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Transcriptional profiles of chicken embryo cell cultures following infection with infectious bursal disease virus. </w:t>
      </w:r>
      <w:r>
        <w:rPr>
          <w:rFonts w:ascii="Calibri" w:hAnsi="Calibri" w:cs="Calibri" w:eastAsia="Calibri"/>
          <w:i/>
          <w:color w:val="000000"/>
          <w:spacing w:val="0"/>
          <w:position w:val="0"/>
          <w:sz w:val="24"/>
          <w:shd w:fill="auto" w:val="clear"/>
        </w:rPr>
        <w:t xml:space="preserve">Archives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 </w:t>
      </w:r>
      <w:r>
        <w:rPr>
          <w:rFonts w:ascii="Calibri" w:hAnsi="Calibri" w:cs="Calibri" w:eastAsia="Calibri"/>
          <w:color w:val="000000"/>
          <w:spacing w:val="0"/>
          <w:position w:val="0"/>
          <w:sz w:val="24"/>
          <w:shd w:fill="auto" w:val="clear"/>
        </w:rPr>
        <w:t xml:space="preserve">(3), 463-478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Lin,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profiling of chicken dendritic cell response to infectious bursal disease.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(1), 878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Quan,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Transcriptional profiles in bursal B-lymphoid DT40 cells infected with very virulent infectious bursal disease virus. </w:t>
      </w:r>
      <w:r>
        <w:rPr>
          <w:rFonts w:ascii="Calibri" w:hAnsi="Calibri" w:cs="Calibri" w:eastAsia="Calibri"/>
          <w:i/>
          <w:color w:val="000000"/>
          <w:spacing w:val="0"/>
          <w:position w:val="0"/>
          <w:sz w:val="24"/>
          <w:shd w:fill="auto" w:val="clear"/>
        </w:rPr>
        <w:t xml:space="preserve">Virology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(1), 7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Wong, R.T.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Screening of differentially expressed transcripts in infectious bursal disease virus-induced apoptotic chicken embryonic fibroblasts by using cDNA microarrays.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 </w:t>
      </w:r>
      <w:r>
        <w:rPr>
          <w:rFonts w:ascii="Calibri" w:hAnsi="Calibri" w:cs="Calibri" w:eastAsia="Calibri"/>
          <w:color w:val="000000"/>
          <w:spacing w:val="0"/>
          <w:position w:val="0"/>
          <w:sz w:val="24"/>
          <w:shd w:fill="auto" w:val="clear"/>
        </w:rPr>
        <w:t xml:space="preserve">(Pt 6), 1785-1796 (2007).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num w:numId="5">
    <w:abstractNumId w:val="276"/>
  </w:num>
  <w:num w:numId="7">
    <w:abstractNumId w:val="270"/>
  </w:num>
  <w:num w:numId="9">
    <w:abstractNumId w:val="264"/>
  </w:num>
  <w:num w:numId="11">
    <w:abstractNumId w:val="258"/>
  </w:num>
  <w:num w:numId="13">
    <w:abstractNumId w:val="252"/>
  </w:num>
  <w:num w:numId="15">
    <w:abstractNumId w:val="246"/>
  </w:num>
  <w:num w:numId="17">
    <w:abstractNumId w:val="240"/>
  </w:num>
  <w:num w:numId="19">
    <w:abstractNumId w:val="234"/>
  </w:num>
  <w:num w:numId="21">
    <w:abstractNumId w:val="228"/>
  </w:num>
  <w:num w:numId="23">
    <w:abstractNumId w:val="222"/>
  </w:num>
  <w:num w:numId="25">
    <w:abstractNumId w:val="216"/>
  </w:num>
  <w:num w:numId="27">
    <w:abstractNumId w:val="210"/>
  </w:num>
  <w:num w:numId="29">
    <w:abstractNumId w:val="204"/>
  </w:num>
  <w:num w:numId="31">
    <w:abstractNumId w:val="198"/>
  </w:num>
  <w:num w:numId="33">
    <w:abstractNumId w:val="192"/>
  </w:num>
  <w:num w:numId="35">
    <w:abstractNumId w:val="186"/>
  </w:num>
  <w:num w:numId="37">
    <w:abstractNumId w:val="180"/>
  </w:num>
  <w:num w:numId="39">
    <w:abstractNumId w:val="174"/>
  </w:num>
  <w:num w:numId="41">
    <w:abstractNumId w:val="168"/>
  </w:num>
  <w:num w:numId="43">
    <w:abstractNumId w:val="162"/>
  </w:num>
  <w:num w:numId="45">
    <w:abstractNumId w:val="156"/>
  </w:num>
  <w:num w:numId="47">
    <w:abstractNumId w:val="150"/>
  </w:num>
  <w:num w:numId="49">
    <w:abstractNumId w:val="144"/>
  </w:num>
  <w:num w:numId="51">
    <w:abstractNumId w:val="138"/>
  </w:num>
  <w:num w:numId="53">
    <w:abstractNumId w:val="132"/>
  </w:num>
  <w:num w:numId="55">
    <w:abstractNumId w:val="126"/>
  </w:num>
  <w:num w:numId="57">
    <w:abstractNumId w:val="120"/>
  </w:num>
  <w:num w:numId="59">
    <w:abstractNumId w:val="114"/>
  </w:num>
  <w:num w:numId="61">
    <w:abstractNumId w:val="108"/>
  </w:num>
  <w:num w:numId="63">
    <w:abstractNumId w:val="102"/>
  </w:num>
  <w:num w:numId="65">
    <w:abstractNumId w:val="96"/>
  </w:num>
  <w:num w:numId="68">
    <w:abstractNumId w:val="90"/>
  </w:num>
  <w:num w:numId="70">
    <w:abstractNumId w:val="84"/>
  </w:num>
  <w:num w:numId="72">
    <w:abstractNumId w:val="78"/>
  </w:num>
  <w:num w:numId="74">
    <w:abstractNumId w:val="72"/>
  </w:num>
  <w:num w:numId="76">
    <w:abstractNumId w:val="66"/>
  </w:num>
  <w:num w:numId="78">
    <w:abstractNumId w:val="60"/>
  </w:num>
  <w:num w:numId="80">
    <w:abstractNumId w:val="54"/>
  </w:num>
  <w:num w:numId="82">
    <w:abstractNumId w:val="48"/>
  </w:num>
  <w:num w:numId="84">
    <w:abstractNumId w:val="42"/>
  </w:num>
  <w:num w:numId="86">
    <w:abstractNumId w:val="36"/>
  </w:num>
  <w:num w:numId="88">
    <w:abstractNumId w:val="30"/>
  </w:num>
  <w:num w:numId="90">
    <w:abstractNumId w:val="24"/>
  </w:num>
  <w:num w:numId="92">
    <w:abstractNumId w:val="18"/>
  </w:num>
  <w:num w:numId="94">
    <w:abstractNumId w:val="12"/>
  </w:num>
  <w:num w:numId="96">
    <w:abstractNumId w:val="6"/>
  </w:num>
  <w:num w:numId="9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