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3163ACB2" w:rsidR="006305D7" w:rsidRPr="00C179D4" w:rsidRDefault="006305D7" w:rsidP="00C179D4">
      <w:pPr>
        <w:pStyle w:val="NormalWeb"/>
        <w:spacing w:before="0" w:beforeAutospacing="0" w:after="0" w:afterAutospacing="0"/>
        <w:rPr>
          <w:rFonts w:asciiTheme="minorHAnsi" w:hAnsiTheme="minorHAnsi" w:cstheme="minorHAnsi"/>
          <w:color w:val="000000" w:themeColor="text1"/>
        </w:rPr>
      </w:pPr>
      <w:r w:rsidRPr="00C179D4">
        <w:rPr>
          <w:rFonts w:asciiTheme="minorHAnsi" w:hAnsiTheme="minorHAnsi" w:cstheme="minorHAnsi"/>
          <w:b/>
          <w:bCs/>
          <w:color w:val="000000" w:themeColor="text1"/>
        </w:rPr>
        <w:t>TITLE:</w:t>
      </w:r>
      <w:r w:rsidRPr="00C179D4">
        <w:rPr>
          <w:rFonts w:asciiTheme="minorHAnsi" w:hAnsiTheme="minorHAnsi" w:cstheme="minorHAnsi"/>
          <w:color w:val="000000" w:themeColor="text1"/>
        </w:rPr>
        <w:t xml:space="preserve"> </w:t>
      </w:r>
    </w:p>
    <w:p w14:paraId="0C76090E" w14:textId="2DB3ABB0" w:rsidR="007A4DD6" w:rsidRPr="00C179D4" w:rsidRDefault="008802FD" w:rsidP="00C179D4">
      <w:pPr>
        <w:rPr>
          <w:rFonts w:asciiTheme="minorHAnsi" w:hAnsiTheme="minorHAnsi" w:cstheme="minorHAnsi"/>
          <w:b/>
          <w:color w:val="000000" w:themeColor="text1"/>
        </w:rPr>
      </w:pPr>
      <w:r w:rsidRPr="00C179D4">
        <w:rPr>
          <w:rFonts w:asciiTheme="minorHAnsi" w:hAnsiTheme="minorHAnsi" w:cstheme="minorHAnsi"/>
          <w:b/>
          <w:color w:val="000000" w:themeColor="text1"/>
        </w:rPr>
        <w:t xml:space="preserve">Intracranial </w:t>
      </w:r>
      <w:r w:rsidR="007041DD" w:rsidRPr="00C179D4">
        <w:rPr>
          <w:rFonts w:asciiTheme="minorHAnsi" w:hAnsiTheme="minorHAnsi" w:cstheme="minorHAnsi"/>
          <w:b/>
          <w:color w:val="000000" w:themeColor="text1"/>
        </w:rPr>
        <w:t>Pharmaco</w:t>
      </w:r>
      <w:r w:rsidR="00E0478A" w:rsidRPr="00C179D4">
        <w:rPr>
          <w:rFonts w:asciiTheme="minorHAnsi" w:hAnsiTheme="minorHAnsi" w:cstheme="minorHAnsi"/>
          <w:b/>
          <w:color w:val="000000" w:themeColor="text1"/>
        </w:rPr>
        <w:t>therapy and Pain Assays in Rodents</w:t>
      </w:r>
    </w:p>
    <w:p w14:paraId="2E300B21" w14:textId="77777777" w:rsidR="007A4DD6" w:rsidRPr="00C179D4" w:rsidRDefault="007A4DD6" w:rsidP="00C179D4">
      <w:pPr>
        <w:rPr>
          <w:rFonts w:asciiTheme="minorHAnsi" w:hAnsiTheme="minorHAnsi" w:cstheme="minorHAnsi"/>
          <w:b/>
          <w:bCs/>
          <w:color w:val="000000" w:themeColor="text1"/>
        </w:rPr>
      </w:pPr>
    </w:p>
    <w:p w14:paraId="3D080DA3" w14:textId="1CD2D0A3" w:rsidR="006305D7" w:rsidRPr="00C179D4" w:rsidRDefault="006305D7" w:rsidP="00C179D4">
      <w:pPr>
        <w:rPr>
          <w:rFonts w:asciiTheme="minorHAnsi" w:hAnsiTheme="minorHAnsi" w:cstheme="minorHAnsi"/>
          <w:color w:val="000000" w:themeColor="text1"/>
        </w:rPr>
      </w:pPr>
      <w:r w:rsidRPr="00C179D4">
        <w:rPr>
          <w:rFonts w:asciiTheme="minorHAnsi" w:hAnsiTheme="minorHAnsi" w:cstheme="minorHAnsi"/>
          <w:b/>
          <w:bCs/>
          <w:color w:val="000000" w:themeColor="text1"/>
        </w:rPr>
        <w:t>AUTHORS</w:t>
      </w:r>
      <w:r w:rsidR="000B662E" w:rsidRPr="00C179D4">
        <w:rPr>
          <w:rFonts w:asciiTheme="minorHAnsi" w:hAnsiTheme="minorHAnsi" w:cstheme="minorHAnsi"/>
          <w:b/>
          <w:bCs/>
          <w:color w:val="000000" w:themeColor="text1"/>
        </w:rPr>
        <w:t xml:space="preserve"> &amp; AFFILIATIONS</w:t>
      </w:r>
      <w:r w:rsidRPr="00C179D4">
        <w:rPr>
          <w:rFonts w:asciiTheme="minorHAnsi" w:hAnsiTheme="minorHAnsi" w:cstheme="minorHAnsi"/>
          <w:b/>
          <w:bCs/>
          <w:color w:val="000000" w:themeColor="text1"/>
        </w:rPr>
        <w:t>:</w:t>
      </w:r>
    </w:p>
    <w:p w14:paraId="32B171D0" w14:textId="35CB44D6" w:rsidR="007A4DD6" w:rsidRPr="00C179D4" w:rsidRDefault="00A24A1A" w:rsidP="00C179D4">
      <w:pPr>
        <w:rPr>
          <w:rFonts w:asciiTheme="minorHAnsi" w:hAnsiTheme="minorHAnsi" w:cstheme="minorHAnsi"/>
          <w:color w:val="000000" w:themeColor="text1"/>
        </w:rPr>
      </w:pPr>
      <w:r w:rsidRPr="00C179D4">
        <w:rPr>
          <w:rFonts w:asciiTheme="minorHAnsi" w:hAnsiTheme="minorHAnsi" w:cstheme="minorHAnsi"/>
          <w:color w:val="000000" w:themeColor="text1"/>
        </w:rPr>
        <w:t>Erik Martinez</w:t>
      </w:r>
      <w:r w:rsidRPr="00C179D4">
        <w:rPr>
          <w:rFonts w:asciiTheme="minorHAnsi" w:hAnsiTheme="minorHAnsi" w:cstheme="minorHAnsi"/>
          <w:color w:val="000000" w:themeColor="text1"/>
          <w:vertAlign w:val="superscript"/>
        </w:rPr>
        <w:t>1</w:t>
      </w:r>
      <w:r w:rsidR="00321551" w:rsidRPr="00C179D4">
        <w:rPr>
          <w:rFonts w:asciiTheme="minorHAnsi" w:hAnsiTheme="minorHAnsi" w:cstheme="minorHAnsi"/>
          <w:color w:val="000000" w:themeColor="text1"/>
        </w:rPr>
        <w:t>,</w:t>
      </w:r>
      <w:r w:rsidR="00B6309C" w:rsidRPr="00C179D4">
        <w:rPr>
          <w:rFonts w:asciiTheme="minorHAnsi" w:hAnsiTheme="minorHAnsi" w:cstheme="minorHAnsi"/>
          <w:color w:val="000000" w:themeColor="text1"/>
        </w:rPr>
        <w:t xml:space="preserve"> </w:t>
      </w:r>
      <w:proofErr w:type="spellStart"/>
      <w:r w:rsidR="00321551" w:rsidRPr="00C179D4">
        <w:rPr>
          <w:rFonts w:asciiTheme="minorHAnsi" w:hAnsiTheme="minorHAnsi" w:cstheme="minorHAnsi"/>
          <w:color w:val="000000" w:themeColor="text1"/>
        </w:rPr>
        <w:t>Haocheng</w:t>
      </w:r>
      <w:proofErr w:type="spellEnd"/>
      <w:r w:rsidR="00321551" w:rsidRPr="00C179D4">
        <w:rPr>
          <w:rFonts w:asciiTheme="minorHAnsi" w:hAnsiTheme="minorHAnsi" w:cstheme="minorHAnsi"/>
          <w:color w:val="000000" w:themeColor="text1"/>
        </w:rPr>
        <w:t xml:space="preserve"> Zhou</w:t>
      </w:r>
      <w:r w:rsidRPr="00C179D4">
        <w:rPr>
          <w:rFonts w:asciiTheme="minorHAnsi" w:hAnsiTheme="minorHAnsi" w:cstheme="minorHAnsi"/>
          <w:color w:val="000000" w:themeColor="text1"/>
          <w:vertAlign w:val="superscript"/>
        </w:rPr>
        <w:t>1</w:t>
      </w:r>
      <w:r w:rsidRPr="00C179D4">
        <w:rPr>
          <w:rFonts w:asciiTheme="minorHAnsi" w:hAnsiTheme="minorHAnsi" w:cstheme="minorHAnsi"/>
          <w:color w:val="000000" w:themeColor="text1"/>
        </w:rPr>
        <w:t xml:space="preserve"> &amp; Jing Wang</w:t>
      </w:r>
      <w:r w:rsidRPr="00C179D4">
        <w:rPr>
          <w:rFonts w:asciiTheme="minorHAnsi" w:hAnsiTheme="minorHAnsi" w:cstheme="minorHAnsi"/>
          <w:color w:val="000000" w:themeColor="text1"/>
          <w:vertAlign w:val="superscript"/>
        </w:rPr>
        <w:t>1,</w:t>
      </w:r>
      <w:r w:rsidR="00321551" w:rsidRPr="00C179D4">
        <w:rPr>
          <w:rFonts w:asciiTheme="minorHAnsi" w:hAnsiTheme="minorHAnsi" w:cstheme="minorHAnsi"/>
          <w:color w:val="000000" w:themeColor="text1"/>
          <w:vertAlign w:val="superscript"/>
        </w:rPr>
        <w:t>2</w:t>
      </w:r>
    </w:p>
    <w:p w14:paraId="696589A4" w14:textId="77777777" w:rsidR="00A24A1A" w:rsidRPr="00C179D4" w:rsidRDefault="00A24A1A" w:rsidP="00C179D4">
      <w:pPr>
        <w:rPr>
          <w:rFonts w:asciiTheme="minorHAnsi" w:hAnsiTheme="minorHAnsi" w:cstheme="minorHAnsi"/>
          <w:color w:val="000000" w:themeColor="text1"/>
        </w:rPr>
      </w:pPr>
    </w:p>
    <w:p w14:paraId="76468A81" w14:textId="5530C666" w:rsidR="00B21797" w:rsidRPr="00C179D4" w:rsidRDefault="00A24A1A" w:rsidP="00C179D4">
      <w:pPr>
        <w:rPr>
          <w:rFonts w:asciiTheme="minorHAnsi" w:hAnsiTheme="minorHAnsi" w:cs="Times New Roman"/>
          <w:color w:val="000000" w:themeColor="text1"/>
        </w:rPr>
      </w:pPr>
      <w:r w:rsidRPr="00C179D4">
        <w:rPr>
          <w:rFonts w:asciiTheme="minorHAnsi" w:hAnsiTheme="minorHAnsi" w:cs="Times New Roman"/>
          <w:color w:val="000000" w:themeColor="text1"/>
          <w:vertAlign w:val="superscript"/>
        </w:rPr>
        <w:t>1</w:t>
      </w:r>
      <w:r w:rsidRPr="00C179D4">
        <w:rPr>
          <w:rFonts w:asciiTheme="minorHAnsi" w:hAnsiTheme="minorHAnsi" w:cs="Times New Roman"/>
          <w:color w:val="000000" w:themeColor="text1"/>
        </w:rPr>
        <w:t xml:space="preserve">Department of Anesthesiology, Perioperative Care and Pain Medicine, New York University School of Medicine, New York, New York, 10016. </w:t>
      </w:r>
    </w:p>
    <w:p w14:paraId="77A677AA" w14:textId="717FAFB4" w:rsidR="00A24A1A" w:rsidRPr="00C179D4" w:rsidRDefault="00321551" w:rsidP="00C179D4">
      <w:pPr>
        <w:rPr>
          <w:rFonts w:asciiTheme="minorHAnsi" w:hAnsiTheme="minorHAnsi" w:cstheme="minorHAnsi"/>
          <w:color w:val="000000" w:themeColor="text1"/>
        </w:rPr>
      </w:pPr>
      <w:r w:rsidRPr="00C179D4">
        <w:rPr>
          <w:rFonts w:asciiTheme="minorHAnsi" w:hAnsiTheme="minorHAnsi" w:cs="Times New Roman"/>
          <w:color w:val="000000" w:themeColor="text1"/>
          <w:vertAlign w:val="superscript"/>
        </w:rPr>
        <w:t>2</w:t>
      </w:r>
      <w:r w:rsidR="00A24A1A" w:rsidRPr="00C179D4">
        <w:rPr>
          <w:rFonts w:asciiTheme="minorHAnsi" w:hAnsiTheme="minorHAnsi" w:cs="Times New Roman"/>
          <w:color w:val="000000" w:themeColor="text1"/>
        </w:rPr>
        <w:t>Department of Neuroscience and Physiology, New York University School of Medicine, New York, N</w:t>
      </w:r>
      <w:r w:rsidR="00826DAF" w:rsidRPr="00C179D4">
        <w:rPr>
          <w:rFonts w:asciiTheme="minorHAnsi" w:hAnsiTheme="minorHAnsi" w:cs="Times New Roman"/>
          <w:color w:val="000000" w:themeColor="text1"/>
        </w:rPr>
        <w:t xml:space="preserve">ew </w:t>
      </w:r>
      <w:r w:rsidR="00A24A1A" w:rsidRPr="00C179D4">
        <w:rPr>
          <w:rFonts w:asciiTheme="minorHAnsi" w:hAnsiTheme="minorHAnsi" w:cs="Times New Roman"/>
          <w:color w:val="000000" w:themeColor="text1"/>
        </w:rPr>
        <w:t>Y</w:t>
      </w:r>
      <w:r w:rsidR="00826DAF" w:rsidRPr="00C179D4">
        <w:rPr>
          <w:rFonts w:asciiTheme="minorHAnsi" w:hAnsiTheme="minorHAnsi" w:cs="Times New Roman"/>
          <w:color w:val="000000" w:themeColor="text1"/>
        </w:rPr>
        <w:t>ork, 10016</w:t>
      </w:r>
      <w:r w:rsidR="00A24A1A" w:rsidRPr="00C179D4">
        <w:rPr>
          <w:rFonts w:asciiTheme="minorHAnsi" w:hAnsiTheme="minorHAnsi" w:cs="Times New Roman"/>
          <w:color w:val="000000" w:themeColor="text1"/>
        </w:rPr>
        <w:t>.</w:t>
      </w:r>
    </w:p>
    <w:p w14:paraId="60FCB589" w14:textId="42D11221" w:rsidR="00D04A95" w:rsidRPr="00C179D4" w:rsidRDefault="00D04A95" w:rsidP="00C179D4">
      <w:pPr>
        <w:rPr>
          <w:rFonts w:asciiTheme="minorHAnsi" w:hAnsiTheme="minorHAnsi" w:cstheme="minorHAnsi"/>
          <w:bCs/>
          <w:color w:val="000000" w:themeColor="text1"/>
        </w:rPr>
      </w:pPr>
    </w:p>
    <w:p w14:paraId="2DFEFC63" w14:textId="77777777" w:rsidR="00C179D4" w:rsidRPr="00C179D4" w:rsidRDefault="00A24A1A" w:rsidP="00C179D4">
      <w:pPr>
        <w:rPr>
          <w:rFonts w:asciiTheme="minorHAnsi" w:hAnsiTheme="minorHAnsi" w:cstheme="minorHAnsi"/>
          <w:b/>
          <w:bCs/>
          <w:color w:val="000000" w:themeColor="text1"/>
        </w:rPr>
      </w:pPr>
      <w:r w:rsidRPr="00C179D4">
        <w:rPr>
          <w:rFonts w:asciiTheme="minorHAnsi" w:hAnsiTheme="minorHAnsi" w:cstheme="minorHAnsi"/>
          <w:b/>
          <w:bCs/>
          <w:color w:val="000000" w:themeColor="text1"/>
        </w:rPr>
        <w:t>Correspond</w:t>
      </w:r>
      <w:r w:rsidR="00C179D4" w:rsidRPr="00C179D4">
        <w:rPr>
          <w:rFonts w:asciiTheme="minorHAnsi" w:hAnsiTheme="minorHAnsi" w:cstheme="minorHAnsi"/>
          <w:b/>
          <w:bCs/>
          <w:color w:val="000000" w:themeColor="text1"/>
        </w:rPr>
        <w:t>ing Author:</w:t>
      </w:r>
    </w:p>
    <w:p w14:paraId="1F5F61DA" w14:textId="4ABCCB15" w:rsidR="00A24A1A" w:rsidRPr="00C179D4" w:rsidRDefault="00A24A1A" w:rsidP="00C179D4">
      <w:pPr>
        <w:rPr>
          <w:rFonts w:asciiTheme="minorHAnsi" w:hAnsiTheme="minorHAnsi" w:cstheme="minorHAnsi"/>
          <w:bCs/>
          <w:color w:val="000000" w:themeColor="text1"/>
        </w:rPr>
      </w:pPr>
      <w:r w:rsidRPr="00C179D4">
        <w:rPr>
          <w:rFonts w:asciiTheme="minorHAnsi" w:hAnsiTheme="minorHAnsi" w:cstheme="minorHAnsi"/>
          <w:bCs/>
          <w:color w:val="000000" w:themeColor="text1"/>
        </w:rPr>
        <w:t xml:space="preserve">Jing Wang </w:t>
      </w:r>
      <w:r w:rsidR="00C179D4" w:rsidRPr="00C179D4">
        <w:rPr>
          <w:rFonts w:asciiTheme="minorHAnsi" w:hAnsiTheme="minorHAnsi" w:cstheme="minorHAnsi"/>
          <w:bCs/>
          <w:color w:val="000000" w:themeColor="text1"/>
        </w:rPr>
        <w:t>(</w:t>
      </w:r>
      <w:r w:rsidRPr="00C179D4">
        <w:rPr>
          <w:rFonts w:asciiTheme="minorHAnsi" w:hAnsiTheme="minorHAnsi" w:cstheme="minorHAnsi"/>
          <w:bCs/>
          <w:color w:val="000000" w:themeColor="text1"/>
        </w:rPr>
        <w:t>Jing.wang2@nyumc.org</w:t>
      </w:r>
      <w:r w:rsidR="00C179D4" w:rsidRPr="00C179D4">
        <w:rPr>
          <w:rFonts w:asciiTheme="minorHAnsi" w:hAnsiTheme="minorHAnsi" w:cstheme="minorHAnsi"/>
          <w:bCs/>
          <w:color w:val="000000" w:themeColor="text1"/>
        </w:rPr>
        <w:t>)</w:t>
      </w:r>
    </w:p>
    <w:p w14:paraId="47C7CE0E" w14:textId="53EF3BAC" w:rsidR="00C179D4" w:rsidRPr="00C179D4" w:rsidRDefault="00C179D4" w:rsidP="00C179D4">
      <w:pPr>
        <w:rPr>
          <w:rFonts w:asciiTheme="minorHAnsi" w:hAnsiTheme="minorHAnsi" w:cstheme="minorHAnsi"/>
          <w:bCs/>
          <w:color w:val="000000" w:themeColor="text1"/>
        </w:rPr>
      </w:pPr>
    </w:p>
    <w:p w14:paraId="1BD1207C" w14:textId="4847445F" w:rsidR="00C179D4" w:rsidRPr="00C179D4" w:rsidRDefault="00C179D4" w:rsidP="00C179D4">
      <w:pPr>
        <w:rPr>
          <w:rFonts w:asciiTheme="minorHAnsi" w:hAnsiTheme="minorHAnsi" w:cstheme="minorHAnsi"/>
          <w:b/>
          <w:bCs/>
          <w:color w:val="000000" w:themeColor="text1"/>
        </w:rPr>
      </w:pPr>
      <w:r w:rsidRPr="00C179D4">
        <w:rPr>
          <w:rFonts w:asciiTheme="minorHAnsi" w:hAnsiTheme="minorHAnsi" w:cstheme="minorHAnsi"/>
          <w:b/>
          <w:bCs/>
          <w:color w:val="000000" w:themeColor="text1"/>
        </w:rPr>
        <w:t>Email Addresses of Co-authors:</w:t>
      </w:r>
    </w:p>
    <w:p w14:paraId="7116D909" w14:textId="3C25A7DE" w:rsidR="00C179D4" w:rsidRPr="00C179D4" w:rsidRDefault="00C179D4" w:rsidP="00C179D4">
      <w:pPr>
        <w:rPr>
          <w:rFonts w:asciiTheme="minorHAnsi" w:hAnsiTheme="minorHAnsi" w:cstheme="minorHAnsi"/>
          <w:bCs/>
          <w:color w:val="000000" w:themeColor="text1"/>
        </w:rPr>
      </w:pPr>
      <w:r w:rsidRPr="00C179D4">
        <w:rPr>
          <w:rFonts w:asciiTheme="minorHAnsi" w:hAnsiTheme="minorHAnsi" w:cstheme="minorHAnsi"/>
          <w:bCs/>
          <w:color w:val="000000" w:themeColor="text1"/>
        </w:rPr>
        <w:t>Erik Martinez (ejm233@cornell.edu)</w:t>
      </w:r>
    </w:p>
    <w:p w14:paraId="175FD1D9" w14:textId="0AD93EB1" w:rsidR="00C179D4" w:rsidRPr="00C179D4" w:rsidRDefault="00C179D4" w:rsidP="00C179D4">
      <w:pPr>
        <w:rPr>
          <w:rFonts w:asciiTheme="minorHAnsi" w:hAnsiTheme="minorHAnsi" w:cstheme="minorHAnsi"/>
          <w:bCs/>
          <w:color w:val="000000" w:themeColor="text1"/>
        </w:rPr>
      </w:pPr>
      <w:proofErr w:type="spellStart"/>
      <w:r w:rsidRPr="00C179D4">
        <w:rPr>
          <w:rFonts w:asciiTheme="minorHAnsi" w:hAnsiTheme="minorHAnsi" w:cstheme="minorHAnsi"/>
          <w:bCs/>
          <w:color w:val="000000" w:themeColor="text1"/>
        </w:rPr>
        <w:t>Haocheng</w:t>
      </w:r>
      <w:proofErr w:type="spellEnd"/>
      <w:r w:rsidRPr="00C179D4">
        <w:rPr>
          <w:rFonts w:asciiTheme="minorHAnsi" w:hAnsiTheme="minorHAnsi" w:cstheme="minorHAnsi"/>
          <w:bCs/>
          <w:color w:val="000000" w:themeColor="text1"/>
        </w:rPr>
        <w:t xml:space="preserve"> Zhao (Haocheng.Zhou@nyumc.org)</w:t>
      </w:r>
    </w:p>
    <w:p w14:paraId="2329DABE" w14:textId="77777777" w:rsidR="00A24A1A" w:rsidRPr="003D06AB" w:rsidRDefault="00A24A1A" w:rsidP="003D06AB">
      <w:pPr>
        <w:widowControl/>
        <w:jc w:val="left"/>
        <w:rPr>
          <w:bCs/>
          <w:color w:val="000000" w:themeColor="text1"/>
        </w:rPr>
      </w:pPr>
    </w:p>
    <w:p w14:paraId="71B79AC9" w14:textId="01E57AE7" w:rsidR="006305D7" w:rsidRPr="00C179D4" w:rsidRDefault="006305D7" w:rsidP="00C179D4">
      <w:pPr>
        <w:pStyle w:val="NormalWeb"/>
        <w:spacing w:before="0" w:beforeAutospacing="0" w:after="0" w:afterAutospacing="0"/>
        <w:rPr>
          <w:rFonts w:asciiTheme="minorHAnsi" w:hAnsiTheme="minorHAnsi" w:cstheme="minorHAnsi"/>
          <w:color w:val="000000" w:themeColor="text1"/>
        </w:rPr>
      </w:pPr>
      <w:r w:rsidRPr="00C179D4">
        <w:rPr>
          <w:rFonts w:asciiTheme="minorHAnsi" w:hAnsiTheme="minorHAnsi" w:cstheme="minorHAnsi"/>
          <w:b/>
          <w:bCs/>
          <w:color w:val="000000" w:themeColor="text1"/>
        </w:rPr>
        <w:t>KEYWORDS:</w:t>
      </w:r>
    </w:p>
    <w:p w14:paraId="6C0B0781" w14:textId="7ADF3568" w:rsidR="007A4DD6" w:rsidRPr="00C179D4" w:rsidRDefault="0036762A" w:rsidP="00C179D4">
      <w:pPr>
        <w:rPr>
          <w:color w:val="000000" w:themeColor="text1"/>
        </w:rPr>
      </w:pPr>
      <w:r w:rsidRPr="00C179D4">
        <w:rPr>
          <w:color w:val="000000" w:themeColor="text1"/>
        </w:rPr>
        <w:t xml:space="preserve">Stereotaxic </w:t>
      </w:r>
      <w:r w:rsidR="00173EAB" w:rsidRPr="00C179D4">
        <w:rPr>
          <w:color w:val="000000" w:themeColor="text1"/>
        </w:rPr>
        <w:t>Implant</w:t>
      </w:r>
      <w:r w:rsidR="00D04EA0" w:rsidRPr="00C179D4">
        <w:rPr>
          <w:color w:val="000000" w:themeColor="text1"/>
        </w:rPr>
        <w:t xml:space="preserve">, Intracranial </w:t>
      </w:r>
      <w:r w:rsidR="00173EAB" w:rsidRPr="00C179D4">
        <w:rPr>
          <w:color w:val="000000" w:themeColor="text1"/>
        </w:rPr>
        <w:t>Injection</w:t>
      </w:r>
      <w:r w:rsidR="00D04EA0" w:rsidRPr="00C179D4">
        <w:rPr>
          <w:color w:val="000000" w:themeColor="text1"/>
        </w:rPr>
        <w:t>, Analgesia, Pain Assessment</w:t>
      </w:r>
      <w:r w:rsidR="00D63153" w:rsidRPr="00C179D4">
        <w:rPr>
          <w:color w:val="000000" w:themeColor="text1"/>
        </w:rPr>
        <w:t xml:space="preserve">, </w:t>
      </w:r>
      <w:r w:rsidR="003D06AB" w:rsidRPr="003D06AB">
        <w:rPr>
          <w:i/>
          <w:color w:val="000000" w:themeColor="text1"/>
        </w:rPr>
        <w:t>In vivo</w:t>
      </w:r>
      <w:r w:rsidR="00D63153" w:rsidRPr="00C179D4">
        <w:rPr>
          <w:color w:val="000000" w:themeColor="text1"/>
        </w:rPr>
        <w:t xml:space="preserve"> Pharmacology,</w:t>
      </w:r>
      <w:r w:rsidR="00FA4D8C" w:rsidRPr="00C179D4">
        <w:rPr>
          <w:color w:val="000000" w:themeColor="text1"/>
        </w:rPr>
        <w:t xml:space="preserve"> </w:t>
      </w:r>
      <w:proofErr w:type="spellStart"/>
      <w:r w:rsidR="00FA4D8C" w:rsidRPr="00C179D4">
        <w:rPr>
          <w:color w:val="000000" w:themeColor="text1"/>
        </w:rPr>
        <w:t>AMPAkines</w:t>
      </w:r>
      <w:proofErr w:type="spellEnd"/>
    </w:p>
    <w:p w14:paraId="51B9F5D7" w14:textId="77777777" w:rsidR="00CE45F9" w:rsidRPr="00C179D4" w:rsidRDefault="00CE45F9" w:rsidP="00C179D4">
      <w:pPr>
        <w:rPr>
          <w:b/>
          <w:bCs/>
          <w:color w:val="000000" w:themeColor="text1"/>
        </w:rPr>
      </w:pPr>
    </w:p>
    <w:p w14:paraId="17397CB6" w14:textId="03BBABC9" w:rsidR="00CE45F9" w:rsidRPr="00C179D4" w:rsidRDefault="00CE45F9" w:rsidP="00C179D4">
      <w:pPr>
        <w:rPr>
          <w:bCs/>
          <w:caps/>
          <w:color w:val="000000" w:themeColor="text1"/>
        </w:rPr>
      </w:pPr>
      <w:r w:rsidRPr="00C179D4">
        <w:rPr>
          <w:b/>
          <w:bCs/>
          <w:caps/>
          <w:color w:val="000000" w:themeColor="text1"/>
        </w:rPr>
        <w:t>Summary</w:t>
      </w:r>
    </w:p>
    <w:p w14:paraId="1B39C872" w14:textId="4322FA7A" w:rsidR="00CE45F9" w:rsidRPr="00C179D4" w:rsidRDefault="00CE45F9" w:rsidP="00C179D4">
      <w:pPr>
        <w:rPr>
          <w:bCs/>
          <w:color w:val="000000" w:themeColor="text1"/>
        </w:rPr>
      </w:pPr>
      <w:r w:rsidRPr="00C179D4">
        <w:rPr>
          <w:bCs/>
          <w:color w:val="000000" w:themeColor="text1"/>
        </w:rPr>
        <w:t xml:space="preserve">Here we present a protocol to perform intracranial pharmacological experiments followed by pain behavior assays in rodents. This protocol allows researchers to </w:t>
      </w:r>
      <w:r w:rsidR="007701C9" w:rsidRPr="00C179D4">
        <w:rPr>
          <w:bCs/>
          <w:color w:val="000000" w:themeColor="text1"/>
        </w:rPr>
        <w:t>deliver</w:t>
      </w:r>
      <w:r w:rsidRPr="00C179D4">
        <w:rPr>
          <w:bCs/>
          <w:color w:val="000000" w:themeColor="text1"/>
        </w:rPr>
        <w:t xml:space="preserve"> molecular and cellular targets in the brain</w:t>
      </w:r>
      <w:r w:rsidR="00826DAF" w:rsidRPr="00C179D4">
        <w:rPr>
          <w:bCs/>
          <w:color w:val="000000" w:themeColor="text1"/>
        </w:rPr>
        <w:t>,</w:t>
      </w:r>
      <w:r w:rsidRPr="00C179D4">
        <w:rPr>
          <w:bCs/>
          <w:color w:val="000000" w:themeColor="text1"/>
        </w:rPr>
        <w:t xml:space="preserve"> for pharmacologic agents in the treatment of pain.</w:t>
      </w:r>
    </w:p>
    <w:p w14:paraId="79A5BB2F" w14:textId="77777777" w:rsidR="00CE45F9" w:rsidRPr="00C179D4" w:rsidRDefault="00CE45F9" w:rsidP="00C179D4">
      <w:pPr>
        <w:rPr>
          <w:rFonts w:asciiTheme="minorHAnsi" w:hAnsiTheme="minorHAnsi" w:cstheme="minorHAnsi"/>
          <w:color w:val="000000" w:themeColor="text1"/>
        </w:rPr>
      </w:pPr>
    </w:p>
    <w:p w14:paraId="256732EE" w14:textId="77777777" w:rsidR="006879DD" w:rsidRPr="00C179D4" w:rsidRDefault="006305D7" w:rsidP="00C179D4">
      <w:pPr>
        <w:rPr>
          <w:rFonts w:asciiTheme="minorHAnsi" w:hAnsiTheme="minorHAnsi" w:cstheme="minorHAnsi"/>
          <w:b/>
          <w:bCs/>
          <w:color w:val="000000" w:themeColor="text1"/>
        </w:rPr>
      </w:pPr>
      <w:r w:rsidRPr="00C179D4">
        <w:rPr>
          <w:rFonts w:asciiTheme="minorHAnsi" w:hAnsiTheme="minorHAnsi" w:cstheme="minorHAnsi"/>
          <w:b/>
          <w:bCs/>
          <w:color w:val="000000" w:themeColor="text1"/>
        </w:rPr>
        <w:t>LONG ABSTRACT:</w:t>
      </w:r>
    </w:p>
    <w:p w14:paraId="0F04A826" w14:textId="3055EA6B" w:rsidR="007E40AE" w:rsidRPr="00C179D4" w:rsidRDefault="00C55995" w:rsidP="00C179D4">
      <w:pPr>
        <w:rPr>
          <w:rFonts w:asciiTheme="minorHAnsi" w:hAnsiTheme="minorHAnsi" w:cstheme="minorHAnsi"/>
          <w:color w:val="000000" w:themeColor="text1"/>
        </w:rPr>
      </w:pPr>
      <w:r w:rsidRPr="00C179D4">
        <w:rPr>
          <w:rFonts w:asciiTheme="minorHAnsi" w:hAnsiTheme="minorHAnsi" w:cstheme="minorHAnsi"/>
          <w:color w:val="000000" w:themeColor="text1"/>
        </w:rPr>
        <w:t>Pain is a salient sensory experience with affective and cognitive dimensions. However, central mechanisms for pain remain poorly understood, hindering the development of effective therapeutics. Intracranial pharmacology presents an important tool for understanding the molecular and cellular mechanisms of pain in the brain</w:t>
      </w:r>
      <w:r w:rsidR="00826DAF" w:rsidRPr="00C179D4">
        <w:rPr>
          <w:rFonts w:asciiTheme="minorHAnsi" w:hAnsiTheme="minorHAnsi" w:cstheme="minorHAnsi"/>
          <w:color w:val="000000" w:themeColor="text1"/>
        </w:rPr>
        <w:t>,</w:t>
      </w:r>
      <w:r w:rsidR="007701C9" w:rsidRPr="00C179D4">
        <w:rPr>
          <w:rFonts w:asciiTheme="minorHAnsi" w:hAnsiTheme="minorHAnsi" w:cstheme="minorHAnsi"/>
          <w:color w:val="000000" w:themeColor="text1"/>
        </w:rPr>
        <w:t xml:space="preserve"> as well as for novel treatments</w:t>
      </w:r>
      <w:r w:rsidRPr="00C179D4">
        <w:rPr>
          <w:rFonts w:asciiTheme="minorHAnsi" w:hAnsiTheme="minorHAnsi" w:cstheme="minorHAnsi"/>
          <w:color w:val="000000" w:themeColor="text1"/>
        </w:rPr>
        <w:t xml:space="preserve">. Here we present a protocol that integrates intracranial pharmacology with pain behavior testing. Specifically, we </w:t>
      </w:r>
      <w:r w:rsidR="004648DE" w:rsidRPr="00C179D4">
        <w:rPr>
          <w:rFonts w:asciiTheme="minorHAnsi" w:hAnsiTheme="minorHAnsi" w:cstheme="minorHAnsi"/>
          <w:color w:val="000000" w:themeColor="text1"/>
        </w:rPr>
        <w:t>show how to infuse</w:t>
      </w:r>
      <w:r w:rsidRPr="00C179D4">
        <w:rPr>
          <w:rFonts w:asciiTheme="minorHAnsi" w:hAnsiTheme="minorHAnsi" w:cstheme="minorHAnsi"/>
          <w:color w:val="000000" w:themeColor="text1"/>
        </w:rPr>
        <w:t xml:space="preserve"> </w:t>
      </w:r>
      <w:r w:rsidR="00294583" w:rsidRPr="00C179D4">
        <w:rPr>
          <w:rFonts w:asciiTheme="minorHAnsi" w:hAnsiTheme="minorHAnsi" w:cstheme="minorHAnsi"/>
          <w:color w:val="000000" w:themeColor="text1"/>
        </w:rPr>
        <w:t>analgesic drug</w:t>
      </w:r>
      <w:r w:rsidR="00F25775" w:rsidRPr="00C179D4">
        <w:rPr>
          <w:rFonts w:asciiTheme="minorHAnsi" w:hAnsiTheme="minorHAnsi" w:cstheme="minorHAnsi"/>
          <w:color w:val="000000" w:themeColor="text1"/>
        </w:rPr>
        <w:t>s</w:t>
      </w:r>
      <w:r w:rsidR="00294583" w:rsidRPr="00C179D4">
        <w:rPr>
          <w:rFonts w:asciiTheme="minorHAnsi" w:hAnsiTheme="minorHAnsi" w:cstheme="minorHAnsi"/>
          <w:color w:val="000000" w:themeColor="text1"/>
        </w:rPr>
        <w:t xml:space="preserve"> into </w:t>
      </w:r>
      <w:r w:rsidR="004648DE" w:rsidRPr="00C179D4">
        <w:rPr>
          <w:rFonts w:asciiTheme="minorHAnsi" w:hAnsiTheme="minorHAnsi" w:cstheme="minorHAnsi"/>
          <w:color w:val="000000" w:themeColor="text1"/>
        </w:rPr>
        <w:t>a</w:t>
      </w:r>
      <w:r w:rsidR="00AB0AC5" w:rsidRPr="00C179D4">
        <w:rPr>
          <w:rFonts w:asciiTheme="minorHAnsi" w:hAnsiTheme="minorHAnsi" w:cstheme="minorHAnsi"/>
          <w:color w:val="000000" w:themeColor="text1"/>
        </w:rPr>
        <w:t xml:space="preserve"> </w:t>
      </w:r>
      <w:r w:rsidR="004648DE" w:rsidRPr="00C179D4">
        <w:rPr>
          <w:rFonts w:asciiTheme="minorHAnsi" w:hAnsiTheme="minorHAnsi" w:cstheme="minorHAnsi"/>
          <w:color w:val="000000" w:themeColor="text1"/>
        </w:rPr>
        <w:t>select brain region, which may be</w:t>
      </w:r>
      <w:r w:rsidR="00294583" w:rsidRPr="00C179D4">
        <w:rPr>
          <w:rFonts w:asciiTheme="minorHAnsi" w:hAnsiTheme="minorHAnsi" w:cstheme="minorHAnsi"/>
          <w:color w:val="000000" w:themeColor="text1"/>
        </w:rPr>
        <w:t xml:space="preserve"> responsible for pain modulation. Furthermore, </w:t>
      </w:r>
      <w:r w:rsidR="00511BAB" w:rsidRPr="00C179D4">
        <w:rPr>
          <w:rFonts w:asciiTheme="minorHAnsi" w:hAnsiTheme="minorHAnsi" w:cstheme="minorHAnsi"/>
          <w:color w:val="000000" w:themeColor="text1"/>
        </w:rPr>
        <w:t>to determine the effect of the candidate drug in</w:t>
      </w:r>
      <w:r w:rsidR="00474CFC" w:rsidRPr="00C179D4">
        <w:rPr>
          <w:rFonts w:asciiTheme="minorHAnsi" w:hAnsiTheme="minorHAnsi" w:cstheme="minorHAnsi"/>
          <w:color w:val="000000" w:themeColor="text1"/>
        </w:rPr>
        <w:t xml:space="preserve"> the</w:t>
      </w:r>
      <w:r w:rsidR="00511BAB" w:rsidRPr="00C179D4">
        <w:rPr>
          <w:rFonts w:asciiTheme="minorHAnsi" w:hAnsiTheme="minorHAnsi" w:cstheme="minorHAnsi"/>
          <w:color w:val="000000" w:themeColor="text1"/>
        </w:rPr>
        <w:t xml:space="preserve"> central nerve system, pain assays </w:t>
      </w:r>
      <w:r w:rsidR="003C713F" w:rsidRPr="00C179D4">
        <w:rPr>
          <w:rFonts w:asciiTheme="minorHAnsi" w:hAnsiTheme="minorHAnsi" w:cstheme="minorHAnsi"/>
          <w:color w:val="000000" w:themeColor="text1"/>
        </w:rPr>
        <w:t>are</w:t>
      </w:r>
      <w:r w:rsidR="00511BAB" w:rsidRPr="00C179D4">
        <w:rPr>
          <w:rFonts w:asciiTheme="minorHAnsi" w:hAnsiTheme="minorHAnsi" w:cstheme="minorHAnsi"/>
          <w:color w:val="000000" w:themeColor="text1"/>
        </w:rPr>
        <w:t xml:space="preserve"> performed after intracranial treatment.</w:t>
      </w:r>
      <w:r w:rsidRPr="00C179D4">
        <w:rPr>
          <w:rFonts w:asciiTheme="minorHAnsi" w:hAnsiTheme="minorHAnsi" w:cstheme="minorHAnsi"/>
          <w:color w:val="000000" w:themeColor="text1"/>
        </w:rPr>
        <w:t xml:space="preserve"> Our results demonstrate that </w:t>
      </w:r>
      <w:r w:rsidR="00AB0AC5" w:rsidRPr="00C179D4">
        <w:rPr>
          <w:rFonts w:asciiTheme="minorHAnsi" w:hAnsiTheme="minorHAnsi" w:cstheme="minorHAnsi"/>
          <w:color w:val="000000" w:themeColor="text1"/>
        </w:rPr>
        <w:t>intracranial administration of analgesic drug</w:t>
      </w:r>
      <w:r w:rsidR="00474CFC" w:rsidRPr="00C179D4">
        <w:rPr>
          <w:rFonts w:asciiTheme="minorHAnsi" w:hAnsiTheme="minorHAnsi" w:cstheme="minorHAnsi"/>
          <w:color w:val="000000" w:themeColor="text1"/>
        </w:rPr>
        <w:t>s</w:t>
      </w:r>
      <w:r w:rsidR="00AB0AC5" w:rsidRPr="00C179D4">
        <w:rPr>
          <w:rFonts w:asciiTheme="minorHAnsi" w:hAnsiTheme="minorHAnsi" w:cstheme="minorHAnsi"/>
          <w:color w:val="000000" w:themeColor="text1"/>
        </w:rPr>
        <w:t xml:space="preserve"> in</w:t>
      </w:r>
      <w:r w:rsidR="00474CFC" w:rsidRPr="00C179D4">
        <w:rPr>
          <w:rFonts w:asciiTheme="minorHAnsi" w:hAnsiTheme="minorHAnsi" w:cstheme="minorHAnsi"/>
          <w:color w:val="000000" w:themeColor="text1"/>
        </w:rPr>
        <w:t xml:space="preserve"> a</w:t>
      </w:r>
      <w:r w:rsidR="00AB0AC5" w:rsidRPr="00C179D4">
        <w:rPr>
          <w:rFonts w:asciiTheme="minorHAnsi" w:hAnsiTheme="minorHAnsi" w:cstheme="minorHAnsi"/>
          <w:color w:val="000000" w:themeColor="text1"/>
        </w:rPr>
        <w:t xml:space="preserve"> targeted region can provide relief of pain in rodents</w:t>
      </w:r>
      <w:r w:rsidR="00E24047" w:rsidRPr="00C179D4">
        <w:rPr>
          <w:rFonts w:asciiTheme="minorHAnsi" w:hAnsiTheme="minorHAnsi" w:cstheme="minorHAnsi"/>
          <w:color w:val="000000" w:themeColor="text1"/>
        </w:rPr>
        <w:t xml:space="preserve">. </w:t>
      </w:r>
      <w:r w:rsidRPr="00C179D4">
        <w:rPr>
          <w:rFonts w:asciiTheme="minorHAnsi" w:hAnsiTheme="minorHAnsi" w:cstheme="minorHAnsi"/>
          <w:color w:val="000000" w:themeColor="text1"/>
        </w:rPr>
        <w:t>Thus, our protocol successfully demonstrates that intracranial pharmacology, combined with pain behavior testing, can be a powerful tool for the study of pain mechanisms in the brain</w:t>
      </w:r>
      <w:r w:rsidR="007E40AE" w:rsidRPr="00C179D4">
        <w:rPr>
          <w:rFonts w:asciiTheme="minorHAnsi" w:hAnsiTheme="minorHAnsi" w:cstheme="minorHAnsi"/>
          <w:color w:val="000000" w:themeColor="text1"/>
        </w:rPr>
        <w:t>.</w:t>
      </w:r>
    </w:p>
    <w:p w14:paraId="4C7D5FD5" w14:textId="635038C5" w:rsidR="006305D7" w:rsidRPr="00C179D4" w:rsidRDefault="006305D7" w:rsidP="00C179D4">
      <w:pPr>
        <w:rPr>
          <w:rFonts w:asciiTheme="minorHAnsi" w:hAnsiTheme="minorHAnsi" w:cstheme="minorHAnsi"/>
          <w:color w:val="000000" w:themeColor="text1"/>
        </w:rPr>
      </w:pPr>
    </w:p>
    <w:p w14:paraId="00D25F73" w14:textId="46989D18" w:rsidR="006305D7" w:rsidRPr="00C179D4" w:rsidRDefault="006305D7" w:rsidP="00C179D4">
      <w:pPr>
        <w:rPr>
          <w:rFonts w:asciiTheme="minorHAnsi" w:hAnsiTheme="minorHAnsi" w:cstheme="minorHAnsi"/>
          <w:color w:val="000000" w:themeColor="text1"/>
        </w:rPr>
      </w:pPr>
      <w:r w:rsidRPr="00C179D4">
        <w:rPr>
          <w:rFonts w:asciiTheme="minorHAnsi" w:hAnsiTheme="minorHAnsi" w:cstheme="minorHAnsi"/>
          <w:b/>
          <w:color w:val="000000" w:themeColor="text1"/>
        </w:rPr>
        <w:t>INTRODUCTION</w:t>
      </w:r>
      <w:r w:rsidRPr="00C179D4">
        <w:rPr>
          <w:rFonts w:asciiTheme="minorHAnsi" w:hAnsiTheme="minorHAnsi" w:cstheme="minorHAnsi"/>
          <w:b/>
          <w:bCs/>
          <w:color w:val="000000" w:themeColor="text1"/>
        </w:rPr>
        <w:t>:</w:t>
      </w:r>
      <w:r w:rsidRPr="00C179D4">
        <w:rPr>
          <w:rFonts w:asciiTheme="minorHAnsi" w:hAnsiTheme="minorHAnsi" w:cstheme="minorHAnsi"/>
          <w:color w:val="000000" w:themeColor="text1"/>
        </w:rPr>
        <w:t xml:space="preserve"> </w:t>
      </w:r>
    </w:p>
    <w:p w14:paraId="67CF8E83" w14:textId="49E1746C" w:rsidR="00483CCA" w:rsidRPr="00C179D4" w:rsidRDefault="005F2CED" w:rsidP="00C179D4">
      <w:pPr>
        <w:rPr>
          <w:rFonts w:asciiTheme="minorHAnsi" w:hAnsiTheme="minorHAnsi" w:cstheme="minorHAnsi"/>
          <w:color w:val="000000" w:themeColor="text1"/>
        </w:rPr>
      </w:pPr>
      <w:r w:rsidRPr="00C179D4">
        <w:rPr>
          <w:rFonts w:asciiTheme="minorHAnsi" w:hAnsiTheme="minorHAnsi" w:cstheme="minorHAnsi"/>
          <w:color w:val="000000" w:themeColor="text1"/>
        </w:rPr>
        <w:t xml:space="preserve">The central nervous system is known to play a key role in pain regulation. </w:t>
      </w:r>
      <w:r w:rsidR="007701C9" w:rsidRPr="00C179D4">
        <w:rPr>
          <w:rFonts w:asciiTheme="minorHAnsi" w:hAnsiTheme="minorHAnsi" w:cstheme="minorHAnsi"/>
          <w:color w:val="000000" w:themeColor="text1"/>
        </w:rPr>
        <w:t>For example</w:t>
      </w:r>
      <w:r w:rsidRPr="00C179D4">
        <w:rPr>
          <w:rFonts w:asciiTheme="minorHAnsi" w:hAnsiTheme="minorHAnsi" w:cstheme="minorHAnsi"/>
          <w:color w:val="000000" w:themeColor="text1"/>
        </w:rPr>
        <w:t>, glutamate signaling in the brain has a regulatory role in the context of pain</w:t>
      </w:r>
      <w:r w:rsidR="005F7B59" w:rsidRPr="00C179D4">
        <w:rPr>
          <w:rFonts w:asciiTheme="minorHAnsi" w:hAnsiTheme="minorHAnsi" w:cstheme="minorHAnsi"/>
          <w:color w:val="000000" w:themeColor="text1"/>
          <w:vertAlign w:val="superscript"/>
        </w:rPr>
        <w:t>1</w:t>
      </w:r>
      <w:r w:rsidRPr="00C179D4">
        <w:rPr>
          <w:rFonts w:asciiTheme="minorHAnsi" w:hAnsiTheme="minorHAnsi" w:cstheme="minorHAnsi"/>
          <w:color w:val="000000" w:themeColor="text1"/>
          <w:vertAlign w:val="superscript"/>
        </w:rPr>
        <w:t>,</w:t>
      </w:r>
      <w:r w:rsidR="005F7B59" w:rsidRPr="00C179D4">
        <w:rPr>
          <w:rFonts w:asciiTheme="minorHAnsi" w:hAnsiTheme="minorHAnsi" w:cstheme="minorHAnsi"/>
          <w:color w:val="000000" w:themeColor="text1"/>
          <w:vertAlign w:val="superscript"/>
        </w:rPr>
        <w:t>2</w:t>
      </w:r>
      <w:r w:rsidRPr="00C179D4">
        <w:rPr>
          <w:rFonts w:asciiTheme="minorHAnsi" w:hAnsiTheme="minorHAnsi" w:cstheme="minorHAnsi"/>
          <w:color w:val="000000" w:themeColor="text1"/>
        </w:rPr>
        <w:t xml:space="preserve">. </w:t>
      </w:r>
      <w:r w:rsidR="003C713F" w:rsidRPr="00C179D4">
        <w:rPr>
          <w:rFonts w:asciiTheme="minorHAnsi" w:hAnsiTheme="minorHAnsi" w:cstheme="minorHAnsi"/>
          <w:color w:val="000000" w:themeColor="text1"/>
        </w:rPr>
        <w:t>Hence</w:t>
      </w:r>
      <w:r w:rsidR="00345A10" w:rsidRPr="00C179D4">
        <w:rPr>
          <w:rFonts w:asciiTheme="minorHAnsi" w:hAnsiTheme="minorHAnsi" w:cstheme="minorHAnsi"/>
          <w:color w:val="000000" w:themeColor="text1"/>
        </w:rPr>
        <w:t xml:space="preserve">, there is a need to </w:t>
      </w:r>
      <w:r w:rsidR="00345A10" w:rsidRPr="00C179D4">
        <w:rPr>
          <w:rFonts w:asciiTheme="minorHAnsi" w:hAnsiTheme="minorHAnsi" w:cstheme="minorHAnsi"/>
          <w:color w:val="000000" w:themeColor="text1"/>
        </w:rPr>
        <w:lastRenderedPageBreak/>
        <w:t>study cellular and molecular signaling pathways in the brain with respect to pain.</w:t>
      </w:r>
      <w:r w:rsidR="007701C9" w:rsidRPr="00C179D4">
        <w:rPr>
          <w:rFonts w:asciiTheme="minorHAnsi" w:hAnsiTheme="minorHAnsi" w:cstheme="minorHAnsi"/>
          <w:color w:val="000000" w:themeColor="text1"/>
        </w:rPr>
        <w:t xml:space="preserve"> In addition, there is a need to understand if molecular targets in specific brain regions can be modified to treat pain.</w:t>
      </w:r>
      <w:r w:rsidR="00474CFC" w:rsidRPr="00C179D4">
        <w:rPr>
          <w:rFonts w:asciiTheme="minorHAnsi" w:hAnsiTheme="minorHAnsi" w:cstheme="minorHAnsi"/>
          <w:color w:val="000000" w:themeColor="text1"/>
        </w:rPr>
        <w:t xml:space="preserve"> Current studies of</w:t>
      </w:r>
      <w:r w:rsidR="008B17B9" w:rsidRPr="00C179D4">
        <w:rPr>
          <w:rFonts w:asciiTheme="minorHAnsi" w:hAnsiTheme="minorHAnsi" w:cstheme="minorHAnsi"/>
          <w:color w:val="000000" w:themeColor="text1"/>
        </w:rPr>
        <w:t xml:space="preserve"> pain in the brain rely on </w:t>
      </w:r>
      <w:r w:rsidR="003D06AB" w:rsidRPr="003D06AB">
        <w:rPr>
          <w:rFonts w:asciiTheme="minorHAnsi" w:hAnsiTheme="minorHAnsi" w:cstheme="minorHAnsi"/>
          <w:i/>
          <w:color w:val="000000" w:themeColor="text1"/>
        </w:rPr>
        <w:t>in vitro</w:t>
      </w:r>
      <w:r w:rsidR="008B17B9" w:rsidRPr="00C179D4">
        <w:rPr>
          <w:rFonts w:asciiTheme="minorHAnsi" w:hAnsiTheme="minorHAnsi" w:cstheme="minorHAnsi"/>
          <w:color w:val="000000" w:themeColor="text1"/>
        </w:rPr>
        <w:t xml:space="preserve"> studies of electrophysiology in combination with systemic (intraperitoneal) delivery of pharmacological agents. </w:t>
      </w:r>
      <w:r w:rsidR="003D06AB" w:rsidRPr="003D06AB">
        <w:rPr>
          <w:rFonts w:asciiTheme="minorHAnsi" w:hAnsiTheme="minorHAnsi" w:cstheme="minorHAnsi"/>
          <w:i/>
          <w:color w:val="000000" w:themeColor="text1"/>
        </w:rPr>
        <w:t>In vitro</w:t>
      </w:r>
      <w:r w:rsidR="008B17B9" w:rsidRPr="00C179D4">
        <w:rPr>
          <w:rFonts w:asciiTheme="minorHAnsi" w:hAnsiTheme="minorHAnsi" w:cstheme="minorHAnsi"/>
          <w:color w:val="000000" w:themeColor="text1"/>
        </w:rPr>
        <w:t xml:space="preserve"> studies have obvious deficits in revealing </w:t>
      </w:r>
      <w:r w:rsidR="003D06AB" w:rsidRPr="003D06AB">
        <w:rPr>
          <w:rFonts w:asciiTheme="minorHAnsi" w:hAnsiTheme="minorHAnsi" w:cstheme="minorHAnsi"/>
          <w:i/>
          <w:color w:val="000000" w:themeColor="text1"/>
        </w:rPr>
        <w:t>in vivo</w:t>
      </w:r>
      <w:r w:rsidR="008B17B9" w:rsidRPr="00C179D4">
        <w:rPr>
          <w:rFonts w:asciiTheme="minorHAnsi" w:hAnsiTheme="minorHAnsi" w:cstheme="minorHAnsi"/>
          <w:color w:val="000000" w:themeColor="text1"/>
        </w:rPr>
        <w:t xml:space="preserve"> pain mechanisms. Meanwhile, systemic drug delivery does not delineate the precise cellular targets.</w:t>
      </w:r>
      <w:r w:rsidR="00576866" w:rsidRPr="00C179D4">
        <w:rPr>
          <w:rFonts w:asciiTheme="minorHAnsi" w:hAnsiTheme="minorHAnsi" w:cstheme="minorHAnsi"/>
          <w:i/>
          <w:color w:val="000000" w:themeColor="text1"/>
        </w:rPr>
        <w:t xml:space="preserve"> </w:t>
      </w:r>
      <w:r w:rsidR="003D06AB" w:rsidRPr="003D06AB">
        <w:rPr>
          <w:rFonts w:asciiTheme="minorHAnsi" w:hAnsiTheme="minorHAnsi" w:cstheme="minorHAnsi"/>
          <w:i/>
          <w:color w:val="000000" w:themeColor="text1"/>
        </w:rPr>
        <w:t>In vivo</w:t>
      </w:r>
      <w:r w:rsidR="00EC76C9" w:rsidRPr="00C179D4">
        <w:rPr>
          <w:rFonts w:asciiTheme="minorHAnsi" w:hAnsiTheme="minorHAnsi" w:cstheme="minorHAnsi"/>
          <w:i/>
          <w:color w:val="000000" w:themeColor="text1"/>
        </w:rPr>
        <w:t xml:space="preserve"> </w:t>
      </w:r>
      <w:r w:rsidR="007770C9" w:rsidRPr="00C179D4">
        <w:rPr>
          <w:rFonts w:asciiTheme="minorHAnsi" w:hAnsiTheme="minorHAnsi" w:cstheme="minorHAnsi"/>
          <w:color w:val="000000" w:themeColor="text1"/>
        </w:rPr>
        <w:t>i</w:t>
      </w:r>
      <w:r w:rsidR="00576866" w:rsidRPr="00C179D4">
        <w:rPr>
          <w:rFonts w:asciiTheme="minorHAnsi" w:hAnsiTheme="minorHAnsi" w:cstheme="minorHAnsi"/>
          <w:color w:val="000000" w:themeColor="text1"/>
        </w:rPr>
        <w:t>ntr</w:t>
      </w:r>
      <w:r w:rsidR="00E45A8B" w:rsidRPr="00C179D4">
        <w:rPr>
          <w:rFonts w:asciiTheme="minorHAnsi" w:hAnsiTheme="minorHAnsi" w:cstheme="minorHAnsi"/>
          <w:color w:val="000000" w:themeColor="text1"/>
        </w:rPr>
        <w:t>a</w:t>
      </w:r>
      <w:r w:rsidR="00576866" w:rsidRPr="00C179D4">
        <w:rPr>
          <w:rFonts w:asciiTheme="minorHAnsi" w:hAnsiTheme="minorHAnsi" w:cstheme="minorHAnsi"/>
          <w:color w:val="000000" w:themeColor="text1"/>
        </w:rPr>
        <w:t>cranial injections</w:t>
      </w:r>
      <w:r w:rsidR="007701C9" w:rsidRPr="00C179D4">
        <w:rPr>
          <w:rFonts w:asciiTheme="minorHAnsi" w:hAnsiTheme="minorHAnsi" w:cstheme="minorHAnsi"/>
          <w:color w:val="000000" w:themeColor="text1"/>
        </w:rPr>
        <w:t xml:space="preserve"> of chemical and biologic agents</w:t>
      </w:r>
      <w:r w:rsidR="00576866" w:rsidRPr="00C179D4">
        <w:rPr>
          <w:rFonts w:asciiTheme="minorHAnsi" w:hAnsiTheme="minorHAnsi" w:cstheme="minorHAnsi"/>
          <w:color w:val="000000" w:themeColor="text1"/>
        </w:rPr>
        <w:t xml:space="preserve"> have become a powerful tool to study neurological and molecular pathways in the brain. In recent years</w:t>
      </w:r>
      <w:r w:rsidR="00EC76C9" w:rsidRPr="00C179D4">
        <w:rPr>
          <w:rFonts w:asciiTheme="minorHAnsi" w:hAnsiTheme="minorHAnsi" w:cstheme="minorHAnsi"/>
          <w:color w:val="000000" w:themeColor="text1"/>
        </w:rPr>
        <w:t>,</w:t>
      </w:r>
      <w:r w:rsidR="00576866" w:rsidRPr="00C179D4">
        <w:rPr>
          <w:rFonts w:asciiTheme="minorHAnsi" w:hAnsiTheme="minorHAnsi" w:cstheme="minorHAnsi"/>
          <w:color w:val="000000" w:themeColor="text1"/>
        </w:rPr>
        <w:t xml:space="preserve"> other fields have used</w:t>
      </w:r>
      <w:r w:rsidR="007770C9" w:rsidRPr="00C179D4">
        <w:rPr>
          <w:rFonts w:asciiTheme="minorHAnsi" w:hAnsiTheme="minorHAnsi" w:cstheme="minorHAnsi"/>
          <w:color w:val="000000" w:themeColor="text1"/>
        </w:rPr>
        <w:t xml:space="preserve"> </w:t>
      </w:r>
      <w:r w:rsidR="003D06AB" w:rsidRPr="003D06AB">
        <w:rPr>
          <w:rFonts w:asciiTheme="minorHAnsi" w:hAnsiTheme="minorHAnsi" w:cstheme="minorHAnsi"/>
          <w:i/>
          <w:color w:val="000000" w:themeColor="text1"/>
        </w:rPr>
        <w:t>in vivo</w:t>
      </w:r>
      <w:r w:rsidR="00576866" w:rsidRPr="00C179D4">
        <w:rPr>
          <w:rFonts w:asciiTheme="minorHAnsi" w:hAnsiTheme="minorHAnsi" w:cstheme="minorHAnsi"/>
          <w:color w:val="000000" w:themeColor="text1"/>
        </w:rPr>
        <w:t xml:space="preserve"> intracranial injections to</w:t>
      </w:r>
      <w:r w:rsidR="00EC76C9" w:rsidRPr="00C179D4">
        <w:rPr>
          <w:rFonts w:asciiTheme="minorHAnsi" w:hAnsiTheme="minorHAnsi" w:cstheme="minorHAnsi"/>
          <w:color w:val="000000" w:themeColor="text1"/>
        </w:rPr>
        <w:t xml:space="preserve"> successfully</w:t>
      </w:r>
      <w:r w:rsidR="00576866" w:rsidRPr="00C179D4">
        <w:rPr>
          <w:rFonts w:asciiTheme="minorHAnsi" w:hAnsiTheme="minorHAnsi" w:cstheme="minorHAnsi"/>
          <w:color w:val="000000" w:themeColor="text1"/>
        </w:rPr>
        <w:t xml:space="preserve"> study addiction and reward</w:t>
      </w:r>
      <w:r w:rsidR="007770C9" w:rsidRPr="00C179D4">
        <w:rPr>
          <w:rFonts w:asciiTheme="minorHAnsi" w:hAnsiTheme="minorHAnsi" w:cstheme="minorHAnsi"/>
          <w:color w:val="000000" w:themeColor="text1"/>
        </w:rPr>
        <w:t xml:space="preserve"> behaviors and</w:t>
      </w:r>
      <w:r w:rsidR="00576866" w:rsidRPr="00C179D4">
        <w:rPr>
          <w:rFonts w:asciiTheme="minorHAnsi" w:hAnsiTheme="minorHAnsi" w:cstheme="minorHAnsi"/>
          <w:color w:val="000000" w:themeColor="text1"/>
        </w:rPr>
        <w:t xml:space="preserve"> </w:t>
      </w:r>
      <w:r w:rsidR="00E56411" w:rsidRPr="00C179D4">
        <w:rPr>
          <w:rFonts w:asciiTheme="minorHAnsi" w:hAnsiTheme="minorHAnsi" w:cstheme="minorHAnsi"/>
          <w:color w:val="000000" w:themeColor="text1"/>
        </w:rPr>
        <w:t>circuit pathways in rodents</w:t>
      </w:r>
      <w:r w:rsidR="00E47284" w:rsidRPr="00C179D4">
        <w:rPr>
          <w:rFonts w:asciiTheme="minorHAnsi" w:hAnsiTheme="minorHAnsi" w:cstheme="minorHAnsi"/>
          <w:color w:val="000000" w:themeColor="text1"/>
          <w:vertAlign w:val="superscript"/>
        </w:rPr>
        <w:t>3</w:t>
      </w:r>
      <w:r w:rsidR="00576866" w:rsidRPr="00C179D4">
        <w:rPr>
          <w:rFonts w:asciiTheme="minorHAnsi" w:hAnsiTheme="minorHAnsi" w:cstheme="minorHAnsi"/>
          <w:color w:val="000000" w:themeColor="text1"/>
          <w:vertAlign w:val="superscript"/>
        </w:rPr>
        <w:t>,</w:t>
      </w:r>
      <w:r w:rsidR="00E47284" w:rsidRPr="00C179D4">
        <w:rPr>
          <w:rFonts w:asciiTheme="minorHAnsi" w:hAnsiTheme="minorHAnsi" w:cstheme="minorHAnsi"/>
          <w:color w:val="000000" w:themeColor="text1"/>
          <w:vertAlign w:val="superscript"/>
        </w:rPr>
        <w:t>4</w:t>
      </w:r>
      <w:r w:rsidR="00576866" w:rsidRPr="00C179D4">
        <w:rPr>
          <w:rFonts w:asciiTheme="minorHAnsi" w:hAnsiTheme="minorHAnsi" w:cstheme="minorHAnsi"/>
          <w:color w:val="000000" w:themeColor="text1"/>
        </w:rPr>
        <w:t>.</w:t>
      </w:r>
      <w:r w:rsidR="00345A10" w:rsidRPr="00C179D4">
        <w:rPr>
          <w:rFonts w:asciiTheme="minorHAnsi" w:hAnsiTheme="minorHAnsi" w:cstheme="minorHAnsi"/>
          <w:color w:val="000000" w:themeColor="text1"/>
        </w:rPr>
        <w:t xml:space="preserve"> </w:t>
      </w:r>
      <w:r w:rsidR="007770C9" w:rsidRPr="00C179D4">
        <w:rPr>
          <w:rFonts w:asciiTheme="minorHAnsi" w:hAnsiTheme="minorHAnsi" w:cstheme="minorHAnsi"/>
          <w:color w:val="000000" w:themeColor="text1"/>
        </w:rPr>
        <w:t xml:space="preserve">However, in the context of pain, the use of </w:t>
      </w:r>
      <w:r w:rsidR="003D06AB" w:rsidRPr="003D06AB">
        <w:rPr>
          <w:rFonts w:asciiTheme="minorHAnsi" w:hAnsiTheme="minorHAnsi" w:cstheme="minorHAnsi"/>
          <w:i/>
          <w:color w:val="000000" w:themeColor="text1"/>
        </w:rPr>
        <w:t>in vivo</w:t>
      </w:r>
      <w:r w:rsidR="007770C9" w:rsidRPr="00C179D4">
        <w:rPr>
          <w:rFonts w:asciiTheme="minorHAnsi" w:hAnsiTheme="minorHAnsi" w:cstheme="minorHAnsi"/>
          <w:color w:val="000000" w:themeColor="text1"/>
        </w:rPr>
        <w:t xml:space="preserve"> intracranial </w:t>
      </w:r>
      <w:r w:rsidR="007701C9" w:rsidRPr="00C179D4">
        <w:rPr>
          <w:rFonts w:asciiTheme="minorHAnsi" w:hAnsiTheme="minorHAnsi" w:cstheme="minorHAnsi"/>
          <w:color w:val="000000" w:themeColor="text1"/>
        </w:rPr>
        <w:t>pharmacology</w:t>
      </w:r>
      <w:r w:rsidR="007770C9" w:rsidRPr="00C179D4">
        <w:rPr>
          <w:rFonts w:asciiTheme="minorHAnsi" w:hAnsiTheme="minorHAnsi" w:cstheme="minorHAnsi"/>
          <w:color w:val="000000" w:themeColor="text1"/>
        </w:rPr>
        <w:t xml:space="preserve"> is lacking.</w:t>
      </w:r>
    </w:p>
    <w:p w14:paraId="1E3F2388" w14:textId="77777777" w:rsidR="007701C9" w:rsidRPr="00C179D4" w:rsidRDefault="007701C9" w:rsidP="00C179D4">
      <w:pPr>
        <w:rPr>
          <w:rFonts w:asciiTheme="minorHAnsi" w:hAnsiTheme="minorHAnsi" w:cstheme="minorHAnsi"/>
          <w:color w:val="000000" w:themeColor="text1"/>
        </w:rPr>
      </w:pPr>
    </w:p>
    <w:p w14:paraId="246E8EBD" w14:textId="2C437232" w:rsidR="007770C9" w:rsidRPr="00C179D4" w:rsidRDefault="00D96B10" w:rsidP="00C179D4">
      <w:pPr>
        <w:rPr>
          <w:rFonts w:asciiTheme="minorHAnsi" w:hAnsiTheme="minorHAnsi" w:cstheme="minorHAnsi"/>
          <w:color w:val="000000" w:themeColor="text1"/>
        </w:rPr>
      </w:pPr>
      <w:r w:rsidRPr="00C179D4">
        <w:rPr>
          <w:rFonts w:asciiTheme="minorHAnsi" w:hAnsiTheme="minorHAnsi" w:cstheme="minorHAnsi"/>
          <w:color w:val="000000" w:themeColor="text1"/>
        </w:rPr>
        <w:t xml:space="preserve">Intracranial injections allow for precise injection of a drug into a specific area of the brain. </w:t>
      </w:r>
      <w:r w:rsidR="007701C9" w:rsidRPr="00C179D4">
        <w:rPr>
          <w:rFonts w:asciiTheme="minorHAnsi" w:hAnsiTheme="minorHAnsi" w:cstheme="minorHAnsi"/>
          <w:color w:val="000000" w:themeColor="text1"/>
        </w:rPr>
        <w:t>Furthermore,</w:t>
      </w:r>
      <w:r w:rsidRPr="00C179D4">
        <w:rPr>
          <w:rFonts w:asciiTheme="minorHAnsi" w:hAnsiTheme="minorHAnsi" w:cstheme="minorHAnsi"/>
          <w:color w:val="000000" w:themeColor="text1"/>
        </w:rPr>
        <w:t xml:space="preserve"> specific pathways and receptors can be targeted</w:t>
      </w:r>
      <w:r w:rsidR="007701C9" w:rsidRPr="00C179D4">
        <w:rPr>
          <w:rFonts w:asciiTheme="minorHAnsi" w:hAnsiTheme="minorHAnsi" w:cstheme="minorHAnsi"/>
          <w:color w:val="000000" w:themeColor="text1"/>
        </w:rPr>
        <w:t xml:space="preserve"> using highly selective drugs</w:t>
      </w:r>
      <w:r w:rsidRPr="00C179D4">
        <w:rPr>
          <w:rFonts w:asciiTheme="minorHAnsi" w:hAnsiTheme="minorHAnsi" w:cstheme="minorHAnsi"/>
          <w:color w:val="000000" w:themeColor="text1"/>
        </w:rPr>
        <w:t>.</w:t>
      </w:r>
      <w:r w:rsidR="007701C9" w:rsidRPr="00C179D4">
        <w:rPr>
          <w:rFonts w:asciiTheme="minorHAnsi" w:hAnsiTheme="minorHAnsi" w:cstheme="minorHAnsi"/>
          <w:color w:val="000000" w:themeColor="text1"/>
        </w:rPr>
        <w:t xml:space="preserve"> The combination of</w:t>
      </w:r>
      <w:r w:rsidR="00AD12C8" w:rsidRPr="00C179D4">
        <w:rPr>
          <w:rFonts w:asciiTheme="minorHAnsi" w:hAnsiTheme="minorHAnsi" w:cstheme="minorHAnsi"/>
          <w:color w:val="000000" w:themeColor="text1"/>
        </w:rPr>
        <w:t xml:space="preserve"> an</w:t>
      </w:r>
      <w:r w:rsidR="007701C9" w:rsidRPr="00C179D4">
        <w:rPr>
          <w:rFonts w:asciiTheme="minorHAnsi" w:hAnsiTheme="minorHAnsi" w:cstheme="minorHAnsi"/>
          <w:color w:val="000000" w:themeColor="text1"/>
        </w:rPr>
        <w:t xml:space="preserve"> intracranial delivery system with precision drugs allows us to target molecular and cellular targets for pain.</w:t>
      </w:r>
      <w:r w:rsidRPr="00C179D4">
        <w:rPr>
          <w:rFonts w:asciiTheme="minorHAnsi" w:hAnsiTheme="minorHAnsi" w:cstheme="minorHAnsi"/>
          <w:color w:val="000000" w:themeColor="text1"/>
        </w:rPr>
        <w:t xml:space="preserve"> After </w:t>
      </w:r>
      <w:r w:rsidR="007701C9" w:rsidRPr="00C179D4">
        <w:rPr>
          <w:rFonts w:asciiTheme="minorHAnsi" w:hAnsiTheme="minorHAnsi" w:cstheme="minorHAnsi"/>
          <w:color w:val="000000" w:themeColor="text1"/>
        </w:rPr>
        <w:t>intracranial delivery of these drugs</w:t>
      </w:r>
      <w:r w:rsidRPr="00C179D4">
        <w:rPr>
          <w:rFonts w:asciiTheme="minorHAnsi" w:hAnsiTheme="minorHAnsi" w:cstheme="minorHAnsi"/>
          <w:color w:val="000000" w:themeColor="text1"/>
        </w:rPr>
        <w:t>, researchers can</w:t>
      </w:r>
      <w:r w:rsidR="007770C9" w:rsidRPr="00C179D4">
        <w:rPr>
          <w:rFonts w:asciiTheme="minorHAnsi" w:hAnsiTheme="minorHAnsi" w:cstheme="minorHAnsi"/>
          <w:color w:val="000000" w:themeColor="text1"/>
        </w:rPr>
        <w:t xml:space="preserve"> observe</w:t>
      </w:r>
      <w:r w:rsidRPr="00C179D4">
        <w:rPr>
          <w:rFonts w:asciiTheme="minorHAnsi" w:hAnsiTheme="minorHAnsi" w:cstheme="minorHAnsi"/>
          <w:color w:val="000000" w:themeColor="text1"/>
        </w:rPr>
        <w:t xml:space="preserve"> the immediate effects in the behavior of</w:t>
      </w:r>
      <w:r w:rsidR="007770C9" w:rsidRPr="00C179D4">
        <w:rPr>
          <w:rFonts w:asciiTheme="minorHAnsi" w:hAnsiTheme="minorHAnsi" w:cstheme="minorHAnsi"/>
          <w:color w:val="000000" w:themeColor="text1"/>
        </w:rPr>
        <w:t xml:space="preserve"> rodents. From well </w:t>
      </w:r>
      <w:r w:rsidR="007701C9" w:rsidRPr="00C179D4">
        <w:rPr>
          <w:rFonts w:asciiTheme="minorHAnsi" w:hAnsiTheme="minorHAnsi" w:cstheme="minorHAnsi"/>
          <w:color w:val="000000" w:themeColor="text1"/>
        </w:rPr>
        <w:t xml:space="preserve">conducted </w:t>
      </w:r>
      <w:r w:rsidR="007770C9" w:rsidRPr="00C179D4">
        <w:rPr>
          <w:rFonts w:asciiTheme="minorHAnsi" w:hAnsiTheme="minorHAnsi" w:cstheme="minorHAnsi"/>
          <w:color w:val="000000" w:themeColor="text1"/>
        </w:rPr>
        <w:t>experiments, rodents’ behaviors can be linked with</w:t>
      </w:r>
      <w:r w:rsidR="007701C9" w:rsidRPr="00C179D4">
        <w:rPr>
          <w:rFonts w:asciiTheme="minorHAnsi" w:hAnsiTheme="minorHAnsi" w:cstheme="minorHAnsi"/>
          <w:color w:val="000000" w:themeColor="text1"/>
        </w:rPr>
        <w:t xml:space="preserve"> pharmacology. </w:t>
      </w:r>
    </w:p>
    <w:p w14:paraId="4CDAB2E9" w14:textId="77777777" w:rsidR="007701C9" w:rsidRPr="00C179D4" w:rsidRDefault="007701C9" w:rsidP="00C179D4">
      <w:pPr>
        <w:rPr>
          <w:rFonts w:asciiTheme="minorHAnsi" w:hAnsiTheme="minorHAnsi" w:cstheme="minorHAnsi"/>
          <w:color w:val="000000" w:themeColor="text1"/>
        </w:rPr>
      </w:pPr>
    </w:p>
    <w:p w14:paraId="3AB8DD31" w14:textId="40CBAACA" w:rsidR="00D96B10" w:rsidRPr="00C179D4" w:rsidRDefault="008B17B9" w:rsidP="00C179D4">
      <w:pPr>
        <w:rPr>
          <w:rFonts w:asciiTheme="minorHAnsi" w:hAnsiTheme="minorHAnsi" w:cstheme="minorHAnsi"/>
          <w:color w:val="000000" w:themeColor="text1"/>
        </w:rPr>
      </w:pPr>
      <w:r w:rsidRPr="00C179D4">
        <w:rPr>
          <w:rFonts w:asciiTheme="minorHAnsi" w:hAnsiTheme="minorHAnsi" w:cstheme="minorHAnsi"/>
          <w:color w:val="000000" w:themeColor="text1"/>
        </w:rPr>
        <w:t xml:space="preserve">In this protocol, we used the example of </w:t>
      </w:r>
      <w:proofErr w:type="spellStart"/>
      <w:r w:rsidRPr="00C179D4">
        <w:rPr>
          <w:rFonts w:asciiTheme="minorHAnsi" w:hAnsiTheme="minorHAnsi" w:cstheme="minorHAnsi"/>
          <w:color w:val="000000" w:themeColor="text1"/>
        </w:rPr>
        <w:t>AMPAkine</w:t>
      </w:r>
      <w:proofErr w:type="spellEnd"/>
      <w:r w:rsidRPr="00C179D4">
        <w:rPr>
          <w:rFonts w:asciiTheme="minorHAnsi" w:hAnsiTheme="minorHAnsi" w:cstheme="minorHAnsi"/>
          <w:color w:val="000000" w:themeColor="text1"/>
        </w:rPr>
        <w:t xml:space="preserve"> infusion in the</w:t>
      </w:r>
      <w:r w:rsidR="003D06AB">
        <w:rPr>
          <w:rFonts w:asciiTheme="minorHAnsi" w:hAnsiTheme="minorHAnsi" w:cstheme="minorHAnsi"/>
          <w:color w:val="000000" w:themeColor="text1"/>
        </w:rPr>
        <w:t xml:space="preserve"> prefrontal </w:t>
      </w:r>
      <w:r w:rsidRPr="00C179D4">
        <w:rPr>
          <w:rFonts w:asciiTheme="minorHAnsi" w:hAnsiTheme="minorHAnsi" w:cstheme="minorHAnsi"/>
          <w:color w:val="000000" w:themeColor="text1"/>
        </w:rPr>
        <w:t xml:space="preserve">cortex (PFC) to demonstrate the mechanism of cortical glutamate signaling in pain regulation. </w:t>
      </w:r>
      <w:proofErr w:type="spellStart"/>
      <w:r w:rsidR="00D96B10" w:rsidRPr="00C179D4">
        <w:rPr>
          <w:rFonts w:asciiTheme="minorHAnsi" w:hAnsiTheme="minorHAnsi" w:cstheme="minorHAnsi"/>
          <w:color w:val="000000" w:themeColor="text1"/>
        </w:rPr>
        <w:t>AMPAkines</w:t>
      </w:r>
      <w:proofErr w:type="spellEnd"/>
      <w:r w:rsidR="00D96B10" w:rsidRPr="00C179D4">
        <w:rPr>
          <w:rFonts w:asciiTheme="minorHAnsi" w:hAnsiTheme="minorHAnsi" w:cstheme="minorHAnsi"/>
          <w:color w:val="000000" w:themeColor="text1"/>
        </w:rPr>
        <w:t xml:space="preserve"> are synthetic compounds that are known allosteric modulators.</w:t>
      </w:r>
      <w:r w:rsidR="009F70FF" w:rsidRPr="00C179D4">
        <w:rPr>
          <w:rFonts w:asciiTheme="minorHAnsi" w:hAnsiTheme="minorHAnsi" w:cstheme="minorHAnsi"/>
          <w:color w:val="000000" w:themeColor="text1"/>
        </w:rPr>
        <w:t xml:space="preserve"> </w:t>
      </w:r>
      <w:r w:rsidR="003D6B9F" w:rsidRPr="00C179D4">
        <w:rPr>
          <w:rFonts w:asciiTheme="minorHAnsi" w:hAnsiTheme="minorHAnsi" w:cstheme="minorHAnsi"/>
          <w:color w:val="000000" w:themeColor="text1"/>
        </w:rPr>
        <w:t xml:space="preserve">They have </w:t>
      </w:r>
      <w:r w:rsidR="0068650A" w:rsidRPr="00C179D4">
        <w:rPr>
          <w:rFonts w:asciiTheme="minorHAnsi" w:hAnsiTheme="minorHAnsi" w:cstheme="minorHAnsi"/>
          <w:color w:val="000000" w:themeColor="text1"/>
        </w:rPr>
        <w:t>shown the ability to</w:t>
      </w:r>
      <w:r w:rsidR="009F70FF" w:rsidRPr="00C179D4">
        <w:rPr>
          <w:rFonts w:asciiTheme="minorHAnsi" w:hAnsiTheme="minorHAnsi" w:cstheme="minorHAnsi"/>
          <w:color w:val="000000" w:themeColor="text1"/>
        </w:rPr>
        <w:t xml:space="preserve"> relieve acute and chronic pain in animal models</w:t>
      </w:r>
      <w:r w:rsidR="005F7B59" w:rsidRPr="00C179D4">
        <w:rPr>
          <w:rFonts w:asciiTheme="minorHAnsi" w:hAnsiTheme="minorHAnsi" w:cstheme="minorHAnsi"/>
          <w:color w:val="000000" w:themeColor="text1"/>
          <w:vertAlign w:val="superscript"/>
        </w:rPr>
        <w:t>5,6</w:t>
      </w:r>
      <w:r w:rsidR="003D6B9F" w:rsidRPr="00C179D4">
        <w:rPr>
          <w:rFonts w:asciiTheme="minorHAnsi" w:hAnsiTheme="minorHAnsi" w:cstheme="minorHAnsi"/>
          <w:color w:val="000000" w:themeColor="text1"/>
        </w:rPr>
        <w:t>. Previous</w:t>
      </w:r>
      <w:r w:rsidR="009F70FF" w:rsidRPr="00C179D4">
        <w:rPr>
          <w:rFonts w:asciiTheme="minorHAnsi" w:hAnsiTheme="minorHAnsi" w:cstheme="minorHAnsi"/>
          <w:color w:val="000000" w:themeColor="text1"/>
        </w:rPr>
        <w:t xml:space="preserve"> studies suggest that the likely sites of action</w:t>
      </w:r>
      <w:r w:rsidR="003D6B9F" w:rsidRPr="00C179D4">
        <w:rPr>
          <w:rFonts w:asciiTheme="minorHAnsi" w:hAnsiTheme="minorHAnsi" w:cstheme="minorHAnsi"/>
          <w:color w:val="000000" w:themeColor="text1"/>
        </w:rPr>
        <w:t xml:space="preserve"> of </w:t>
      </w:r>
      <w:proofErr w:type="spellStart"/>
      <w:r w:rsidR="003D6B9F" w:rsidRPr="00C179D4">
        <w:rPr>
          <w:rFonts w:asciiTheme="minorHAnsi" w:hAnsiTheme="minorHAnsi" w:cstheme="minorHAnsi"/>
          <w:color w:val="000000" w:themeColor="text1"/>
        </w:rPr>
        <w:t>AMPAkines</w:t>
      </w:r>
      <w:proofErr w:type="spellEnd"/>
      <w:r w:rsidR="009F70FF" w:rsidRPr="00C179D4">
        <w:rPr>
          <w:rFonts w:asciiTheme="minorHAnsi" w:hAnsiTheme="minorHAnsi" w:cstheme="minorHAnsi"/>
          <w:color w:val="000000" w:themeColor="text1"/>
        </w:rPr>
        <w:t xml:space="preserve"> are in the brain</w:t>
      </w:r>
      <w:r w:rsidR="005F7B59" w:rsidRPr="00C179D4">
        <w:rPr>
          <w:rFonts w:asciiTheme="minorHAnsi" w:hAnsiTheme="minorHAnsi" w:cstheme="minorHAnsi"/>
          <w:color w:val="000000" w:themeColor="text1"/>
          <w:vertAlign w:val="superscript"/>
        </w:rPr>
        <w:t>5,6</w:t>
      </w:r>
      <w:r w:rsidR="009F70FF" w:rsidRPr="00C179D4">
        <w:rPr>
          <w:rFonts w:asciiTheme="minorHAnsi" w:hAnsiTheme="minorHAnsi" w:cstheme="minorHAnsi"/>
          <w:color w:val="000000" w:themeColor="text1"/>
        </w:rPr>
        <w:t xml:space="preserve">. </w:t>
      </w:r>
      <w:r w:rsidRPr="00C179D4">
        <w:rPr>
          <w:rFonts w:asciiTheme="minorHAnsi" w:hAnsiTheme="minorHAnsi" w:cstheme="minorHAnsi"/>
          <w:color w:val="000000" w:themeColor="text1"/>
        </w:rPr>
        <w:t xml:space="preserve">The PFC </w:t>
      </w:r>
      <w:r w:rsidR="009F70FF" w:rsidRPr="00C179D4">
        <w:rPr>
          <w:rFonts w:asciiTheme="minorHAnsi" w:hAnsiTheme="minorHAnsi" w:cstheme="minorHAnsi"/>
          <w:color w:val="000000" w:themeColor="text1"/>
        </w:rPr>
        <w:t xml:space="preserve">is a region in the brain that exhibits top down control to </w:t>
      </w:r>
      <w:r w:rsidR="007701C9" w:rsidRPr="00C179D4">
        <w:rPr>
          <w:rFonts w:asciiTheme="minorHAnsi" w:hAnsiTheme="minorHAnsi" w:cstheme="minorHAnsi"/>
          <w:color w:val="000000" w:themeColor="text1"/>
        </w:rPr>
        <w:t>subcortical areas to regulate mood and behavior</w:t>
      </w:r>
      <w:r w:rsidR="003C713F" w:rsidRPr="00C179D4">
        <w:rPr>
          <w:rFonts w:asciiTheme="minorHAnsi" w:hAnsiTheme="minorHAnsi" w:cstheme="minorHAnsi"/>
          <w:color w:val="000000" w:themeColor="text1"/>
        </w:rPr>
        <w:t>. Some of these output</w:t>
      </w:r>
      <w:r w:rsidR="009F70FF" w:rsidRPr="00C179D4">
        <w:rPr>
          <w:rFonts w:asciiTheme="minorHAnsi" w:hAnsiTheme="minorHAnsi" w:cstheme="minorHAnsi"/>
          <w:color w:val="000000" w:themeColor="text1"/>
        </w:rPr>
        <w:t xml:space="preserve"> projection</w:t>
      </w:r>
      <w:r w:rsidR="003C713F" w:rsidRPr="00C179D4">
        <w:rPr>
          <w:rFonts w:asciiTheme="minorHAnsi" w:hAnsiTheme="minorHAnsi" w:cstheme="minorHAnsi"/>
          <w:color w:val="000000" w:themeColor="text1"/>
        </w:rPr>
        <w:t>s</w:t>
      </w:r>
      <w:r w:rsidR="009F70FF" w:rsidRPr="00C179D4">
        <w:rPr>
          <w:rFonts w:asciiTheme="minorHAnsi" w:hAnsiTheme="minorHAnsi" w:cstheme="minorHAnsi"/>
          <w:color w:val="000000" w:themeColor="text1"/>
        </w:rPr>
        <w:t xml:space="preserve"> ha</w:t>
      </w:r>
      <w:r w:rsidR="003C713F" w:rsidRPr="00C179D4">
        <w:rPr>
          <w:rFonts w:asciiTheme="minorHAnsi" w:hAnsiTheme="minorHAnsi" w:cstheme="minorHAnsi"/>
          <w:color w:val="000000" w:themeColor="text1"/>
        </w:rPr>
        <w:t>ve</w:t>
      </w:r>
      <w:r w:rsidR="009F70FF" w:rsidRPr="00C179D4">
        <w:rPr>
          <w:rFonts w:asciiTheme="minorHAnsi" w:hAnsiTheme="minorHAnsi" w:cstheme="minorHAnsi"/>
          <w:color w:val="000000" w:themeColor="text1"/>
        </w:rPr>
        <w:t xml:space="preserve"> been shown to be key in pain regulation</w:t>
      </w:r>
      <w:r w:rsidR="005F7B59" w:rsidRPr="00C179D4">
        <w:rPr>
          <w:rFonts w:asciiTheme="minorHAnsi" w:hAnsiTheme="minorHAnsi" w:cstheme="minorHAnsi"/>
          <w:color w:val="000000" w:themeColor="text1"/>
          <w:vertAlign w:val="superscript"/>
        </w:rPr>
        <w:t>1</w:t>
      </w:r>
      <w:r w:rsidR="009F70FF" w:rsidRPr="00C179D4">
        <w:rPr>
          <w:rFonts w:asciiTheme="minorHAnsi" w:hAnsiTheme="minorHAnsi" w:cstheme="minorHAnsi"/>
          <w:color w:val="000000" w:themeColor="text1"/>
          <w:vertAlign w:val="superscript"/>
        </w:rPr>
        <w:t>,</w:t>
      </w:r>
      <w:r w:rsidR="005F7B59" w:rsidRPr="00C179D4">
        <w:rPr>
          <w:rFonts w:asciiTheme="minorHAnsi" w:hAnsiTheme="minorHAnsi" w:cstheme="minorHAnsi"/>
          <w:color w:val="000000" w:themeColor="text1"/>
          <w:vertAlign w:val="superscript"/>
        </w:rPr>
        <w:t>2,7</w:t>
      </w:r>
      <w:r w:rsidR="009F70FF" w:rsidRPr="00C179D4">
        <w:rPr>
          <w:rFonts w:asciiTheme="minorHAnsi" w:hAnsiTheme="minorHAnsi" w:cstheme="minorHAnsi"/>
          <w:color w:val="000000" w:themeColor="text1"/>
        </w:rPr>
        <w:t>.</w:t>
      </w:r>
      <w:r w:rsidR="003D6B9F" w:rsidRPr="00C179D4">
        <w:rPr>
          <w:rFonts w:asciiTheme="minorHAnsi" w:hAnsiTheme="minorHAnsi" w:cstheme="minorHAnsi"/>
          <w:color w:val="000000" w:themeColor="text1"/>
        </w:rPr>
        <w:t xml:space="preserve"> </w:t>
      </w:r>
      <w:r w:rsidR="007701C9" w:rsidRPr="00C179D4">
        <w:rPr>
          <w:rFonts w:asciiTheme="minorHAnsi" w:hAnsiTheme="minorHAnsi" w:cstheme="minorHAnsi"/>
          <w:color w:val="000000" w:themeColor="text1"/>
        </w:rPr>
        <w:t>More specifically</w:t>
      </w:r>
      <w:r w:rsidR="003D6B9F" w:rsidRPr="00C179D4">
        <w:rPr>
          <w:rFonts w:asciiTheme="minorHAnsi" w:hAnsiTheme="minorHAnsi" w:cstheme="minorHAnsi"/>
          <w:color w:val="000000" w:themeColor="text1"/>
        </w:rPr>
        <w:t>, glutamate signaling in the PFC has been shown to regulate pain. Thus</w:t>
      </w:r>
      <w:r w:rsidR="0068650A" w:rsidRPr="00C179D4">
        <w:rPr>
          <w:rFonts w:asciiTheme="minorHAnsi" w:hAnsiTheme="minorHAnsi" w:cstheme="minorHAnsi"/>
          <w:color w:val="000000" w:themeColor="text1"/>
        </w:rPr>
        <w:t>,</w:t>
      </w:r>
      <w:r w:rsidR="003D6B9F" w:rsidRPr="00C179D4">
        <w:rPr>
          <w:rFonts w:asciiTheme="minorHAnsi" w:hAnsiTheme="minorHAnsi" w:cstheme="minorHAnsi"/>
          <w:color w:val="000000" w:themeColor="text1"/>
        </w:rPr>
        <w:t xml:space="preserve"> t</w:t>
      </w:r>
      <w:r w:rsidR="007701C9" w:rsidRPr="00C179D4">
        <w:rPr>
          <w:rFonts w:asciiTheme="minorHAnsi" w:hAnsiTheme="minorHAnsi" w:cstheme="minorHAnsi"/>
          <w:color w:val="000000" w:themeColor="text1"/>
        </w:rPr>
        <w:t xml:space="preserve">he PFC was chosen as a targeted brain area for the study of </w:t>
      </w:r>
      <w:proofErr w:type="spellStart"/>
      <w:r w:rsidR="007701C9" w:rsidRPr="00C179D4">
        <w:rPr>
          <w:rFonts w:asciiTheme="minorHAnsi" w:hAnsiTheme="minorHAnsi" w:cstheme="minorHAnsi"/>
          <w:color w:val="000000" w:themeColor="text1"/>
        </w:rPr>
        <w:t>AMPAkines</w:t>
      </w:r>
      <w:proofErr w:type="spellEnd"/>
      <w:r w:rsidR="007701C9" w:rsidRPr="00C179D4">
        <w:rPr>
          <w:rFonts w:asciiTheme="minorHAnsi" w:hAnsiTheme="minorHAnsi" w:cstheme="minorHAnsi"/>
          <w:color w:val="000000" w:themeColor="text1"/>
        </w:rPr>
        <w:t xml:space="preserve"> in pain states</w:t>
      </w:r>
      <w:r w:rsidR="003D6B9F" w:rsidRPr="00C179D4">
        <w:rPr>
          <w:rFonts w:asciiTheme="minorHAnsi" w:hAnsiTheme="minorHAnsi" w:cstheme="minorHAnsi"/>
          <w:color w:val="000000" w:themeColor="text1"/>
        </w:rPr>
        <w:t>.</w:t>
      </w:r>
      <w:r w:rsidR="003862C5" w:rsidRPr="00C179D4">
        <w:rPr>
          <w:rFonts w:asciiTheme="minorHAnsi" w:hAnsiTheme="minorHAnsi" w:cstheme="minorHAnsi"/>
          <w:color w:val="000000" w:themeColor="text1"/>
        </w:rPr>
        <w:t xml:space="preserve"> </w:t>
      </w:r>
    </w:p>
    <w:p w14:paraId="237AD7DD" w14:textId="77777777" w:rsidR="00D15131" w:rsidRPr="00C179D4" w:rsidRDefault="00D15131" w:rsidP="00C179D4">
      <w:pPr>
        <w:rPr>
          <w:rFonts w:asciiTheme="minorHAnsi" w:hAnsiTheme="minorHAnsi" w:cstheme="minorHAnsi"/>
          <w:b/>
          <w:color w:val="000000" w:themeColor="text1"/>
        </w:rPr>
      </w:pPr>
    </w:p>
    <w:p w14:paraId="3D4CD2F3" w14:textId="4A39213C" w:rsidR="006305D7" w:rsidRPr="00C179D4" w:rsidRDefault="006305D7" w:rsidP="00C179D4">
      <w:pPr>
        <w:rPr>
          <w:rFonts w:asciiTheme="minorHAnsi" w:hAnsiTheme="minorHAnsi" w:cstheme="minorHAnsi"/>
          <w:color w:val="000000" w:themeColor="text1"/>
        </w:rPr>
      </w:pPr>
      <w:r w:rsidRPr="00C179D4">
        <w:rPr>
          <w:rFonts w:asciiTheme="minorHAnsi" w:hAnsiTheme="minorHAnsi" w:cstheme="minorHAnsi"/>
          <w:b/>
          <w:color w:val="000000" w:themeColor="text1"/>
        </w:rPr>
        <w:t>PROTOCOL:</w:t>
      </w:r>
      <w:r w:rsidRPr="00C179D4">
        <w:rPr>
          <w:rFonts w:asciiTheme="minorHAnsi" w:hAnsiTheme="minorHAnsi" w:cstheme="minorHAnsi"/>
          <w:color w:val="000000" w:themeColor="text1"/>
        </w:rPr>
        <w:t xml:space="preserve"> </w:t>
      </w:r>
    </w:p>
    <w:p w14:paraId="49C8B82D" w14:textId="67EFF9CC" w:rsidR="00803733" w:rsidRPr="00C179D4" w:rsidRDefault="00803733" w:rsidP="00C179D4">
      <w:pPr>
        <w:rPr>
          <w:rFonts w:asciiTheme="minorHAnsi" w:hAnsiTheme="minorHAnsi" w:cstheme="minorHAnsi"/>
          <w:color w:val="000000" w:themeColor="text1"/>
        </w:rPr>
      </w:pPr>
      <w:r w:rsidRPr="00C179D4">
        <w:rPr>
          <w:rFonts w:cstheme="minorHAnsi"/>
          <w:color w:val="000000" w:themeColor="text1"/>
        </w:rPr>
        <w:t xml:space="preserve">All procedures in this study </w:t>
      </w:r>
      <w:r w:rsidRPr="00C179D4">
        <w:rPr>
          <w:rFonts w:asciiTheme="minorHAnsi" w:hAnsiTheme="minorHAnsi" w:cstheme="minorHAnsi"/>
          <w:color w:val="000000" w:themeColor="text1"/>
        </w:rPr>
        <w:t>were approved by the New York University S</w:t>
      </w:r>
      <w:r w:rsidRPr="00C179D4">
        <w:rPr>
          <w:rFonts w:cstheme="minorHAnsi"/>
          <w:color w:val="000000" w:themeColor="text1"/>
        </w:rPr>
        <w:t xml:space="preserve">chool of Medicine Institutional </w:t>
      </w:r>
      <w:r w:rsidRPr="00C179D4">
        <w:rPr>
          <w:rFonts w:asciiTheme="minorHAnsi" w:hAnsiTheme="minorHAnsi" w:cstheme="minorHAnsi"/>
          <w:color w:val="000000" w:themeColor="text1"/>
        </w:rPr>
        <w:t>Animal Care and Use Commi</w:t>
      </w:r>
      <w:r w:rsidRPr="00C179D4">
        <w:rPr>
          <w:rFonts w:cstheme="minorHAnsi"/>
          <w:color w:val="000000" w:themeColor="text1"/>
        </w:rPr>
        <w:t xml:space="preserve">ttee (IACUC) as consistent with </w:t>
      </w:r>
      <w:r w:rsidRPr="00C179D4">
        <w:rPr>
          <w:rFonts w:asciiTheme="minorHAnsi" w:hAnsiTheme="minorHAnsi" w:cstheme="minorHAnsi"/>
          <w:color w:val="000000" w:themeColor="text1"/>
        </w:rPr>
        <w:t xml:space="preserve">the National Institute of Health (NIH) </w:t>
      </w:r>
      <w:r w:rsidRPr="00C179D4">
        <w:rPr>
          <w:rFonts w:cstheme="minorHAnsi"/>
          <w:color w:val="000000" w:themeColor="text1"/>
        </w:rPr>
        <w:t xml:space="preserve">Guide for the Care and Use of </w:t>
      </w:r>
      <w:r w:rsidRPr="00C179D4">
        <w:rPr>
          <w:rFonts w:asciiTheme="minorHAnsi" w:hAnsiTheme="minorHAnsi" w:cstheme="minorHAnsi"/>
          <w:color w:val="000000" w:themeColor="text1"/>
        </w:rPr>
        <w:t>Laboratory Animals</w:t>
      </w:r>
      <w:r w:rsidR="00D45018" w:rsidRPr="00C179D4">
        <w:rPr>
          <w:rFonts w:asciiTheme="minorHAnsi" w:hAnsiTheme="minorHAnsi" w:cstheme="minorHAnsi"/>
          <w:color w:val="000000" w:themeColor="text1"/>
        </w:rPr>
        <w:t>.</w:t>
      </w:r>
    </w:p>
    <w:p w14:paraId="73547254" w14:textId="77777777" w:rsidR="00FA56A0" w:rsidRPr="00C179D4" w:rsidRDefault="00FA56A0" w:rsidP="00C179D4">
      <w:pPr>
        <w:rPr>
          <w:rFonts w:asciiTheme="minorHAnsi" w:hAnsiTheme="minorHAnsi" w:cstheme="minorHAnsi"/>
          <w:color w:val="000000" w:themeColor="text1"/>
        </w:rPr>
      </w:pPr>
    </w:p>
    <w:p w14:paraId="0F870082" w14:textId="5F6B5D75" w:rsidR="00FA56A0" w:rsidRPr="00C179D4" w:rsidRDefault="00FA56A0" w:rsidP="00C179D4">
      <w:pPr>
        <w:pStyle w:val="ListParagraph"/>
        <w:numPr>
          <w:ilvl w:val="0"/>
          <w:numId w:val="22"/>
        </w:numPr>
        <w:rPr>
          <w:rFonts w:asciiTheme="minorHAnsi" w:hAnsiTheme="minorHAnsi" w:cstheme="minorHAnsi"/>
          <w:b/>
          <w:color w:val="000000" w:themeColor="text1"/>
        </w:rPr>
      </w:pPr>
      <w:r w:rsidRPr="00C179D4">
        <w:rPr>
          <w:rFonts w:asciiTheme="minorHAnsi" w:hAnsiTheme="minorHAnsi" w:cstheme="minorHAnsi"/>
          <w:b/>
          <w:color w:val="000000" w:themeColor="text1"/>
        </w:rPr>
        <w:t>Stereotaxic Cannula Implantation</w:t>
      </w:r>
    </w:p>
    <w:p w14:paraId="35E8D62D" w14:textId="77777777" w:rsidR="006879DD" w:rsidRPr="00C179D4" w:rsidRDefault="006879DD" w:rsidP="00C179D4">
      <w:pPr>
        <w:pStyle w:val="ListParagraph"/>
        <w:ind w:left="0"/>
        <w:rPr>
          <w:rFonts w:cstheme="minorHAnsi"/>
          <w:color w:val="000000" w:themeColor="text1"/>
        </w:rPr>
      </w:pPr>
    </w:p>
    <w:p w14:paraId="34ED3CA7" w14:textId="7F28F516" w:rsidR="00A46DCA" w:rsidRPr="00C179D4" w:rsidRDefault="00C179D4" w:rsidP="00C179D4">
      <w:pPr>
        <w:pStyle w:val="ListParagraph"/>
        <w:numPr>
          <w:ilvl w:val="1"/>
          <w:numId w:val="22"/>
        </w:numPr>
        <w:rPr>
          <w:rFonts w:cstheme="minorHAnsi"/>
          <w:color w:val="000000" w:themeColor="text1"/>
        </w:rPr>
      </w:pPr>
      <w:r w:rsidRPr="00C179D4">
        <w:rPr>
          <w:rFonts w:cstheme="minorHAnsi"/>
          <w:color w:val="000000" w:themeColor="text1"/>
        </w:rPr>
        <w:t>Use</w:t>
      </w:r>
      <w:r w:rsidR="00574DA4" w:rsidRPr="00C179D4">
        <w:rPr>
          <w:rFonts w:cstheme="minorHAnsi"/>
          <w:color w:val="000000" w:themeColor="text1"/>
        </w:rPr>
        <w:t xml:space="preserve"> </w:t>
      </w:r>
      <w:proofErr w:type="gramStart"/>
      <w:r w:rsidR="00574DA4" w:rsidRPr="00C179D4">
        <w:rPr>
          <w:rFonts w:cstheme="minorHAnsi"/>
          <w:color w:val="000000" w:themeColor="text1"/>
        </w:rPr>
        <w:t>10-12 week old</w:t>
      </w:r>
      <w:proofErr w:type="gramEnd"/>
      <w:r w:rsidR="00574DA4" w:rsidRPr="00C179D4">
        <w:rPr>
          <w:rFonts w:cstheme="minorHAnsi"/>
          <w:color w:val="000000" w:themeColor="text1"/>
        </w:rPr>
        <w:t xml:space="preserve"> </w:t>
      </w:r>
      <w:r w:rsidR="005536A2">
        <w:rPr>
          <w:rFonts w:cstheme="minorHAnsi"/>
          <w:color w:val="000000" w:themeColor="text1"/>
        </w:rPr>
        <w:t>m</w:t>
      </w:r>
      <w:r w:rsidR="00DD66C5" w:rsidRPr="00C179D4">
        <w:rPr>
          <w:rFonts w:cstheme="minorHAnsi"/>
          <w:color w:val="000000" w:themeColor="text1"/>
        </w:rPr>
        <w:t xml:space="preserve">ale </w:t>
      </w:r>
      <w:r w:rsidR="0076525C" w:rsidRPr="00C179D4">
        <w:rPr>
          <w:rFonts w:cstheme="minorHAnsi"/>
          <w:color w:val="000000" w:themeColor="text1"/>
        </w:rPr>
        <w:t>Sprague-Dawley rat</w:t>
      </w:r>
      <w:r w:rsidR="00574DA4" w:rsidRPr="00C179D4">
        <w:rPr>
          <w:rFonts w:cstheme="minorHAnsi"/>
          <w:color w:val="000000" w:themeColor="text1"/>
        </w:rPr>
        <w:t>s.</w:t>
      </w:r>
    </w:p>
    <w:p w14:paraId="3FC29342" w14:textId="77777777" w:rsidR="006879DD" w:rsidRPr="00C179D4" w:rsidRDefault="006879DD" w:rsidP="00C179D4">
      <w:pPr>
        <w:pStyle w:val="ListParagraph"/>
        <w:ind w:left="0"/>
        <w:rPr>
          <w:rFonts w:cstheme="minorHAnsi"/>
          <w:color w:val="000000" w:themeColor="text1"/>
        </w:rPr>
      </w:pPr>
    </w:p>
    <w:p w14:paraId="6C129EB7" w14:textId="4441BC69" w:rsidR="00FA4D8C" w:rsidRPr="00C179D4" w:rsidRDefault="005E117F" w:rsidP="00C179D4">
      <w:pPr>
        <w:pStyle w:val="ListParagraph"/>
        <w:numPr>
          <w:ilvl w:val="1"/>
          <w:numId w:val="22"/>
        </w:numPr>
        <w:rPr>
          <w:rFonts w:asciiTheme="minorHAnsi" w:hAnsiTheme="minorHAnsi" w:cstheme="minorHAnsi"/>
          <w:color w:val="000000" w:themeColor="text1"/>
        </w:rPr>
      </w:pPr>
      <w:r w:rsidRPr="00C179D4">
        <w:rPr>
          <w:rFonts w:asciiTheme="minorHAnsi" w:hAnsiTheme="minorHAnsi" w:cstheme="minorHAnsi"/>
          <w:color w:val="000000" w:themeColor="text1"/>
        </w:rPr>
        <w:t>As previously described,</w:t>
      </w:r>
      <w:r w:rsidR="00087183" w:rsidRPr="00C179D4">
        <w:rPr>
          <w:rFonts w:asciiTheme="minorHAnsi" w:hAnsiTheme="minorHAnsi" w:cstheme="minorHAnsi"/>
          <w:color w:val="000000" w:themeColor="text1"/>
          <w:shd w:val="clear" w:color="auto" w:fill="FFFFFF"/>
        </w:rPr>
        <w:t xml:space="preserve"> anesthetize animals </w:t>
      </w:r>
      <w:r w:rsidR="00944094" w:rsidRPr="00C179D4">
        <w:rPr>
          <w:rFonts w:asciiTheme="minorHAnsi" w:hAnsiTheme="minorHAnsi" w:cstheme="minorHAnsi"/>
          <w:color w:val="000000" w:themeColor="text1"/>
          <w:shd w:val="clear" w:color="auto" w:fill="FFFFFF"/>
        </w:rPr>
        <w:t xml:space="preserve">with 1.5-2% </w:t>
      </w:r>
      <w:r w:rsidR="005536A2">
        <w:rPr>
          <w:rFonts w:asciiTheme="minorHAnsi" w:hAnsiTheme="minorHAnsi" w:cstheme="minorHAnsi"/>
          <w:color w:val="000000" w:themeColor="text1"/>
          <w:shd w:val="clear" w:color="auto" w:fill="FFFFFF"/>
        </w:rPr>
        <w:t>i</w:t>
      </w:r>
      <w:r w:rsidR="00944094" w:rsidRPr="00C179D4">
        <w:rPr>
          <w:rFonts w:asciiTheme="minorHAnsi" w:hAnsiTheme="minorHAnsi" w:cstheme="minorHAnsi"/>
          <w:color w:val="000000" w:themeColor="text1"/>
          <w:shd w:val="clear" w:color="auto" w:fill="FFFFFF"/>
        </w:rPr>
        <w:t>soflurane</w:t>
      </w:r>
      <w:r w:rsidR="005F7B59" w:rsidRPr="00C179D4">
        <w:rPr>
          <w:rFonts w:asciiTheme="minorHAnsi" w:hAnsiTheme="minorHAnsi" w:cstheme="minorHAnsi"/>
          <w:color w:val="000000" w:themeColor="text1"/>
          <w:shd w:val="clear" w:color="auto" w:fill="FFFFFF"/>
          <w:vertAlign w:val="superscript"/>
        </w:rPr>
        <w:t>1,3</w:t>
      </w:r>
      <w:r w:rsidR="00944094" w:rsidRPr="00C179D4">
        <w:rPr>
          <w:rFonts w:asciiTheme="minorHAnsi" w:hAnsiTheme="minorHAnsi" w:cstheme="minorHAnsi"/>
          <w:color w:val="000000" w:themeColor="text1"/>
          <w:shd w:val="clear" w:color="auto" w:fill="FFFFFF"/>
          <w:vertAlign w:val="superscript"/>
        </w:rPr>
        <w:t>,</w:t>
      </w:r>
      <w:r w:rsidR="00E47284" w:rsidRPr="00C179D4">
        <w:rPr>
          <w:rFonts w:asciiTheme="minorHAnsi" w:hAnsiTheme="minorHAnsi" w:cstheme="minorHAnsi"/>
          <w:color w:val="000000" w:themeColor="text1"/>
          <w:shd w:val="clear" w:color="auto" w:fill="FFFFFF"/>
          <w:vertAlign w:val="superscript"/>
        </w:rPr>
        <w:t>4</w:t>
      </w:r>
      <w:r w:rsidR="00087183" w:rsidRPr="00C179D4">
        <w:rPr>
          <w:rFonts w:asciiTheme="minorHAnsi" w:hAnsiTheme="minorHAnsi" w:cstheme="minorHAnsi"/>
          <w:color w:val="000000" w:themeColor="text1"/>
          <w:shd w:val="clear" w:color="auto" w:fill="FFFFFF"/>
        </w:rPr>
        <w:t>. Once the animal becomes unresp</w:t>
      </w:r>
      <w:r w:rsidR="00944094" w:rsidRPr="00C179D4">
        <w:rPr>
          <w:rFonts w:asciiTheme="minorHAnsi" w:hAnsiTheme="minorHAnsi" w:cstheme="minorHAnsi"/>
          <w:color w:val="000000" w:themeColor="text1"/>
          <w:shd w:val="clear" w:color="auto" w:fill="FFFFFF"/>
        </w:rPr>
        <w:t>onsive to a strong pinch</w:t>
      </w:r>
      <w:r w:rsidR="005536A2">
        <w:rPr>
          <w:rFonts w:asciiTheme="minorHAnsi" w:hAnsiTheme="minorHAnsi" w:cstheme="minorHAnsi"/>
          <w:color w:val="000000" w:themeColor="text1"/>
          <w:shd w:val="clear" w:color="auto" w:fill="FFFFFF"/>
        </w:rPr>
        <w:t xml:space="preserve"> with sharp forceps</w:t>
      </w:r>
      <w:r w:rsidR="00944094" w:rsidRPr="00C179D4">
        <w:rPr>
          <w:rFonts w:asciiTheme="minorHAnsi" w:hAnsiTheme="minorHAnsi" w:cstheme="minorHAnsi"/>
          <w:color w:val="000000" w:themeColor="text1"/>
          <w:shd w:val="clear" w:color="auto" w:fill="FFFFFF"/>
        </w:rPr>
        <w:t>,</w:t>
      </w:r>
      <w:r w:rsidR="00087183" w:rsidRPr="00C179D4">
        <w:rPr>
          <w:rFonts w:asciiTheme="minorHAnsi" w:hAnsiTheme="minorHAnsi" w:cstheme="minorHAnsi"/>
          <w:color w:val="000000" w:themeColor="text1"/>
          <w:shd w:val="clear" w:color="auto" w:fill="FFFFFF"/>
        </w:rPr>
        <w:t xml:space="preserve"> perform the surgery.</w:t>
      </w:r>
      <w:r w:rsidRPr="00C179D4">
        <w:rPr>
          <w:rFonts w:asciiTheme="minorHAnsi" w:hAnsiTheme="minorHAnsi" w:cstheme="minorHAnsi"/>
          <w:color w:val="000000" w:themeColor="text1"/>
        </w:rPr>
        <w:t xml:space="preserve"> </w:t>
      </w:r>
      <w:r w:rsidR="00FA4D8C" w:rsidRPr="00C179D4">
        <w:rPr>
          <w:rFonts w:asciiTheme="minorHAnsi" w:hAnsiTheme="minorHAnsi" w:cstheme="minorHAnsi"/>
          <w:color w:val="000000" w:themeColor="text1"/>
        </w:rPr>
        <w:t>Be sure to autoclave all instruments and use sterile</w:t>
      </w:r>
      <w:r w:rsidR="00A0638B" w:rsidRPr="00C179D4">
        <w:rPr>
          <w:rFonts w:asciiTheme="minorHAnsi" w:hAnsiTheme="minorHAnsi" w:cstheme="minorHAnsi"/>
          <w:color w:val="000000" w:themeColor="text1"/>
        </w:rPr>
        <w:t xml:space="preserve"> surgical</w:t>
      </w:r>
      <w:r w:rsidR="00FA4D8C" w:rsidRPr="00C179D4">
        <w:rPr>
          <w:rFonts w:asciiTheme="minorHAnsi" w:hAnsiTheme="minorHAnsi" w:cstheme="minorHAnsi"/>
          <w:color w:val="000000" w:themeColor="text1"/>
        </w:rPr>
        <w:t xml:space="preserve"> gloves.</w:t>
      </w:r>
    </w:p>
    <w:p w14:paraId="4108853E" w14:textId="77777777" w:rsidR="00FA4D8C" w:rsidRPr="00C179D4" w:rsidRDefault="00FA4D8C" w:rsidP="00C179D4">
      <w:pPr>
        <w:pStyle w:val="ListParagraph"/>
        <w:rPr>
          <w:rFonts w:asciiTheme="minorHAnsi" w:hAnsiTheme="minorHAnsi" w:cstheme="minorHAnsi"/>
          <w:color w:val="000000" w:themeColor="text1"/>
        </w:rPr>
      </w:pPr>
    </w:p>
    <w:p w14:paraId="5A8B1981" w14:textId="77777777" w:rsidR="00C15B54" w:rsidRDefault="00087183" w:rsidP="00C179D4">
      <w:pPr>
        <w:pStyle w:val="ListParagraph"/>
        <w:numPr>
          <w:ilvl w:val="1"/>
          <w:numId w:val="22"/>
        </w:numPr>
        <w:rPr>
          <w:rFonts w:asciiTheme="minorHAnsi" w:hAnsiTheme="minorHAnsi" w:cstheme="minorHAnsi"/>
          <w:color w:val="000000" w:themeColor="text1"/>
        </w:rPr>
      </w:pPr>
      <w:proofErr w:type="spellStart"/>
      <w:r w:rsidRPr="00C179D4">
        <w:rPr>
          <w:rFonts w:asciiTheme="minorHAnsi" w:hAnsiTheme="minorHAnsi" w:cstheme="minorHAnsi"/>
          <w:color w:val="000000" w:themeColor="text1"/>
        </w:rPr>
        <w:t>S</w:t>
      </w:r>
      <w:r w:rsidR="0041392C" w:rsidRPr="00C179D4">
        <w:rPr>
          <w:rFonts w:asciiTheme="minorHAnsi" w:hAnsiTheme="minorHAnsi" w:cstheme="minorHAnsi"/>
          <w:color w:val="000000" w:themeColor="text1"/>
        </w:rPr>
        <w:t>tereotaxically</w:t>
      </w:r>
      <w:proofErr w:type="spellEnd"/>
      <w:r w:rsidR="0041392C" w:rsidRPr="00C179D4">
        <w:rPr>
          <w:rFonts w:asciiTheme="minorHAnsi" w:hAnsiTheme="minorHAnsi" w:cstheme="minorHAnsi"/>
          <w:color w:val="000000" w:themeColor="text1"/>
        </w:rPr>
        <w:t xml:space="preserve"> implant</w:t>
      </w:r>
      <w:r w:rsidR="0076525C" w:rsidRPr="00C179D4">
        <w:rPr>
          <w:rFonts w:asciiTheme="minorHAnsi" w:hAnsiTheme="minorHAnsi" w:cstheme="minorHAnsi"/>
          <w:color w:val="000000" w:themeColor="text1"/>
        </w:rPr>
        <w:t xml:space="preserve"> bilateral 26-gauge guide cannulas into the PFC at a </w:t>
      </w:r>
      <w:proofErr w:type="gramStart"/>
      <w:r w:rsidR="0076525C" w:rsidRPr="00C179D4">
        <w:rPr>
          <w:rFonts w:asciiTheme="minorHAnsi" w:hAnsiTheme="minorHAnsi" w:cstheme="minorHAnsi"/>
          <w:color w:val="000000" w:themeColor="text1"/>
        </w:rPr>
        <w:t>12.5 degree</w:t>
      </w:r>
      <w:proofErr w:type="gramEnd"/>
      <w:r w:rsidR="0076525C" w:rsidRPr="00C179D4">
        <w:rPr>
          <w:rFonts w:asciiTheme="minorHAnsi" w:hAnsiTheme="minorHAnsi" w:cstheme="minorHAnsi"/>
          <w:color w:val="000000" w:themeColor="text1"/>
        </w:rPr>
        <w:t xml:space="preserve"> angle with coordinates AP: +2.9 mm; ML: +/−1.6 mm</w:t>
      </w:r>
      <w:r w:rsidR="00DD66C5" w:rsidRPr="00C179D4">
        <w:rPr>
          <w:rFonts w:asciiTheme="minorHAnsi" w:hAnsiTheme="minorHAnsi" w:cstheme="minorHAnsi"/>
          <w:color w:val="000000" w:themeColor="text1"/>
        </w:rPr>
        <w:t>; DV: −2.1 mm</w:t>
      </w:r>
      <w:r w:rsidR="005E117F" w:rsidRPr="00C179D4">
        <w:rPr>
          <w:rFonts w:asciiTheme="minorHAnsi" w:hAnsiTheme="minorHAnsi" w:cstheme="minorHAnsi"/>
          <w:color w:val="000000" w:themeColor="text1"/>
        </w:rPr>
        <w:t>.</w:t>
      </w:r>
      <w:r w:rsidR="00FA4D8C" w:rsidRPr="00C179D4">
        <w:rPr>
          <w:rFonts w:asciiTheme="minorHAnsi" w:hAnsiTheme="minorHAnsi" w:cstheme="minorHAnsi"/>
          <w:color w:val="000000" w:themeColor="text1"/>
        </w:rPr>
        <w:t xml:space="preserve"> </w:t>
      </w:r>
      <w:proofErr w:type="gramStart"/>
      <w:r w:rsidR="00FA4D8C" w:rsidRPr="00C179D4">
        <w:rPr>
          <w:rFonts w:asciiTheme="minorHAnsi" w:hAnsiTheme="minorHAnsi" w:cstheme="minorHAnsi"/>
          <w:color w:val="000000" w:themeColor="text1"/>
        </w:rPr>
        <w:t>In order to</w:t>
      </w:r>
      <w:proofErr w:type="gramEnd"/>
      <w:r w:rsidR="00FA4D8C" w:rsidRPr="00C179D4">
        <w:rPr>
          <w:rFonts w:asciiTheme="minorHAnsi" w:hAnsiTheme="minorHAnsi" w:cstheme="minorHAnsi"/>
          <w:color w:val="000000" w:themeColor="text1"/>
        </w:rPr>
        <w:t xml:space="preserve"> insert the cannulas, drill holes</w:t>
      </w:r>
      <w:r w:rsidR="00A0638B" w:rsidRPr="00C179D4">
        <w:rPr>
          <w:rFonts w:asciiTheme="minorHAnsi" w:hAnsiTheme="minorHAnsi" w:cstheme="minorHAnsi"/>
          <w:color w:val="000000" w:themeColor="text1"/>
        </w:rPr>
        <w:t xml:space="preserve"> in the skull</w:t>
      </w:r>
      <w:r w:rsidR="00FA4D8C" w:rsidRPr="00C179D4">
        <w:rPr>
          <w:rFonts w:asciiTheme="minorHAnsi" w:hAnsiTheme="minorHAnsi" w:cstheme="minorHAnsi"/>
          <w:color w:val="000000" w:themeColor="text1"/>
        </w:rPr>
        <w:t xml:space="preserve"> at the desired coordin</w:t>
      </w:r>
      <w:r w:rsidR="00A0638B" w:rsidRPr="00C179D4">
        <w:rPr>
          <w:rFonts w:asciiTheme="minorHAnsi" w:hAnsiTheme="minorHAnsi" w:cstheme="minorHAnsi"/>
          <w:color w:val="000000" w:themeColor="text1"/>
        </w:rPr>
        <w:t>a</w:t>
      </w:r>
      <w:r w:rsidR="00FA4D8C" w:rsidRPr="00C179D4">
        <w:rPr>
          <w:rFonts w:asciiTheme="minorHAnsi" w:hAnsiTheme="minorHAnsi" w:cstheme="minorHAnsi"/>
          <w:color w:val="000000" w:themeColor="text1"/>
        </w:rPr>
        <w:t>tes</w:t>
      </w:r>
      <w:r w:rsidR="00C179D4">
        <w:rPr>
          <w:rFonts w:asciiTheme="minorHAnsi" w:hAnsiTheme="minorHAnsi" w:cstheme="minorHAnsi"/>
          <w:color w:val="000000" w:themeColor="text1"/>
        </w:rPr>
        <w:t>, with hole</w:t>
      </w:r>
      <w:r w:rsidR="00A0638B" w:rsidRPr="00C179D4">
        <w:rPr>
          <w:rFonts w:asciiTheme="minorHAnsi" w:hAnsiTheme="minorHAnsi" w:cstheme="minorHAnsi"/>
          <w:color w:val="000000" w:themeColor="text1"/>
        </w:rPr>
        <w:t xml:space="preserve"> diameter </w:t>
      </w:r>
      <w:r w:rsidR="00C179D4">
        <w:rPr>
          <w:rFonts w:asciiTheme="minorHAnsi" w:hAnsiTheme="minorHAnsi" w:cstheme="minorHAnsi"/>
          <w:color w:val="000000" w:themeColor="text1"/>
        </w:rPr>
        <w:t>according to the</w:t>
      </w:r>
      <w:r w:rsidR="00A0638B" w:rsidRPr="00C179D4">
        <w:rPr>
          <w:rFonts w:asciiTheme="minorHAnsi" w:hAnsiTheme="minorHAnsi" w:cstheme="minorHAnsi"/>
          <w:color w:val="000000" w:themeColor="text1"/>
        </w:rPr>
        <w:t xml:space="preserve"> size of the </w:t>
      </w:r>
      <w:r w:rsidR="00A0638B" w:rsidRPr="00C179D4">
        <w:rPr>
          <w:rFonts w:asciiTheme="minorHAnsi" w:hAnsiTheme="minorHAnsi" w:cstheme="minorHAnsi"/>
          <w:color w:val="000000" w:themeColor="text1"/>
        </w:rPr>
        <w:lastRenderedPageBreak/>
        <w:t>cannulas used.</w:t>
      </w:r>
      <w:r w:rsidRPr="00C179D4">
        <w:rPr>
          <w:rFonts w:asciiTheme="minorHAnsi" w:hAnsiTheme="minorHAnsi" w:cstheme="minorHAnsi"/>
          <w:color w:val="000000" w:themeColor="text1"/>
        </w:rPr>
        <w:t xml:space="preserve"> </w:t>
      </w:r>
    </w:p>
    <w:p w14:paraId="4452BBEC" w14:textId="77777777" w:rsidR="00C15B54" w:rsidRDefault="00C15B54" w:rsidP="00C15B54">
      <w:pPr>
        <w:pStyle w:val="ListParagraph"/>
        <w:rPr>
          <w:rFonts w:asciiTheme="minorHAnsi" w:hAnsiTheme="minorHAnsi" w:cstheme="minorHAnsi"/>
          <w:color w:val="000000" w:themeColor="text1"/>
        </w:rPr>
      </w:pPr>
    </w:p>
    <w:p w14:paraId="3C15BE08" w14:textId="29024028" w:rsidR="0076525C" w:rsidRPr="00C179D4" w:rsidRDefault="003D06AB" w:rsidP="00C15B54">
      <w:pPr>
        <w:pStyle w:val="ListParagraph"/>
        <w:ind w:left="0"/>
        <w:rPr>
          <w:rFonts w:asciiTheme="minorHAnsi" w:hAnsiTheme="minorHAnsi" w:cstheme="minorHAnsi"/>
          <w:color w:val="000000" w:themeColor="text1"/>
        </w:rPr>
      </w:pPr>
      <w:r>
        <w:rPr>
          <w:rFonts w:asciiTheme="minorHAnsi" w:hAnsiTheme="minorHAnsi" w:cstheme="minorHAnsi"/>
          <w:color w:val="000000" w:themeColor="text1"/>
        </w:rPr>
        <w:t>Note:</w:t>
      </w:r>
      <w:r w:rsidR="00C15B54">
        <w:rPr>
          <w:rFonts w:asciiTheme="minorHAnsi" w:hAnsiTheme="minorHAnsi" w:cstheme="minorHAnsi"/>
          <w:color w:val="000000" w:themeColor="text1"/>
        </w:rPr>
        <w:t xml:space="preserve"> </w:t>
      </w:r>
      <w:r w:rsidR="00511BAB" w:rsidRPr="00C179D4">
        <w:rPr>
          <w:rFonts w:asciiTheme="minorHAnsi" w:hAnsiTheme="minorHAnsi" w:cstheme="minorHAnsi"/>
          <w:color w:val="000000" w:themeColor="text1"/>
        </w:rPr>
        <w:t xml:space="preserve">Here, </w:t>
      </w:r>
      <w:r w:rsidR="003C713F" w:rsidRPr="00C179D4">
        <w:rPr>
          <w:rFonts w:asciiTheme="minorHAnsi" w:hAnsiTheme="minorHAnsi" w:cstheme="minorHAnsi"/>
          <w:color w:val="000000" w:themeColor="text1"/>
        </w:rPr>
        <w:t>the PFC</w:t>
      </w:r>
      <w:r w:rsidR="0031338B" w:rsidRPr="00C179D4">
        <w:rPr>
          <w:rFonts w:asciiTheme="minorHAnsi" w:hAnsiTheme="minorHAnsi" w:cstheme="minorHAnsi"/>
          <w:color w:val="000000" w:themeColor="text1"/>
        </w:rPr>
        <w:t xml:space="preserve"> was studied as the potential target for intracranial implant</w:t>
      </w:r>
      <w:r w:rsidR="00474CFC" w:rsidRPr="00C179D4">
        <w:rPr>
          <w:rFonts w:asciiTheme="minorHAnsi" w:hAnsiTheme="minorHAnsi" w:cstheme="minorHAnsi"/>
          <w:color w:val="000000" w:themeColor="text1"/>
        </w:rPr>
        <w:t>s</w:t>
      </w:r>
      <w:r w:rsidR="0031338B" w:rsidRPr="00C179D4">
        <w:rPr>
          <w:rFonts w:asciiTheme="minorHAnsi" w:hAnsiTheme="minorHAnsi" w:cstheme="minorHAnsi"/>
          <w:color w:val="000000" w:themeColor="text1"/>
        </w:rPr>
        <w:t xml:space="preserve"> </w:t>
      </w:r>
      <w:r w:rsidR="003C713F" w:rsidRPr="00C179D4">
        <w:rPr>
          <w:rFonts w:asciiTheme="minorHAnsi" w:hAnsiTheme="minorHAnsi" w:cstheme="minorHAnsi"/>
          <w:color w:val="000000" w:themeColor="text1"/>
        </w:rPr>
        <w:t>because of</w:t>
      </w:r>
      <w:r w:rsidR="0031338B" w:rsidRPr="00C179D4">
        <w:rPr>
          <w:rFonts w:asciiTheme="minorHAnsi" w:hAnsiTheme="minorHAnsi" w:cstheme="minorHAnsi"/>
          <w:color w:val="000000" w:themeColor="text1"/>
        </w:rPr>
        <w:t xml:space="preserve"> its import</w:t>
      </w:r>
      <w:r w:rsidR="00724BE0" w:rsidRPr="00C179D4">
        <w:rPr>
          <w:rFonts w:asciiTheme="minorHAnsi" w:hAnsiTheme="minorHAnsi" w:cstheme="minorHAnsi"/>
          <w:color w:val="000000" w:themeColor="text1"/>
        </w:rPr>
        <w:t>ant</w:t>
      </w:r>
      <w:r w:rsidR="0031338B" w:rsidRPr="00C179D4">
        <w:rPr>
          <w:rFonts w:asciiTheme="minorHAnsi" w:hAnsiTheme="minorHAnsi" w:cstheme="minorHAnsi"/>
          <w:color w:val="000000" w:themeColor="text1"/>
        </w:rPr>
        <w:t xml:space="preserve"> role in pain processing</w:t>
      </w:r>
      <w:r w:rsidR="003C713F" w:rsidRPr="00C179D4">
        <w:rPr>
          <w:rFonts w:asciiTheme="minorHAnsi" w:hAnsiTheme="minorHAnsi" w:cstheme="minorHAnsi"/>
          <w:color w:val="000000" w:themeColor="text1"/>
        </w:rPr>
        <w:t xml:space="preserve">, which has been demonstrated in </w:t>
      </w:r>
      <w:proofErr w:type="gramStart"/>
      <w:r w:rsidR="003C713F" w:rsidRPr="00C179D4">
        <w:rPr>
          <w:rFonts w:asciiTheme="minorHAnsi" w:hAnsiTheme="minorHAnsi" w:cstheme="minorHAnsi"/>
          <w:color w:val="000000" w:themeColor="text1"/>
        </w:rPr>
        <w:t>a number of</w:t>
      </w:r>
      <w:proofErr w:type="gramEnd"/>
      <w:r w:rsidR="003C713F" w:rsidRPr="00C179D4">
        <w:rPr>
          <w:rFonts w:asciiTheme="minorHAnsi" w:hAnsiTheme="minorHAnsi" w:cstheme="minorHAnsi"/>
          <w:color w:val="000000" w:themeColor="text1"/>
        </w:rPr>
        <w:t xml:space="preserve"> previous studies</w:t>
      </w:r>
      <w:r w:rsidR="005F7B59" w:rsidRPr="00C179D4">
        <w:rPr>
          <w:rFonts w:asciiTheme="minorHAnsi" w:hAnsiTheme="minorHAnsi" w:cstheme="minorHAnsi"/>
          <w:color w:val="000000" w:themeColor="text1"/>
          <w:vertAlign w:val="superscript"/>
        </w:rPr>
        <w:t>1</w:t>
      </w:r>
      <w:r w:rsidR="003C713F" w:rsidRPr="00C179D4">
        <w:rPr>
          <w:rFonts w:asciiTheme="minorHAnsi" w:hAnsiTheme="minorHAnsi" w:cstheme="minorHAnsi"/>
          <w:color w:val="000000" w:themeColor="text1"/>
          <w:vertAlign w:val="superscript"/>
        </w:rPr>
        <w:t>,</w:t>
      </w:r>
      <w:r w:rsidR="005F7B59" w:rsidRPr="00C179D4">
        <w:rPr>
          <w:rFonts w:asciiTheme="minorHAnsi" w:hAnsiTheme="minorHAnsi" w:cstheme="minorHAnsi"/>
          <w:color w:val="000000" w:themeColor="text1"/>
          <w:vertAlign w:val="superscript"/>
        </w:rPr>
        <w:t>2,7</w:t>
      </w:r>
      <w:r w:rsidR="0031338B" w:rsidRPr="00C179D4">
        <w:rPr>
          <w:rFonts w:asciiTheme="minorHAnsi" w:hAnsiTheme="minorHAnsi" w:cstheme="minorHAnsi"/>
          <w:color w:val="000000" w:themeColor="text1"/>
        </w:rPr>
        <w:t xml:space="preserve">. </w:t>
      </w:r>
      <w:r w:rsidR="00AB0AC5" w:rsidRPr="00C179D4">
        <w:rPr>
          <w:rFonts w:asciiTheme="minorHAnsi" w:hAnsiTheme="minorHAnsi" w:cstheme="minorHAnsi"/>
          <w:color w:val="000000" w:themeColor="text1"/>
        </w:rPr>
        <w:t>To study the function of other specific brain area</w:t>
      </w:r>
      <w:r w:rsidR="00474CFC" w:rsidRPr="00C179D4">
        <w:rPr>
          <w:rFonts w:asciiTheme="minorHAnsi" w:hAnsiTheme="minorHAnsi" w:cstheme="minorHAnsi"/>
          <w:color w:val="000000" w:themeColor="text1"/>
        </w:rPr>
        <w:t>s</w:t>
      </w:r>
      <w:r w:rsidR="00AB0AC5" w:rsidRPr="00C179D4">
        <w:rPr>
          <w:rFonts w:asciiTheme="minorHAnsi" w:hAnsiTheme="minorHAnsi" w:cstheme="minorHAnsi"/>
          <w:color w:val="000000" w:themeColor="text1"/>
        </w:rPr>
        <w:t>, r</w:t>
      </w:r>
      <w:r w:rsidR="0031338B" w:rsidRPr="00C179D4">
        <w:rPr>
          <w:rFonts w:asciiTheme="minorHAnsi" w:hAnsiTheme="minorHAnsi" w:cstheme="minorHAnsi"/>
          <w:color w:val="000000" w:themeColor="text1"/>
        </w:rPr>
        <w:t>esearcher</w:t>
      </w:r>
      <w:r w:rsidR="00474CFC" w:rsidRPr="00C179D4">
        <w:rPr>
          <w:rFonts w:asciiTheme="minorHAnsi" w:hAnsiTheme="minorHAnsi" w:cstheme="minorHAnsi"/>
          <w:color w:val="000000" w:themeColor="text1"/>
        </w:rPr>
        <w:t>s</w:t>
      </w:r>
      <w:r w:rsidR="0031338B" w:rsidRPr="00C179D4">
        <w:rPr>
          <w:rFonts w:asciiTheme="minorHAnsi" w:hAnsiTheme="minorHAnsi" w:cstheme="minorHAnsi"/>
          <w:color w:val="000000" w:themeColor="text1"/>
        </w:rPr>
        <w:t xml:space="preserve"> can use different coordinates according to the brain atlas</w:t>
      </w:r>
      <w:r w:rsidR="00AB0AC5" w:rsidRPr="00C179D4">
        <w:rPr>
          <w:rFonts w:asciiTheme="minorHAnsi" w:hAnsiTheme="minorHAnsi" w:cstheme="minorHAnsi"/>
          <w:color w:val="000000" w:themeColor="text1"/>
        </w:rPr>
        <w:t>.</w:t>
      </w:r>
      <w:r w:rsidR="00511BAB" w:rsidRPr="00C179D4">
        <w:rPr>
          <w:rFonts w:asciiTheme="minorHAnsi" w:hAnsiTheme="minorHAnsi" w:cstheme="minorHAnsi"/>
          <w:color w:val="000000" w:themeColor="text1"/>
        </w:rPr>
        <w:t xml:space="preserve"> </w:t>
      </w:r>
    </w:p>
    <w:p w14:paraId="68E7FBB2" w14:textId="77777777" w:rsidR="006879DD" w:rsidRPr="00C179D4" w:rsidRDefault="006879DD" w:rsidP="00C179D4">
      <w:pPr>
        <w:pStyle w:val="ListParagraph"/>
        <w:ind w:left="0"/>
        <w:rPr>
          <w:rFonts w:cstheme="minorHAnsi"/>
          <w:color w:val="000000" w:themeColor="text1"/>
        </w:rPr>
      </w:pPr>
    </w:p>
    <w:p w14:paraId="5E2AB2BB" w14:textId="56F9AA53" w:rsidR="0028355B" w:rsidRPr="00C179D4" w:rsidRDefault="00C179D4" w:rsidP="00C179D4">
      <w:pPr>
        <w:pStyle w:val="ListParagraph"/>
        <w:numPr>
          <w:ilvl w:val="1"/>
          <w:numId w:val="22"/>
        </w:numPr>
        <w:rPr>
          <w:color w:val="000000" w:themeColor="text1"/>
        </w:rPr>
      </w:pPr>
      <w:r>
        <w:rPr>
          <w:rFonts w:cstheme="minorHAnsi"/>
          <w:color w:val="000000" w:themeColor="text1"/>
        </w:rPr>
        <w:t>Allow rats to recover from surgery for at least</w:t>
      </w:r>
      <w:r w:rsidR="0028355B" w:rsidRPr="00C179D4">
        <w:rPr>
          <w:rFonts w:cstheme="minorHAnsi"/>
          <w:color w:val="000000" w:themeColor="text1"/>
        </w:rPr>
        <w:t xml:space="preserve"> 1 week</w:t>
      </w:r>
      <w:r>
        <w:rPr>
          <w:rFonts w:cstheme="minorHAnsi"/>
          <w:color w:val="000000" w:themeColor="text1"/>
        </w:rPr>
        <w:t xml:space="preserve">. </w:t>
      </w:r>
      <w:r w:rsidR="00320565" w:rsidRPr="00C179D4">
        <w:rPr>
          <w:color w:val="000000" w:themeColor="text1"/>
        </w:rPr>
        <w:t>Following surgery, inject subcutaneous fluids prior to recovery to help support the metabolic requirements</w:t>
      </w:r>
      <w:r w:rsidR="00490FF6" w:rsidRPr="00C179D4">
        <w:rPr>
          <w:color w:val="000000" w:themeColor="text1"/>
        </w:rPr>
        <w:t>,</w:t>
      </w:r>
      <w:r w:rsidR="00320565" w:rsidRPr="00C179D4">
        <w:rPr>
          <w:color w:val="000000" w:themeColor="text1"/>
        </w:rPr>
        <w:t xml:space="preserve"> and apply topical bupivacaine in the freshly closed incision. Place the animal on a warm pad until they wake up</w:t>
      </w:r>
      <w:r w:rsidR="009A4550" w:rsidRPr="00C179D4">
        <w:rPr>
          <w:color w:val="000000" w:themeColor="text1"/>
        </w:rPr>
        <w:t>,</w:t>
      </w:r>
      <w:r w:rsidR="00320565" w:rsidRPr="00C179D4">
        <w:rPr>
          <w:color w:val="000000" w:themeColor="text1"/>
        </w:rPr>
        <w:t xml:space="preserve"> and monitor the animal post operation for 3 days to ensure good health and a proper recovery.</w:t>
      </w:r>
    </w:p>
    <w:p w14:paraId="12E22A1E" w14:textId="77777777" w:rsidR="0058103A" w:rsidRPr="00C179D4" w:rsidRDefault="0058103A" w:rsidP="00C179D4">
      <w:pPr>
        <w:pStyle w:val="ListParagraph"/>
        <w:rPr>
          <w:color w:val="000000" w:themeColor="text1"/>
        </w:rPr>
      </w:pPr>
    </w:p>
    <w:p w14:paraId="585EE15F" w14:textId="7DBB4CAF" w:rsidR="0058103A" w:rsidRPr="00C179D4" w:rsidRDefault="0058103A" w:rsidP="00C179D4">
      <w:pPr>
        <w:pStyle w:val="ListParagraph"/>
        <w:numPr>
          <w:ilvl w:val="1"/>
          <w:numId w:val="22"/>
        </w:numPr>
        <w:rPr>
          <w:color w:val="000000" w:themeColor="text1"/>
        </w:rPr>
      </w:pPr>
      <w:r w:rsidRPr="00C179D4">
        <w:rPr>
          <w:color w:val="000000" w:themeColor="text1"/>
        </w:rPr>
        <w:t>Once the animals have fully recovered from surgery, begin injections</w:t>
      </w:r>
      <w:r w:rsidR="00C179D4">
        <w:rPr>
          <w:color w:val="000000" w:themeColor="text1"/>
        </w:rPr>
        <w:t xml:space="preserve"> (next step)</w:t>
      </w:r>
      <w:r w:rsidRPr="00C179D4">
        <w:rPr>
          <w:color w:val="000000" w:themeColor="text1"/>
        </w:rPr>
        <w:t>.</w:t>
      </w:r>
    </w:p>
    <w:p w14:paraId="30D3DE38" w14:textId="1E53BC5E" w:rsidR="0041392C" w:rsidRPr="00C179D4" w:rsidRDefault="0041392C" w:rsidP="00C179D4">
      <w:pPr>
        <w:rPr>
          <w:rFonts w:cstheme="minorHAnsi"/>
          <w:color w:val="000000" w:themeColor="text1"/>
        </w:rPr>
      </w:pPr>
    </w:p>
    <w:p w14:paraId="77FC1450" w14:textId="6712D90C" w:rsidR="0028355B" w:rsidRPr="00C179D4" w:rsidRDefault="0028355B" w:rsidP="00C179D4">
      <w:pPr>
        <w:pStyle w:val="ListParagraph"/>
        <w:numPr>
          <w:ilvl w:val="0"/>
          <w:numId w:val="22"/>
        </w:numPr>
        <w:rPr>
          <w:rFonts w:cstheme="minorHAnsi"/>
          <w:b/>
          <w:color w:val="000000" w:themeColor="text1"/>
        </w:rPr>
      </w:pPr>
      <w:r w:rsidRPr="00C179D4">
        <w:rPr>
          <w:rFonts w:cstheme="minorHAnsi"/>
          <w:b/>
          <w:color w:val="000000" w:themeColor="text1"/>
        </w:rPr>
        <w:t xml:space="preserve">Intracranial </w:t>
      </w:r>
      <w:r w:rsidR="00507848" w:rsidRPr="00C179D4">
        <w:rPr>
          <w:rFonts w:cstheme="minorHAnsi"/>
          <w:b/>
          <w:color w:val="000000" w:themeColor="text1"/>
        </w:rPr>
        <w:t xml:space="preserve">and Intraperitoneal </w:t>
      </w:r>
      <w:r w:rsidRPr="00C179D4">
        <w:rPr>
          <w:rFonts w:cstheme="minorHAnsi"/>
          <w:b/>
          <w:color w:val="000000" w:themeColor="text1"/>
        </w:rPr>
        <w:t>Injections</w:t>
      </w:r>
    </w:p>
    <w:p w14:paraId="38BDD70C" w14:textId="77777777" w:rsidR="006879DD" w:rsidRPr="00C179D4" w:rsidRDefault="006879DD" w:rsidP="00C179D4">
      <w:pPr>
        <w:pStyle w:val="ListParagraph"/>
        <w:ind w:left="0"/>
        <w:rPr>
          <w:rFonts w:cstheme="minorHAnsi"/>
          <w:color w:val="000000" w:themeColor="text1"/>
        </w:rPr>
      </w:pPr>
    </w:p>
    <w:p w14:paraId="6EDECC4E" w14:textId="08C4F6A8" w:rsidR="0028355B" w:rsidRPr="00C179D4" w:rsidRDefault="000C13D7" w:rsidP="00C179D4">
      <w:pPr>
        <w:pStyle w:val="ListParagraph"/>
        <w:numPr>
          <w:ilvl w:val="1"/>
          <w:numId w:val="22"/>
        </w:numPr>
        <w:rPr>
          <w:rFonts w:cstheme="minorHAnsi"/>
          <w:color w:val="000000" w:themeColor="text1"/>
        </w:rPr>
      </w:pPr>
      <w:r w:rsidRPr="00C179D4">
        <w:rPr>
          <w:rFonts w:cstheme="minorHAnsi"/>
          <w:color w:val="000000" w:themeColor="text1"/>
        </w:rPr>
        <w:t>For</w:t>
      </w:r>
      <w:r w:rsidR="004C7D57" w:rsidRPr="00C179D4">
        <w:rPr>
          <w:rFonts w:cstheme="minorHAnsi"/>
          <w:color w:val="000000" w:themeColor="text1"/>
        </w:rPr>
        <w:t xml:space="preserve"> </w:t>
      </w:r>
      <w:r w:rsidR="005536A2">
        <w:rPr>
          <w:rFonts w:cstheme="minorHAnsi"/>
          <w:color w:val="000000" w:themeColor="text1"/>
        </w:rPr>
        <w:t>i</w:t>
      </w:r>
      <w:r w:rsidR="004C7D57" w:rsidRPr="00C179D4">
        <w:rPr>
          <w:rFonts w:cstheme="minorHAnsi"/>
          <w:color w:val="000000" w:themeColor="text1"/>
        </w:rPr>
        <w:t>ntracranial i</w:t>
      </w:r>
      <w:r w:rsidRPr="00C179D4">
        <w:rPr>
          <w:rFonts w:cstheme="minorHAnsi"/>
          <w:color w:val="000000" w:themeColor="text1"/>
        </w:rPr>
        <w:t>njection</w:t>
      </w:r>
      <w:r w:rsidR="008D4DCA" w:rsidRPr="00C179D4">
        <w:rPr>
          <w:rFonts w:cstheme="minorHAnsi"/>
          <w:color w:val="000000" w:themeColor="text1"/>
        </w:rPr>
        <w:t>s</w:t>
      </w:r>
      <w:r w:rsidRPr="00C179D4">
        <w:rPr>
          <w:rFonts w:cstheme="minorHAnsi"/>
          <w:color w:val="000000" w:themeColor="text1"/>
        </w:rPr>
        <w:t>, use</w:t>
      </w:r>
      <w:r w:rsidR="00FF43A1" w:rsidRPr="00C179D4">
        <w:rPr>
          <w:rFonts w:cstheme="minorHAnsi"/>
          <w:color w:val="000000" w:themeColor="text1"/>
        </w:rPr>
        <w:t xml:space="preserve"> PE-50 tubing attached at one end to 10-μ</w:t>
      </w:r>
      <w:r w:rsidR="005536A2">
        <w:rPr>
          <w:rFonts w:cstheme="minorHAnsi"/>
          <w:color w:val="000000" w:themeColor="text1"/>
        </w:rPr>
        <w:t>L</w:t>
      </w:r>
      <w:r w:rsidR="00FF43A1" w:rsidRPr="00C179D4">
        <w:rPr>
          <w:rFonts w:cstheme="minorHAnsi"/>
          <w:color w:val="000000" w:themeColor="text1"/>
        </w:rPr>
        <w:t xml:space="preserve"> Hamilton syringes with 33-gaug</w:t>
      </w:r>
      <w:r w:rsidR="00BE4B29" w:rsidRPr="00C179D4">
        <w:rPr>
          <w:rFonts w:cstheme="minorHAnsi"/>
          <w:color w:val="000000" w:themeColor="text1"/>
        </w:rPr>
        <w:t>e injector cannula that extend</w:t>
      </w:r>
      <w:r w:rsidR="00FF43A1" w:rsidRPr="00C179D4">
        <w:rPr>
          <w:rFonts w:cstheme="minorHAnsi"/>
          <w:color w:val="000000" w:themeColor="text1"/>
        </w:rPr>
        <w:t xml:space="preserve"> 1.0 mm beyond the implanted guides.</w:t>
      </w:r>
    </w:p>
    <w:p w14:paraId="12F41FB5" w14:textId="77777777" w:rsidR="006879DD" w:rsidRPr="00C179D4" w:rsidRDefault="006879DD" w:rsidP="00C179D4">
      <w:pPr>
        <w:pStyle w:val="ListParagraph"/>
        <w:ind w:left="0"/>
        <w:rPr>
          <w:rFonts w:cstheme="minorHAnsi"/>
          <w:color w:val="000000" w:themeColor="text1"/>
        </w:rPr>
      </w:pPr>
    </w:p>
    <w:p w14:paraId="5BAE2461" w14:textId="3E8D6388" w:rsidR="00644628" w:rsidRPr="00C179D4" w:rsidRDefault="000C13D7" w:rsidP="00C179D4">
      <w:pPr>
        <w:pStyle w:val="ListParagraph"/>
        <w:numPr>
          <w:ilvl w:val="1"/>
          <w:numId w:val="22"/>
        </w:numPr>
        <w:rPr>
          <w:rFonts w:cstheme="minorHAnsi"/>
          <w:color w:val="000000" w:themeColor="text1"/>
        </w:rPr>
      </w:pPr>
      <w:r w:rsidRPr="00C179D4">
        <w:rPr>
          <w:rFonts w:cstheme="minorHAnsi"/>
          <w:color w:val="000000" w:themeColor="text1"/>
        </w:rPr>
        <w:t>Inject</w:t>
      </w:r>
      <w:r w:rsidR="00AD7878" w:rsidRPr="00C179D4">
        <w:rPr>
          <w:rFonts w:cstheme="minorHAnsi"/>
          <w:color w:val="000000" w:themeColor="text1"/>
        </w:rPr>
        <w:t xml:space="preserve"> </w:t>
      </w:r>
      <w:r w:rsidR="000967EE" w:rsidRPr="00C179D4">
        <w:rPr>
          <w:rFonts w:cstheme="minorHAnsi"/>
          <w:color w:val="000000" w:themeColor="text1"/>
        </w:rPr>
        <w:t xml:space="preserve">0.5 </w:t>
      </w:r>
      <w:bookmarkStart w:id="0" w:name="OLE_LINK1"/>
      <w:proofErr w:type="spellStart"/>
      <w:r w:rsidR="000967EE" w:rsidRPr="00C179D4">
        <w:rPr>
          <w:rFonts w:cstheme="minorHAnsi"/>
          <w:color w:val="000000" w:themeColor="text1"/>
        </w:rPr>
        <w:t>μ</w:t>
      </w:r>
      <w:bookmarkEnd w:id="0"/>
      <w:r w:rsidR="003E70C6" w:rsidRPr="00C179D4">
        <w:rPr>
          <w:rFonts w:cstheme="minorHAnsi"/>
          <w:color w:val="000000" w:themeColor="text1"/>
        </w:rPr>
        <w:t>L</w:t>
      </w:r>
      <w:proofErr w:type="spellEnd"/>
      <w:r w:rsidR="00644628" w:rsidRPr="00C179D4">
        <w:rPr>
          <w:rFonts w:cstheme="minorHAnsi"/>
          <w:color w:val="000000" w:themeColor="text1"/>
        </w:rPr>
        <w:t xml:space="preserve"> (or less if desired)</w:t>
      </w:r>
      <w:r w:rsidR="000967EE" w:rsidRPr="00C179D4">
        <w:rPr>
          <w:rFonts w:cstheme="minorHAnsi"/>
          <w:color w:val="000000" w:themeColor="text1"/>
        </w:rPr>
        <w:t xml:space="preserve"> of either</w:t>
      </w:r>
      <w:r w:rsidR="00E9428E" w:rsidRPr="00C179D4">
        <w:rPr>
          <w:rFonts w:cstheme="minorHAnsi"/>
          <w:color w:val="000000" w:themeColor="text1"/>
        </w:rPr>
        <w:t xml:space="preserve"> the </w:t>
      </w:r>
      <w:r w:rsidR="00AD7878" w:rsidRPr="00C179D4">
        <w:rPr>
          <w:rFonts w:cstheme="minorHAnsi"/>
          <w:color w:val="000000" w:themeColor="text1"/>
        </w:rPr>
        <w:t>study drug</w:t>
      </w:r>
      <w:r w:rsidR="00FF43A1" w:rsidRPr="00C179D4">
        <w:rPr>
          <w:rFonts w:cstheme="minorHAnsi"/>
          <w:color w:val="000000" w:themeColor="text1"/>
        </w:rPr>
        <w:t xml:space="preserve"> or saline in the PFC of these rats.</w:t>
      </w:r>
      <w:r w:rsidR="00E93968" w:rsidRPr="00C179D4">
        <w:rPr>
          <w:rFonts w:cstheme="minorHAnsi"/>
          <w:color w:val="000000" w:themeColor="text1"/>
        </w:rPr>
        <w:t xml:space="preserve"> Because the PFC is a larger region</w:t>
      </w:r>
      <w:r w:rsidR="00AD7878" w:rsidRPr="00C179D4">
        <w:rPr>
          <w:rFonts w:cstheme="minorHAnsi"/>
          <w:color w:val="000000" w:themeColor="text1"/>
        </w:rPr>
        <w:t xml:space="preserve"> in rats, this amount will not be spread to other regions</w:t>
      </w:r>
      <w:r w:rsidR="00E93968" w:rsidRPr="00C179D4">
        <w:rPr>
          <w:rFonts w:cstheme="minorHAnsi"/>
          <w:color w:val="000000" w:themeColor="text1"/>
        </w:rPr>
        <w:t>.</w:t>
      </w:r>
      <w:r w:rsidR="00AD7878" w:rsidRPr="00C179D4">
        <w:rPr>
          <w:rFonts w:cstheme="minorHAnsi"/>
          <w:color w:val="000000" w:themeColor="text1"/>
        </w:rPr>
        <w:t xml:space="preserve"> Ho</w:t>
      </w:r>
      <w:r w:rsidR="0010184B" w:rsidRPr="00C179D4">
        <w:rPr>
          <w:rFonts w:cstheme="minorHAnsi"/>
          <w:color w:val="000000" w:themeColor="text1"/>
        </w:rPr>
        <w:t>wever, fo</w:t>
      </w:r>
      <w:r w:rsidR="00E93968" w:rsidRPr="00C179D4">
        <w:rPr>
          <w:rFonts w:cstheme="minorHAnsi"/>
          <w:color w:val="000000" w:themeColor="text1"/>
        </w:rPr>
        <w:t xml:space="preserve">r smaller </w:t>
      </w:r>
      <w:r w:rsidR="0010184B" w:rsidRPr="00C179D4">
        <w:rPr>
          <w:rFonts w:cstheme="minorHAnsi"/>
          <w:color w:val="000000" w:themeColor="text1"/>
        </w:rPr>
        <w:t xml:space="preserve">brain </w:t>
      </w:r>
      <w:r w:rsidR="00E93968" w:rsidRPr="00C179D4">
        <w:rPr>
          <w:rFonts w:cstheme="minorHAnsi"/>
          <w:color w:val="000000" w:themeColor="text1"/>
        </w:rPr>
        <w:t>regions</w:t>
      </w:r>
      <w:r w:rsidR="0010184B" w:rsidRPr="00C179D4">
        <w:rPr>
          <w:rFonts w:cstheme="minorHAnsi"/>
          <w:color w:val="000000" w:themeColor="text1"/>
        </w:rPr>
        <w:t xml:space="preserve"> or for mice</w:t>
      </w:r>
      <w:r w:rsidR="005536A2">
        <w:rPr>
          <w:rFonts w:cstheme="minorHAnsi"/>
          <w:color w:val="000000" w:themeColor="text1"/>
        </w:rPr>
        <w:t>,</w:t>
      </w:r>
      <w:r w:rsidR="00E93968" w:rsidRPr="00C179D4">
        <w:rPr>
          <w:rFonts w:cstheme="minorHAnsi"/>
          <w:color w:val="000000" w:themeColor="text1"/>
        </w:rPr>
        <w:t xml:space="preserve"> use </w:t>
      </w:r>
      <w:r w:rsidR="005536A2">
        <w:rPr>
          <w:rFonts w:cstheme="minorHAnsi"/>
          <w:color w:val="000000" w:themeColor="text1"/>
        </w:rPr>
        <w:t>a smaller</w:t>
      </w:r>
      <w:r w:rsidR="00E93968" w:rsidRPr="00C179D4">
        <w:rPr>
          <w:rFonts w:cstheme="minorHAnsi"/>
          <w:color w:val="000000" w:themeColor="text1"/>
        </w:rPr>
        <w:t xml:space="preserve"> volume. </w:t>
      </w:r>
      <w:r w:rsidR="00644628" w:rsidRPr="00C179D4">
        <w:rPr>
          <w:rFonts w:cstheme="minorHAnsi"/>
          <w:color w:val="000000" w:themeColor="text1"/>
        </w:rPr>
        <w:t>The amount injected will depend on the region of the brain and species of animal.</w:t>
      </w:r>
      <w:r w:rsidR="00C04DB1" w:rsidRPr="00C179D4">
        <w:rPr>
          <w:rFonts w:cstheme="minorHAnsi"/>
          <w:color w:val="000000" w:themeColor="text1"/>
        </w:rPr>
        <w:t xml:space="preserve"> </w:t>
      </w:r>
    </w:p>
    <w:p w14:paraId="19065037" w14:textId="77777777" w:rsidR="003E70C6" w:rsidRPr="00C179D4" w:rsidRDefault="003E70C6" w:rsidP="00C179D4">
      <w:pPr>
        <w:pStyle w:val="ListParagraph"/>
        <w:ind w:left="0"/>
        <w:rPr>
          <w:rFonts w:cstheme="minorHAnsi"/>
          <w:color w:val="000000" w:themeColor="text1"/>
        </w:rPr>
      </w:pPr>
    </w:p>
    <w:p w14:paraId="3A4FA224" w14:textId="7B48D5A0" w:rsidR="00FF43A1" w:rsidRPr="00C179D4" w:rsidRDefault="008E0FBD" w:rsidP="00C179D4">
      <w:pPr>
        <w:pStyle w:val="ListParagraph"/>
        <w:ind w:left="0"/>
        <w:rPr>
          <w:rFonts w:cstheme="minorHAnsi"/>
          <w:color w:val="000000" w:themeColor="text1"/>
        </w:rPr>
      </w:pPr>
      <w:r w:rsidRPr="00C179D4">
        <w:rPr>
          <w:rFonts w:cstheme="minorHAnsi"/>
          <w:color w:val="000000" w:themeColor="text1"/>
        </w:rPr>
        <w:t xml:space="preserve">Note: </w:t>
      </w:r>
      <w:r w:rsidR="00C04DB1" w:rsidRPr="00C179D4">
        <w:rPr>
          <w:rFonts w:cstheme="minorHAnsi"/>
          <w:color w:val="000000" w:themeColor="text1"/>
        </w:rPr>
        <w:t xml:space="preserve">Please note that </w:t>
      </w:r>
      <w:r w:rsidR="0010184B" w:rsidRPr="00C179D4">
        <w:rPr>
          <w:rFonts w:cstheme="minorHAnsi"/>
          <w:color w:val="000000" w:themeColor="text1"/>
        </w:rPr>
        <w:t>s</w:t>
      </w:r>
      <w:r w:rsidR="00C04DB1" w:rsidRPr="00C179D4">
        <w:rPr>
          <w:rFonts w:cstheme="minorHAnsi"/>
          <w:color w:val="000000" w:themeColor="text1"/>
        </w:rPr>
        <w:t xml:space="preserve">aline </w:t>
      </w:r>
      <w:r w:rsidR="00AD7878" w:rsidRPr="00C179D4">
        <w:rPr>
          <w:rFonts w:cstheme="minorHAnsi"/>
          <w:color w:val="000000" w:themeColor="text1"/>
        </w:rPr>
        <w:t>should</w:t>
      </w:r>
      <w:r w:rsidR="00C04DB1" w:rsidRPr="00C179D4">
        <w:rPr>
          <w:rFonts w:cstheme="minorHAnsi"/>
          <w:color w:val="000000" w:themeColor="text1"/>
        </w:rPr>
        <w:t xml:space="preserve"> </w:t>
      </w:r>
      <w:r w:rsidR="00AD7878" w:rsidRPr="00C179D4">
        <w:rPr>
          <w:rFonts w:cstheme="minorHAnsi"/>
          <w:color w:val="000000" w:themeColor="text1"/>
        </w:rPr>
        <w:t xml:space="preserve">be </w:t>
      </w:r>
      <w:r w:rsidR="00C04DB1" w:rsidRPr="00C179D4">
        <w:rPr>
          <w:rFonts w:cstheme="minorHAnsi"/>
          <w:color w:val="000000" w:themeColor="text1"/>
        </w:rPr>
        <w:t xml:space="preserve">used as a control instead of DMSO because DMSO </w:t>
      </w:r>
      <w:r w:rsidR="0010184B" w:rsidRPr="00C179D4">
        <w:rPr>
          <w:rFonts w:cstheme="minorHAnsi"/>
          <w:color w:val="000000" w:themeColor="text1"/>
        </w:rPr>
        <w:t>is</w:t>
      </w:r>
      <w:r w:rsidR="00C04DB1" w:rsidRPr="00C179D4">
        <w:rPr>
          <w:rFonts w:cstheme="minorHAnsi"/>
          <w:color w:val="000000" w:themeColor="text1"/>
        </w:rPr>
        <w:t xml:space="preserve"> neurotoxic.</w:t>
      </w:r>
      <w:r w:rsidR="00ED0788" w:rsidRPr="00C179D4">
        <w:rPr>
          <w:rFonts w:cstheme="minorHAnsi"/>
          <w:color w:val="000000" w:themeColor="text1"/>
        </w:rPr>
        <w:t xml:space="preserve"> However, </w:t>
      </w:r>
      <w:r w:rsidR="00E9428E" w:rsidRPr="00C179D4">
        <w:rPr>
          <w:rFonts w:cstheme="minorHAnsi"/>
          <w:color w:val="000000" w:themeColor="text1"/>
        </w:rPr>
        <w:t>a</w:t>
      </w:r>
      <w:r w:rsidR="00AD7878" w:rsidRPr="00C179D4">
        <w:rPr>
          <w:rFonts w:cstheme="minorHAnsi"/>
          <w:color w:val="000000" w:themeColor="text1"/>
        </w:rPr>
        <w:t xml:space="preserve"> </w:t>
      </w:r>
      <w:r w:rsidR="00BA1306" w:rsidRPr="00C179D4">
        <w:rPr>
          <w:rFonts w:cstheme="minorHAnsi"/>
          <w:color w:val="000000" w:themeColor="text1"/>
        </w:rPr>
        <w:t xml:space="preserve">very </w:t>
      </w:r>
      <w:r w:rsidR="00ED0788" w:rsidRPr="00C179D4">
        <w:rPr>
          <w:rFonts w:cstheme="minorHAnsi"/>
          <w:color w:val="000000" w:themeColor="text1"/>
        </w:rPr>
        <w:t>small</w:t>
      </w:r>
      <w:r w:rsidR="00AD7878" w:rsidRPr="00C179D4">
        <w:rPr>
          <w:rFonts w:cstheme="minorHAnsi"/>
          <w:color w:val="000000" w:themeColor="text1"/>
        </w:rPr>
        <w:t xml:space="preserve"> amount of DMSO may be </w:t>
      </w:r>
      <w:r w:rsidR="0010184B" w:rsidRPr="00C179D4">
        <w:rPr>
          <w:rFonts w:cstheme="minorHAnsi"/>
          <w:color w:val="000000" w:themeColor="text1"/>
        </w:rPr>
        <w:t xml:space="preserve">safe for infusion, </w:t>
      </w:r>
      <w:r w:rsidR="00ED0788" w:rsidRPr="00C179D4">
        <w:rPr>
          <w:rFonts w:cstheme="minorHAnsi"/>
          <w:color w:val="000000" w:themeColor="text1"/>
        </w:rPr>
        <w:t>as studies have shown that</w:t>
      </w:r>
      <w:r w:rsidR="0010184B" w:rsidRPr="00C179D4">
        <w:rPr>
          <w:rFonts w:cstheme="minorHAnsi"/>
          <w:color w:val="000000" w:themeColor="text1"/>
        </w:rPr>
        <w:t xml:space="preserve"> less than 50% DMSO </w:t>
      </w:r>
      <w:r w:rsidR="00C179D4">
        <w:rPr>
          <w:rFonts w:cstheme="minorHAnsi"/>
          <w:color w:val="000000" w:themeColor="text1"/>
        </w:rPr>
        <w:t>(</w:t>
      </w:r>
      <w:r w:rsidR="003D06AB" w:rsidRPr="003D06AB">
        <w:rPr>
          <w:rFonts w:cstheme="minorHAnsi"/>
          <w:i/>
          <w:color w:val="000000" w:themeColor="text1"/>
        </w:rPr>
        <w:t>i.e.,</w:t>
      </w:r>
      <w:r w:rsidR="00C179D4">
        <w:rPr>
          <w:rFonts w:cstheme="minorHAnsi"/>
          <w:color w:val="000000" w:themeColor="text1"/>
        </w:rPr>
        <w:t xml:space="preserve"> </w:t>
      </w:r>
      <w:r w:rsidR="0010184B" w:rsidRPr="00C179D4">
        <w:rPr>
          <w:rFonts w:cstheme="minorHAnsi"/>
          <w:color w:val="000000" w:themeColor="text1"/>
        </w:rPr>
        <w:t>less</w:t>
      </w:r>
      <w:r w:rsidR="00AD7878" w:rsidRPr="00C179D4">
        <w:rPr>
          <w:rFonts w:cstheme="minorHAnsi"/>
          <w:color w:val="000000" w:themeColor="text1"/>
        </w:rPr>
        <w:t xml:space="preserve"> than</w:t>
      </w:r>
      <w:r w:rsidR="0010184B" w:rsidRPr="00C179D4">
        <w:rPr>
          <w:rFonts w:cstheme="minorHAnsi"/>
          <w:color w:val="000000" w:themeColor="text1"/>
        </w:rPr>
        <w:t xml:space="preserve"> a total volume of 0.3</w:t>
      </w:r>
      <w:r w:rsidR="00AD7878" w:rsidRPr="00C179D4">
        <w:rPr>
          <w:rFonts w:cstheme="minorHAnsi"/>
          <w:color w:val="000000" w:themeColor="text1"/>
        </w:rPr>
        <w:t xml:space="preserve"> </w:t>
      </w:r>
      <w:proofErr w:type="spellStart"/>
      <w:r w:rsidR="0010184B" w:rsidRPr="00C179D4">
        <w:rPr>
          <w:rFonts w:cstheme="minorHAnsi"/>
          <w:color w:val="000000" w:themeColor="text1"/>
        </w:rPr>
        <w:t>μ</w:t>
      </w:r>
      <w:r w:rsidR="00C179D4">
        <w:rPr>
          <w:rFonts w:cstheme="minorHAnsi"/>
          <w:color w:val="000000" w:themeColor="text1"/>
        </w:rPr>
        <w:t>L</w:t>
      </w:r>
      <w:proofErr w:type="spellEnd"/>
      <w:r w:rsidR="005536A2">
        <w:rPr>
          <w:rFonts w:cstheme="minorHAnsi"/>
          <w:color w:val="000000" w:themeColor="text1"/>
        </w:rPr>
        <w:t xml:space="preserve">, as </w:t>
      </w:r>
      <w:r w:rsidR="00C179D4">
        <w:rPr>
          <w:rFonts w:cstheme="minorHAnsi"/>
          <w:color w:val="000000" w:themeColor="text1"/>
        </w:rPr>
        <w:t>in this case)</w:t>
      </w:r>
      <w:r w:rsidR="00ED0788" w:rsidRPr="00C179D4">
        <w:rPr>
          <w:rFonts w:cstheme="minorHAnsi"/>
          <w:color w:val="000000" w:themeColor="text1"/>
        </w:rPr>
        <w:t xml:space="preserve"> may not interfere with behavior studies</w:t>
      </w:r>
      <w:r w:rsidR="005F7B59" w:rsidRPr="00C179D4">
        <w:rPr>
          <w:rFonts w:cstheme="minorHAnsi"/>
          <w:color w:val="000000" w:themeColor="text1"/>
          <w:vertAlign w:val="superscript"/>
        </w:rPr>
        <w:t>8</w:t>
      </w:r>
      <w:r w:rsidR="00707044" w:rsidRPr="00C179D4">
        <w:rPr>
          <w:rFonts w:cstheme="minorHAnsi"/>
          <w:color w:val="000000" w:themeColor="text1"/>
          <w:vertAlign w:val="superscript"/>
        </w:rPr>
        <w:t>,</w:t>
      </w:r>
      <w:r w:rsidR="005F7B59" w:rsidRPr="00C179D4">
        <w:rPr>
          <w:rFonts w:cstheme="minorHAnsi"/>
          <w:color w:val="000000" w:themeColor="text1"/>
          <w:vertAlign w:val="superscript"/>
        </w:rPr>
        <w:t>9</w:t>
      </w:r>
      <w:r w:rsidR="0010184B" w:rsidRPr="00C179D4">
        <w:rPr>
          <w:rFonts w:cstheme="minorHAnsi"/>
          <w:color w:val="000000" w:themeColor="text1"/>
        </w:rPr>
        <w:t>.</w:t>
      </w:r>
      <w:r w:rsidR="00ED0788" w:rsidRPr="00C179D4">
        <w:rPr>
          <w:rFonts w:cstheme="minorHAnsi"/>
          <w:color w:val="000000" w:themeColor="text1"/>
        </w:rPr>
        <w:t xml:space="preserve"> </w:t>
      </w:r>
    </w:p>
    <w:p w14:paraId="06B26678" w14:textId="77777777" w:rsidR="006879DD" w:rsidRPr="00C179D4" w:rsidRDefault="006879DD" w:rsidP="00C179D4">
      <w:pPr>
        <w:pStyle w:val="ListParagraph"/>
        <w:ind w:left="0"/>
        <w:rPr>
          <w:rFonts w:cstheme="minorHAnsi"/>
          <w:color w:val="000000" w:themeColor="text1"/>
        </w:rPr>
      </w:pPr>
    </w:p>
    <w:p w14:paraId="3BCEEF36" w14:textId="44AF5865" w:rsidR="00FF43A1" w:rsidRPr="00C179D4" w:rsidRDefault="006F4426" w:rsidP="00C179D4">
      <w:pPr>
        <w:pStyle w:val="ListParagraph"/>
        <w:numPr>
          <w:ilvl w:val="1"/>
          <w:numId w:val="22"/>
        </w:numPr>
        <w:rPr>
          <w:rFonts w:cstheme="minorHAnsi"/>
          <w:color w:val="000000" w:themeColor="text1"/>
        </w:rPr>
      </w:pPr>
      <w:r w:rsidRPr="00C179D4">
        <w:rPr>
          <w:rFonts w:cstheme="minorHAnsi"/>
          <w:color w:val="000000" w:themeColor="text1"/>
        </w:rPr>
        <w:t>Inject volume</w:t>
      </w:r>
      <w:r w:rsidR="00FF43A1" w:rsidRPr="00C179D4">
        <w:rPr>
          <w:rFonts w:cstheme="minorHAnsi"/>
          <w:color w:val="000000" w:themeColor="text1"/>
        </w:rPr>
        <w:t xml:space="preserve"> bilaterally over a period of 100 s and</w:t>
      </w:r>
      <w:r w:rsidRPr="00C179D4">
        <w:rPr>
          <w:rFonts w:cstheme="minorHAnsi"/>
          <w:color w:val="000000" w:themeColor="text1"/>
        </w:rPr>
        <w:t xml:space="preserve"> keep injector cannulas</w:t>
      </w:r>
      <w:r w:rsidR="00FF43A1" w:rsidRPr="00C179D4">
        <w:rPr>
          <w:rFonts w:cstheme="minorHAnsi"/>
          <w:color w:val="000000" w:themeColor="text1"/>
        </w:rPr>
        <w:t xml:space="preserve"> in place for an additional 60 s prior to removal to allow slow diffusion of this solution.</w:t>
      </w:r>
      <w:r w:rsidR="00816C6F" w:rsidRPr="00C179D4">
        <w:rPr>
          <w:rFonts w:cstheme="minorHAnsi"/>
          <w:color w:val="000000" w:themeColor="text1"/>
        </w:rPr>
        <w:t xml:space="preserve"> </w:t>
      </w:r>
    </w:p>
    <w:p w14:paraId="3C73ADEA" w14:textId="77777777" w:rsidR="006879DD" w:rsidRPr="00C179D4" w:rsidRDefault="006879DD" w:rsidP="00C179D4">
      <w:pPr>
        <w:pStyle w:val="ListParagraph"/>
        <w:ind w:left="0"/>
        <w:rPr>
          <w:rFonts w:cstheme="minorHAnsi"/>
          <w:color w:val="000000" w:themeColor="text1"/>
        </w:rPr>
      </w:pPr>
    </w:p>
    <w:p w14:paraId="3A49B841" w14:textId="05FBAB88" w:rsidR="004C7D57" w:rsidRDefault="003E02F0" w:rsidP="00C179D4">
      <w:pPr>
        <w:pStyle w:val="ListParagraph"/>
        <w:numPr>
          <w:ilvl w:val="1"/>
          <w:numId w:val="22"/>
        </w:numPr>
        <w:rPr>
          <w:rFonts w:cstheme="minorHAnsi"/>
          <w:color w:val="000000" w:themeColor="text1"/>
        </w:rPr>
      </w:pPr>
      <w:r w:rsidRPr="00C179D4">
        <w:rPr>
          <w:rFonts w:cstheme="minorHAnsi"/>
          <w:color w:val="000000" w:themeColor="text1"/>
        </w:rPr>
        <w:t xml:space="preserve">For </w:t>
      </w:r>
      <w:r w:rsidR="00AD7878" w:rsidRPr="00C179D4">
        <w:rPr>
          <w:rFonts w:cstheme="minorHAnsi"/>
          <w:color w:val="000000" w:themeColor="text1"/>
        </w:rPr>
        <w:t xml:space="preserve">studies of synergistic pharmacological effects, </w:t>
      </w:r>
      <w:r w:rsidRPr="00C179D4">
        <w:rPr>
          <w:rFonts w:cstheme="minorHAnsi"/>
          <w:color w:val="000000" w:themeColor="text1"/>
        </w:rPr>
        <w:t>co-administ</w:t>
      </w:r>
      <w:r w:rsidR="00C179D4">
        <w:rPr>
          <w:rFonts w:cstheme="minorHAnsi"/>
          <w:color w:val="000000" w:themeColor="text1"/>
        </w:rPr>
        <w:t>e</w:t>
      </w:r>
      <w:r w:rsidRPr="00C179D4">
        <w:rPr>
          <w:rFonts w:cstheme="minorHAnsi"/>
          <w:color w:val="000000" w:themeColor="text1"/>
        </w:rPr>
        <w:t>r</w:t>
      </w:r>
      <w:r w:rsidR="00AD7878" w:rsidRPr="00C179D4">
        <w:rPr>
          <w:rFonts w:cstheme="minorHAnsi"/>
          <w:color w:val="000000" w:themeColor="text1"/>
        </w:rPr>
        <w:t xml:space="preserve"> another drug through systemic methods. In this case</w:t>
      </w:r>
      <w:r w:rsidRPr="00C179D4">
        <w:rPr>
          <w:rFonts w:cstheme="minorHAnsi"/>
          <w:color w:val="000000" w:themeColor="text1"/>
        </w:rPr>
        <w:t>, inject the desired drug or control</w:t>
      </w:r>
      <w:r w:rsidR="00ED0788" w:rsidRPr="00C179D4">
        <w:rPr>
          <w:rFonts w:cstheme="minorHAnsi"/>
          <w:color w:val="000000" w:themeColor="text1"/>
        </w:rPr>
        <w:t xml:space="preserve"> i</w:t>
      </w:r>
      <w:r w:rsidR="00FF43A1" w:rsidRPr="00C179D4">
        <w:rPr>
          <w:rFonts w:cstheme="minorHAnsi"/>
          <w:color w:val="000000" w:themeColor="text1"/>
        </w:rPr>
        <w:t>ntracranially and</w:t>
      </w:r>
      <w:r w:rsidR="000C13D7" w:rsidRPr="00C179D4">
        <w:rPr>
          <w:rFonts w:cstheme="minorHAnsi"/>
          <w:color w:val="000000" w:themeColor="text1"/>
        </w:rPr>
        <w:t xml:space="preserve"> administer</w:t>
      </w:r>
      <w:r w:rsidRPr="00C179D4">
        <w:rPr>
          <w:rFonts w:cstheme="minorHAnsi"/>
          <w:color w:val="000000" w:themeColor="text1"/>
        </w:rPr>
        <w:t xml:space="preserve"> an additional drug</w:t>
      </w:r>
      <w:r w:rsidR="00DC3245" w:rsidRPr="00C179D4">
        <w:rPr>
          <w:rFonts w:cstheme="minorHAnsi"/>
          <w:color w:val="000000" w:themeColor="text1"/>
        </w:rPr>
        <w:t xml:space="preserve"> </w:t>
      </w:r>
      <w:r w:rsidR="00ED0788" w:rsidRPr="00C179D4">
        <w:rPr>
          <w:rFonts w:cstheme="minorHAnsi"/>
          <w:color w:val="000000" w:themeColor="text1"/>
        </w:rPr>
        <w:t>i</w:t>
      </w:r>
      <w:r w:rsidR="00DC3245" w:rsidRPr="00C179D4">
        <w:rPr>
          <w:rFonts w:cstheme="minorHAnsi"/>
          <w:color w:val="000000" w:themeColor="text1"/>
        </w:rPr>
        <w:t>ntraperitoneally</w:t>
      </w:r>
      <w:r w:rsidR="00C179D4">
        <w:rPr>
          <w:rFonts w:cstheme="minorHAnsi"/>
          <w:color w:val="000000" w:themeColor="text1"/>
        </w:rPr>
        <w:t xml:space="preserve"> immediately thereafter</w:t>
      </w:r>
      <w:r w:rsidR="00FF43A1" w:rsidRPr="00C179D4">
        <w:rPr>
          <w:rFonts w:cstheme="minorHAnsi"/>
          <w:color w:val="000000" w:themeColor="text1"/>
        </w:rPr>
        <w:t>.</w:t>
      </w:r>
      <w:r w:rsidR="004C7D57" w:rsidRPr="00C179D4">
        <w:rPr>
          <w:rFonts w:cstheme="minorHAnsi"/>
          <w:color w:val="000000" w:themeColor="text1"/>
        </w:rPr>
        <w:t xml:space="preserve"> </w:t>
      </w:r>
      <w:r w:rsidR="00ED0788" w:rsidRPr="00C179D4">
        <w:rPr>
          <w:rFonts w:cstheme="minorHAnsi"/>
          <w:color w:val="000000" w:themeColor="text1"/>
        </w:rPr>
        <w:t>As an example, in this study we studied the synergistic analgesic effects of m</w:t>
      </w:r>
      <w:r w:rsidR="00AD7878" w:rsidRPr="00C179D4">
        <w:rPr>
          <w:rFonts w:cstheme="minorHAnsi"/>
          <w:color w:val="000000" w:themeColor="text1"/>
        </w:rPr>
        <w:t xml:space="preserve">orphine and Ampakines </w:t>
      </w:r>
      <w:r w:rsidR="00ED0788" w:rsidRPr="00C179D4">
        <w:rPr>
          <w:rFonts w:cstheme="minorHAnsi"/>
          <w:color w:val="000000" w:themeColor="text1"/>
        </w:rPr>
        <w:t>to test for an additive effect</w:t>
      </w:r>
      <w:r w:rsidR="00C02E6F" w:rsidRPr="00C179D4">
        <w:rPr>
          <w:rFonts w:cstheme="minorHAnsi"/>
          <w:color w:val="000000" w:themeColor="text1"/>
        </w:rPr>
        <w:t>.</w:t>
      </w:r>
      <w:r w:rsidR="00ED0788" w:rsidRPr="00C179D4">
        <w:rPr>
          <w:rFonts w:cstheme="minorHAnsi"/>
          <w:color w:val="000000" w:themeColor="text1"/>
        </w:rPr>
        <w:t xml:space="preserve"> </w:t>
      </w:r>
      <w:r w:rsidR="00C02E6F" w:rsidRPr="00C179D4">
        <w:rPr>
          <w:rFonts w:cstheme="minorHAnsi"/>
          <w:color w:val="000000" w:themeColor="text1"/>
        </w:rPr>
        <w:t>W</w:t>
      </w:r>
      <w:r w:rsidR="00ED0788" w:rsidRPr="00C179D4">
        <w:rPr>
          <w:rFonts w:cstheme="minorHAnsi"/>
          <w:color w:val="000000" w:themeColor="text1"/>
        </w:rPr>
        <w:t xml:space="preserve">e infused </w:t>
      </w:r>
      <w:r w:rsidR="00C02E6F" w:rsidRPr="00C179D4">
        <w:rPr>
          <w:rFonts w:cstheme="minorHAnsi"/>
          <w:color w:val="000000" w:themeColor="text1"/>
        </w:rPr>
        <w:t xml:space="preserve">an </w:t>
      </w:r>
      <w:proofErr w:type="spellStart"/>
      <w:r w:rsidR="00ED0788" w:rsidRPr="00C179D4">
        <w:rPr>
          <w:rFonts w:cstheme="minorHAnsi"/>
          <w:color w:val="000000" w:themeColor="text1"/>
        </w:rPr>
        <w:t>AMPAkine</w:t>
      </w:r>
      <w:proofErr w:type="spellEnd"/>
      <w:r w:rsidR="00C02E6F" w:rsidRPr="00C179D4">
        <w:rPr>
          <w:rFonts w:cstheme="minorHAnsi"/>
          <w:color w:val="000000" w:themeColor="text1"/>
        </w:rPr>
        <w:t xml:space="preserve"> intracranially</w:t>
      </w:r>
      <w:r w:rsidR="00ED0788" w:rsidRPr="00C179D4">
        <w:rPr>
          <w:rFonts w:cstheme="minorHAnsi"/>
          <w:color w:val="000000" w:themeColor="text1"/>
        </w:rPr>
        <w:t xml:space="preserve">, in combination with </w:t>
      </w:r>
      <w:r w:rsidR="00173EAB" w:rsidRPr="00C179D4">
        <w:rPr>
          <w:rFonts w:cstheme="minorHAnsi"/>
          <w:color w:val="000000" w:themeColor="text1"/>
        </w:rPr>
        <w:t>intraperitoneal</w:t>
      </w:r>
      <w:r w:rsidR="00ED0788" w:rsidRPr="00C179D4">
        <w:rPr>
          <w:rFonts w:cstheme="minorHAnsi"/>
          <w:color w:val="000000" w:themeColor="text1"/>
        </w:rPr>
        <w:t xml:space="preserve"> deliver</w:t>
      </w:r>
      <w:r w:rsidR="00C02E6F" w:rsidRPr="00C179D4">
        <w:rPr>
          <w:rFonts w:cstheme="minorHAnsi"/>
          <w:color w:val="000000" w:themeColor="text1"/>
        </w:rPr>
        <w:t>y</w:t>
      </w:r>
      <w:r w:rsidR="00ED0788" w:rsidRPr="00C179D4">
        <w:rPr>
          <w:rFonts w:cstheme="minorHAnsi"/>
          <w:color w:val="000000" w:themeColor="text1"/>
        </w:rPr>
        <w:t xml:space="preserve"> of </w:t>
      </w:r>
      <w:r w:rsidR="00AD7878" w:rsidRPr="00C179D4">
        <w:rPr>
          <w:rFonts w:cstheme="minorHAnsi"/>
          <w:color w:val="000000" w:themeColor="text1"/>
        </w:rPr>
        <w:t>1 mg/kg</w:t>
      </w:r>
      <w:r w:rsidR="00D86C74" w:rsidRPr="00C179D4">
        <w:rPr>
          <w:rFonts w:cstheme="minorHAnsi"/>
          <w:color w:val="000000" w:themeColor="text1"/>
        </w:rPr>
        <w:t xml:space="preserve"> morphine</w:t>
      </w:r>
      <w:r w:rsidR="00AD7878" w:rsidRPr="00C179D4">
        <w:rPr>
          <w:rFonts w:cstheme="minorHAnsi"/>
          <w:color w:val="000000" w:themeColor="text1"/>
        </w:rPr>
        <w:t xml:space="preserve"> </w:t>
      </w:r>
      <w:r w:rsidR="00ED0788" w:rsidRPr="00C179D4">
        <w:rPr>
          <w:rFonts w:cstheme="minorHAnsi"/>
          <w:color w:val="000000" w:themeColor="text1"/>
        </w:rPr>
        <w:t>(a safe systemic dose)</w:t>
      </w:r>
      <w:r w:rsidR="005F7B59" w:rsidRPr="00C179D4">
        <w:rPr>
          <w:rFonts w:cstheme="minorHAnsi"/>
          <w:color w:val="000000" w:themeColor="text1"/>
          <w:vertAlign w:val="superscript"/>
        </w:rPr>
        <w:t>10</w:t>
      </w:r>
      <w:r w:rsidR="00AD7878" w:rsidRPr="00C179D4">
        <w:rPr>
          <w:rFonts w:cstheme="minorHAnsi"/>
          <w:color w:val="000000" w:themeColor="text1"/>
        </w:rPr>
        <w:t>.</w:t>
      </w:r>
    </w:p>
    <w:p w14:paraId="7CEFB7DB" w14:textId="77777777" w:rsidR="00C179D4" w:rsidRDefault="00C179D4" w:rsidP="00C179D4">
      <w:pPr>
        <w:pStyle w:val="ListParagraph"/>
        <w:rPr>
          <w:rFonts w:cstheme="minorHAnsi"/>
          <w:color w:val="000000" w:themeColor="text1"/>
        </w:rPr>
      </w:pPr>
    </w:p>
    <w:p w14:paraId="22F03FDF" w14:textId="582A7024" w:rsidR="00C179D4" w:rsidRPr="00C179D4" w:rsidRDefault="003D06AB" w:rsidP="00C179D4">
      <w:pPr>
        <w:pStyle w:val="ListParagraph"/>
        <w:ind w:left="0"/>
        <w:rPr>
          <w:rFonts w:cstheme="minorHAnsi"/>
          <w:color w:val="000000" w:themeColor="text1"/>
        </w:rPr>
      </w:pPr>
      <w:r>
        <w:rPr>
          <w:rFonts w:cstheme="minorHAnsi"/>
          <w:color w:val="000000" w:themeColor="text1"/>
        </w:rPr>
        <w:t>Note:</w:t>
      </w:r>
      <w:r w:rsidR="00C179D4">
        <w:rPr>
          <w:rFonts w:cstheme="minorHAnsi"/>
          <w:color w:val="000000" w:themeColor="text1"/>
        </w:rPr>
        <w:t xml:space="preserve"> </w:t>
      </w:r>
      <w:r w:rsidR="00C179D4" w:rsidRPr="00C179D4">
        <w:rPr>
          <w:rFonts w:cstheme="minorHAnsi"/>
          <w:color w:val="000000" w:themeColor="text1"/>
        </w:rPr>
        <w:t>It is recommended that intracranial injections are done first, as they are more difficult to perform than intraperitoneal injections.</w:t>
      </w:r>
    </w:p>
    <w:p w14:paraId="3F39EBDF" w14:textId="3F8145FF" w:rsidR="00FF43A1" w:rsidRPr="00C179D4" w:rsidRDefault="00FF43A1" w:rsidP="00C179D4">
      <w:pPr>
        <w:rPr>
          <w:rFonts w:cstheme="minorHAnsi"/>
          <w:color w:val="000000" w:themeColor="text1"/>
        </w:rPr>
      </w:pPr>
    </w:p>
    <w:p w14:paraId="0ECF6B96" w14:textId="6D70EF30" w:rsidR="009D2E1E" w:rsidRPr="00C179D4" w:rsidRDefault="00FF43A1" w:rsidP="00C179D4">
      <w:pPr>
        <w:pStyle w:val="ListParagraph"/>
        <w:numPr>
          <w:ilvl w:val="0"/>
          <w:numId w:val="22"/>
        </w:numPr>
        <w:rPr>
          <w:rFonts w:cstheme="minorHAnsi"/>
          <w:b/>
          <w:color w:val="000000" w:themeColor="text1"/>
        </w:rPr>
      </w:pPr>
      <w:r w:rsidRPr="00C179D4">
        <w:rPr>
          <w:rFonts w:cstheme="minorHAnsi"/>
          <w:b/>
          <w:color w:val="000000" w:themeColor="text1"/>
        </w:rPr>
        <w:t>Analgesia Assays</w:t>
      </w:r>
      <w:r w:rsidR="002127B2" w:rsidRPr="00C179D4">
        <w:rPr>
          <w:rFonts w:cstheme="minorHAnsi"/>
          <w:b/>
          <w:color w:val="000000" w:themeColor="text1"/>
        </w:rPr>
        <w:t xml:space="preserve"> and Assessment</w:t>
      </w:r>
    </w:p>
    <w:p w14:paraId="0D1F3C85" w14:textId="2795CEB1" w:rsidR="008A7C45" w:rsidRPr="00C179D4" w:rsidRDefault="008A7C45" w:rsidP="00C179D4">
      <w:pPr>
        <w:rPr>
          <w:rFonts w:cstheme="minorHAnsi"/>
          <w:color w:val="000000" w:themeColor="text1"/>
        </w:rPr>
      </w:pPr>
    </w:p>
    <w:p w14:paraId="5799E549" w14:textId="77777777" w:rsidR="005536A2" w:rsidRDefault="00C02E6F" w:rsidP="00C179D4">
      <w:pPr>
        <w:pStyle w:val="ListParagraph"/>
        <w:numPr>
          <w:ilvl w:val="1"/>
          <w:numId w:val="22"/>
        </w:numPr>
        <w:rPr>
          <w:rFonts w:cstheme="minorHAnsi"/>
          <w:color w:val="000000" w:themeColor="text1"/>
        </w:rPr>
      </w:pPr>
      <w:r w:rsidRPr="00C179D4">
        <w:rPr>
          <w:rFonts w:cstheme="minorHAnsi"/>
          <w:color w:val="000000" w:themeColor="text1"/>
        </w:rPr>
        <w:lastRenderedPageBreak/>
        <w:t>T</w:t>
      </w:r>
      <w:r w:rsidR="00D741E9" w:rsidRPr="00C179D4">
        <w:rPr>
          <w:rFonts w:cstheme="minorHAnsi"/>
          <w:color w:val="000000" w:themeColor="text1"/>
        </w:rPr>
        <w:t>o study the effect of intracranial injection</w:t>
      </w:r>
      <w:r w:rsidR="007C1941" w:rsidRPr="00C179D4">
        <w:rPr>
          <w:rFonts w:cstheme="minorHAnsi"/>
          <w:color w:val="000000" w:themeColor="text1"/>
        </w:rPr>
        <w:t>s</w:t>
      </w:r>
      <w:r w:rsidR="00D741E9" w:rsidRPr="00C179D4">
        <w:rPr>
          <w:rFonts w:cstheme="minorHAnsi"/>
          <w:color w:val="000000" w:themeColor="text1"/>
        </w:rPr>
        <w:t xml:space="preserve"> on acute pain behavior in rats, use the plantar test (Hargreaves’ tests) to calculate the withdrawal latency in response to thermal stimuli. </w:t>
      </w:r>
      <w:r w:rsidR="007C1941" w:rsidRPr="00C179D4">
        <w:rPr>
          <w:rFonts w:cstheme="minorHAnsi"/>
          <w:color w:val="000000" w:themeColor="text1"/>
        </w:rPr>
        <w:t>The Hargreaves’ apparatus focuses an infrared beam through a glass plane onto the rat’s foot</w:t>
      </w:r>
      <w:r w:rsidR="005536A2">
        <w:rPr>
          <w:rFonts w:cstheme="minorHAnsi"/>
          <w:color w:val="000000" w:themeColor="text1"/>
        </w:rPr>
        <w:t>; t</w:t>
      </w:r>
      <w:r w:rsidR="007C1941" w:rsidRPr="00C179D4">
        <w:rPr>
          <w:rFonts w:cstheme="minorHAnsi"/>
          <w:color w:val="000000" w:themeColor="text1"/>
        </w:rPr>
        <w:t xml:space="preserve">he rat is standing and freely moving above the glass plane. When performing Hargreaves’ </w:t>
      </w:r>
      <w:r w:rsidR="005536A2">
        <w:rPr>
          <w:rFonts w:cstheme="minorHAnsi"/>
          <w:color w:val="000000" w:themeColor="text1"/>
        </w:rPr>
        <w:t>t</w:t>
      </w:r>
      <w:r w:rsidR="007C1941" w:rsidRPr="00C179D4">
        <w:rPr>
          <w:rFonts w:cstheme="minorHAnsi"/>
          <w:color w:val="000000" w:themeColor="text1"/>
        </w:rPr>
        <w:t xml:space="preserve">est, focus the infrared beam under the plantar area of the rat’s foot. </w:t>
      </w:r>
    </w:p>
    <w:p w14:paraId="2DC22E5C" w14:textId="77777777" w:rsidR="005536A2" w:rsidRDefault="005536A2" w:rsidP="005536A2">
      <w:pPr>
        <w:pStyle w:val="ListParagraph"/>
        <w:ind w:left="0"/>
        <w:rPr>
          <w:rFonts w:cstheme="minorHAnsi"/>
          <w:color w:val="000000" w:themeColor="text1"/>
        </w:rPr>
      </w:pPr>
    </w:p>
    <w:p w14:paraId="1466B372" w14:textId="2DA4FE72" w:rsidR="00074C51" w:rsidRPr="00C179D4" w:rsidRDefault="005536A2" w:rsidP="005536A2">
      <w:pPr>
        <w:pStyle w:val="ListParagraph"/>
        <w:numPr>
          <w:ilvl w:val="2"/>
          <w:numId w:val="22"/>
        </w:numPr>
        <w:rPr>
          <w:rFonts w:cstheme="minorHAnsi"/>
          <w:color w:val="000000" w:themeColor="text1"/>
        </w:rPr>
      </w:pPr>
      <w:r>
        <w:rPr>
          <w:rFonts w:cstheme="minorHAnsi"/>
          <w:color w:val="000000" w:themeColor="text1"/>
        </w:rPr>
        <w:t>B</w:t>
      </w:r>
      <w:r w:rsidR="007C1941" w:rsidRPr="00C179D4">
        <w:rPr>
          <w:rFonts w:cstheme="minorHAnsi"/>
          <w:color w:val="000000" w:themeColor="text1"/>
        </w:rPr>
        <w:t>egin by performing baseline Hargreaves’ tests prior to injections</w:t>
      </w:r>
      <w:r w:rsidR="004F1C9B" w:rsidRPr="00C179D4">
        <w:rPr>
          <w:rFonts w:cstheme="minorHAnsi"/>
          <w:color w:val="000000" w:themeColor="text1"/>
        </w:rPr>
        <w:t>,</w:t>
      </w:r>
      <w:r w:rsidR="007C1941" w:rsidRPr="00C179D4">
        <w:rPr>
          <w:rFonts w:cstheme="minorHAnsi"/>
          <w:color w:val="000000" w:themeColor="text1"/>
        </w:rPr>
        <w:t xml:space="preserve"> to establish a baseline value for comparison. </w:t>
      </w:r>
    </w:p>
    <w:p w14:paraId="4D908E03" w14:textId="77777777" w:rsidR="00074C51" w:rsidRPr="00C179D4" w:rsidRDefault="00074C51" w:rsidP="00C179D4">
      <w:pPr>
        <w:pStyle w:val="ListParagraph"/>
        <w:ind w:left="0"/>
        <w:rPr>
          <w:rFonts w:cstheme="minorHAnsi"/>
          <w:color w:val="000000" w:themeColor="text1"/>
        </w:rPr>
      </w:pPr>
    </w:p>
    <w:p w14:paraId="16B6BA7E" w14:textId="0825E88C" w:rsidR="00074C51" w:rsidRPr="00C179D4" w:rsidRDefault="007C1941" w:rsidP="00C179D4">
      <w:pPr>
        <w:pStyle w:val="ListParagraph"/>
        <w:numPr>
          <w:ilvl w:val="1"/>
          <w:numId w:val="22"/>
        </w:numPr>
        <w:rPr>
          <w:rFonts w:cstheme="minorHAnsi"/>
          <w:color w:val="000000" w:themeColor="text1"/>
        </w:rPr>
      </w:pPr>
      <w:r w:rsidRPr="00C179D4">
        <w:rPr>
          <w:rFonts w:cstheme="minorHAnsi"/>
          <w:color w:val="000000" w:themeColor="text1"/>
        </w:rPr>
        <w:t xml:space="preserve">Do not inject any drug of any kind prior to establishing a baseline value. Conduct 5 good trials, 5 min apart. </w:t>
      </w:r>
      <w:r w:rsidR="00074C51" w:rsidRPr="00C179D4">
        <w:rPr>
          <w:rFonts w:cstheme="minorHAnsi"/>
          <w:color w:val="000000" w:themeColor="text1"/>
        </w:rPr>
        <w:t>A good trial is indicated by a clear withdrawal</w:t>
      </w:r>
      <w:r w:rsidR="00C179D4" w:rsidRPr="00C179D4">
        <w:rPr>
          <w:rFonts w:cstheme="minorHAnsi"/>
          <w:color w:val="000000" w:themeColor="text1"/>
        </w:rPr>
        <w:t xml:space="preserve">, </w:t>
      </w:r>
      <w:r w:rsidR="003D06AB" w:rsidRPr="003D06AB">
        <w:rPr>
          <w:rFonts w:cstheme="minorHAnsi"/>
          <w:i/>
          <w:color w:val="000000" w:themeColor="text1"/>
        </w:rPr>
        <w:t>i.e.,</w:t>
      </w:r>
      <w:r w:rsidR="00074C51" w:rsidRPr="00C179D4">
        <w:rPr>
          <w:rFonts w:cstheme="minorHAnsi"/>
          <w:color w:val="000000" w:themeColor="text1"/>
        </w:rPr>
        <w:t xml:space="preserve"> when the rat bends </w:t>
      </w:r>
      <w:r w:rsidR="00C179D4">
        <w:rPr>
          <w:rFonts w:cstheme="minorHAnsi"/>
          <w:color w:val="000000" w:themeColor="text1"/>
        </w:rPr>
        <w:t>its</w:t>
      </w:r>
      <w:r w:rsidR="00074C51" w:rsidRPr="00C179D4">
        <w:rPr>
          <w:rFonts w:cstheme="minorHAnsi"/>
          <w:color w:val="000000" w:themeColor="text1"/>
        </w:rPr>
        <w:t xml:space="preserve"> knee and lifts </w:t>
      </w:r>
      <w:r w:rsidR="00C179D4">
        <w:rPr>
          <w:rFonts w:cstheme="minorHAnsi"/>
          <w:color w:val="000000" w:themeColor="text1"/>
        </w:rPr>
        <w:t>its</w:t>
      </w:r>
      <w:r w:rsidR="00074C51" w:rsidRPr="00C179D4">
        <w:rPr>
          <w:rFonts w:cstheme="minorHAnsi"/>
          <w:color w:val="000000" w:themeColor="text1"/>
        </w:rPr>
        <w:t xml:space="preserve"> foot upward and into the body. </w:t>
      </w:r>
    </w:p>
    <w:p w14:paraId="040D16DA" w14:textId="77777777" w:rsidR="003E70C6" w:rsidRPr="00C179D4" w:rsidRDefault="003E70C6" w:rsidP="00C179D4">
      <w:pPr>
        <w:pStyle w:val="ListParagraph"/>
        <w:ind w:left="0"/>
        <w:rPr>
          <w:rFonts w:cstheme="minorHAnsi"/>
          <w:color w:val="000000" w:themeColor="text1"/>
        </w:rPr>
      </w:pPr>
    </w:p>
    <w:p w14:paraId="09AD6632" w14:textId="5CC1FA83" w:rsidR="00074C51" w:rsidRPr="00C179D4" w:rsidRDefault="008E0FBD" w:rsidP="00C179D4">
      <w:pPr>
        <w:pStyle w:val="ListParagraph"/>
        <w:ind w:left="0"/>
        <w:rPr>
          <w:rFonts w:cstheme="minorHAnsi"/>
          <w:color w:val="000000" w:themeColor="text1"/>
        </w:rPr>
      </w:pPr>
      <w:r w:rsidRPr="00C179D4">
        <w:rPr>
          <w:rFonts w:cstheme="minorHAnsi"/>
          <w:color w:val="000000" w:themeColor="text1"/>
        </w:rPr>
        <w:t xml:space="preserve">Note: </w:t>
      </w:r>
      <w:r w:rsidR="007C1941" w:rsidRPr="00C179D4">
        <w:rPr>
          <w:rFonts w:cstheme="minorHAnsi"/>
          <w:color w:val="000000" w:themeColor="text1"/>
        </w:rPr>
        <w:t>Make sure the trials are 5 min apart to prevent sensitization of the rat.</w:t>
      </w:r>
      <w:r w:rsidR="00074C51" w:rsidRPr="00C179D4">
        <w:rPr>
          <w:rFonts w:cstheme="minorHAnsi"/>
          <w:color w:val="000000" w:themeColor="text1"/>
        </w:rPr>
        <w:t xml:space="preserve"> The Hargreaves’ apparatus automatically records the time of withdrawal</w:t>
      </w:r>
      <w:r w:rsidR="00A64DFE" w:rsidRPr="00C179D4">
        <w:rPr>
          <w:rFonts w:cstheme="minorHAnsi"/>
          <w:color w:val="000000" w:themeColor="text1"/>
        </w:rPr>
        <w:t>,</w:t>
      </w:r>
      <w:r w:rsidR="00074C51" w:rsidRPr="00C179D4">
        <w:rPr>
          <w:rFonts w:cstheme="minorHAnsi"/>
          <w:color w:val="000000" w:themeColor="text1"/>
        </w:rPr>
        <w:t xml:space="preserve"> once the infrared beam is broken</w:t>
      </w:r>
      <w:r w:rsidR="007C1941" w:rsidRPr="00C179D4">
        <w:rPr>
          <w:rFonts w:cstheme="minorHAnsi"/>
          <w:color w:val="000000" w:themeColor="text1"/>
        </w:rPr>
        <w:t>.</w:t>
      </w:r>
      <w:r w:rsidR="00074C51" w:rsidRPr="00C179D4">
        <w:rPr>
          <w:rFonts w:cstheme="minorHAnsi"/>
          <w:color w:val="000000" w:themeColor="text1"/>
        </w:rPr>
        <w:t xml:space="preserve"> As a result</w:t>
      </w:r>
      <w:r w:rsidR="00A64DFE" w:rsidRPr="00C179D4">
        <w:rPr>
          <w:rFonts w:cstheme="minorHAnsi"/>
          <w:color w:val="000000" w:themeColor="text1"/>
        </w:rPr>
        <w:t xml:space="preserve">, be sure to discount trials from locomotion, shifting weight, </w:t>
      </w:r>
      <w:r w:rsidR="003D06AB" w:rsidRPr="003D06AB">
        <w:rPr>
          <w:rFonts w:cstheme="minorHAnsi"/>
          <w:i/>
          <w:color w:val="000000" w:themeColor="text1"/>
        </w:rPr>
        <w:t>etc.</w:t>
      </w:r>
      <w:r w:rsidR="000E2595" w:rsidRPr="00C179D4">
        <w:rPr>
          <w:rFonts w:cstheme="minorHAnsi"/>
          <w:color w:val="000000" w:themeColor="text1"/>
        </w:rPr>
        <w:t xml:space="preserve"> If a discounted trial occurs, wait 5 min and repeat</w:t>
      </w:r>
      <w:r w:rsidR="000E62DD" w:rsidRPr="00C179D4">
        <w:rPr>
          <w:rFonts w:cstheme="minorHAnsi"/>
          <w:color w:val="000000" w:themeColor="text1"/>
        </w:rPr>
        <w:t xml:space="preserve"> the trial</w:t>
      </w:r>
      <w:r w:rsidR="000E2595" w:rsidRPr="00C179D4">
        <w:rPr>
          <w:rFonts w:cstheme="minorHAnsi"/>
          <w:color w:val="000000" w:themeColor="text1"/>
        </w:rPr>
        <w:t>.</w:t>
      </w:r>
    </w:p>
    <w:p w14:paraId="6AB3EEFA" w14:textId="1298808D" w:rsidR="007C1941" w:rsidRPr="00C179D4" w:rsidRDefault="007C1941" w:rsidP="00C179D4">
      <w:pPr>
        <w:pStyle w:val="ListParagraph"/>
        <w:ind w:left="0"/>
        <w:rPr>
          <w:rFonts w:cstheme="minorHAnsi"/>
          <w:color w:val="000000" w:themeColor="text1"/>
        </w:rPr>
      </w:pPr>
      <w:r w:rsidRPr="00C179D4">
        <w:rPr>
          <w:rFonts w:cstheme="minorHAnsi"/>
          <w:color w:val="000000" w:themeColor="text1"/>
        </w:rPr>
        <w:t xml:space="preserve"> </w:t>
      </w:r>
    </w:p>
    <w:p w14:paraId="27E031BE" w14:textId="5B9C4747" w:rsidR="007C1941" w:rsidRPr="00C179D4" w:rsidRDefault="007C1941" w:rsidP="00C179D4">
      <w:pPr>
        <w:pStyle w:val="ListParagraph"/>
        <w:numPr>
          <w:ilvl w:val="1"/>
          <w:numId w:val="22"/>
        </w:numPr>
        <w:rPr>
          <w:rFonts w:cstheme="minorHAnsi"/>
          <w:color w:val="000000" w:themeColor="text1"/>
        </w:rPr>
      </w:pPr>
      <w:r w:rsidRPr="00C179D4">
        <w:rPr>
          <w:rFonts w:cstheme="minorHAnsi"/>
          <w:color w:val="000000" w:themeColor="text1"/>
        </w:rPr>
        <w:t>Calculate withdrawal thresholds by taking the average of 5 trials.</w:t>
      </w:r>
    </w:p>
    <w:p w14:paraId="15676316" w14:textId="664AF3B6" w:rsidR="007C1941" w:rsidRPr="00C179D4" w:rsidRDefault="007C1941" w:rsidP="00C179D4">
      <w:pPr>
        <w:pStyle w:val="ListParagraph"/>
        <w:ind w:left="0"/>
        <w:rPr>
          <w:rFonts w:cstheme="minorHAnsi"/>
          <w:color w:val="000000" w:themeColor="text1"/>
        </w:rPr>
      </w:pPr>
    </w:p>
    <w:p w14:paraId="38F3294B" w14:textId="673DB619" w:rsidR="008A7C45" w:rsidRPr="00C179D4" w:rsidRDefault="007C1941" w:rsidP="00C179D4">
      <w:pPr>
        <w:pStyle w:val="ListParagraph"/>
        <w:numPr>
          <w:ilvl w:val="1"/>
          <w:numId w:val="22"/>
        </w:numPr>
        <w:rPr>
          <w:rFonts w:cstheme="minorHAnsi"/>
          <w:color w:val="000000" w:themeColor="text1"/>
        </w:rPr>
      </w:pPr>
      <w:r w:rsidRPr="00C179D4">
        <w:rPr>
          <w:rFonts w:cstheme="minorHAnsi"/>
          <w:color w:val="000000" w:themeColor="text1"/>
        </w:rPr>
        <w:t xml:space="preserve">After obtaining a baseline average, begin the experiment to get withdrawal times after infusion of drugs. </w:t>
      </w:r>
      <w:r w:rsidR="00D741E9" w:rsidRPr="00C179D4">
        <w:rPr>
          <w:rFonts w:cstheme="minorHAnsi"/>
          <w:color w:val="000000" w:themeColor="text1"/>
        </w:rPr>
        <w:t xml:space="preserve">Hargreaves’ tests </w:t>
      </w:r>
      <w:r w:rsidR="00E56411" w:rsidRPr="00C179D4">
        <w:rPr>
          <w:rFonts w:cstheme="minorHAnsi"/>
          <w:color w:val="000000" w:themeColor="text1"/>
        </w:rPr>
        <w:t>can</w:t>
      </w:r>
      <w:r w:rsidR="00D741E9" w:rsidRPr="00C179D4">
        <w:rPr>
          <w:rFonts w:cstheme="minorHAnsi"/>
          <w:color w:val="000000" w:themeColor="text1"/>
        </w:rPr>
        <w:t xml:space="preserve"> be performed </w:t>
      </w:r>
      <w:r w:rsidR="00C66828" w:rsidRPr="00C179D4">
        <w:rPr>
          <w:rFonts w:cstheme="minorHAnsi"/>
          <w:color w:val="000000" w:themeColor="text1"/>
        </w:rPr>
        <w:t>20-</w:t>
      </w:r>
      <w:r w:rsidR="00D741E9" w:rsidRPr="00C179D4">
        <w:rPr>
          <w:rFonts w:cstheme="minorHAnsi"/>
          <w:color w:val="000000" w:themeColor="text1"/>
        </w:rPr>
        <w:t>30 m</w:t>
      </w:r>
      <w:r w:rsidRPr="00C179D4">
        <w:rPr>
          <w:rFonts w:cstheme="minorHAnsi"/>
          <w:color w:val="000000" w:themeColor="text1"/>
        </w:rPr>
        <w:t>in after intracranial injections</w:t>
      </w:r>
      <w:r w:rsidR="00E56411" w:rsidRPr="00C179D4">
        <w:rPr>
          <w:rFonts w:cstheme="minorHAnsi"/>
          <w:color w:val="000000" w:themeColor="text1"/>
        </w:rPr>
        <w:t>, although the precise timing may be dependent on the pharmacokinetics of the specific agents</w:t>
      </w:r>
      <w:r w:rsidRPr="00C179D4">
        <w:rPr>
          <w:rFonts w:cstheme="minorHAnsi"/>
          <w:color w:val="000000" w:themeColor="text1"/>
        </w:rPr>
        <w:t>. This</w:t>
      </w:r>
      <w:r w:rsidR="00076419" w:rsidRPr="00C179D4">
        <w:rPr>
          <w:rFonts w:cstheme="minorHAnsi"/>
          <w:color w:val="000000" w:themeColor="text1"/>
        </w:rPr>
        <w:t xml:space="preserve"> is</w:t>
      </w:r>
      <w:r w:rsidRPr="00C179D4">
        <w:rPr>
          <w:rFonts w:cstheme="minorHAnsi"/>
          <w:color w:val="000000" w:themeColor="text1"/>
        </w:rPr>
        <w:t xml:space="preserve"> to ensure that the rat has absorbed the drug and is experiencing its effects.</w:t>
      </w:r>
      <w:r w:rsidR="00DF69C7" w:rsidRPr="00C179D4">
        <w:rPr>
          <w:rFonts w:cstheme="minorHAnsi"/>
          <w:color w:val="000000" w:themeColor="text1"/>
        </w:rPr>
        <w:t xml:space="preserve"> </w:t>
      </w:r>
      <w:r w:rsidR="005536A2">
        <w:rPr>
          <w:rFonts w:cstheme="minorHAnsi"/>
          <w:color w:val="000000" w:themeColor="text1"/>
        </w:rPr>
        <w:t>C</w:t>
      </w:r>
      <w:r w:rsidR="00DF69C7" w:rsidRPr="00C179D4">
        <w:rPr>
          <w:rFonts w:cstheme="minorHAnsi"/>
          <w:color w:val="000000" w:themeColor="text1"/>
        </w:rPr>
        <w:t>onduct th</w:t>
      </w:r>
      <w:r w:rsidR="005536A2">
        <w:rPr>
          <w:rFonts w:cstheme="minorHAnsi"/>
          <w:color w:val="000000" w:themeColor="text1"/>
        </w:rPr>
        <w:t>is</w:t>
      </w:r>
      <w:r w:rsidR="00DF69C7" w:rsidRPr="00C179D4">
        <w:rPr>
          <w:rFonts w:cstheme="minorHAnsi"/>
          <w:color w:val="000000" w:themeColor="text1"/>
        </w:rPr>
        <w:t xml:space="preserve"> experiment in the same manner as step 3.1.</w:t>
      </w:r>
    </w:p>
    <w:p w14:paraId="273F8821" w14:textId="36B2980A" w:rsidR="007C1941" w:rsidRPr="00C179D4" w:rsidRDefault="007C1941" w:rsidP="00C179D4">
      <w:pPr>
        <w:rPr>
          <w:rFonts w:cstheme="minorHAnsi"/>
          <w:color w:val="000000" w:themeColor="text1"/>
        </w:rPr>
      </w:pPr>
    </w:p>
    <w:p w14:paraId="01911B79" w14:textId="0A912539" w:rsidR="007C1941" w:rsidRPr="00C179D4" w:rsidRDefault="007C1941" w:rsidP="00C179D4">
      <w:pPr>
        <w:pStyle w:val="ListParagraph"/>
        <w:numPr>
          <w:ilvl w:val="1"/>
          <w:numId w:val="22"/>
        </w:numPr>
        <w:rPr>
          <w:rFonts w:cstheme="minorHAnsi"/>
          <w:color w:val="000000" w:themeColor="text1"/>
        </w:rPr>
      </w:pPr>
      <w:r w:rsidRPr="00C179D4">
        <w:rPr>
          <w:rFonts w:cstheme="minorHAnsi"/>
          <w:color w:val="000000" w:themeColor="text1"/>
        </w:rPr>
        <w:t>Calculate withdrawal thresholds as mentioned in step 3.2.</w:t>
      </w:r>
    </w:p>
    <w:p w14:paraId="496AB0B4" w14:textId="5451500F" w:rsidR="001C1E49" w:rsidRPr="00C179D4" w:rsidRDefault="001C1E49" w:rsidP="00C179D4">
      <w:pPr>
        <w:pStyle w:val="NormalWeb"/>
        <w:spacing w:before="0" w:beforeAutospacing="0" w:after="0" w:afterAutospacing="0"/>
        <w:rPr>
          <w:rFonts w:asciiTheme="minorHAnsi" w:hAnsiTheme="minorHAnsi" w:cstheme="minorHAnsi"/>
          <w:b/>
          <w:color w:val="000000" w:themeColor="text1"/>
        </w:rPr>
      </w:pPr>
    </w:p>
    <w:p w14:paraId="69B85FE1" w14:textId="15FF2093" w:rsidR="0056557A" w:rsidRPr="00C179D4" w:rsidRDefault="006305D7" w:rsidP="00C179D4">
      <w:pPr>
        <w:pStyle w:val="NormalWeb"/>
        <w:spacing w:before="0" w:beforeAutospacing="0" w:after="0" w:afterAutospacing="0"/>
        <w:rPr>
          <w:rFonts w:asciiTheme="minorHAnsi" w:hAnsiTheme="minorHAnsi" w:cstheme="minorHAnsi"/>
          <w:color w:val="000000" w:themeColor="text1"/>
        </w:rPr>
      </w:pPr>
      <w:r w:rsidRPr="00C179D4">
        <w:rPr>
          <w:rFonts w:asciiTheme="minorHAnsi" w:hAnsiTheme="minorHAnsi" w:cstheme="minorHAnsi"/>
          <w:b/>
          <w:color w:val="000000" w:themeColor="text1"/>
        </w:rPr>
        <w:t>REPRESENTATIVE RESULTS</w:t>
      </w:r>
      <w:r w:rsidR="00EF1462" w:rsidRPr="00C179D4">
        <w:rPr>
          <w:rFonts w:asciiTheme="minorHAnsi" w:hAnsiTheme="minorHAnsi" w:cstheme="minorHAnsi"/>
          <w:b/>
          <w:color w:val="000000" w:themeColor="text1"/>
        </w:rPr>
        <w:t xml:space="preserve">: </w:t>
      </w:r>
    </w:p>
    <w:p w14:paraId="78FE1114" w14:textId="5683753D" w:rsidR="000C2372" w:rsidRPr="00C179D4" w:rsidRDefault="00F66B6D" w:rsidP="00C179D4">
      <w:pPr>
        <w:pStyle w:val="NormalWeb"/>
        <w:spacing w:before="0" w:beforeAutospacing="0" w:after="0" w:afterAutospacing="0"/>
        <w:rPr>
          <w:rFonts w:asciiTheme="minorHAnsi" w:hAnsiTheme="minorHAnsi" w:cstheme="minorHAnsi"/>
          <w:bCs/>
          <w:color w:val="000000" w:themeColor="text1"/>
        </w:rPr>
      </w:pPr>
      <w:r w:rsidRPr="00C179D4">
        <w:rPr>
          <w:rFonts w:asciiTheme="minorHAnsi" w:hAnsiTheme="minorHAnsi" w:cstheme="minorHAnsi"/>
          <w:bCs/>
          <w:color w:val="000000" w:themeColor="text1"/>
        </w:rPr>
        <w:t>As an example</w:t>
      </w:r>
      <w:r w:rsidR="00300387" w:rsidRPr="00C179D4">
        <w:rPr>
          <w:rFonts w:asciiTheme="minorHAnsi" w:hAnsiTheme="minorHAnsi" w:cstheme="minorHAnsi"/>
          <w:bCs/>
          <w:color w:val="000000" w:themeColor="text1"/>
        </w:rPr>
        <w:t xml:space="preserve">, we infused an </w:t>
      </w:r>
      <w:proofErr w:type="spellStart"/>
      <w:r w:rsidR="00300387" w:rsidRPr="00C179D4">
        <w:rPr>
          <w:rFonts w:asciiTheme="minorHAnsi" w:hAnsiTheme="minorHAnsi" w:cstheme="minorHAnsi"/>
          <w:bCs/>
          <w:color w:val="000000" w:themeColor="text1"/>
        </w:rPr>
        <w:t>AMPAkine</w:t>
      </w:r>
      <w:proofErr w:type="spellEnd"/>
      <w:r w:rsidRPr="00C179D4">
        <w:rPr>
          <w:rFonts w:asciiTheme="minorHAnsi" w:hAnsiTheme="minorHAnsi" w:cstheme="minorHAnsi"/>
          <w:bCs/>
          <w:color w:val="000000" w:themeColor="text1"/>
        </w:rPr>
        <w:t xml:space="preserve"> into the PFC via cannulas (</w:t>
      </w:r>
      <w:r w:rsidR="003D06AB" w:rsidRPr="003D06AB">
        <w:rPr>
          <w:rFonts w:asciiTheme="minorHAnsi" w:hAnsiTheme="minorHAnsi" w:cstheme="minorHAnsi"/>
          <w:b/>
          <w:bCs/>
          <w:color w:val="000000" w:themeColor="text1"/>
        </w:rPr>
        <w:t xml:space="preserve">Figure </w:t>
      </w:r>
      <w:r w:rsidR="003D06AB" w:rsidRPr="00C179D4">
        <w:rPr>
          <w:rFonts w:asciiTheme="minorHAnsi" w:hAnsiTheme="minorHAnsi" w:cstheme="minorHAnsi"/>
          <w:b/>
          <w:bCs/>
          <w:color w:val="000000" w:themeColor="text1"/>
        </w:rPr>
        <w:t>1</w:t>
      </w:r>
      <w:r w:rsidRPr="00C179D4">
        <w:rPr>
          <w:rFonts w:asciiTheme="minorHAnsi" w:hAnsiTheme="minorHAnsi" w:cstheme="minorHAnsi"/>
          <w:b/>
          <w:bCs/>
          <w:color w:val="000000" w:themeColor="text1"/>
        </w:rPr>
        <w:t>).</w:t>
      </w:r>
      <w:r w:rsidR="00D86C74" w:rsidRPr="00C179D4">
        <w:rPr>
          <w:rFonts w:asciiTheme="minorHAnsi" w:hAnsiTheme="minorHAnsi" w:cstheme="minorHAnsi"/>
          <w:b/>
          <w:bCs/>
          <w:color w:val="000000" w:themeColor="text1"/>
        </w:rPr>
        <w:t xml:space="preserve"> </w:t>
      </w:r>
      <w:r w:rsidRPr="00C179D4">
        <w:rPr>
          <w:rFonts w:asciiTheme="minorHAnsi" w:hAnsiTheme="minorHAnsi" w:cstheme="minorHAnsi"/>
          <w:bCs/>
          <w:color w:val="000000" w:themeColor="text1"/>
        </w:rPr>
        <w:t xml:space="preserve">We also infused morphine systemically to assess the synergistic analgesic effects between </w:t>
      </w:r>
      <w:proofErr w:type="spellStart"/>
      <w:r w:rsidRPr="00C179D4">
        <w:rPr>
          <w:rFonts w:asciiTheme="minorHAnsi" w:hAnsiTheme="minorHAnsi" w:cstheme="minorHAnsi"/>
          <w:bCs/>
          <w:color w:val="000000" w:themeColor="text1"/>
        </w:rPr>
        <w:t>AMPAkines</w:t>
      </w:r>
      <w:proofErr w:type="spellEnd"/>
      <w:r w:rsidRPr="00C179D4">
        <w:rPr>
          <w:rFonts w:asciiTheme="minorHAnsi" w:hAnsiTheme="minorHAnsi" w:cstheme="minorHAnsi"/>
          <w:bCs/>
          <w:color w:val="000000" w:themeColor="text1"/>
        </w:rPr>
        <w:t xml:space="preserve"> and morphine. </w:t>
      </w:r>
      <w:r w:rsidR="003D0E20" w:rsidRPr="00C179D4">
        <w:rPr>
          <w:rFonts w:asciiTheme="minorHAnsi" w:hAnsiTheme="minorHAnsi" w:cstheme="minorHAnsi"/>
          <w:bCs/>
          <w:color w:val="000000" w:themeColor="text1"/>
        </w:rPr>
        <w:t>The</w:t>
      </w:r>
      <w:r w:rsidR="004B22B5" w:rsidRPr="00C179D4">
        <w:rPr>
          <w:rFonts w:asciiTheme="minorHAnsi" w:hAnsiTheme="minorHAnsi" w:cstheme="minorHAnsi"/>
          <w:bCs/>
          <w:color w:val="000000" w:themeColor="text1"/>
        </w:rPr>
        <w:t>se</w:t>
      </w:r>
      <w:r w:rsidR="003D0E20" w:rsidRPr="00C179D4">
        <w:rPr>
          <w:rFonts w:asciiTheme="minorHAnsi" w:hAnsiTheme="minorHAnsi" w:cstheme="minorHAnsi"/>
          <w:bCs/>
          <w:color w:val="000000" w:themeColor="text1"/>
        </w:rPr>
        <w:t xml:space="preserve"> results</w:t>
      </w:r>
      <w:r w:rsidR="003E6D3B" w:rsidRPr="00C179D4">
        <w:rPr>
          <w:rFonts w:asciiTheme="minorHAnsi" w:hAnsiTheme="minorHAnsi" w:cstheme="minorHAnsi"/>
          <w:bCs/>
          <w:color w:val="000000" w:themeColor="text1"/>
        </w:rPr>
        <w:t xml:space="preserve"> show that </w:t>
      </w:r>
      <w:proofErr w:type="spellStart"/>
      <w:r w:rsidR="003E6D3B" w:rsidRPr="00C179D4">
        <w:rPr>
          <w:rFonts w:asciiTheme="minorHAnsi" w:hAnsiTheme="minorHAnsi" w:cstheme="minorHAnsi"/>
          <w:bCs/>
          <w:color w:val="000000" w:themeColor="text1"/>
        </w:rPr>
        <w:t>AMPAkines</w:t>
      </w:r>
      <w:proofErr w:type="spellEnd"/>
      <w:r w:rsidR="003E6D3B" w:rsidRPr="00C179D4">
        <w:rPr>
          <w:rFonts w:asciiTheme="minorHAnsi" w:hAnsiTheme="minorHAnsi" w:cstheme="minorHAnsi"/>
          <w:bCs/>
          <w:color w:val="000000" w:themeColor="text1"/>
        </w:rPr>
        <w:t xml:space="preserve"> and morphine have an additive ana</w:t>
      </w:r>
      <w:r w:rsidR="00112F38" w:rsidRPr="00C179D4">
        <w:rPr>
          <w:rFonts w:asciiTheme="minorHAnsi" w:hAnsiTheme="minorHAnsi" w:cstheme="minorHAnsi"/>
          <w:bCs/>
          <w:color w:val="000000" w:themeColor="text1"/>
        </w:rPr>
        <w:t xml:space="preserve">lgesic effect. </w:t>
      </w:r>
      <w:r w:rsidR="0027525D" w:rsidRPr="00C179D4">
        <w:rPr>
          <w:rFonts w:asciiTheme="minorHAnsi" w:hAnsiTheme="minorHAnsi" w:cstheme="minorHAnsi"/>
          <w:bCs/>
          <w:color w:val="000000" w:themeColor="text1"/>
        </w:rPr>
        <w:t>It also shows that intracranial injections ha</w:t>
      </w:r>
      <w:r w:rsidR="003D0E20" w:rsidRPr="00C179D4">
        <w:rPr>
          <w:rFonts w:asciiTheme="minorHAnsi" w:hAnsiTheme="minorHAnsi" w:cstheme="minorHAnsi"/>
          <w:bCs/>
          <w:color w:val="000000" w:themeColor="text1"/>
        </w:rPr>
        <w:t>ve the power to discover</w:t>
      </w:r>
      <w:r w:rsidR="00660799" w:rsidRPr="00C179D4">
        <w:rPr>
          <w:rFonts w:asciiTheme="minorHAnsi" w:hAnsiTheme="minorHAnsi" w:cstheme="minorHAnsi"/>
          <w:bCs/>
          <w:color w:val="000000" w:themeColor="text1"/>
        </w:rPr>
        <w:t>,</w:t>
      </w:r>
      <w:r w:rsidR="003D0E20" w:rsidRPr="00C179D4">
        <w:rPr>
          <w:rFonts w:asciiTheme="minorHAnsi" w:hAnsiTheme="minorHAnsi" w:cstheme="minorHAnsi"/>
          <w:bCs/>
          <w:color w:val="000000" w:themeColor="text1"/>
        </w:rPr>
        <w:t xml:space="preserve"> at least in part, a mechanism for drug activation in the context of pain.</w:t>
      </w:r>
    </w:p>
    <w:p w14:paraId="1DDC8E52" w14:textId="77777777" w:rsidR="00F66B6D" w:rsidRPr="00C179D4" w:rsidRDefault="00F66B6D" w:rsidP="00C179D4">
      <w:pPr>
        <w:rPr>
          <w:rFonts w:asciiTheme="minorHAnsi" w:hAnsiTheme="minorHAnsi" w:cstheme="minorHAnsi"/>
          <w:b/>
          <w:color w:val="000000" w:themeColor="text1"/>
        </w:rPr>
      </w:pPr>
    </w:p>
    <w:p w14:paraId="3C9083F6" w14:textId="48652427" w:rsidR="00B32616" w:rsidRPr="00C179D4" w:rsidRDefault="003D06AB" w:rsidP="00C179D4">
      <w:pPr>
        <w:rPr>
          <w:rFonts w:asciiTheme="minorHAnsi" w:hAnsiTheme="minorHAnsi" w:cstheme="minorHAnsi"/>
          <w:b/>
          <w:color w:val="000000" w:themeColor="text1"/>
        </w:rPr>
      </w:pPr>
      <w:r w:rsidRPr="003D06AB">
        <w:rPr>
          <w:rFonts w:asciiTheme="minorHAnsi" w:hAnsiTheme="minorHAnsi" w:cstheme="minorHAnsi"/>
          <w:b/>
          <w:color w:val="000000" w:themeColor="text1"/>
        </w:rPr>
        <w:t>FIGURE</w:t>
      </w:r>
      <w:r w:rsidR="00B32616" w:rsidRPr="00C179D4">
        <w:rPr>
          <w:rFonts w:asciiTheme="minorHAnsi" w:hAnsiTheme="minorHAnsi" w:cstheme="minorHAnsi"/>
          <w:b/>
          <w:color w:val="000000" w:themeColor="text1"/>
        </w:rPr>
        <w:t xml:space="preserve"> </w:t>
      </w:r>
      <w:r w:rsidR="0013621E" w:rsidRPr="00C179D4">
        <w:rPr>
          <w:rFonts w:asciiTheme="minorHAnsi" w:hAnsiTheme="minorHAnsi" w:cstheme="minorHAnsi"/>
          <w:b/>
          <w:color w:val="000000" w:themeColor="text1"/>
        </w:rPr>
        <w:t xml:space="preserve">AND TABLE </w:t>
      </w:r>
      <w:r w:rsidR="00B32616" w:rsidRPr="00C179D4">
        <w:rPr>
          <w:rFonts w:asciiTheme="minorHAnsi" w:hAnsiTheme="minorHAnsi" w:cstheme="minorHAnsi"/>
          <w:b/>
          <w:color w:val="000000" w:themeColor="text1"/>
        </w:rPr>
        <w:t>LEGENDS:</w:t>
      </w:r>
    </w:p>
    <w:p w14:paraId="3B58CAC9" w14:textId="77777777" w:rsidR="006A1D2F" w:rsidRPr="00C179D4" w:rsidRDefault="006A1D2F" w:rsidP="00C179D4">
      <w:pPr>
        <w:rPr>
          <w:rFonts w:asciiTheme="minorHAnsi" w:hAnsiTheme="minorHAnsi" w:cstheme="minorHAnsi"/>
          <w:bCs/>
          <w:color w:val="000000" w:themeColor="text1"/>
        </w:rPr>
      </w:pPr>
    </w:p>
    <w:p w14:paraId="5C35C25F" w14:textId="3CB1382D" w:rsidR="00876360" w:rsidRPr="00C179D4" w:rsidRDefault="003D06AB" w:rsidP="00C179D4">
      <w:pPr>
        <w:rPr>
          <w:color w:val="000000" w:themeColor="text1"/>
        </w:rPr>
      </w:pPr>
      <w:r w:rsidRPr="003D06AB">
        <w:rPr>
          <w:b/>
          <w:color w:val="000000" w:themeColor="text1"/>
        </w:rPr>
        <w:t xml:space="preserve">Figure </w:t>
      </w:r>
      <w:r w:rsidRPr="00C179D4">
        <w:rPr>
          <w:b/>
          <w:color w:val="000000" w:themeColor="text1"/>
        </w:rPr>
        <w:t>1</w:t>
      </w:r>
      <w:r w:rsidR="00A43B2D" w:rsidRPr="00C179D4">
        <w:rPr>
          <w:b/>
          <w:color w:val="000000" w:themeColor="text1"/>
        </w:rPr>
        <w:t>.</w:t>
      </w:r>
      <w:r w:rsidR="00300387" w:rsidRPr="00C179D4">
        <w:rPr>
          <w:b/>
          <w:color w:val="000000" w:themeColor="text1"/>
        </w:rPr>
        <w:t xml:space="preserve"> Intracranial injection of </w:t>
      </w:r>
      <w:proofErr w:type="spellStart"/>
      <w:r w:rsidR="00300387" w:rsidRPr="00C179D4">
        <w:rPr>
          <w:b/>
          <w:color w:val="000000" w:themeColor="text1"/>
        </w:rPr>
        <w:t>AMPAkines</w:t>
      </w:r>
      <w:proofErr w:type="spellEnd"/>
      <w:r w:rsidR="00A43B2D" w:rsidRPr="00C179D4">
        <w:rPr>
          <w:b/>
          <w:color w:val="000000" w:themeColor="text1"/>
        </w:rPr>
        <w:t xml:space="preserve"> and systemic injection of morphine provide complementary analgesia. </w:t>
      </w:r>
      <w:r w:rsidR="00C61E6D" w:rsidRPr="00C179D4">
        <w:rPr>
          <w:color w:val="000000" w:themeColor="text1"/>
        </w:rPr>
        <w:t>A graph comparing withdrawal latencies from Hargreaves’ test after intracranial in</w:t>
      </w:r>
      <w:r w:rsidR="00300387" w:rsidRPr="00C179D4">
        <w:rPr>
          <w:color w:val="000000" w:themeColor="text1"/>
        </w:rPr>
        <w:t xml:space="preserve">jections of either saline, </w:t>
      </w:r>
      <w:proofErr w:type="spellStart"/>
      <w:r w:rsidR="00300387" w:rsidRPr="00C179D4">
        <w:rPr>
          <w:color w:val="000000" w:themeColor="text1"/>
        </w:rPr>
        <w:t>AMPAkines</w:t>
      </w:r>
      <w:proofErr w:type="spellEnd"/>
      <w:r w:rsidR="00300387" w:rsidRPr="00C179D4">
        <w:rPr>
          <w:color w:val="000000" w:themeColor="text1"/>
        </w:rPr>
        <w:t xml:space="preserve">, or </w:t>
      </w:r>
      <w:proofErr w:type="spellStart"/>
      <w:r w:rsidR="00300387" w:rsidRPr="00C179D4">
        <w:rPr>
          <w:color w:val="000000" w:themeColor="text1"/>
        </w:rPr>
        <w:t>AMPAkines</w:t>
      </w:r>
      <w:proofErr w:type="spellEnd"/>
      <w:r w:rsidR="00C61E6D" w:rsidRPr="00C179D4">
        <w:rPr>
          <w:color w:val="000000" w:themeColor="text1"/>
        </w:rPr>
        <w:t xml:space="preserve"> with systemic injection of morphine. Error bars represent mean with SEM. n = 8</w:t>
      </w:r>
      <w:r w:rsidR="005536A2">
        <w:rPr>
          <w:color w:val="000000" w:themeColor="text1"/>
        </w:rPr>
        <w:t>;</w:t>
      </w:r>
      <w:r w:rsidR="00C61E6D" w:rsidRPr="00C179D4">
        <w:rPr>
          <w:color w:val="000000" w:themeColor="text1"/>
        </w:rPr>
        <w:t xml:space="preserve"> ****</w:t>
      </w:r>
      <w:r w:rsidRPr="003D06AB">
        <w:rPr>
          <w:b/>
          <w:i/>
          <w:color w:val="000000" w:themeColor="text1"/>
        </w:rPr>
        <w:t xml:space="preserve">p </w:t>
      </w:r>
      <w:r w:rsidR="00C61E6D" w:rsidRPr="00C179D4">
        <w:rPr>
          <w:color w:val="000000" w:themeColor="text1"/>
        </w:rPr>
        <w:t>&lt; 0.0001, **</w:t>
      </w:r>
      <w:r w:rsidRPr="003D06AB">
        <w:rPr>
          <w:b/>
          <w:i/>
          <w:color w:val="000000" w:themeColor="text1"/>
        </w:rPr>
        <w:t xml:space="preserve">p </w:t>
      </w:r>
      <w:r w:rsidR="00C61E6D" w:rsidRPr="00C179D4">
        <w:rPr>
          <w:color w:val="000000" w:themeColor="text1"/>
        </w:rPr>
        <w:t>= 0.0099, *</w:t>
      </w:r>
      <w:r w:rsidRPr="003D06AB">
        <w:rPr>
          <w:b/>
          <w:i/>
          <w:color w:val="000000" w:themeColor="text1"/>
        </w:rPr>
        <w:t xml:space="preserve">p </w:t>
      </w:r>
      <w:r w:rsidR="00C61E6D" w:rsidRPr="00C179D4">
        <w:rPr>
          <w:color w:val="000000" w:themeColor="text1"/>
        </w:rPr>
        <w:t>= 0.0124</w:t>
      </w:r>
      <w:r w:rsidR="005536A2">
        <w:rPr>
          <w:color w:val="000000" w:themeColor="text1"/>
        </w:rPr>
        <w:t xml:space="preserve">, unpaired Student’s </w:t>
      </w:r>
      <w:r w:rsidR="005536A2">
        <w:rPr>
          <w:i/>
          <w:color w:val="000000" w:themeColor="text1"/>
        </w:rPr>
        <w:t>t</w:t>
      </w:r>
      <w:r w:rsidR="005536A2">
        <w:rPr>
          <w:color w:val="000000" w:themeColor="text1"/>
        </w:rPr>
        <w:t>-test</w:t>
      </w:r>
      <w:r w:rsidR="00C61E6D" w:rsidRPr="00C179D4">
        <w:rPr>
          <w:color w:val="000000" w:themeColor="text1"/>
        </w:rPr>
        <w:t>.</w:t>
      </w:r>
      <w:r w:rsidR="005536A2">
        <w:rPr>
          <w:color w:val="000000" w:themeColor="text1"/>
        </w:rPr>
        <w:t xml:space="preserve"> This figure has been adapted fr</w:t>
      </w:r>
      <w:r w:rsidR="005536A2" w:rsidRPr="00C179D4">
        <w:rPr>
          <w:rFonts w:asciiTheme="minorHAnsi" w:hAnsiTheme="minorHAnsi" w:cstheme="minorHAnsi"/>
          <w:bCs/>
          <w:color w:val="000000" w:themeColor="text1"/>
        </w:rPr>
        <w:t>om Sun</w:t>
      </w:r>
      <w:r w:rsidR="005536A2" w:rsidRPr="003D06AB">
        <w:rPr>
          <w:rFonts w:asciiTheme="minorHAnsi" w:hAnsiTheme="minorHAnsi" w:cstheme="minorHAnsi"/>
          <w:bCs/>
          <w:i/>
          <w:color w:val="000000" w:themeColor="text1"/>
        </w:rPr>
        <w:t xml:space="preserve"> et al. </w:t>
      </w:r>
      <w:r w:rsidR="005536A2" w:rsidRPr="00C179D4">
        <w:rPr>
          <w:rFonts w:asciiTheme="minorHAnsi" w:hAnsiTheme="minorHAnsi" w:cstheme="minorHAnsi"/>
          <w:bCs/>
          <w:color w:val="000000" w:themeColor="text1"/>
        </w:rPr>
        <w:t>(2017)</w:t>
      </w:r>
      <w:r w:rsidR="005536A2" w:rsidRPr="00C179D4">
        <w:rPr>
          <w:rFonts w:asciiTheme="minorHAnsi" w:hAnsiTheme="minorHAnsi" w:cstheme="minorHAnsi"/>
          <w:bCs/>
          <w:color w:val="000000" w:themeColor="text1"/>
          <w:vertAlign w:val="superscript"/>
        </w:rPr>
        <w:t>10</w:t>
      </w:r>
      <w:r w:rsidR="005536A2" w:rsidRPr="00C179D4">
        <w:rPr>
          <w:rFonts w:asciiTheme="minorHAnsi" w:hAnsiTheme="minorHAnsi" w:cstheme="minorHAnsi"/>
          <w:bCs/>
          <w:color w:val="000000" w:themeColor="text1"/>
        </w:rPr>
        <w:t>, with permission from Elsevier.</w:t>
      </w:r>
    </w:p>
    <w:p w14:paraId="75182EC3" w14:textId="3A47F4FB" w:rsidR="00B32616" w:rsidRPr="00C179D4" w:rsidRDefault="003D06AB" w:rsidP="00C179D4">
      <w:pPr>
        <w:rPr>
          <w:rFonts w:asciiTheme="minorHAnsi" w:hAnsiTheme="minorHAnsi" w:cstheme="minorHAnsi"/>
          <w:color w:val="000000" w:themeColor="text1"/>
        </w:rPr>
      </w:pPr>
      <w:r>
        <w:rPr>
          <w:color w:val="000000" w:themeColor="text1"/>
        </w:rPr>
        <w:t xml:space="preserve"> </w:t>
      </w:r>
    </w:p>
    <w:p w14:paraId="7DBFA48E" w14:textId="1D52A72E" w:rsidR="00A16D61" w:rsidRPr="00C179D4" w:rsidRDefault="006305D7" w:rsidP="00C179D4">
      <w:pPr>
        <w:rPr>
          <w:rFonts w:asciiTheme="minorHAnsi" w:hAnsiTheme="minorHAnsi" w:cstheme="minorHAnsi"/>
          <w:b/>
          <w:color w:val="000000" w:themeColor="text1"/>
        </w:rPr>
      </w:pPr>
      <w:r w:rsidRPr="00C179D4">
        <w:rPr>
          <w:rFonts w:asciiTheme="minorHAnsi" w:hAnsiTheme="minorHAnsi" w:cstheme="minorHAnsi"/>
          <w:b/>
          <w:color w:val="000000" w:themeColor="text1"/>
        </w:rPr>
        <w:lastRenderedPageBreak/>
        <w:t>DISCUSSION</w:t>
      </w:r>
      <w:r w:rsidRPr="00C179D4">
        <w:rPr>
          <w:rFonts w:asciiTheme="minorHAnsi" w:hAnsiTheme="minorHAnsi" w:cstheme="minorHAnsi"/>
          <w:b/>
          <w:bCs/>
          <w:color w:val="000000" w:themeColor="text1"/>
        </w:rPr>
        <w:t xml:space="preserve">: </w:t>
      </w:r>
    </w:p>
    <w:p w14:paraId="23C37808" w14:textId="350A6A01" w:rsidR="0022134A" w:rsidRPr="00C179D4" w:rsidRDefault="0022134A" w:rsidP="00C179D4">
      <w:pPr>
        <w:widowControl/>
        <w:rPr>
          <w:rFonts w:asciiTheme="minorHAnsi" w:hAnsiTheme="minorHAnsi" w:cstheme="minorHAnsi"/>
          <w:color w:val="000000" w:themeColor="text1"/>
        </w:rPr>
      </w:pPr>
      <w:r w:rsidRPr="00C179D4">
        <w:rPr>
          <w:rFonts w:asciiTheme="minorHAnsi" w:hAnsiTheme="minorHAnsi" w:cstheme="minorHAnsi"/>
          <w:color w:val="000000" w:themeColor="text1"/>
        </w:rPr>
        <w:t xml:space="preserve">In this study, we have demonstrated that </w:t>
      </w:r>
      <w:r w:rsidR="007701F9" w:rsidRPr="00C179D4">
        <w:rPr>
          <w:rFonts w:asciiTheme="minorHAnsi" w:hAnsiTheme="minorHAnsi" w:cstheme="minorHAnsi"/>
          <w:color w:val="000000" w:themeColor="text1"/>
        </w:rPr>
        <w:t xml:space="preserve">intracranial pharmacology is a powerful tool to study pain mechanisms and has potential as a therapeutic delivery system. In our protocol, we delivered </w:t>
      </w:r>
      <w:proofErr w:type="spellStart"/>
      <w:r w:rsidRPr="00C179D4">
        <w:rPr>
          <w:rFonts w:asciiTheme="minorHAnsi" w:hAnsiTheme="minorHAnsi" w:cstheme="minorHAnsi"/>
          <w:color w:val="000000" w:themeColor="text1"/>
        </w:rPr>
        <w:t>AMPAkines</w:t>
      </w:r>
      <w:proofErr w:type="spellEnd"/>
      <w:r w:rsidRPr="00C179D4">
        <w:rPr>
          <w:rFonts w:asciiTheme="minorHAnsi" w:hAnsiTheme="minorHAnsi" w:cstheme="minorHAnsi"/>
          <w:color w:val="000000" w:themeColor="text1"/>
        </w:rPr>
        <w:t xml:space="preserve"> </w:t>
      </w:r>
      <w:r w:rsidR="007701F9" w:rsidRPr="00C179D4">
        <w:rPr>
          <w:rFonts w:asciiTheme="minorHAnsi" w:hAnsiTheme="minorHAnsi" w:cstheme="minorHAnsi"/>
          <w:color w:val="000000" w:themeColor="text1"/>
        </w:rPr>
        <w:t xml:space="preserve">directly into the PFC and found that by enhancing glutamate signaling in the PFC, </w:t>
      </w:r>
      <w:proofErr w:type="spellStart"/>
      <w:r w:rsidR="007701F9" w:rsidRPr="00C179D4">
        <w:rPr>
          <w:rFonts w:asciiTheme="minorHAnsi" w:hAnsiTheme="minorHAnsi" w:cstheme="minorHAnsi"/>
          <w:color w:val="000000" w:themeColor="text1"/>
        </w:rPr>
        <w:t>AMPAkines</w:t>
      </w:r>
      <w:proofErr w:type="spellEnd"/>
      <w:r w:rsidR="007701F9" w:rsidRPr="00C179D4">
        <w:rPr>
          <w:rFonts w:asciiTheme="minorHAnsi" w:hAnsiTheme="minorHAnsi" w:cstheme="minorHAnsi"/>
          <w:color w:val="000000" w:themeColor="text1"/>
        </w:rPr>
        <w:t xml:space="preserve"> provided pain relief. </w:t>
      </w:r>
      <w:r w:rsidRPr="00C179D4">
        <w:rPr>
          <w:rFonts w:asciiTheme="minorHAnsi" w:hAnsiTheme="minorHAnsi" w:cstheme="minorHAnsi"/>
          <w:color w:val="000000" w:themeColor="text1"/>
        </w:rPr>
        <w:t xml:space="preserve">We were able to demonstrate this </w:t>
      </w:r>
      <w:proofErr w:type="gramStart"/>
      <w:r w:rsidRPr="00C179D4">
        <w:rPr>
          <w:rFonts w:asciiTheme="minorHAnsi" w:hAnsiTheme="minorHAnsi" w:cstheme="minorHAnsi"/>
          <w:color w:val="000000" w:themeColor="text1"/>
        </w:rPr>
        <w:t>through the use of</w:t>
      </w:r>
      <w:proofErr w:type="gramEnd"/>
      <w:r w:rsidRPr="00C179D4">
        <w:rPr>
          <w:rFonts w:asciiTheme="minorHAnsi" w:hAnsiTheme="minorHAnsi" w:cstheme="minorHAnsi"/>
          <w:color w:val="000000" w:themeColor="text1"/>
        </w:rPr>
        <w:t xml:space="preserve"> </w:t>
      </w:r>
      <w:r w:rsidR="005536A2">
        <w:rPr>
          <w:rFonts w:asciiTheme="minorHAnsi" w:hAnsiTheme="minorHAnsi" w:cstheme="minorHAnsi"/>
          <w:color w:val="000000" w:themeColor="text1"/>
        </w:rPr>
        <w:t>i</w:t>
      </w:r>
      <w:r w:rsidRPr="00C179D4">
        <w:rPr>
          <w:rFonts w:asciiTheme="minorHAnsi" w:hAnsiTheme="minorHAnsi" w:cstheme="minorHAnsi"/>
          <w:color w:val="000000" w:themeColor="text1"/>
        </w:rPr>
        <w:t xml:space="preserve">ntracranial injections combined with </w:t>
      </w:r>
      <w:r w:rsidR="005536A2">
        <w:rPr>
          <w:rFonts w:asciiTheme="minorHAnsi" w:hAnsiTheme="minorHAnsi" w:cstheme="minorHAnsi"/>
          <w:color w:val="000000" w:themeColor="text1"/>
        </w:rPr>
        <w:t>i</w:t>
      </w:r>
      <w:r w:rsidRPr="00C179D4">
        <w:rPr>
          <w:rFonts w:asciiTheme="minorHAnsi" w:hAnsiTheme="minorHAnsi" w:cstheme="minorHAnsi"/>
          <w:color w:val="000000" w:themeColor="text1"/>
        </w:rPr>
        <w:t>ntr</w:t>
      </w:r>
      <w:r w:rsidR="00F66B6D" w:rsidRPr="00C179D4">
        <w:rPr>
          <w:rFonts w:asciiTheme="minorHAnsi" w:hAnsiTheme="minorHAnsi" w:cstheme="minorHAnsi"/>
          <w:color w:val="000000" w:themeColor="text1"/>
        </w:rPr>
        <w:t>a</w:t>
      </w:r>
      <w:r w:rsidRPr="00C179D4">
        <w:rPr>
          <w:rFonts w:asciiTheme="minorHAnsi" w:hAnsiTheme="minorHAnsi" w:cstheme="minorHAnsi"/>
          <w:color w:val="000000" w:themeColor="text1"/>
        </w:rPr>
        <w:t>pe</w:t>
      </w:r>
      <w:r w:rsidR="00DF69C7" w:rsidRPr="00C179D4">
        <w:rPr>
          <w:rFonts w:asciiTheme="minorHAnsi" w:hAnsiTheme="minorHAnsi" w:cstheme="minorHAnsi"/>
          <w:color w:val="000000" w:themeColor="text1"/>
        </w:rPr>
        <w:t>ritoneal injections</w:t>
      </w:r>
      <w:r w:rsidRPr="00C179D4">
        <w:rPr>
          <w:rFonts w:asciiTheme="minorHAnsi" w:hAnsiTheme="minorHAnsi" w:cstheme="minorHAnsi"/>
          <w:color w:val="000000" w:themeColor="text1"/>
        </w:rPr>
        <w:t xml:space="preserve">, with subsequent pain assays. </w:t>
      </w:r>
      <w:r w:rsidR="00D51618" w:rsidRPr="00C179D4">
        <w:rPr>
          <w:rFonts w:asciiTheme="minorHAnsi" w:hAnsiTheme="minorHAnsi" w:cstheme="minorHAnsi"/>
          <w:color w:val="000000" w:themeColor="text1"/>
        </w:rPr>
        <w:t>Based on the evide</w:t>
      </w:r>
      <w:r w:rsidR="00996258" w:rsidRPr="00C179D4">
        <w:rPr>
          <w:rFonts w:asciiTheme="minorHAnsi" w:hAnsiTheme="minorHAnsi" w:cstheme="minorHAnsi"/>
          <w:color w:val="000000" w:themeColor="text1"/>
        </w:rPr>
        <w:t>nce of</w:t>
      </w:r>
      <w:r w:rsidR="00D51618" w:rsidRPr="00C179D4">
        <w:rPr>
          <w:rFonts w:asciiTheme="minorHAnsi" w:hAnsiTheme="minorHAnsi" w:cstheme="minorHAnsi"/>
          <w:color w:val="000000" w:themeColor="text1"/>
        </w:rPr>
        <w:t xml:space="preserve"> pain-relieving effects</w:t>
      </w:r>
      <w:r w:rsidR="00DF69C7" w:rsidRPr="00C179D4">
        <w:rPr>
          <w:rFonts w:asciiTheme="minorHAnsi" w:hAnsiTheme="minorHAnsi" w:cstheme="minorHAnsi"/>
          <w:color w:val="000000" w:themeColor="text1"/>
        </w:rPr>
        <w:t>,</w:t>
      </w:r>
      <w:r w:rsidR="00996258" w:rsidRPr="00C179D4">
        <w:rPr>
          <w:rFonts w:asciiTheme="minorHAnsi" w:hAnsiTheme="minorHAnsi" w:cstheme="minorHAnsi"/>
          <w:color w:val="000000" w:themeColor="text1"/>
        </w:rPr>
        <w:t xml:space="preserve"> when </w:t>
      </w:r>
      <w:proofErr w:type="spellStart"/>
      <w:r w:rsidR="00996258" w:rsidRPr="00C179D4">
        <w:rPr>
          <w:rFonts w:asciiTheme="minorHAnsi" w:hAnsiTheme="minorHAnsi" w:cstheme="minorHAnsi"/>
          <w:color w:val="000000" w:themeColor="text1"/>
        </w:rPr>
        <w:t>AMPAkines</w:t>
      </w:r>
      <w:proofErr w:type="spellEnd"/>
      <w:r w:rsidR="00996258" w:rsidRPr="00C179D4">
        <w:rPr>
          <w:rFonts w:asciiTheme="minorHAnsi" w:hAnsiTheme="minorHAnsi" w:cstheme="minorHAnsi"/>
          <w:color w:val="000000" w:themeColor="text1"/>
        </w:rPr>
        <w:t xml:space="preserve"> are delivered to the PFC</w:t>
      </w:r>
      <w:r w:rsidR="00D51618" w:rsidRPr="00C179D4">
        <w:rPr>
          <w:rFonts w:asciiTheme="minorHAnsi" w:hAnsiTheme="minorHAnsi" w:cstheme="minorHAnsi"/>
          <w:color w:val="000000" w:themeColor="text1"/>
        </w:rPr>
        <w:t>, t</w:t>
      </w:r>
      <w:r w:rsidRPr="00C179D4">
        <w:rPr>
          <w:rFonts w:asciiTheme="minorHAnsi" w:hAnsiTheme="minorHAnsi" w:cstheme="minorHAnsi"/>
          <w:color w:val="000000" w:themeColor="text1"/>
        </w:rPr>
        <w:t xml:space="preserve">he current study </w:t>
      </w:r>
      <w:r w:rsidR="00D51618" w:rsidRPr="00C179D4">
        <w:rPr>
          <w:rFonts w:asciiTheme="minorHAnsi" w:hAnsiTheme="minorHAnsi" w:cstheme="minorHAnsi"/>
          <w:color w:val="000000" w:themeColor="text1"/>
        </w:rPr>
        <w:t>suggests</w:t>
      </w:r>
      <w:r w:rsidRPr="00C179D4">
        <w:rPr>
          <w:rFonts w:asciiTheme="minorHAnsi" w:hAnsiTheme="minorHAnsi" w:cstheme="minorHAnsi"/>
          <w:color w:val="000000" w:themeColor="text1"/>
        </w:rPr>
        <w:t xml:space="preserve"> that the PFC </w:t>
      </w:r>
      <w:r w:rsidR="00D51618" w:rsidRPr="00C179D4">
        <w:rPr>
          <w:rFonts w:asciiTheme="minorHAnsi" w:hAnsiTheme="minorHAnsi" w:cstheme="minorHAnsi"/>
          <w:color w:val="000000" w:themeColor="text1"/>
        </w:rPr>
        <w:t>may be involved as</w:t>
      </w:r>
      <w:r w:rsidRPr="00C179D4">
        <w:rPr>
          <w:rFonts w:asciiTheme="minorHAnsi" w:hAnsiTheme="minorHAnsi" w:cstheme="minorHAnsi"/>
          <w:color w:val="000000" w:themeColor="text1"/>
        </w:rPr>
        <w:t xml:space="preserve"> a target of </w:t>
      </w:r>
      <w:proofErr w:type="spellStart"/>
      <w:r w:rsidRPr="00C179D4">
        <w:rPr>
          <w:rFonts w:asciiTheme="minorHAnsi" w:hAnsiTheme="minorHAnsi" w:cstheme="minorHAnsi"/>
          <w:color w:val="000000" w:themeColor="text1"/>
        </w:rPr>
        <w:t>AMPAkines</w:t>
      </w:r>
      <w:proofErr w:type="spellEnd"/>
      <w:r w:rsidRPr="00C179D4">
        <w:rPr>
          <w:rFonts w:asciiTheme="minorHAnsi" w:hAnsiTheme="minorHAnsi" w:cstheme="minorHAnsi"/>
          <w:color w:val="000000" w:themeColor="text1"/>
        </w:rPr>
        <w:t xml:space="preserve">. </w:t>
      </w:r>
      <w:r w:rsidR="00F66B6D" w:rsidRPr="00C179D4">
        <w:rPr>
          <w:rFonts w:asciiTheme="minorHAnsi" w:hAnsiTheme="minorHAnsi" w:cstheme="minorHAnsi"/>
          <w:color w:val="000000" w:themeColor="text1"/>
        </w:rPr>
        <w:t>This is an important advantage of the intracranial pharmacological approach, when combined with behavior testing. In addition, the ability to combine intracranial with systemic delivery of drugs allow</w:t>
      </w:r>
      <w:r w:rsidR="00DF69C7" w:rsidRPr="00C179D4">
        <w:rPr>
          <w:rFonts w:asciiTheme="minorHAnsi" w:hAnsiTheme="minorHAnsi" w:cstheme="minorHAnsi"/>
          <w:color w:val="000000" w:themeColor="text1"/>
        </w:rPr>
        <w:t>s</w:t>
      </w:r>
      <w:r w:rsidR="00F66B6D" w:rsidRPr="00C179D4">
        <w:rPr>
          <w:rFonts w:asciiTheme="minorHAnsi" w:hAnsiTheme="minorHAnsi" w:cstheme="minorHAnsi"/>
          <w:color w:val="000000" w:themeColor="text1"/>
        </w:rPr>
        <w:t xml:space="preserve"> us to understand the therapeutic relations</w:t>
      </w:r>
      <w:r w:rsidR="00DF69C7" w:rsidRPr="00C179D4">
        <w:rPr>
          <w:rFonts w:asciiTheme="minorHAnsi" w:hAnsiTheme="minorHAnsi" w:cstheme="minorHAnsi"/>
          <w:color w:val="000000" w:themeColor="text1"/>
        </w:rPr>
        <w:t>hip between two different drugs</w:t>
      </w:r>
      <w:r w:rsidR="00F66B6D" w:rsidRPr="00C179D4">
        <w:rPr>
          <w:rFonts w:asciiTheme="minorHAnsi" w:hAnsiTheme="minorHAnsi" w:cstheme="minorHAnsi"/>
          <w:color w:val="000000" w:themeColor="text1"/>
        </w:rPr>
        <w:t xml:space="preserve"> and the potential pharmacologic interactions. In the example shown in this study, </w:t>
      </w:r>
      <w:r w:rsidRPr="00C179D4">
        <w:rPr>
          <w:rFonts w:asciiTheme="minorHAnsi" w:hAnsiTheme="minorHAnsi" w:cstheme="minorHAnsi"/>
          <w:color w:val="000000" w:themeColor="text1"/>
        </w:rPr>
        <w:t xml:space="preserve">administering an </w:t>
      </w:r>
      <w:proofErr w:type="spellStart"/>
      <w:r w:rsidRPr="00C179D4">
        <w:rPr>
          <w:rFonts w:asciiTheme="minorHAnsi" w:hAnsiTheme="minorHAnsi" w:cstheme="minorHAnsi"/>
          <w:color w:val="000000" w:themeColor="text1"/>
        </w:rPr>
        <w:t>AMPAkine</w:t>
      </w:r>
      <w:proofErr w:type="spellEnd"/>
      <w:r w:rsidRPr="00C179D4">
        <w:rPr>
          <w:rFonts w:asciiTheme="minorHAnsi" w:hAnsiTheme="minorHAnsi" w:cstheme="minorHAnsi"/>
          <w:color w:val="000000" w:themeColor="text1"/>
        </w:rPr>
        <w:t xml:space="preserve"> into the PF</w:t>
      </w:r>
      <w:r w:rsidR="00996F3B" w:rsidRPr="00C179D4">
        <w:rPr>
          <w:rFonts w:asciiTheme="minorHAnsi" w:hAnsiTheme="minorHAnsi" w:cstheme="minorHAnsi"/>
          <w:color w:val="000000" w:themeColor="text1"/>
        </w:rPr>
        <w:t xml:space="preserve">C in combination with morphine </w:t>
      </w:r>
      <w:r w:rsidRPr="00C179D4">
        <w:rPr>
          <w:rFonts w:asciiTheme="minorHAnsi" w:hAnsiTheme="minorHAnsi" w:cstheme="minorHAnsi"/>
          <w:color w:val="000000" w:themeColor="text1"/>
        </w:rPr>
        <w:t>sh</w:t>
      </w:r>
      <w:r w:rsidR="00F66B6D" w:rsidRPr="00C179D4">
        <w:rPr>
          <w:rFonts w:asciiTheme="minorHAnsi" w:hAnsiTheme="minorHAnsi" w:cstheme="minorHAnsi"/>
          <w:color w:val="000000" w:themeColor="text1"/>
        </w:rPr>
        <w:t>ows an expected additive effect</w:t>
      </w:r>
      <w:r w:rsidR="005536A2">
        <w:rPr>
          <w:rFonts w:asciiTheme="minorHAnsi" w:hAnsiTheme="minorHAnsi" w:cstheme="minorHAnsi"/>
          <w:color w:val="000000" w:themeColor="text1"/>
        </w:rPr>
        <w:t>, w</w:t>
      </w:r>
      <w:r w:rsidR="00076419" w:rsidRPr="00C179D4">
        <w:rPr>
          <w:rFonts w:asciiTheme="minorHAnsi" w:hAnsiTheme="minorHAnsi" w:cstheme="minorHAnsi"/>
          <w:color w:val="000000" w:themeColor="text1"/>
        </w:rPr>
        <w:t>hich</w:t>
      </w:r>
      <w:r w:rsidR="00F66B6D" w:rsidRPr="00C179D4">
        <w:rPr>
          <w:rFonts w:asciiTheme="minorHAnsi" w:hAnsiTheme="minorHAnsi" w:cstheme="minorHAnsi"/>
          <w:color w:val="000000" w:themeColor="text1"/>
        </w:rPr>
        <w:t xml:space="preserve"> indicat</w:t>
      </w:r>
      <w:r w:rsidR="00076419" w:rsidRPr="00C179D4">
        <w:rPr>
          <w:rFonts w:asciiTheme="minorHAnsi" w:hAnsiTheme="minorHAnsi" w:cstheme="minorHAnsi"/>
          <w:color w:val="000000" w:themeColor="text1"/>
        </w:rPr>
        <w:t>es</w:t>
      </w:r>
      <w:r w:rsidR="00F66B6D" w:rsidRPr="00C179D4">
        <w:rPr>
          <w:rFonts w:asciiTheme="minorHAnsi" w:hAnsiTheme="minorHAnsi" w:cstheme="minorHAnsi"/>
          <w:color w:val="000000" w:themeColor="text1"/>
        </w:rPr>
        <w:t xml:space="preserve"> that </w:t>
      </w:r>
      <w:proofErr w:type="spellStart"/>
      <w:r w:rsidR="00F66B6D" w:rsidRPr="00C179D4">
        <w:rPr>
          <w:rFonts w:asciiTheme="minorHAnsi" w:hAnsiTheme="minorHAnsi" w:cstheme="minorHAnsi"/>
          <w:color w:val="000000" w:themeColor="text1"/>
        </w:rPr>
        <w:t>AMPAkines</w:t>
      </w:r>
      <w:proofErr w:type="spellEnd"/>
      <w:r w:rsidR="00F66B6D" w:rsidRPr="00C179D4">
        <w:rPr>
          <w:rFonts w:asciiTheme="minorHAnsi" w:hAnsiTheme="minorHAnsi" w:cstheme="minorHAnsi"/>
          <w:color w:val="000000" w:themeColor="text1"/>
        </w:rPr>
        <w:t xml:space="preserve"> and morphine operate through different molecular mechanisms.</w:t>
      </w:r>
    </w:p>
    <w:p w14:paraId="2DFD93BF" w14:textId="77777777" w:rsidR="000B7882" w:rsidRPr="00C179D4" w:rsidRDefault="000B7882" w:rsidP="00C179D4">
      <w:pPr>
        <w:widowControl/>
        <w:rPr>
          <w:rFonts w:asciiTheme="minorHAnsi" w:hAnsiTheme="minorHAnsi" w:cstheme="minorHAnsi"/>
          <w:color w:val="000000" w:themeColor="text1"/>
        </w:rPr>
      </w:pPr>
    </w:p>
    <w:p w14:paraId="2A630955" w14:textId="0C41F0FA" w:rsidR="0022134A" w:rsidRPr="00C179D4" w:rsidRDefault="000358A4" w:rsidP="00C179D4">
      <w:pPr>
        <w:widowControl/>
        <w:rPr>
          <w:rFonts w:asciiTheme="minorHAnsi" w:hAnsiTheme="minorHAnsi" w:cstheme="minorHAnsi"/>
          <w:color w:val="000000" w:themeColor="text1"/>
        </w:rPr>
      </w:pPr>
      <w:r w:rsidRPr="00C179D4">
        <w:rPr>
          <w:rFonts w:asciiTheme="minorHAnsi" w:hAnsiTheme="minorHAnsi" w:cstheme="minorHAnsi"/>
          <w:color w:val="000000" w:themeColor="text1"/>
        </w:rPr>
        <w:t xml:space="preserve">Although </w:t>
      </w:r>
      <w:r w:rsidR="003D06AB" w:rsidRPr="003D06AB">
        <w:rPr>
          <w:rFonts w:asciiTheme="minorHAnsi" w:hAnsiTheme="minorHAnsi" w:cstheme="minorHAnsi"/>
          <w:i/>
          <w:color w:val="000000" w:themeColor="text1"/>
        </w:rPr>
        <w:t>in vivo</w:t>
      </w:r>
      <w:r w:rsidRPr="00C179D4">
        <w:rPr>
          <w:rFonts w:asciiTheme="minorHAnsi" w:hAnsiTheme="minorHAnsi" w:cstheme="minorHAnsi"/>
          <w:color w:val="000000" w:themeColor="text1"/>
        </w:rPr>
        <w:t xml:space="preserve"> pharmacology is a powerful tool to study pain, it does have limitations. </w:t>
      </w:r>
      <w:r w:rsidR="00DF3FFE" w:rsidRPr="00C179D4">
        <w:rPr>
          <w:rFonts w:asciiTheme="minorHAnsi" w:hAnsiTheme="minorHAnsi" w:cstheme="minorHAnsi"/>
          <w:color w:val="000000" w:themeColor="text1"/>
        </w:rPr>
        <w:t xml:space="preserve">First, </w:t>
      </w:r>
      <w:r w:rsidR="00DF3FFE" w:rsidRPr="00C179D4">
        <w:rPr>
          <w:color w:val="000000" w:themeColor="text1"/>
        </w:rPr>
        <w:t>it is possible</w:t>
      </w:r>
      <w:r w:rsidR="00D85E29" w:rsidRPr="00C179D4">
        <w:rPr>
          <w:color w:val="000000" w:themeColor="text1"/>
        </w:rPr>
        <w:t xml:space="preserve"> that</w:t>
      </w:r>
      <w:r w:rsidR="00DF3FFE" w:rsidRPr="00C179D4">
        <w:rPr>
          <w:color w:val="000000" w:themeColor="text1"/>
        </w:rPr>
        <w:t xml:space="preserve">, in inexperienced hands, </w:t>
      </w:r>
      <w:r w:rsidR="00076419" w:rsidRPr="00C179D4">
        <w:rPr>
          <w:color w:val="000000" w:themeColor="text1"/>
        </w:rPr>
        <w:t xml:space="preserve">the </w:t>
      </w:r>
      <w:r w:rsidR="00DF3FFE" w:rsidRPr="00C179D4">
        <w:rPr>
          <w:color w:val="000000" w:themeColor="text1"/>
        </w:rPr>
        <w:t>infused drug can diffuse to neighbor</w:t>
      </w:r>
      <w:r w:rsidR="00D85E29" w:rsidRPr="00C179D4">
        <w:rPr>
          <w:color w:val="000000" w:themeColor="text1"/>
        </w:rPr>
        <w:t>ing brain</w:t>
      </w:r>
      <w:r w:rsidR="00DF3FFE" w:rsidRPr="00C179D4">
        <w:rPr>
          <w:color w:val="000000" w:themeColor="text1"/>
        </w:rPr>
        <w:t xml:space="preserve"> regions. </w:t>
      </w:r>
      <w:r w:rsidR="004128CE" w:rsidRPr="00C179D4">
        <w:rPr>
          <w:color w:val="000000" w:themeColor="text1"/>
        </w:rPr>
        <w:t xml:space="preserve">This is a particular problem with mice. </w:t>
      </w:r>
      <w:r w:rsidR="00DF3FFE" w:rsidRPr="00C179D4">
        <w:rPr>
          <w:color w:val="000000" w:themeColor="text1"/>
        </w:rPr>
        <w:t>This could be overcome with the use of light-activated drugs and implantation of optic fiber</w:t>
      </w:r>
      <w:r w:rsidR="000A7708" w:rsidRPr="00C179D4">
        <w:rPr>
          <w:color w:val="000000" w:themeColor="text1"/>
        </w:rPr>
        <w:t>s,</w:t>
      </w:r>
      <w:r w:rsidR="00DF3FFE" w:rsidRPr="00C179D4">
        <w:rPr>
          <w:color w:val="000000" w:themeColor="text1"/>
        </w:rPr>
        <w:t xml:space="preserve"> by measurement of drug levels at different distances from the injection site</w:t>
      </w:r>
      <w:r w:rsidR="000A7708" w:rsidRPr="00C179D4">
        <w:rPr>
          <w:color w:val="000000" w:themeColor="text1"/>
        </w:rPr>
        <w:t>,</w:t>
      </w:r>
      <w:r w:rsidR="00DF3FFE" w:rsidRPr="00C179D4">
        <w:rPr>
          <w:color w:val="000000" w:themeColor="text1"/>
        </w:rPr>
        <w:t xml:space="preserve"> or by injecting the drug at close anatomical sites. Second, i</w:t>
      </w:r>
      <w:r w:rsidR="005F5E8C" w:rsidRPr="00C179D4">
        <w:rPr>
          <w:rFonts w:asciiTheme="minorHAnsi" w:hAnsiTheme="minorHAnsi" w:cstheme="minorHAnsi"/>
          <w:color w:val="000000" w:themeColor="text1"/>
        </w:rPr>
        <w:t xml:space="preserve">ntracranial injections can be short lasting, </w:t>
      </w:r>
      <w:r w:rsidR="009E5EBF" w:rsidRPr="00C179D4">
        <w:rPr>
          <w:rFonts w:asciiTheme="minorHAnsi" w:hAnsiTheme="minorHAnsi" w:cstheme="minorHAnsi"/>
          <w:color w:val="000000" w:themeColor="text1"/>
        </w:rPr>
        <w:t>but</w:t>
      </w:r>
      <w:r w:rsidR="005F5E8C" w:rsidRPr="00C179D4">
        <w:rPr>
          <w:rFonts w:asciiTheme="minorHAnsi" w:hAnsiTheme="minorHAnsi" w:cstheme="minorHAnsi"/>
          <w:color w:val="000000" w:themeColor="text1"/>
        </w:rPr>
        <w:t xml:space="preserve"> the time period of effect isn’t entirely known</w:t>
      </w:r>
      <w:r w:rsidR="009E5EBF" w:rsidRPr="00C179D4">
        <w:rPr>
          <w:rFonts w:asciiTheme="minorHAnsi" w:hAnsiTheme="minorHAnsi" w:cstheme="minorHAnsi"/>
          <w:color w:val="000000" w:themeColor="text1"/>
        </w:rPr>
        <w:t xml:space="preserve"> due to the pharmacokinetics of the drug</w:t>
      </w:r>
      <w:r w:rsidR="005F5E8C" w:rsidRPr="00C179D4">
        <w:rPr>
          <w:rFonts w:asciiTheme="minorHAnsi" w:hAnsiTheme="minorHAnsi" w:cstheme="minorHAnsi"/>
          <w:color w:val="000000" w:themeColor="text1"/>
        </w:rPr>
        <w:t xml:space="preserve">. </w:t>
      </w:r>
      <w:r w:rsidR="0035119D" w:rsidRPr="00C179D4">
        <w:rPr>
          <w:rFonts w:asciiTheme="minorHAnsi" w:hAnsiTheme="minorHAnsi" w:cstheme="minorHAnsi"/>
          <w:color w:val="000000" w:themeColor="text1"/>
        </w:rPr>
        <w:t>Other techniques</w:t>
      </w:r>
      <w:r w:rsidR="005536A2">
        <w:rPr>
          <w:rFonts w:asciiTheme="minorHAnsi" w:hAnsiTheme="minorHAnsi" w:cstheme="minorHAnsi"/>
          <w:color w:val="000000" w:themeColor="text1"/>
        </w:rPr>
        <w:t>,</w:t>
      </w:r>
      <w:r w:rsidR="0035119D" w:rsidRPr="00C179D4">
        <w:rPr>
          <w:rFonts w:asciiTheme="minorHAnsi" w:hAnsiTheme="minorHAnsi" w:cstheme="minorHAnsi"/>
          <w:color w:val="000000" w:themeColor="text1"/>
        </w:rPr>
        <w:t xml:space="preserve"> such as optogenetics, allow for instantaneous activation </w:t>
      </w:r>
      <w:r w:rsidR="009E5EBF" w:rsidRPr="00C179D4">
        <w:rPr>
          <w:rFonts w:asciiTheme="minorHAnsi" w:hAnsiTheme="minorHAnsi" w:cstheme="minorHAnsi"/>
          <w:color w:val="000000" w:themeColor="text1"/>
        </w:rPr>
        <w:t xml:space="preserve">or inactivation </w:t>
      </w:r>
      <w:r w:rsidR="0035119D" w:rsidRPr="00C179D4">
        <w:rPr>
          <w:rFonts w:asciiTheme="minorHAnsi" w:hAnsiTheme="minorHAnsi" w:cstheme="minorHAnsi"/>
          <w:color w:val="000000" w:themeColor="text1"/>
        </w:rPr>
        <w:t>of a desired region of the brain</w:t>
      </w:r>
      <w:r w:rsidR="005536A2">
        <w:rPr>
          <w:rFonts w:asciiTheme="minorHAnsi" w:hAnsiTheme="minorHAnsi" w:cstheme="minorHAnsi"/>
          <w:color w:val="000000" w:themeColor="text1"/>
        </w:rPr>
        <w:t>; t</w:t>
      </w:r>
      <w:r w:rsidR="002A0F05" w:rsidRPr="00C179D4">
        <w:rPr>
          <w:rFonts w:asciiTheme="minorHAnsi" w:hAnsiTheme="minorHAnsi" w:cstheme="minorHAnsi"/>
          <w:color w:val="000000" w:themeColor="text1"/>
        </w:rPr>
        <w:t xml:space="preserve">his technique is more direct and has a known period of effect. </w:t>
      </w:r>
      <w:r w:rsidR="009E5EBF" w:rsidRPr="00C179D4">
        <w:rPr>
          <w:rFonts w:asciiTheme="minorHAnsi" w:hAnsiTheme="minorHAnsi" w:cstheme="minorHAnsi"/>
          <w:color w:val="000000" w:themeColor="text1"/>
        </w:rPr>
        <w:t>On the other hand</w:t>
      </w:r>
      <w:r w:rsidR="002A0F05" w:rsidRPr="00C179D4">
        <w:rPr>
          <w:rFonts w:asciiTheme="minorHAnsi" w:hAnsiTheme="minorHAnsi" w:cstheme="minorHAnsi"/>
          <w:color w:val="000000" w:themeColor="text1"/>
        </w:rPr>
        <w:t xml:space="preserve">, </w:t>
      </w:r>
      <w:r w:rsidR="003D06AB" w:rsidRPr="003D06AB">
        <w:rPr>
          <w:rFonts w:asciiTheme="minorHAnsi" w:hAnsiTheme="minorHAnsi" w:cstheme="minorHAnsi"/>
          <w:i/>
          <w:color w:val="000000" w:themeColor="text1"/>
        </w:rPr>
        <w:t>in vivo</w:t>
      </w:r>
      <w:r w:rsidR="002A0F05" w:rsidRPr="00C179D4">
        <w:rPr>
          <w:rFonts w:asciiTheme="minorHAnsi" w:hAnsiTheme="minorHAnsi" w:cstheme="minorHAnsi"/>
          <w:color w:val="000000" w:themeColor="text1"/>
        </w:rPr>
        <w:t xml:space="preserve"> pharmacology</w:t>
      </w:r>
      <w:r w:rsidR="006C172D" w:rsidRPr="00C179D4">
        <w:rPr>
          <w:rFonts w:asciiTheme="minorHAnsi" w:hAnsiTheme="minorHAnsi" w:cstheme="minorHAnsi"/>
          <w:color w:val="000000" w:themeColor="text1"/>
        </w:rPr>
        <w:t xml:space="preserve"> can </w:t>
      </w:r>
      <w:r w:rsidR="009E5EBF" w:rsidRPr="00C179D4">
        <w:rPr>
          <w:rFonts w:asciiTheme="minorHAnsi" w:hAnsiTheme="minorHAnsi" w:cstheme="minorHAnsi"/>
          <w:color w:val="000000" w:themeColor="text1"/>
        </w:rPr>
        <w:t xml:space="preserve">target specific </w:t>
      </w:r>
      <w:r w:rsidR="006C172D" w:rsidRPr="00C179D4">
        <w:rPr>
          <w:rFonts w:asciiTheme="minorHAnsi" w:hAnsiTheme="minorHAnsi" w:cstheme="minorHAnsi"/>
          <w:color w:val="000000" w:themeColor="text1"/>
        </w:rPr>
        <w:t>receptor</w:t>
      </w:r>
      <w:r w:rsidR="009E5EBF" w:rsidRPr="00C179D4">
        <w:rPr>
          <w:rFonts w:asciiTheme="minorHAnsi" w:hAnsiTheme="minorHAnsi" w:cstheme="minorHAnsi"/>
          <w:color w:val="000000" w:themeColor="text1"/>
        </w:rPr>
        <w:t>s or signaling pathway</w:t>
      </w:r>
      <w:r w:rsidR="000A7708" w:rsidRPr="00C179D4">
        <w:rPr>
          <w:rFonts w:asciiTheme="minorHAnsi" w:hAnsiTheme="minorHAnsi" w:cstheme="minorHAnsi"/>
          <w:color w:val="000000" w:themeColor="text1"/>
        </w:rPr>
        <w:t>s</w:t>
      </w:r>
      <w:r w:rsidR="009E5EBF" w:rsidRPr="00C179D4">
        <w:rPr>
          <w:rFonts w:asciiTheme="minorHAnsi" w:hAnsiTheme="minorHAnsi" w:cstheme="minorHAnsi"/>
          <w:color w:val="000000" w:themeColor="text1"/>
        </w:rPr>
        <w:t>, and thus provide an additional level of molecular</w:t>
      </w:r>
      <w:r w:rsidR="006C172D" w:rsidRPr="00C179D4">
        <w:rPr>
          <w:rFonts w:asciiTheme="minorHAnsi" w:hAnsiTheme="minorHAnsi" w:cstheme="minorHAnsi"/>
          <w:color w:val="000000" w:themeColor="text1"/>
        </w:rPr>
        <w:t xml:space="preserve"> specific</w:t>
      </w:r>
      <w:r w:rsidR="009E5EBF" w:rsidRPr="00C179D4">
        <w:rPr>
          <w:rFonts w:asciiTheme="minorHAnsi" w:hAnsiTheme="minorHAnsi" w:cstheme="minorHAnsi"/>
          <w:color w:val="000000" w:themeColor="text1"/>
        </w:rPr>
        <w:t>ity. Thus, i</w:t>
      </w:r>
      <w:r w:rsidR="0022134A" w:rsidRPr="00C179D4">
        <w:rPr>
          <w:rFonts w:asciiTheme="minorHAnsi" w:hAnsiTheme="minorHAnsi" w:cstheme="minorHAnsi"/>
          <w:color w:val="000000" w:themeColor="text1"/>
        </w:rPr>
        <w:t>n the future, it will be necessary</w:t>
      </w:r>
      <w:r w:rsidR="00DF69C7" w:rsidRPr="00C179D4">
        <w:rPr>
          <w:rFonts w:asciiTheme="minorHAnsi" w:hAnsiTheme="minorHAnsi" w:cstheme="minorHAnsi"/>
          <w:color w:val="000000" w:themeColor="text1"/>
        </w:rPr>
        <w:t xml:space="preserve"> to</w:t>
      </w:r>
      <w:r w:rsidR="0022134A" w:rsidRPr="00C179D4">
        <w:rPr>
          <w:rFonts w:asciiTheme="minorHAnsi" w:hAnsiTheme="minorHAnsi" w:cstheme="minorHAnsi"/>
          <w:color w:val="000000" w:themeColor="text1"/>
        </w:rPr>
        <w:t xml:space="preserve"> explore combining </w:t>
      </w:r>
      <w:r w:rsidR="003D06AB" w:rsidRPr="003D06AB">
        <w:rPr>
          <w:rFonts w:asciiTheme="minorHAnsi" w:hAnsiTheme="minorHAnsi" w:cstheme="minorHAnsi"/>
          <w:i/>
          <w:color w:val="000000" w:themeColor="text1"/>
        </w:rPr>
        <w:t>in vivo</w:t>
      </w:r>
      <w:r w:rsidR="0022134A" w:rsidRPr="00C179D4">
        <w:rPr>
          <w:rFonts w:asciiTheme="minorHAnsi" w:hAnsiTheme="minorHAnsi" w:cstheme="minorHAnsi"/>
          <w:color w:val="000000" w:themeColor="text1"/>
        </w:rPr>
        <w:t xml:space="preserve"> pharmacology with additional techniques</w:t>
      </w:r>
      <w:r w:rsidR="00076419" w:rsidRPr="00C179D4">
        <w:rPr>
          <w:rFonts w:asciiTheme="minorHAnsi" w:hAnsiTheme="minorHAnsi" w:cstheme="minorHAnsi"/>
          <w:color w:val="000000" w:themeColor="text1"/>
        </w:rPr>
        <w:t>,</w:t>
      </w:r>
      <w:r w:rsidR="00F13F67" w:rsidRPr="00C179D4">
        <w:rPr>
          <w:rFonts w:asciiTheme="minorHAnsi" w:hAnsiTheme="minorHAnsi" w:cstheme="minorHAnsi"/>
          <w:color w:val="000000" w:themeColor="text1"/>
        </w:rPr>
        <w:t xml:space="preserve"> such as </w:t>
      </w:r>
      <w:r w:rsidR="003D06AB" w:rsidRPr="003D06AB">
        <w:rPr>
          <w:rFonts w:asciiTheme="minorHAnsi" w:hAnsiTheme="minorHAnsi" w:cstheme="minorHAnsi"/>
          <w:i/>
          <w:color w:val="000000" w:themeColor="text1"/>
        </w:rPr>
        <w:t>in vivo</w:t>
      </w:r>
      <w:r w:rsidR="00F13F67" w:rsidRPr="00C179D4">
        <w:rPr>
          <w:rFonts w:asciiTheme="minorHAnsi" w:hAnsiTheme="minorHAnsi" w:cstheme="minorHAnsi"/>
          <w:color w:val="000000" w:themeColor="text1"/>
        </w:rPr>
        <w:t xml:space="preserve"> </w:t>
      </w:r>
      <w:r w:rsidR="009E5EBF" w:rsidRPr="00C179D4">
        <w:rPr>
          <w:rFonts w:asciiTheme="minorHAnsi" w:hAnsiTheme="minorHAnsi" w:cstheme="minorHAnsi"/>
          <w:color w:val="000000" w:themeColor="text1"/>
        </w:rPr>
        <w:t>physiology</w:t>
      </w:r>
      <w:r w:rsidR="00F13F67" w:rsidRPr="00C179D4">
        <w:rPr>
          <w:rFonts w:asciiTheme="minorHAnsi" w:hAnsiTheme="minorHAnsi" w:cstheme="minorHAnsi"/>
          <w:color w:val="000000" w:themeColor="text1"/>
        </w:rPr>
        <w:t xml:space="preserve"> and optogenetics.</w:t>
      </w:r>
      <w:r w:rsidR="000D39D5" w:rsidRPr="00C179D4">
        <w:rPr>
          <w:rFonts w:asciiTheme="minorHAnsi" w:hAnsiTheme="minorHAnsi" w:cstheme="minorHAnsi"/>
          <w:color w:val="000000" w:themeColor="text1"/>
        </w:rPr>
        <w:t xml:space="preserve"> With the combination of these tools, new pathways and receptor specific pathways can be discovered and used to treat pain.</w:t>
      </w:r>
    </w:p>
    <w:p w14:paraId="78728D18" w14:textId="706614AE" w:rsidR="00014314" w:rsidRPr="00C179D4" w:rsidRDefault="00014314" w:rsidP="00C179D4">
      <w:pPr>
        <w:rPr>
          <w:rFonts w:asciiTheme="minorHAnsi" w:hAnsiTheme="minorHAnsi" w:cstheme="minorHAnsi"/>
          <w:color w:val="000000" w:themeColor="text1"/>
        </w:rPr>
      </w:pPr>
    </w:p>
    <w:p w14:paraId="1734505F" w14:textId="65202456" w:rsidR="00AA03DF" w:rsidRPr="00C179D4" w:rsidRDefault="00AA03DF" w:rsidP="00C179D4">
      <w:pPr>
        <w:pStyle w:val="NormalWeb"/>
        <w:spacing w:before="0" w:beforeAutospacing="0" w:after="0" w:afterAutospacing="0"/>
        <w:rPr>
          <w:rFonts w:asciiTheme="minorHAnsi" w:hAnsiTheme="minorHAnsi" w:cstheme="minorHAnsi"/>
          <w:color w:val="000000" w:themeColor="text1"/>
        </w:rPr>
      </w:pPr>
      <w:r w:rsidRPr="00C179D4">
        <w:rPr>
          <w:rFonts w:asciiTheme="minorHAnsi" w:hAnsiTheme="minorHAnsi" w:cstheme="minorHAnsi"/>
          <w:b/>
          <w:bCs/>
          <w:color w:val="000000" w:themeColor="text1"/>
        </w:rPr>
        <w:t>ACKNOWLEDGMENTS:</w:t>
      </w:r>
      <w:r w:rsidR="003D06AB">
        <w:rPr>
          <w:rFonts w:asciiTheme="minorHAnsi" w:hAnsiTheme="minorHAnsi" w:cstheme="minorHAnsi"/>
          <w:b/>
          <w:bCs/>
          <w:color w:val="000000" w:themeColor="text1"/>
        </w:rPr>
        <w:t xml:space="preserve"> </w:t>
      </w:r>
    </w:p>
    <w:p w14:paraId="682A8893" w14:textId="77777777" w:rsidR="007F6E99" w:rsidRPr="00C179D4" w:rsidRDefault="007F6E99" w:rsidP="00C179D4">
      <w:pPr>
        <w:rPr>
          <w:rFonts w:asciiTheme="minorHAnsi" w:hAnsiTheme="minorHAnsi" w:cstheme="minorHAnsi"/>
          <w:color w:val="000000" w:themeColor="text1"/>
        </w:rPr>
      </w:pPr>
      <w:r w:rsidRPr="00C179D4">
        <w:rPr>
          <w:rFonts w:asciiTheme="minorHAnsi" w:hAnsiTheme="minorHAnsi" w:cstheme="minorHAnsi"/>
          <w:color w:val="000000" w:themeColor="text1"/>
        </w:rPr>
        <w:t>This work was supported by th</w:t>
      </w:r>
      <w:r w:rsidRPr="00C179D4">
        <w:rPr>
          <w:rFonts w:cstheme="minorHAnsi"/>
          <w:color w:val="000000" w:themeColor="text1"/>
        </w:rPr>
        <w:t xml:space="preserve">e National Institute of General </w:t>
      </w:r>
      <w:r w:rsidRPr="00C179D4">
        <w:rPr>
          <w:rFonts w:asciiTheme="minorHAnsi" w:hAnsiTheme="minorHAnsi" w:cstheme="minorHAnsi"/>
          <w:color w:val="000000" w:themeColor="text1"/>
        </w:rPr>
        <w:t>Medical Sciences (GM102691, G</w:t>
      </w:r>
      <w:r w:rsidRPr="00C179D4">
        <w:rPr>
          <w:rFonts w:cstheme="minorHAnsi"/>
          <w:color w:val="000000" w:themeColor="text1"/>
        </w:rPr>
        <w:t xml:space="preserve">M115384), National Institute of </w:t>
      </w:r>
      <w:r w:rsidRPr="00C179D4">
        <w:rPr>
          <w:rFonts w:asciiTheme="minorHAnsi" w:hAnsiTheme="minorHAnsi" w:cstheme="minorHAnsi"/>
          <w:color w:val="000000" w:themeColor="text1"/>
        </w:rPr>
        <w:t xml:space="preserve">Neurological Disorders and Stroke </w:t>
      </w:r>
      <w:r w:rsidRPr="00C179D4">
        <w:rPr>
          <w:rFonts w:cstheme="minorHAnsi"/>
          <w:color w:val="000000" w:themeColor="text1"/>
        </w:rPr>
        <w:t xml:space="preserve">(NS100065), (Bethesda, MD, USA) </w:t>
      </w:r>
      <w:r w:rsidRPr="00C179D4">
        <w:rPr>
          <w:rFonts w:asciiTheme="minorHAnsi" w:hAnsiTheme="minorHAnsi" w:cstheme="minorHAnsi"/>
          <w:color w:val="000000" w:themeColor="text1"/>
        </w:rPr>
        <w:t>and the Anesthesia Research Fund of</w:t>
      </w:r>
      <w:r w:rsidRPr="00C179D4">
        <w:rPr>
          <w:rFonts w:cstheme="minorHAnsi"/>
          <w:color w:val="000000" w:themeColor="text1"/>
        </w:rPr>
        <w:t xml:space="preserve"> New York University Department </w:t>
      </w:r>
      <w:r w:rsidRPr="00C179D4">
        <w:rPr>
          <w:rFonts w:asciiTheme="minorHAnsi" w:hAnsiTheme="minorHAnsi" w:cstheme="minorHAnsi"/>
          <w:color w:val="000000" w:themeColor="text1"/>
        </w:rPr>
        <w:t>of Anesthesiology (New York, NY, USA).</w:t>
      </w:r>
    </w:p>
    <w:p w14:paraId="2D96E92E" w14:textId="72F287DC" w:rsidR="00AA03DF" w:rsidRPr="00C179D4" w:rsidRDefault="00AA03DF" w:rsidP="00C179D4">
      <w:pPr>
        <w:rPr>
          <w:rFonts w:asciiTheme="minorHAnsi" w:hAnsiTheme="minorHAnsi" w:cstheme="minorHAnsi"/>
          <w:b/>
          <w:bCs/>
          <w:color w:val="000000" w:themeColor="text1"/>
        </w:rPr>
      </w:pPr>
    </w:p>
    <w:p w14:paraId="5D52ED8B" w14:textId="1AAE5437" w:rsidR="00AA03DF" w:rsidRPr="00C179D4" w:rsidRDefault="00AA03DF" w:rsidP="00C179D4">
      <w:pPr>
        <w:pStyle w:val="NormalWeb"/>
        <w:spacing w:before="0" w:beforeAutospacing="0" w:after="0" w:afterAutospacing="0"/>
        <w:rPr>
          <w:rFonts w:asciiTheme="minorHAnsi" w:hAnsiTheme="minorHAnsi" w:cstheme="minorHAnsi"/>
          <w:color w:val="000000" w:themeColor="text1"/>
        </w:rPr>
      </w:pPr>
      <w:r w:rsidRPr="00C179D4">
        <w:rPr>
          <w:rFonts w:asciiTheme="minorHAnsi" w:hAnsiTheme="minorHAnsi" w:cstheme="minorHAnsi"/>
          <w:b/>
          <w:color w:val="000000" w:themeColor="text1"/>
        </w:rPr>
        <w:t>DISCLOSURES</w:t>
      </w:r>
      <w:r w:rsidRPr="00C179D4">
        <w:rPr>
          <w:rFonts w:asciiTheme="minorHAnsi" w:hAnsiTheme="minorHAnsi" w:cstheme="minorHAnsi"/>
          <w:b/>
          <w:bCs/>
          <w:color w:val="000000" w:themeColor="text1"/>
        </w:rPr>
        <w:t xml:space="preserve">: </w:t>
      </w:r>
    </w:p>
    <w:p w14:paraId="1762D755" w14:textId="1690AA30" w:rsidR="007F6E99" w:rsidRPr="00C179D4" w:rsidRDefault="007F6E99" w:rsidP="00C179D4">
      <w:pPr>
        <w:rPr>
          <w:rFonts w:asciiTheme="minorHAnsi" w:hAnsiTheme="minorHAnsi" w:cstheme="minorHAnsi"/>
          <w:color w:val="000000" w:themeColor="text1"/>
        </w:rPr>
      </w:pPr>
      <w:r w:rsidRPr="00C179D4">
        <w:rPr>
          <w:rFonts w:asciiTheme="minorHAnsi" w:hAnsiTheme="minorHAnsi" w:cstheme="minorHAnsi"/>
          <w:color w:val="000000" w:themeColor="text1"/>
        </w:rPr>
        <w:t>The authors have nothing to disclose</w:t>
      </w:r>
      <w:r w:rsidR="00311409" w:rsidRPr="00C179D4">
        <w:rPr>
          <w:rFonts w:asciiTheme="minorHAnsi" w:hAnsiTheme="minorHAnsi" w:cstheme="minorHAnsi"/>
          <w:color w:val="000000" w:themeColor="text1"/>
        </w:rPr>
        <w:t>.</w:t>
      </w:r>
    </w:p>
    <w:p w14:paraId="66030076" w14:textId="77777777" w:rsidR="00AA03DF" w:rsidRPr="00C179D4" w:rsidRDefault="00AA03DF" w:rsidP="00C179D4">
      <w:pPr>
        <w:rPr>
          <w:rFonts w:asciiTheme="minorHAnsi" w:hAnsiTheme="minorHAnsi" w:cstheme="minorHAnsi"/>
          <w:color w:val="000000" w:themeColor="text1"/>
        </w:rPr>
      </w:pPr>
    </w:p>
    <w:p w14:paraId="315B4FAD" w14:textId="4FB44D0C" w:rsidR="00B32616" w:rsidRPr="00C179D4" w:rsidRDefault="009726EE" w:rsidP="00C179D4">
      <w:pPr>
        <w:rPr>
          <w:rFonts w:asciiTheme="minorHAnsi" w:hAnsiTheme="minorHAnsi" w:cstheme="minorHAnsi"/>
          <w:b/>
          <w:color w:val="000000" w:themeColor="text1"/>
        </w:rPr>
      </w:pPr>
      <w:r w:rsidRPr="00C179D4">
        <w:rPr>
          <w:rFonts w:asciiTheme="minorHAnsi" w:hAnsiTheme="minorHAnsi" w:cstheme="minorHAnsi"/>
          <w:b/>
          <w:bCs/>
          <w:color w:val="000000" w:themeColor="text1"/>
        </w:rPr>
        <w:t>REFERENCES</w:t>
      </w:r>
      <w:r w:rsidR="00D04760" w:rsidRPr="00C179D4">
        <w:rPr>
          <w:rFonts w:asciiTheme="minorHAnsi" w:hAnsiTheme="minorHAnsi" w:cstheme="minorHAnsi"/>
          <w:b/>
          <w:bCs/>
          <w:color w:val="000000" w:themeColor="text1"/>
        </w:rPr>
        <w:t>:</w:t>
      </w:r>
    </w:p>
    <w:p w14:paraId="30F265B0" w14:textId="7205E940" w:rsidR="000F243C" w:rsidRPr="00C179D4" w:rsidRDefault="000F243C" w:rsidP="00C179D4">
      <w:pPr>
        <w:rPr>
          <w:rFonts w:asciiTheme="minorHAnsi" w:hAnsiTheme="minorHAnsi" w:cstheme="minorHAnsi"/>
          <w:color w:val="000000" w:themeColor="text1"/>
        </w:rPr>
      </w:pPr>
      <w:r w:rsidRPr="00C179D4">
        <w:rPr>
          <w:rFonts w:asciiTheme="minorHAnsi" w:hAnsiTheme="minorHAnsi" w:cstheme="minorHAnsi"/>
          <w:color w:val="000000" w:themeColor="text1"/>
        </w:rPr>
        <w:t>1. Lee, M.</w:t>
      </w:r>
      <w:r w:rsidR="003D06AB" w:rsidRPr="003D06AB">
        <w:rPr>
          <w:rFonts w:asciiTheme="minorHAnsi" w:hAnsiTheme="minorHAnsi" w:cstheme="minorHAnsi"/>
          <w:i/>
          <w:color w:val="000000" w:themeColor="text1"/>
        </w:rPr>
        <w:t xml:space="preserve"> et al.</w:t>
      </w:r>
      <w:r w:rsidRPr="00C179D4">
        <w:rPr>
          <w:rFonts w:asciiTheme="minorHAnsi" w:hAnsiTheme="minorHAnsi" w:cstheme="minorHAnsi"/>
          <w:color w:val="000000" w:themeColor="text1"/>
        </w:rPr>
        <w:t xml:space="preserve">, Activation of </w:t>
      </w:r>
      <w:proofErr w:type="spellStart"/>
      <w:r w:rsidRPr="00C179D4">
        <w:rPr>
          <w:rFonts w:asciiTheme="minorHAnsi" w:hAnsiTheme="minorHAnsi" w:cstheme="minorHAnsi"/>
          <w:color w:val="000000" w:themeColor="text1"/>
        </w:rPr>
        <w:t>corticostriatal</w:t>
      </w:r>
      <w:proofErr w:type="spellEnd"/>
      <w:r w:rsidRPr="00C179D4">
        <w:rPr>
          <w:rFonts w:asciiTheme="minorHAnsi" w:hAnsiTheme="minorHAnsi" w:cstheme="minorHAnsi"/>
          <w:color w:val="000000" w:themeColor="text1"/>
        </w:rPr>
        <w:t xml:space="preserve"> circuitry relieves chronic neuropathic pain. </w:t>
      </w:r>
      <w:r w:rsidRPr="00C179D4">
        <w:rPr>
          <w:rFonts w:asciiTheme="minorHAnsi" w:hAnsiTheme="minorHAnsi" w:cstheme="minorHAnsi"/>
          <w:i/>
          <w:color w:val="000000" w:themeColor="text1"/>
        </w:rPr>
        <w:t>The Journal of Neuroscience</w:t>
      </w:r>
      <w:r w:rsidRPr="00C179D4">
        <w:rPr>
          <w:rFonts w:asciiTheme="minorHAnsi" w:hAnsiTheme="minorHAnsi" w:cstheme="minorHAnsi"/>
          <w:color w:val="000000" w:themeColor="text1"/>
        </w:rPr>
        <w:t xml:space="preserve">, </w:t>
      </w:r>
      <w:r w:rsidRPr="00C179D4">
        <w:rPr>
          <w:rFonts w:asciiTheme="minorHAnsi" w:hAnsiTheme="minorHAnsi" w:cstheme="minorHAnsi"/>
          <w:b/>
          <w:color w:val="000000" w:themeColor="text1"/>
        </w:rPr>
        <w:t>35</w:t>
      </w:r>
      <w:r w:rsidRPr="00C179D4">
        <w:rPr>
          <w:rFonts w:asciiTheme="minorHAnsi" w:hAnsiTheme="minorHAnsi" w:cstheme="minorHAnsi"/>
          <w:color w:val="000000" w:themeColor="text1"/>
        </w:rPr>
        <w:t xml:space="preserve"> (13)</w:t>
      </w:r>
      <w:r w:rsidR="00C179D4">
        <w:rPr>
          <w:rFonts w:asciiTheme="minorHAnsi" w:hAnsiTheme="minorHAnsi" w:cstheme="minorHAnsi"/>
          <w:color w:val="000000" w:themeColor="text1"/>
        </w:rPr>
        <w:t>,</w:t>
      </w:r>
      <w:r w:rsidRPr="00C179D4">
        <w:rPr>
          <w:rFonts w:asciiTheme="minorHAnsi" w:hAnsiTheme="minorHAnsi" w:cstheme="minorHAnsi"/>
          <w:color w:val="000000" w:themeColor="text1"/>
        </w:rPr>
        <w:t xml:space="preserve"> 5247–5259 (2015).</w:t>
      </w:r>
    </w:p>
    <w:p w14:paraId="294B8E56" w14:textId="4044A1E9" w:rsidR="000F243C" w:rsidRPr="00C179D4" w:rsidRDefault="000F243C" w:rsidP="00C179D4">
      <w:pPr>
        <w:rPr>
          <w:rFonts w:asciiTheme="minorHAnsi" w:hAnsiTheme="minorHAnsi" w:cstheme="minorHAnsi"/>
          <w:color w:val="000000" w:themeColor="text1"/>
        </w:rPr>
      </w:pPr>
      <w:r w:rsidRPr="00C179D4">
        <w:rPr>
          <w:rFonts w:asciiTheme="minorHAnsi" w:hAnsiTheme="minorHAnsi" w:cstheme="minorHAnsi"/>
          <w:color w:val="000000" w:themeColor="text1"/>
        </w:rPr>
        <w:t>2.</w:t>
      </w:r>
      <w:r w:rsidRPr="00C179D4">
        <w:rPr>
          <w:color w:val="000000" w:themeColor="text1"/>
        </w:rPr>
        <w:t xml:space="preserve"> </w:t>
      </w:r>
      <w:r w:rsidRPr="00C179D4">
        <w:rPr>
          <w:rFonts w:asciiTheme="minorHAnsi" w:hAnsiTheme="minorHAnsi" w:cstheme="minorHAnsi"/>
          <w:color w:val="000000" w:themeColor="text1"/>
        </w:rPr>
        <w:t xml:space="preserve">Martinez, E., Lin, H.H., Zhou, H., Dale, J., Liu, K., Wang, J. </w:t>
      </w:r>
      <w:proofErr w:type="spellStart"/>
      <w:r w:rsidRPr="00C179D4">
        <w:rPr>
          <w:rFonts w:asciiTheme="minorHAnsi" w:hAnsiTheme="minorHAnsi" w:cstheme="minorHAnsi"/>
          <w:color w:val="000000" w:themeColor="text1"/>
        </w:rPr>
        <w:t>Corticostriatal</w:t>
      </w:r>
      <w:proofErr w:type="spellEnd"/>
      <w:r w:rsidRPr="00C179D4">
        <w:rPr>
          <w:rFonts w:asciiTheme="minorHAnsi" w:hAnsiTheme="minorHAnsi" w:cstheme="minorHAnsi"/>
          <w:color w:val="000000" w:themeColor="text1"/>
        </w:rPr>
        <w:t xml:space="preserve"> Regulation of Acute Pain. </w:t>
      </w:r>
      <w:r w:rsidRPr="00C179D4">
        <w:rPr>
          <w:rFonts w:asciiTheme="minorHAnsi" w:hAnsiTheme="minorHAnsi" w:cstheme="minorHAnsi"/>
          <w:i/>
          <w:color w:val="000000" w:themeColor="text1"/>
        </w:rPr>
        <w:t xml:space="preserve">Frontiers in </w:t>
      </w:r>
      <w:r w:rsidR="00C179D4">
        <w:rPr>
          <w:rFonts w:asciiTheme="minorHAnsi" w:hAnsiTheme="minorHAnsi" w:cstheme="minorHAnsi"/>
          <w:i/>
          <w:color w:val="000000" w:themeColor="text1"/>
        </w:rPr>
        <w:t>C</w:t>
      </w:r>
      <w:r w:rsidRPr="00C179D4">
        <w:rPr>
          <w:rFonts w:asciiTheme="minorHAnsi" w:hAnsiTheme="minorHAnsi" w:cstheme="minorHAnsi"/>
          <w:i/>
          <w:color w:val="000000" w:themeColor="text1"/>
        </w:rPr>
        <w:t xml:space="preserve">ellular </w:t>
      </w:r>
      <w:r w:rsidR="00C179D4">
        <w:rPr>
          <w:rFonts w:asciiTheme="minorHAnsi" w:hAnsiTheme="minorHAnsi" w:cstheme="minorHAnsi"/>
          <w:i/>
          <w:color w:val="000000" w:themeColor="text1"/>
        </w:rPr>
        <w:t>N</w:t>
      </w:r>
      <w:r w:rsidRPr="00C179D4">
        <w:rPr>
          <w:rFonts w:asciiTheme="minorHAnsi" w:hAnsiTheme="minorHAnsi" w:cstheme="minorHAnsi"/>
          <w:i/>
          <w:color w:val="000000" w:themeColor="text1"/>
        </w:rPr>
        <w:t>euroscience</w:t>
      </w:r>
      <w:r w:rsidR="00C179D4">
        <w:rPr>
          <w:rFonts w:asciiTheme="minorHAnsi" w:hAnsiTheme="minorHAnsi" w:cstheme="minorHAnsi"/>
          <w:color w:val="000000" w:themeColor="text1"/>
        </w:rPr>
        <w:t>,</w:t>
      </w:r>
      <w:r w:rsidRPr="00C179D4">
        <w:rPr>
          <w:rFonts w:asciiTheme="minorHAnsi" w:hAnsiTheme="minorHAnsi" w:cstheme="minorHAnsi"/>
          <w:color w:val="000000" w:themeColor="text1"/>
        </w:rPr>
        <w:t xml:space="preserve"> </w:t>
      </w:r>
      <w:r w:rsidRPr="00C179D4">
        <w:rPr>
          <w:rFonts w:asciiTheme="minorHAnsi" w:hAnsiTheme="minorHAnsi" w:cstheme="minorHAnsi"/>
          <w:b/>
          <w:color w:val="000000" w:themeColor="text1"/>
        </w:rPr>
        <w:t>11</w:t>
      </w:r>
      <w:r w:rsidR="00C179D4">
        <w:rPr>
          <w:rFonts w:asciiTheme="minorHAnsi" w:hAnsiTheme="minorHAnsi" w:cstheme="minorHAnsi"/>
          <w:color w:val="000000" w:themeColor="text1"/>
        </w:rPr>
        <w:t xml:space="preserve">, </w:t>
      </w:r>
      <w:r w:rsidRPr="00C179D4">
        <w:rPr>
          <w:rFonts w:asciiTheme="minorHAnsi" w:hAnsiTheme="minorHAnsi" w:cstheme="minorHAnsi"/>
          <w:color w:val="000000" w:themeColor="text1"/>
        </w:rPr>
        <w:t>146 (2017).</w:t>
      </w:r>
    </w:p>
    <w:p w14:paraId="723D9CD1" w14:textId="04E21CDC" w:rsidR="0049261D" w:rsidRPr="00C179D4" w:rsidRDefault="00733353" w:rsidP="00C179D4">
      <w:pPr>
        <w:rPr>
          <w:rFonts w:asciiTheme="minorHAnsi" w:hAnsiTheme="minorHAnsi" w:cstheme="minorHAnsi"/>
          <w:color w:val="000000" w:themeColor="text1"/>
        </w:rPr>
      </w:pPr>
      <w:r w:rsidRPr="00C179D4">
        <w:rPr>
          <w:rFonts w:asciiTheme="minorHAnsi" w:hAnsiTheme="minorHAnsi" w:cstheme="minorHAnsi"/>
          <w:color w:val="000000" w:themeColor="text1"/>
        </w:rPr>
        <w:t>3</w:t>
      </w:r>
      <w:r w:rsidR="0036762A" w:rsidRPr="00C179D4">
        <w:rPr>
          <w:rFonts w:asciiTheme="minorHAnsi" w:hAnsiTheme="minorHAnsi" w:cstheme="minorHAnsi"/>
          <w:color w:val="000000" w:themeColor="text1"/>
        </w:rPr>
        <w:t>.</w:t>
      </w:r>
      <w:r w:rsidR="009E4D0F" w:rsidRPr="00C179D4">
        <w:rPr>
          <w:rFonts w:asciiTheme="minorHAnsi" w:hAnsiTheme="minorHAnsi" w:cstheme="minorHAnsi"/>
          <w:color w:val="000000" w:themeColor="text1"/>
        </w:rPr>
        <w:t xml:space="preserve"> Goffer</w:t>
      </w:r>
      <w:r w:rsidR="00EC2104" w:rsidRPr="00C179D4">
        <w:rPr>
          <w:rFonts w:asciiTheme="minorHAnsi" w:hAnsiTheme="minorHAnsi" w:cstheme="minorHAnsi"/>
          <w:color w:val="000000" w:themeColor="text1"/>
        </w:rPr>
        <w:t>, Y.</w:t>
      </w:r>
      <w:r w:rsidR="003D06AB" w:rsidRPr="003D06AB">
        <w:rPr>
          <w:rFonts w:asciiTheme="minorHAnsi" w:hAnsiTheme="minorHAnsi" w:cstheme="minorHAnsi"/>
          <w:i/>
          <w:color w:val="000000" w:themeColor="text1"/>
        </w:rPr>
        <w:t xml:space="preserve"> et al.</w:t>
      </w:r>
      <w:r w:rsidR="0049261D" w:rsidRPr="00C179D4">
        <w:rPr>
          <w:rFonts w:asciiTheme="minorHAnsi" w:hAnsiTheme="minorHAnsi" w:cstheme="minorHAnsi"/>
          <w:color w:val="000000" w:themeColor="text1"/>
        </w:rPr>
        <w:t xml:space="preserve"> Calcium-permeable AMPA receptors in the nucleus </w:t>
      </w:r>
      <w:proofErr w:type="spellStart"/>
      <w:r w:rsidR="0049261D" w:rsidRPr="00C179D4">
        <w:rPr>
          <w:rFonts w:asciiTheme="minorHAnsi" w:hAnsiTheme="minorHAnsi" w:cstheme="minorHAnsi"/>
          <w:color w:val="000000" w:themeColor="text1"/>
        </w:rPr>
        <w:t>accumbens</w:t>
      </w:r>
      <w:proofErr w:type="spellEnd"/>
      <w:r w:rsidR="0049261D" w:rsidRPr="00C179D4">
        <w:rPr>
          <w:rFonts w:asciiTheme="minorHAnsi" w:hAnsiTheme="minorHAnsi" w:cstheme="minorHAnsi"/>
          <w:color w:val="000000" w:themeColor="text1"/>
        </w:rPr>
        <w:t xml:space="preserve"> r</w:t>
      </w:r>
      <w:bookmarkStart w:id="1" w:name="_GoBack"/>
      <w:bookmarkEnd w:id="1"/>
      <w:r w:rsidR="0049261D" w:rsidRPr="00C179D4">
        <w:rPr>
          <w:rFonts w:asciiTheme="minorHAnsi" w:hAnsiTheme="minorHAnsi" w:cstheme="minorHAnsi"/>
          <w:color w:val="000000" w:themeColor="text1"/>
        </w:rPr>
        <w:t xml:space="preserve">egulate </w:t>
      </w:r>
      <w:r w:rsidR="0049261D" w:rsidRPr="00C179D4">
        <w:rPr>
          <w:rFonts w:asciiTheme="minorHAnsi" w:hAnsiTheme="minorHAnsi" w:cstheme="minorHAnsi"/>
          <w:color w:val="000000" w:themeColor="text1"/>
        </w:rPr>
        <w:lastRenderedPageBreak/>
        <w:t>depression-like behaviors in the</w:t>
      </w:r>
      <w:r w:rsidR="009565EF" w:rsidRPr="00C179D4">
        <w:rPr>
          <w:rFonts w:asciiTheme="minorHAnsi" w:hAnsiTheme="minorHAnsi" w:cstheme="minorHAnsi"/>
          <w:color w:val="000000" w:themeColor="text1"/>
        </w:rPr>
        <w:t xml:space="preserve"> chronic neuropathic pain state.</w:t>
      </w:r>
      <w:r w:rsidR="0049261D" w:rsidRPr="00C179D4">
        <w:rPr>
          <w:rFonts w:asciiTheme="minorHAnsi" w:hAnsiTheme="minorHAnsi" w:cstheme="minorHAnsi"/>
          <w:color w:val="000000" w:themeColor="text1"/>
        </w:rPr>
        <w:t xml:space="preserve"> </w:t>
      </w:r>
      <w:r w:rsidR="009565EF" w:rsidRPr="00C179D4">
        <w:rPr>
          <w:rFonts w:asciiTheme="minorHAnsi" w:hAnsiTheme="minorHAnsi" w:cstheme="minorHAnsi"/>
          <w:i/>
          <w:color w:val="000000" w:themeColor="text1"/>
        </w:rPr>
        <w:t>The Journal of</w:t>
      </w:r>
      <w:r w:rsidR="0049261D" w:rsidRPr="00C179D4">
        <w:rPr>
          <w:rFonts w:asciiTheme="minorHAnsi" w:hAnsiTheme="minorHAnsi" w:cstheme="minorHAnsi"/>
          <w:i/>
          <w:color w:val="000000" w:themeColor="text1"/>
        </w:rPr>
        <w:t xml:space="preserve"> Neurosci</w:t>
      </w:r>
      <w:r w:rsidR="009565EF" w:rsidRPr="00C179D4">
        <w:rPr>
          <w:rFonts w:asciiTheme="minorHAnsi" w:hAnsiTheme="minorHAnsi" w:cstheme="minorHAnsi"/>
          <w:i/>
          <w:color w:val="000000" w:themeColor="text1"/>
        </w:rPr>
        <w:t>ence</w:t>
      </w:r>
      <w:r w:rsidR="009E4D0F" w:rsidRPr="00C179D4">
        <w:rPr>
          <w:rFonts w:asciiTheme="minorHAnsi" w:hAnsiTheme="minorHAnsi" w:cstheme="minorHAnsi"/>
          <w:color w:val="000000" w:themeColor="text1"/>
        </w:rPr>
        <w:t>,</w:t>
      </w:r>
      <w:r w:rsidR="009565EF" w:rsidRPr="00C179D4">
        <w:rPr>
          <w:rFonts w:asciiTheme="minorHAnsi" w:hAnsiTheme="minorHAnsi" w:cstheme="minorHAnsi"/>
          <w:color w:val="000000" w:themeColor="text1"/>
        </w:rPr>
        <w:t xml:space="preserve"> </w:t>
      </w:r>
      <w:r w:rsidR="009565EF" w:rsidRPr="00C179D4">
        <w:rPr>
          <w:rFonts w:asciiTheme="minorHAnsi" w:hAnsiTheme="minorHAnsi" w:cstheme="minorHAnsi"/>
          <w:b/>
          <w:color w:val="000000" w:themeColor="text1"/>
        </w:rPr>
        <w:t>33</w:t>
      </w:r>
      <w:r w:rsidR="009565EF" w:rsidRPr="00C179D4">
        <w:rPr>
          <w:rFonts w:asciiTheme="minorHAnsi" w:hAnsiTheme="minorHAnsi" w:cstheme="minorHAnsi"/>
          <w:color w:val="000000" w:themeColor="text1"/>
        </w:rPr>
        <w:t xml:space="preserve"> (48)</w:t>
      </w:r>
      <w:r w:rsidR="00C179D4">
        <w:rPr>
          <w:rFonts w:asciiTheme="minorHAnsi" w:hAnsiTheme="minorHAnsi" w:cstheme="minorHAnsi"/>
          <w:color w:val="000000" w:themeColor="text1"/>
        </w:rPr>
        <w:t>,</w:t>
      </w:r>
      <w:r w:rsidR="0049261D" w:rsidRPr="00C179D4">
        <w:rPr>
          <w:rFonts w:asciiTheme="minorHAnsi" w:hAnsiTheme="minorHAnsi" w:cstheme="minorHAnsi"/>
          <w:color w:val="000000" w:themeColor="text1"/>
        </w:rPr>
        <w:t xml:space="preserve"> 19034–19044</w:t>
      </w:r>
      <w:r w:rsidR="009565EF" w:rsidRPr="00C179D4">
        <w:rPr>
          <w:rFonts w:asciiTheme="minorHAnsi" w:hAnsiTheme="minorHAnsi" w:cstheme="minorHAnsi"/>
          <w:color w:val="000000" w:themeColor="text1"/>
        </w:rPr>
        <w:t xml:space="preserve"> (2013)</w:t>
      </w:r>
      <w:r w:rsidR="0049261D" w:rsidRPr="00C179D4">
        <w:rPr>
          <w:rFonts w:asciiTheme="minorHAnsi" w:hAnsiTheme="minorHAnsi" w:cstheme="minorHAnsi"/>
          <w:color w:val="000000" w:themeColor="text1"/>
        </w:rPr>
        <w:t>.</w:t>
      </w:r>
    </w:p>
    <w:p w14:paraId="40B5E04F" w14:textId="6B9F4656" w:rsidR="0049261D" w:rsidRPr="00C179D4" w:rsidRDefault="00733353" w:rsidP="00C179D4">
      <w:pPr>
        <w:rPr>
          <w:rFonts w:asciiTheme="minorHAnsi" w:hAnsiTheme="minorHAnsi" w:cstheme="minorHAnsi"/>
          <w:color w:val="000000" w:themeColor="text1"/>
        </w:rPr>
      </w:pPr>
      <w:r w:rsidRPr="00C179D4">
        <w:rPr>
          <w:rFonts w:asciiTheme="minorHAnsi" w:hAnsiTheme="minorHAnsi" w:cstheme="minorHAnsi"/>
          <w:color w:val="000000" w:themeColor="text1"/>
        </w:rPr>
        <w:t>4</w:t>
      </w:r>
      <w:r w:rsidR="0036762A" w:rsidRPr="00C179D4">
        <w:rPr>
          <w:rFonts w:asciiTheme="minorHAnsi" w:hAnsiTheme="minorHAnsi" w:cstheme="minorHAnsi"/>
          <w:color w:val="000000" w:themeColor="text1"/>
        </w:rPr>
        <w:t>.</w:t>
      </w:r>
      <w:r w:rsidR="009E4D0F" w:rsidRPr="00C179D4">
        <w:rPr>
          <w:rFonts w:asciiTheme="minorHAnsi" w:hAnsiTheme="minorHAnsi" w:cstheme="minorHAnsi"/>
          <w:color w:val="000000" w:themeColor="text1"/>
        </w:rPr>
        <w:t xml:space="preserve"> </w:t>
      </w:r>
      <w:proofErr w:type="spellStart"/>
      <w:r w:rsidR="009E4D0F" w:rsidRPr="00C179D4">
        <w:rPr>
          <w:rFonts w:asciiTheme="minorHAnsi" w:hAnsiTheme="minorHAnsi" w:cstheme="minorHAnsi"/>
          <w:color w:val="000000" w:themeColor="text1"/>
        </w:rPr>
        <w:t>Carr</w:t>
      </w:r>
      <w:proofErr w:type="spellEnd"/>
      <w:r w:rsidR="00EC2104" w:rsidRPr="00C179D4">
        <w:rPr>
          <w:rFonts w:asciiTheme="minorHAnsi" w:hAnsiTheme="minorHAnsi" w:cstheme="minorHAnsi"/>
          <w:color w:val="000000" w:themeColor="text1"/>
        </w:rPr>
        <w:t>, K.D.</w:t>
      </w:r>
      <w:r w:rsidR="003D06AB" w:rsidRPr="003D06AB">
        <w:rPr>
          <w:rFonts w:asciiTheme="minorHAnsi" w:hAnsiTheme="minorHAnsi" w:cstheme="minorHAnsi"/>
          <w:i/>
          <w:color w:val="000000" w:themeColor="text1"/>
        </w:rPr>
        <w:t xml:space="preserve"> et al.</w:t>
      </w:r>
      <w:r w:rsidR="0049261D" w:rsidRPr="00C179D4">
        <w:rPr>
          <w:rFonts w:asciiTheme="minorHAnsi" w:hAnsiTheme="minorHAnsi" w:cstheme="minorHAnsi"/>
          <w:color w:val="000000" w:themeColor="text1"/>
        </w:rPr>
        <w:t xml:space="preserve"> AMPA receptor subunit GluR1 downstream of D-1 dopamine receptor stimulation in nucleus </w:t>
      </w:r>
      <w:proofErr w:type="spellStart"/>
      <w:r w:rsidR="0049261D" w:rsidRPr="00C179D4">
        <w:rPr>
          <w:rFonts w:asciiTheme="minorHAnsi" w:hAnsiTheme="minorHAnsi" w:cstheme="minorHAnsi"/>
          <w:color w:val="000000" w:themeColor="text1"/>
        </w:rPr>
        <w:t>accumbens</w:t>
      </w:r>
      <w:proofErr w:type="spellEnd"/>
      <w:r w:rsidR="0049261D" w:rsidRPr="00C179D4">
        <w:rPr>
          <w:rFonts w:asciiTheme="minorHAnsi" w:hAnsiTheme="minorHAnsi" w:cstheme="minorHAnsi"/>
          <w:color w:val="000000" w:themeColor="text1"/>
        </w:rPr>
        <w:t xml:space="preserve"> shell mediates increased drug reward magnitude in food-restricted rats. </w:t>
      </w:r>
      <w:r w:rsidR="0049261D" w:rsidRPr="00C179D4">
        <w:rPr>
          <w:rFonts w:asciiTheme="minorHAnsi" w:hAnsiTheme="minorHAnsi" w:cstheme="minorHAnsi"/>
          <w:i/>
          <w:color w:val="000000" w:themeColor="text1"/>
        </w:rPr>
        <w:t>Neuroscience</w:t>
      </w:r>
      <w:r w:rsidR="009E4D0F" w:rsidRPr="00C179D4">
        <w:rPr>
          <w:rFonts w:asciiTheme="minorHAnsi" w:hAnsiTheme="minorHAnsi" w:cstheme="minorHAnsi"/>
          <w:color w:val="000000" w:themeColor="text1"/>
        </w:rPr>
        <w:t>,</w:t>
      </w:r>
      <w:r w:rsidR="0049261D" w:rsidRPr="00C179D4">
        <w:rPr>
          <w:rFonts w:asciiTheme="minorHAnsi" w:hAnsiTheme="minorHAnsi" w:cstheme="minorHAnsi"/>
          <w:color w:val="000000" w:themeColor="text1"/>
        </w:rPr>
        <w:t xml:space="preserve"> </w:t>
      </w:r>
      <w:r w:rsidR="0049261D" w:rsidRPr="00C179D4">
        <w:rPr>
          <w:rFonts w:asciiTheme="minorHAnsi" w:hAnsiTheme="minorHAnsi" w:cstheme="minorHAnsi"/>
          <w:b/>
          <w:color w:val="000000" w:themeColor="text1"/>
        </w:rPr>
        <w:t>165</w:t>
      </w:r>
      <w:r w:rsidR="00C179D4">
        <w:rPr>
          <w:rFonts w:asciiTheme="minorHAnsi" w:hAnsiTheme="minorHAnsi" w:cstheme="minorHAnsi"/>
          <w:color w:val="000000" w:themeColor="text1"/>
        </w:rPr>
        <w:t xml:space="preserve">, </w:t>
      </w:r>
      <w:r w:rsidR="0049261D" w:rsidRPr="00C179D4">
        <w:rPr>
          <w:rFonts w:asciiTheme="minorHAnsi" w:hAnsiTheme="minorHAnsi" w:cstheme="minorHAnsi"/>
          <w:color w:val="000000" w:themeColor="text1"/>
        </w:rPr>
        <w:t>1074 –1086</w:t>
      </w:r>
      <w:r w:rsidR="009E4D0F" w:rsidRPr="00C179D4">
        <w:rPr>
          <w:rFonts w:asciiTheme="minorHAnsi" w:hAnsiTheme="minorHAnsi" w:cstheme="minorHAnsi"/>
          <w:color w:val="000000" w:themeColor="text1"/>
        </w:rPr>
        <w:t xml:space="preserve"> (2010)</w:t>
      </w:r>
      <w:r w:rsidR="0049261D" w:rsidRPr="00C179D4">
        <w:rPr>
          <w:rFonts w:asciiTheme="minorHAnsi" w:hAnsiTheme="minorHAnsi" w:cstheme="minorHAnsi"/>
          <w:color w:val="000000" w:themeColor="text1"/>
        </w:rPr>
        <w:t>.</w:t>
      </w:r>
    </w:p>
    <w:p w14:paraId="611C0DDD" w14:textId="176448AC" w:rsidR="000F243C" w:rsidRPr="00C179D4" w:rsidRDefault="000F243C" w:rsidP="00C179D4">
      <w:pPr>
        <w:rPr>
          <w:rFonts w:asciiTheme="minorHAnsi" w:hAnsiTheme="minorHAnsi" w:cstheme="minorHAnsi"/>
          <w:color w:val="000000" w:themeColor="text1"/>
        </w:rPr>
      </w:pPr>
      <w:r w:rsidRPr="00C179D4">
        <w:rPr>
          <w:rFonts w:asciiTheme="minorHAnsi" w:hAnsiTheme="minorHAnsi" w:cstheme="minorHAnsi"/>
          <w:color w:val="000000" w:themeColor="text1"/>
        </w:rPr>
        <w:t xml:space="preserve">5. </w:t>
      </w:r>
      <w:proofErr w:type="spellStart"/>
      <w:r w:rsidRPr="00C179D4">
        <w:rPr>
          <w:rFonts w:asciiTheme="minorHAnsi" w:hAnsiTheme="minorHAnsi" w:cstheme="minorHAnsi"/>
          <w:color w:val="000000" w:themeColor="text1"/>
        </w:rPr>
        <w:t>Su</w:t>
      </w:r>
      <w:proofErr w:type="spellEnd"/>
      <w:r w:rsidRPr="00C179D4">
        <w:rPr>
          <w:rFonts w:asciiTheme="minorHAnsi" w:hAnsiTheme="minorHAnsi" w:cstheme="minorHAnsi"/>
          <w:color w:val="000000" w:themeColor="text1"/>
        </w:rPr>
        <w:t>, C.</w:t>
      </w:r>
      <w:r w:rsidR="003D06AB" w:rsidRPr="003D06AB">
        <w:rPr>
          <w:rFonts w:asciiTheme="minorHAnsi" w:hAnsiTheme="minorHAnsi" w:cstheme="minorHAnsi"/>
          <w:i/>
          <w:color w:val="000000" w:themeColor="text1"/>
        </w:rPr>
        <w:t xml:space="preserve"> et al.</w:t>
      </w:r>
      <w:r w:rsidRPr="00C179D4">
        <w:rPr>
          <w:rFonts w:asciiTheme="minorHAnsi" w:hAnsiTheme="minorHAnsi" w:cstheme="minorHAnsi"/>
          <w:color w:val="000000" w:themeColor="text1"/>
        </w:rPr>
        <w:t xml:space="preserve"> </w:t>
      </w:r>
      <w:proofErr w:type="spellStart"/>
      <w:r w:rsidRPr="00C179D4">
        <w:rPr>
          <w:rFonts w:asciiTheme="minorHAnsi" w:hAnsiTheme="minorHAnsi" w:cstheme="minorHAnsi"/>
          <w:color w:val="000000" w:themeColor="text1"/>
        </w:rPr>
        <w:t>AMPAkines</w:t>
      </w:r>
      <w:proofErr w:type="spellEnd"/>
      <w:r w:rsidRPr="00C179D4">
        <w:rPr>
          <w:rFonts w:asciiTheme="minorHAnsi" w:hAnsiTheme="minorHAnsi" w:cstheme="minorHAnsi"/>
          <w:color w:val="000000" w:themeColor="text1"/>
        </w:rPr>
        <w:t xml:space="preserve"> target the nucleus </w:t>
      </w:r>
      <w:proofErr w:type="spellStart"/>
      <w:r w:rsidRPr="00C179D4">
        <w:rPr>
          <w:rFonts w:asciiTheme="minorHAnsi" w:hAnsiTheme="minorHAnsi" w:cstheme="minorHAnsi"/>
          <w:color w:val="000000" w:themeColor="text1"/>
        </w:rPr>
        <w:t>accumbens</w:t>
      </w:r>
      <w:proofErr w:type="spellEnd"/>
      <w:r w:rsidRPr="00C179D4">
        <w:rPr>
          <w:rFonts w:asciiTheme="minorHAnsi" w:hAnsiTheme="minorHAnsi" w:cstheme="minorHAnsi"/>
          <w:color w:val="000000" w:themeColor="text1"/>
        </w:rPr>
        <w:t xml:space="preserve"> to relieve postoperative pain. </w:t>
      </w:r>
      <w:r w:rsidRPr="00C179D4">
        <w:rPr>
          <w:rFonts w:asciiTheme="minorHAnsi" w:hAnsiTheme="minorHAnsi" w:cstheme="minorHAnsi"/>
          <w:i/>
          <w:color w:val="000000" w:themeColor="text1"/>
        </w:rPr>
        <w:t>Anesthesiology</w:t>
      </w:r>
      <w:r w:rsidRPr="00C179D4">
        <w:rPr>
          <w:rFonts w:asciiTheme="minorHAnsi" w:hAnsiTheme="minorHAnsi" w:cstheme="minorHAnsi"/>
          <w:color w:val="000000" w:themeColor="text1"/>
        </w:rPr>
        <w:t xml:space="preserve">, </w:t>
      </w:r>
      <w:r w:rsidRPr="00C179D4">
        <w:rPr>
          <w:rFonts w:asciiTheme="minorHAnsi" w:hAnsiTheme="minorHAnsi" w:cstheme="minorHAnsi"/>
          <w:b/>
          <w:color w:val="000000" w:themeColor="text1"/>
        </w:rPr>
        <w:t>125</w:t>
      </w:r>
      <w:r w:rsidRPr="00C179D4">
        <w:rPr>
          <w:rFonts w:asciiTheme="minorHAnsi" w:hAnsiTheme="minorHAnsi" w:cstheme="minorHAnsi"/>
          <w:color w:val="000000" w:themeColor="text1"/>
        </w:rPr>
        <w:t xml:space="preserve"> (5)</w:t>
      </w:r>
      <w:r w:rsidR="00C179D4">
        <w:rPr>
          <w:rFonts w:asciiTheme="minorHAnsi" w:hAnsiTheme="minorHAnsi" w:cstheme="minorHAnsi"/>
          <w:color w:val="000000" w:themeColor="text1"/>
        </w:rPr>
        <w:t>,</w:t>
      </w:r>
      <w:r w:rsidRPr="00C179D4">
        <w:rPr>
          <w:rFonts w:asciiTheme="minorHAnsi" w:hAnsiTheme="minorHAnsi" w:cstheme="minorHAnsi"/>
          <w:color w:val="000000" w:themeColor="text1"/>
        </w:rPr>
        <w:t xml:space="preserve"> 1030–1043 (2016).</w:t>
      </w:r>
    </w:p>
    <w:p w14:paraId="0C4CD000" w14:textId="0C91F809" w:rsidR="000F243C" w:rsidRPr="00C179D4" w:rsidRDefault="000F243C" w:rsidP="00C179D4">
      <w:pPr>
        <w:rPr>
          <w:rFonts w:asciiTheme="minorHAnsi" w:hAnsiTheme="minorHAnsi" w:cstheme="minorHAnsi"/>
          <w:color w:val="000000" w:themeColor="text1"/>
        </w:rPr>
      </w:pPr>
      <w:r w:rsidRPr="00C179D4">
        <w:rPr>
          <w:rFonts w:asciiTheme="minorHAnsi" w:hAnsiTheme="minorHAnsi" w:cstheme="minorHAnsi"/>
          <w:color w:val="000000" w:themeColor="text1"/>
        </w:rPr>
        <w:t xml:space="preserve">6. Le, A.M., Lee, M., </w:t>
      </w:r>
      <w:proofErr w:type="spellStart"/>
      <w:r w:rsidRPr="00C179D4">
        <w:rPr>
          <w:rFonts w:asciiTheme="minorHAnsi" w:hAnsiTheme="minorHAnsi" w:cstheme="minorHAnsi"/>
          <w:color w:val="000000" w:themeColor="text1"/>
        </w:rPr>
        <w:t>Su</w:t>
      </w:r>
      <w:proofErr w:type="spellEnd"/>
      <w:r w:rsidRPr="00C179D4">
        <w:rPr>
          <w:rFonts w:asciiTheme="minorHAnsi" w:hAnsiTheme="minorHAnsi" w:cstheme="minorHAnsi"/>
          <w:color w:val="000000" w:themeColor="text1"/>
        </w:rPr>
        <w:t xml:space="preserve">, C., Zou, A., Wang, J. </w:t>
      </w:r>
      <w:proofErr w:type="spellStart"/>
      <w:r w:rsidRPr="00C179D4">
        <w:rPr>
          <w:rFonts w:asciiTheme="minorHAnsi" w:hAnsiTheme="minorHAnsi" w:cstheme="minorHAnsi"/>
          <w:color w:val="000000" w:themeColor="text1"/>
        </w:rPr>
        <w:t>AMPAkines</w:t>
      </w:r>
      <w:proofErr w:type="spellEnd"/>
      <w:r w:rsidRPr="00C179D4">
        <w:rPr>
          <w:rFonts w:asciiTheme="minorHAnsi" w:hAnsiTheme="minorHAnsi" w:cstheme="minorHAnsi"/>
          <w:color w:val="000000" w:themeColor="text1"/>
        </w:rPr>
        <w:t xml:space="preserve"> have novel analgesic properties in rat models of persistent neuropathic and inflammatory pain. </w:t>
      </w:r>
      <w:r w:rsidRPr="00C179D4">
        <w:rPr>
          <w:rFonts w:asciiTheme="minorHAnsi" w:hAnsiTheme="minorHAnsi" w:cstheme="minorHAnsi"/>
          <w:i/>
          <w:color w:val="000000" w:themeColor="text1"/>
        </w:rPr>
        <w:t>Anesthesiolog</w:t>
      </w:r>
      <w:r w:rsidRPr="006E34F4">
        <w:rPr>
          <w:rFonts w:asciiTheme="minorHAnsi" w:hAnsiTheme="minorHAnsi" w:cstheme="minorHAnsi"/>
          <w:i/>
          <w:color w:val="000000" w:themeColor="text1"/>
        </w:rPr>
        <w:t>y</w:t>
      </w:r>
      <w:r w:rsidRPr="00C179D4">
        <w:rPr>
          <w:rFonts w:asciiTheme="minorHAnsi" w:hAnsiTheme="minorHAnsi" w:cstheme="minorHAnsi"/>
          <w:color w:val="000000" w:themeColor="text1"/>
        </w:rPr>
        <w:t xml:space="preserve">, </w:t>
      </w:r>
      <w:r w:rsidRPr="006E34F4">
        <w:rPr>
          <w:rFonts w:asciiTheme="minorHAnsi" w:hAnsiTheme="minorHAnsi" w:cstheme="minorHAnsi"/>
          <w:b/>
          <w:color w:val="000000" w:themeColor="text1"/>
        </w:rPr>
        <w:t>121</w:t>
      </w:r>
      <w:r w:rsidRPr="00C179D4">
        <w:rPr>
          <w:rFonts w:asciiTheme="minorHAnsi" w:hAnsiTheme="minorHAnsi" w:cstheme="minorHAnsi"/>
          <w:color w:val="000000" w:themeColor="text1"/>
        </w:rPr>
        <w:t xml:space="preserve"> (5)</w:t>
      </w:r>
      <w:r w:rsidR="006E34F4">
        <w:rPr>
          <w:rFonts w:asciiTheme="minorHAnsi" w:hAnsiTheme="minorHAnsi" w:cstheme="minorHAnsi"/>
          <w:color w:val="000000" w:themeColor="text1"/>
        </w:rPr>
        <w:t>,</w:t>
      </w:r>
      <w:r w:rsidRPr="00C179D4">
        <w:rPr>
          <w:rFonts w:asciiTheme="minorHAnsi" w:hAnsiTheme="minorHAnsi" w:cstheme="minorHAnsi"/>
          <w:color w:val="000000" w:themeColor="text1"/>
        </w:rPr>
        <w:t xml:space="preserve"> 1080–1090 (2014).</w:t>
      </w:r>
    </w:p>
    <w:p w14:paraId="61972637" w14:textId="1E5E51ED" w:rsidR="00A46DCA" w:rsidRPr="00C179D4" w:rsidRDefault="000F243C" w:rsidP="00C179D4">
      <w:pPr>
        <w:rPr>
          <w:rFonts w:asciiTheme="minorHAnsi" w:hAnsiTheme="minorHAnsi" w:cstheme="minorHAnsi"/>
          <w:color w:val="000000" w:themeColor="text1"/>
        </w:rPr>
      </w:pPr>
      <w:r w:rsidRPr="00C179D4">
        <w:rPr>
          <w:rFonts w:asciiTheme="minorHAnsi" w:hAnsiTheme="minorHAnsi" w:cstheme="minorHAnsi"/>
          <w:color w:val="000000" w:themeColor="text1"/>
        </w:rPr>
        <w:t>7</w:t>
      </w:r>
      <w:r w:rsidR="0036762A" w:rsidRPr="00C179D4">
        <w:rPr>
          <w:rFonts w:asciiTheme="minorHAnsi" w:hAnsiTheme="minorHAnsi" w:cstheme="minorHAnsi"/>
          <w:color w:val="000000" w:themeColor="text1"/>
        </w:rPr>
        <w:t>.</w:t>
      </w:r>
      <w:r w:rsidR="00324761" w:rsidRPr="00C179D4">
        <w:rPr>
          <w:rFonts w:asciiTheme="minorHAnsi" w:hAnsiTheme="minorHAnsi" w:cstheme="minorHAnsi"/>
          <w:color w:val="000000" w:themeColor="text1"/>
        </w:rPr>
        <w:t xml:space="preserve"> </w:t>
      </w:r>
      <w:r w:rsidR="00A46DCA" w:rsidRPr="00C179D4">
        <w:rPr>
          <w:rFonts w:asciiTheme="minorHAnsi" w:hAnsiTheme="minorHAnsi" w:cstheme="minorHAnsi"/>
          <w:color w:val="000000" w:themeColor="text1"/>
        </w:rPr>
        <w:t>Cooper</w:t>
      </w:r>
      <w:r w:rsidR="00324761" w:rsidRPr="00C179D4">
        <w:rPr>
          <w:rFonts w:asciiTheme="minorHAnsi" w:hAnsiTheme="minorHAnsi" w:cstheme="minorHAnsi"/>
          <w:color w:val="000000" w:themeColor="text1"/>
        </w:rPr>
        <w:t>, S.J.</w:t>
      </w:r>
      <w:r w:rsidR="00A46DCA" w:rsidRPr="00C179D4">
        <w:rPr>
          <w:rFonts w:asciiTheme="minorHAnsi" w:hAnsiTheme="minorHAnsi" w:cstheme="minorHAnsi"/>
          <w:color w:val="000000" w:themeColor="text1"/>
        </w:rPr>
        <w:t xml:space="preserve"> </w:t>
      </w:r>
      <w:proofErr w:type="spellStart"/>
      <w:r w:rsidR="00A46DCA" w:rsidRPr="00C179D4">
        <w:rPr>
          <w:rFonts w:asciiTheme="minorHAnsi" w:hAnsiTheme="minorHAnsi" w:cstheme="minorHAnsi"/>
          <w:color w:val="000000" w:themeColor="text1"/>
        </w:rPr>
        <w:t>Anaesthetisation</w:t>
      </w:r>
      <w:proofErr w:type="spellEnd"/>
      <w:r w:rsidR="00A46DCA" w:rsidRPr="00C179D4">
        <w:rPr>
          <w:rFonts w:asciiTheme="minorHAnsi" w:hAnsiTheme="minorHAnsi" w:cstheme="minorHAnsi"/>
          <w:color w:val="000000" w:themeColor="text1"/>
        </w:rPr>
        <w:t xml:space="preserve"> of</w:t>
      </w:r>
      <w:r w:rsidR="003D06AB">
        <w:rPr>
          <w:rFonts w:asciiTheme="minorHAnsi" w:hAnsiTheme="minorHAnsi" w:cstheme="minorHAnsi"/>
          <w:color w:val="000000" w:themeColor="text1"/>
        </w:rPr>
        <w:t xml:space="preserve"> prefrontal </w:t>
      </w:r>
      <w:r w:rsidR="00A46DCA" w:rsidRPr="00C179D4">
        <w:rPr>
          <w:rFonts w:asciiTheme="minorHAnsi" w:hAnsiTheme="minorHAnsi" w:cstheme="minorHAnsi"/>
          <w:color w:val="000000" w:themeColor="text1"/>
        </w:rPr>
        <w:t>cortex and r</w:t>
      </w:r>
      <w:r w:rsidR="00324761" w:rsidRPr="00C179D4">
        <w:rPr>
          <w:rFonts w:asciiTheme="minorHAnsi" w:hAnsiTheme="minorHAnsi" w:cstheme="minorHAnsi"/>
          <w:color w:val="000000" w:themeColor="text1"/>
        </w:rPr>
        <w:t>esponse to noxious stimulation.</w:t>
      </w:r>
      <w:r w:rsidR="0046222C" w:rsidRPr="00C179D4">
        <w:rPr>
          <w:rFonts w:asciiTheme="minorHAnsi" w:hAnsiTheme="minorHAnsi" w:cstheme="minorHAnsi"/>
          <w:color w:val="000000" w:themeColor="text1"/>
        </w:rPr>
        <w:t xml:space="preserve"> </w:t>
      </w:r>
      <w:r w:rsidR="00324761" w:rsidRPr="006E34F4">
        <w:rPr>
          <w:rFonts w:asciiTheme="minorHAnsi" w:hAnsiTheme="minorHAnsi" w:cstheme="minorHAnsi"/>
          <w:i/>
          <w:color w:val="000000" w:themeColor="text1"/>
        </w:rPr>
        <w:t>Nature</w:t>
      </w:r>
      <w:r w:rsidR="006E34F4">
        <w:rPr>
          <w:rFonts w:asciiTheme="minorHAnsi" w:hAnsiTheme="minorHAnsi" w:cstheme="minorHAnsi"/>
          <w:color w:val="000000" w:themeColor="text1"/>
        </w:rPr>
        <w:t>,</w:t>
      </w:r>
      <w:r w:rsidR="00324761" w:rsidRPr="006E34F4">
        <w:rPr>
          <w:rFonts w:asciiTheme="minorHAnsi" w:hAnsiTheme="minorHAnsi" w:cstheme="minorHAnsi"/>
          <w:i/>
          <w:color w:val="000000" w:themeColor="text1"/>
        </w:rPr>
        <w:t xml:space="preserve"> </w:t>
      </w:r>
      <w:r w:rsidR="00324761" w:rsidRPr="006E34F4">
        <w:rPr>
          <w:rFonts w:asciiTheme="minorHAnsi" w:hAnsiTheme="minorHAnsi" w:cstheme="minorHAnsi"/>
          <w:b/>
          <w:color w:val="000000" w:themeColor="text1"/>
        </w:rPr>
        <w:t>254</w:t>
      </w:r>
      <w:r w:rsidR="00324761" w:rsidRPr="00C179D4">
        <w:rPr>
          <w:rFonts w:asciiTheme="minorHAnsi" w:hAnsiTheme="minorHAnsi" w:cstheme="minorHAnsi"/>
          <w:color w:val="000000" w:themeColor="text1"/>
        </w:rPr>
        <w:t xml:space="preserve"> (5499)</w:t>
      </w:r>
      <w:r w:rsidR="006E34F4">
        <w:rPr>
          <w:rFonts w:asciiTheme="minorHAnsi" w:hAnsiTheme="minorHAnsi" w:cstheme="minorHAnsi"/>
          <w:color w:val="000000" w:themeColor="text1"/>
        </w:rPr>
        <w:t>,</w:t>
      </w:r>
      <w:r w:rsidR="00A46DCA" w:rsidRPr="00C179D4">
        <w:rPr>
          <w:rFonts w:asciiTheme="minorHAnsi" w:hAnsiTheme="minorHAnsi" w:cstheme="minorHAnsi"/>
          <w:color w:val="000000" w:themeColor="text1"/>
        </w:rPr>
        <w:t xml:space="preserve"> 439–440</w:t>
      </w:r>
      <w:r w:rsidR="00324761" w:rsidRPr="00C179D4">
        <w:rPr>
          <w:rFonts w:asciiTheme="minorHAnsi" w:hAnsiTheme="minorHAnsi" w:cstheme="minorHAnsi"/>
          <w:color w:val="000000" w:themeColor="text1"/>
        </w:rPr>
        <w:t xml:space="preserve"> (1975)</w:t>
      </w:r>
      <w:r w:rsidR="00A46DCA" w:rsidRPr="00C179D4">
        <w:rPr>
          <w:rFonts w:asciiTheme="minorHAnsi" w:hAnsiTheme="minorHAnsi" w:cstheme="minorHAnsi"/>
          <w:color w:val="000000" w:themeColor="text1"/>
        </w:rPr>
        <w:t>.</w:t>
      </w:r>
    </w:p>
    <w:p w14:paraId="03FDC75F" w14:textId="77777777" w:rsidR="000F243C" w:rsidRPr="00C179D4" w:rsidRDefault="000F243C" w:rsidP="00C179D4">
      <w:pPr>
        <w:rPr>
          <w:color w:val="000000" w:themeColor="text1"/>
        </w:rPr>
      </w:pPr>
      <w:r w:rsidRPr="00C179D4">
        <w:rPr>
          <w:rFonts w:asciiTheme="minorHAnsi" w:hAnsiTheme="minorHAnsi" w:cstheme="minorHAnsi"/>
          <w:color w:val="000000" w:themeColor="text1"/>
        </w:rPr>
        <w:t xml:space="preserve">8. </w:t>
      </w:r>
      <w:r w:rsidRPr="00C179D4">
        <w:rPr>
          <w:color w:val="000000" w:themeColor="text1"/>
        </w:rPr>
        <w:t xml:space="preserve">Blevins, J. E., Stanley, B. G. &amp; </w:t>
      </w:r>
      <w:proofErr w:type="spellStart"/>
      <w:r w:rsidRPr="00C179D4">
        <w:rPr>
          <w:color w:val="000000" w:themeColor="text1"/>
        </w:rPr>
        <w:t>Reidelberger</w:t>
      </w:r>
      <w:proofErr w:type="spellEnd"/>
      <w:r w:rsidRPr="00C179D4">
        <w:rPr>
          <w:color w:val="000000" w:themeColor="text1"/>
        </w:rPr>
        <w:t xml:space="preserve">, R. D. DMSO as a vehicle for central injections: tests with feeding elicited by norepinephrine injected into the paraventricular nucleus. </w:t>
      </w:r>
      <w:r w:rsidRPr="00C179D4">
        <w:rPr>
          <w:i/>
          <w:color w:val="000000" w:themeColor="text1"/>
        </w:rPr>
        <w:t>Pharmacology Biochemistry and Behavior,</w:t>
      </w:r>
      <w:r w:rsidRPr="00C179D4">
        <w:rPr>
          <w:color w:val="000000" w:themeColor="text1"/>
        </w:rPr>
        <w:t xml:space="preserve"> </w:t>
      </w:r>
      <w:r w:rsidRPr="006E34F4">
        <w:rPr>
          <w:b/>
          <w:color w:val="000000" w:themeColor="text1"/>
        </w:rPr>
        <w:t>71</w:t>
      </w:r>
      <w:r w:rsidRPr="00C179D4">
        <w:rPr>
          <w:color w:val="000000" w:themeColor="text1"/>
        </w:rPr>
        <w:t>, 277-282 (2002).</w:t>
      </w:r>
    </w:p>
    <w:p w14:paraId="39D639F1" w14:textId="0DABC56D" w:rsidR="000F243C" w:rsidRPr="00C179D4" w:rsidRDefault="000F243C" w:rsidP="00C179D4">
      <w:pPr>
        <w:rPr>
          <w:rFonts w:asciiTheme="minorHAnsi" w:hAnsiTheme="minorHAnsi" w:cstheme="minorHAnsi"/>
          <w:color w:val="000000" w:themeColor="text1"/>
        </w:rPr>
      </w:pPr>
      <w:r w:rsidRPr="00C179D4">
        <w:rPr>
          <w:color w:val="000000" w:themeColor="text1"/>
        </w:rPr>
        <w:t xml:space="preserve">9. Schmeichel, B. E., Herman, M. A., Roberto, M. &amp; </w:t>
      </w:r>
      <w:proofErr w:type="spellStart"/>
      <w:r w:rsidRPr="00C179D4">
        <w:rPr>
          <w:color w:val="000000" w:themeColor="text1"/>
        </w:rPr>
        <w:t>Koob</w:t>
      </w:r>
      <w:proofErr w:type="spellEnd"/>
      <w:r w:rsidRPr="00C179D4">
        <w:rPr>
          <w:color w:val="000000" w:themeColor="text1"/>
        </w:rPr>
        <w:t xml:space="preserve">, G. F. Hypocretin Neurotransmission Within the Central Amygdala Mediates Escalated Cocaine Self-administration and Stress-Induced Reinstatement in Rats. </w:t>
      </w:r>
      <w:r w:rsidRPr="00C179D4">
        <w:rPr>
          <w:i/>
          <w:color w:val="000000" w:themeColor="text1"/>
        </w:rPr>
        <w:t xml:space="preserve">Biological </w:t>
      </w:r>
      <w:r w:rsidR="006E34F4">
        <w:rPr>
          <w:i/>
          <w:color w:val="000000" w:themeColor="text1"/>
        </w:rPr>
        <w:t>P</w:t>
      </w:r>
      <w:r w:rsidRPr="00C179D4">
        <w:rPr>
          <w:i/>
          <w:color w:val="000000" w:themeColor="text1"/>
        </w:rPr>
        <w:t>sychiatry,</w:t>
      </w:r>
      <w:r w:rsidRPr="00C179D4">
        <w:rPr>
          <w:color w:val="000000" w:themeColor="text1"/>
        </w:rPr>
        <w:t xml:space="preserve"> </w:t>
      </w:r>
      <w:r w:rsidRPr="006E34F4">
        <w:rPr>
          <w:b/>
          <w:color w:val="000000" w:themeColor="text1"/>
        </w:rPr>
        <w:t>81</w:t>
      </w:r>
      <w:r w:rsidRPr="00C179D4">
        <w:rPr>
          <w:color w:val="000000" w:themeColor="text1"/>
        </w:rPr>
        <w:t>, 606-615 (2017).</w:t>
      </w:r>
    </w:p>
    <w:p w14:paraId="020A8F28" w14:textId="0423D5E9" w:rsidR="009726EE" w:rsidRPr="00C179D4" w:rsidRDefault="000F243C" w:rsidP="00C179D4">
      <w:pPr>
        <w:rPr>
          <w:rFonts w:asciiTheme="minorHAnsi" w:hAnsiTheme="minorHAnsi" w:cstheme="minorHAnsi"/>
          <w:color w:val="000000" w:themeColor="text1"/>
        </w:rPr>
      </w:pPr>
      <w:r w:rsidRPr="00C179D4">
        <w:rPr>
          <w:rFonts w:asciiTheme="minorHAnsi" w:hAnsiTheme="minorHAnsi" w:cstheme="minorHAnsi"/>
          <w:color w:val="000000" w:themeColor="text1"/>
        </w:rPr>
        <w:t>10</w:t>
      </w:r>
      <w:r w:rsidR="006A1D2F" w:rsidRPr="00C179D4">
        <w:rPr>
          <w:rFonts w:asciiTheme="minorHAnsi" w:hAnsiTheme="minorHAnsi" w:cstheme="minorHAnsi"/>
          <w:color w:val="000000" w:themeColor="text1"/>
        </w:rPr>
        <w:t>. Sun</w:t>
      </w:r>
      <w:r w:rsidR="00911243" w:rsidRPr="00C179D4">
        <w:rPr>
          <w:rFonts w:asciiTheme="minorHAnsi" w:hAnsiTheme="minorHAnsi" w:cstheme="minorHAnsi"/>
          <w:color w:val="000000" w:themeColor="text1"/>
        </w:rPr>
        <w:t>,</w:t>
      </w:r>
      <w:r w:rsidR="006A1D2F" w:rsidRPr="00C179D4">
        <w:rPr>
          <w:rFonts w:asciiTheme="minorHAnsi" w:hAnsiTheme="minorHAnsi" w:cstheme="minorHAnsi"/>
          <w:color w:val="000000" w:themeColor="text1"/>
        </w:rPr>
        <w:t xml:space="preserve"> Y</w:t>
      </w:r>
      <w:r w:rsidR="00911243" w:rsidRPr="00C179D4">
        <w:rPr>
          <w:rFonts w:asciiTheme="minorHAnsi" w:hAnsiTheme="minorHAnsi" w:cstheme="minorHAnsi"/>
          <w:color w:val="000000" w:themeColor="text1"/>
        </w:rPr>
        <w:t>.</w:t>
      </w:r>
      <w:r w:rsidR="0036762A" w:rsidRPr="00C179D4">
        <w:rPr>
          <w:rFonts w:asciiTheme="minorHAnsi" w:hAnsiTheme="minorHAnsi" w:cstheme="minorHAnsi"/>
          <w:color w:val="000000" w:themeColor="text1"/>
        </w:rPr>
        <w:t>, Liu</w:t>
      </w:r>
      <w:r w:rsidR="00911243" w:rsidRPr="00C179D4">
        <w:rPr>
          <w:rFonts w:asciiTheme="minorHAnsi" w:hAnsiTheme="minorHAnsi" w:cstheme="minorHAnsi"/>
          <w:color w:val="000000" w:themeColor="text1"/>
        </w:rPr>
        <w:t>,</w:t>
      </w:r>
      <w:r w:rsidR="0036762A" w:rsidRPr="00C179D4">
        <w:rPr>
          <w:rFonts w:asciiTheme="minorHAnsi" w:hAnsiTheme="minorHAnsi" w:cstheme="minorHAnsi"/>
          <w:color w:val="000000" w:themeColor="text1"/>
        </w:rPr>
        <w:t xml:space="preserve"> K</w:t>
      </w:r>
      <w:r w:rsidR="00911243" w:rsidRPr="00C179D4">
        <w:rPr>
          <w:rFonts w:asciiTheme="minorHAnsi" w:hAnsiTheme="minorHAnsi" w:cstheme="minorHAnsi"/>
          <w:color w:val="000000" w:themeColor="text1"/>
        </w:rPr>
        <w:t>.</w:t>
      </w:r>
      <w:r w:rsidR="0036762A" w:rsidRPr="00C179D4">
        <w:rPr>
          <w:rFonts w:asciiTheme="minorHAnsi" w:hAnsiTheme="minorHAnsi" w:cstheme="minorHAnsi"/>
          <w:color w:val="000000" w:themeColor="text1"/>
        </w:rPr>
        <w:t>, Martinez</w:t>
      </w:r>
      <w:r w:rsidR="00911243" w:rsidRPr="00C179D4">
        <w:rPr>
          <w:rFonts w:asciiTheme="minorHAnsi" w:hAnsiTheme="minorHAnsi" w:cstheme="minorHAnsi"/>
          <w:color w:val="000000" w:themeColor="text1"/>
        </w:rPr>
        <w:t>,</w:t>
      </w:r>
      <w:r w:rsidR="0036762A" w:rsidRPr="00C179D4">
        <w:rPr>
          <w:rFonts w:asciiTheme="minorHAnsi" w:hAnsiTheme="minorHAnsi" w:cstheme="minorHAnsi"/>
          <w:color w:val="000000" w:themeColor="text1"/>
        </w:rPr>
        <w:t xml:space="preserve"> E</w:t>
      </w:r>
      <w:r w:rsidR="00911243" w:rsidRPr="00C179D4">
        <w:rPr>
          <w:rFonts w:asciiTheme="minorHAnsi" w:hAnsiTheme="minorHAnsi" w:cstheme="minorHAnsi"/>
          <w:color w:val="000000" w:themeColor="text1"/>
        </w:rPr>
        <w:t>.</w:t>
      </w:r>
      <w:r w:rsidR="0036762A" w:rsidRPr="00C179D4">
        <w:rPr>
          <w:rFonts w:asciiTheme="minorHAnsi" w:hAnsiTheme="minorHAnsi" w:cstheme="minorHAnsi"/>
          <w:color w:val="000000" w:themeColor="text1"/>
        </w:rPr>
        <w:t>, Dale</w:t>
      </w:r>
      <w:r w:rsidR="00911243" w:rsidRPr="00C179D4">
        <w:rPr>
          <w:rFonts w:asciiTheme="minorHAnsi" w:hAnsiTheme="minorHAnsi" w:cstheme="minorHAnsi"/>
          <w:color w:val="000000" w:themeColor="text1"/>
        </w:rPr>
        <w:t>,</w:t>
      </w:r>
      <w:r w:rsidR="0036762A" w:rsidRPr="00C179D4">
        <w:rPr>
          <w:rFonts w:asciiTheme="minorHAnsi" w:hAnsiTheme="minorHAnsi" w:cstheme="minorHAnsi"/>
          <w:color w:val="000000" w:themeColor="text1"/>
        </w:rPr>
        <w:t xml:space="preserve"> J</w:t>
      </w:r>
      <w:r w:rsidR="00911243" w:rsidRPr="00C179D4">
        <w:rPr>
          <w:rFonts w:asciiTheme="minorHAnsi" w:hAnsiTheme="minorHAnsi" w:cstheme="minorHAnsi"/>
          <w:color w:val="000000" w:themeColor="text1"/>
        </w:rPr>
        <w:t>.</w:t>
      </w:r>
      <w:r w:rsidR="0036762A" w:rsidRPr="00C179D4">
        <w:rPr>
          <w:rFonts w:asciiTheme="minorHAnsi" w:hAnsiTheme="minorHAnsi" w:cstheme="minorHAnsi"/>
          <w:color w:val="000000" w:themeColor="text1"/>
        </w:rPr>
        <w:t>, Huang</w:t>
      </w:r>
      <w:r w:rsidR="00911243" w:rsidRPr="00C179D4">
        <w:rPr>
          <w:rFonts w:asciiTheme="minorHAnsi" w:hAnsiTheme="minorHAnsi" w:cstheme="minorHAnsi"/>
          <w:color w:val="000000" w:themeColor="text1"/>
        </w:rPr>
        <w:t>,</w:t>
      </w:r>
      <w:r w:rsidR="0036762A" w:rsidRPr="00C179D4">
        <w:rPr>
          <w:rFonts w:asciiTheme="minorHAnsi" w:hAnsiTheme="minorHAnsi" w:cstheme="minorHAnsi"/>
          <w:color w:val="000000" w:themeColor="text1"/>
        </w:rPr>
        <w:t xml:space="preserve"> D</w:t>
      </w:r>
      <w:r w:rsidR="00911243" w:rsidRPr="00C179D4">
        <w:rPr>
          <w:rFonts w:asciiTheme="minorHAnsi" w:hAnsiTheme="minorHAnsi" w:cstheme="minorHAnsi"/>
          <w:color w:val="000000" w:themeColor="text1"/>
        </w:rPr>
        <w:t>.</w:t>
      </w:r>
      <w:r w:rsidR="0036762A" w:rsidRPr="00C179D4">
        <w:rPr>
          <w:rFonts w:asciiTheme="minorHAnsi" w:hAnsiTheme="minorHAnsi" w:cstheme="minorHAnsi"/>
          <w:color w:val="000000" w:themeColor="text1"/>
        </w:rPr>
        <w:t>, Wang</w:t>
      </w:r>
      <w:r w:rsidR="00911243" w:rsidRPr="00C179D4">
        <w:rPr>
          <w:rFonts w:asciiTheme="minorHAnsi" w:hAnsiTheme="minorHAnsi" w:cstheme="minorHAnsi"/>
          <w:color w:val="000000" w:themeColor="text1"/>
        </w:rPr>
        <w:t>,</w:t>
      </w:r>
      <w:r w:rsidR="0036762A" w:rsidRPr="00C179D4">
        <w:rPr>
          <w:rFonts w:asciiTheme="minorHAnsi" w:hAnsiTheme="minorHAnsi" w:cstheme="minorHAnsi"/>
          <w:color w:val="000000" w:themeColor="text1"/>
        </w:rPr>
        <w:t xml:space="preserve"> J</w:t>
      </w:r>
      <w:r w:rsidR="00911243" w:rsidRPr="00C179D4">
        <w:rPr>
          <w:rFonts w:asciiTheme="minorHAnsi" w:hAnsiTheme="minorHAnsi" w:cstheme="minorHAnsi"/>
          <w:color w:val="000000" w:themeColor="text1"/>
        </w:rPr>
        <w:t>.</w:t>
      </w:r>
      <w:r w:rsidR="0036762A" w:rsidRPr="00C179D4">
        <w:rPr>
          <w:rFonts w:asciiTheme="minorHAnsi" w:hAnsiTheme="minorHAnsi" w:cstheme="minorHAnsi"/>
          <w:color w:val="000000" w:themeColor="text1"/>
        </w:rPr>
        <w:t xml:space="preserve"> </w:t>
      </w:r>
      <w:proofErr w:type="spellStart"/>
      <w:r w:rsidR="0036762A" w:rsidRPr="00C179D4">
        <w:rPr>
          <w:rFonts w:asciiTheme="minorHAnsi" w:hAnsiTheme="minorHAnsi" w:cstheme="minorHAnsi"/>
          <w:color w:val="000000" w:themeColor="text1"/>
        </w:rPr>
        <w:t>AMPAkines</w:t>
      </w:r>
      <w:proofErr w:type="spellEnd"/>
      <w:r w:rsidR="0036762A" w:rsidRPr="00C179D4">
        <w:rPr>
          <w:rFonts w:asciiTheme="minorHAnsi" w:hAnsiTheme="minorHAnsi" w:cstheme="minorHAnsi"/>
          <w:color w:val="000000" w:themeColor="text1"/>
        </w:rPr>
        <w:t xml:space="preserve"> and morphine provide complementary analgesia. </w:t>
      </w:r>
      <w:proofErr w:type="spellStart"/>
      <w:r w:rsidR="0036762A" w:rsidRPr="006E34F4">
        <w:rPr>
          <w:rFonts w:asciiTheme="minorHAnsi" w:hAnsiTheme="minorHAnsi" w:cstheme="minorHAnsi"/>
          <w:i/>
          <w:color w:val="000000" w:themeColor="text1"/>
        </w:rPr>
        <w:t>Behavioural</w:t>
      </w:r>
      <w:proofErr w:type="spellEnd"/>
      <w:r w:rsidR="0036762A" w:rsidRPr="006E34F4">
        <w:rPr>
          <w:rFonts w:asciiTheme="minorHAnsi" w:hAnsiTheme="minorHAnsi" w:cstheme="minorHAnsi"/>
          <w:i/>
          <w:color w:val="000000" w:themeColor="text1"/>
        </w:rPr>
        <w:t xml:space="preserve"> Brain Research</w:t>
      </w:r>
      <w:r w:rsidR="00911243" w:rsidRPr="00C179D4">
        <w:rPr>
          <w:rFonts w:asciiTheme="minorHAnsi" w:hAnsiTheme="minorHAnsi" w:cstheme="minorHAnsi"/>
          <w:color w:val="000000" w:themeColor="text1"/>
        </w:rPr>
        <w:t>,</w:t>
      </w:r>
      <w:r w:rsidR="0036762A" w:rsidRPr="00C179D4">
        <w:rPr>
          <w:rFonts w:asciiTheme="minorHAnsi" w:hAnsiTheme="minorHAnsi" w:cstheme="minorHAnsi"/>
          <w:color w:val="000000" w:themeColor="text1"/>
        </w:rPr>
        <w:t xml:space="preserve"> </w:t>
      </w:r>
      <w:r w:rsidR="0036762A" w:rsidRPr="006E34F4">
        <w:rPr>
          <w:rFonts w:asciiTheme="minorHAnsi" w:hAnsiTheme="minorHAnsi" w:cstheme="minorHAnsi"/>
          <w:b/>
          <w:color w:val="000000" w:themeColor="text1"/>
        </w:rPr>
        <w:t>334</w:t>
      </w:r>
      <w:r w:rsidR="0036762A" w:rsidRPr="00C179D4">
        <w:rPr>
          <w:rFonts w:asciiTheme="minorHAnsi" w:hAnsiTheme="minorHAnsi" w:cstheme="minorHAnsi"/>
          <w:color w:val="000000" w:themeColor="text1"/>
        </w:rPr>
        <w:t xml:space="preserve"> (2017)</w:t>
      </w:r>
      <w:r w:rsidR="006E34F4">
        <w:rPr>
          <w:rFonts w:asciiTheme="minorHAnsi" w:hAnsiTheme="minorHAnsi" w:cstheme="minorHAnsi"/>
          <w:color w:val="000000" w:themeColor="text1"/>
        </w:rPr>
        <w:t>,</w:t>
      </w:r>
      <w:r w:rsidR="0036762A" w:rsidRPr="00C179D4">
        <w:rPr>
          <w:rFonts w:asciiTheme="minorHAnsi" w:hAnsiTheme="minorHAnsi" w:cstheme="minorHAnsi"/>
          <w:color w:val="000000" w:themeColor="text1"/>
        </w:rPr>
        <w:t xml:space="preserve"> 1-5</w:t>
      </w:r>
      <w:r w:rsidR="00911243" w:rsidRPr="00C179D4">
        <w:rPr>
          <w:rFonts w:asciiTheme="minorHAnsi" w:hAnsiTheme="minorHAnsi" w:cstheme="minorHAnsi"/>
          <w:color w:val="000000" w:themeColor="text1"/>
        </w:rPr>
        <w:t xml:space="preserve"> (2017).</w:t>
      </w:r>
    </w:p>
    <w:p w14:paraId="7CC730B0" w14:textId="14A99622" w:rsidR="009F71F4" w:rsidRPr="00C179D4" w:rsidRDefault="009F71F4" w:rsidP="00C179D4">
      <w:pPr>
        <w:rPr>
          <w:rFonts w:asciiTheme="minorHAnsi" w:hAnsiTheme="minorHAnsi" w:cstheme="minorHAnsi"/>
          <w:color w:val="000000" w:themeColor="text1"/>
        </w:rPr>
      </w:pPr>
    </w:p>
    <w:sectPr w:rsidR="009F71F4" w:rsidRPr="00C179D4" w:rsidSect="003D06AB">
      <w:headerReference w:type="default" r:id="rId8"/>
      <w:footerReference w:type="first" r:id="rId9"/>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E5198E" w14:textId="77777777" w:rsidR="00C377A8" w:rsidRDefault="00C377A8" w:rsidP="00621C4E">
      <w:r>
        <w:separator/>
      </w:r>
    </w:p>
  </w:endnote>
  <w:endnote w:type="continuationSeparator" w:id="0">
    <w:p w14:paraId="57C2532E" w14:textId="77777777" w:rsidR="00C377A8" w:rsidRDefault="00C377A8"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074C51" w:rsidRDefault="00074C51"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32E413" w14:textId="77777777" w:rsidR="00C377A8" w:rsidRDefault="00C377A8" w:rsidP="00621C4E">
      <w:r>
        <w:separator/>
      </w:r>
    </w:p>
  </w:footnote>
  <w:footnote w:type="continuationSeparator" w:id="0">
    <w:p w14:paraId="6D3E70EF" w14:textId="77777777" w:rsidR="00C377A8" w:rsidRDefault="00C377A8"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074C51" w:rsidRPr="006F06E4" w:rsidRDefault="00074C51" w:rsidP="00621C4E">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D43F82"/>
    <w:multiLevelType w:val="multilevel"/>
    <w:tmpl w:val="F2BA7D20"/>
    <w:lvl w:ilvl="0">
      <w:start w:val="1"/>
      <w:numFmt w:val="decimal"/>
      <w:lvlRestart w:val="0"/>
      <w:suff w:val="space"/>
      <w:lvlText w:val="%1."/>
      <w:lvlJc w:val="left"/>
      <w:pPr>
        <w:ind w:left="0" w:firstLine="0"/>
      </w:pPr>
      <w:rPr>
        <w:rFonts w:hint="default"/>
        <w:b/>
      </w:rPr>
    </w:lvl>
    <w:lvl w:ilvl="1">
      <w:start w:val="1"/>
      <w:numFmt w:val="decimal"/>
      <w:suff w:val="space"/>
      <w:lvlText w:val="%1.%2."/>
      <w:lvlJc w:val="left"/>
      <w:pPr>
        <w:ind w:left="0" w:firstLine="0"/>
      </w:pPr>
      <w:rPr>
        <w:rFonts w:hint="default"/>
        <w:color w:val="000000" w:themeColor="text1"/>
      </w:rPr>
    </w:lvl>
    <w:lvl w:ilvl="2">
      <w:start w:val="1"/>
      <w:numFmt w:val="decimal"/>
      <w:suff w:val="space"/>
      <w:lvlText w:val="%1.%2.%3."/>
      <w:lvlJc w:val="left"/>
      <w:pPr>
        <w:ind w:left="0" w:firstLine="0"/>
      </w:pPr>
      <w:rPr>
        <w:rFonts w:hint="default"/>
        <w:color w:val="auto"/>
      </w:rPr>
    </w:lvl>
    <w:lvl w:ilvl="3">
      <w:start w:val="1"/>
      <w:numFmt w:val="decimal"/>
      <w:suff w:val="space"/>
      <w:lvlText w:val="%1.%2.%3.%4."/>
      <w:lvlJc w:val="left"/>
      <w:pPr>
        <w:ind w:left="0" w:firstLine="0"/>
      </w:pPr>
      <w:rPr>
        <w:rFonts w:hint="default"/>
        <w:color w:val="auto"/>
      </w:rPr>
    </w:lvl>
    <w:lvl w:ilvl="4">
      <w:start w:val="1"/>
      <w:numFmt w:val="decimal"/>
      <w:suff w:val="space"/>
      <w:lvlText w:val="%1.%2.%3.%4.%5."/>
      <w:lvlJc w:val="left"/>
      <w:pPr>
        <w:ind w:left="0" w:firstLine="0"/>
      </w:pPr>
      <w:rPr>
        <w:rFonts w:hint="default"/>
        <w:color w:val="auto"/>
      </w:rPr>
    </w:lvl>
    <w:lvl w:ilvl="5">
      <w:start w:val="1"/>
      <w:numFmt w:val="decimal"/>
      <w:suff w:val="space"/>
      <w:lvlText w:val="%1.%2.%3.%4.%5.%6."/>
      <w:lvlJc w:val="left"/>
      <w:pPr>
        <w:ind w:left="0" w:firstLine="0"/>
      </w:pPr>
      <w:rPr>
        <w:rFonts w:hint="default"/>
        <w:color w:val="auto"/>
      </w:rPr>
    </w:lvl>
    <w:lvl w:ilvl="6">
      <w:start w:val="1"/>
      <w:numFmt w:val="decimal"/>
      <w:suff w:val="space"/>
      <w:lvlText w:val="%1.%2.%3.%4.%5.%6.%7."/>
      <w:lvlJc w:val="left"/>
      <w:pPr>
        <w:ind w:left="0" w:firstLine="0"/>
      </w:pPr>
      <w:rPr>
        <w:rFonts w:hint="default"/>
        <w:color w:val="auto"/>
      </w:rPr>
    </w:lvl>
    <w:lvl w:ilvl="7">
      <w:start w:val="1"/>
      <w:numFmt w:val="decimal"/>
      <w:suff w:val="space"/>
      <w:lvlText w:val="%1.%2.%3.%4.%5.%6.%7.%8."/>
      <w:lvlJc w:val="left"/>
      <w:pPr>
        <w:ind w:left="0" w:firstLine="0"/>
      </w:pPr>
      <w:rPr>
        <w:rFonts w:hint="default"/>
        <w:color w:val="auto"/>
      </w:rPr>
    </w:lvl>
    <w:lvl w:ilvl="8">
      <w:start w:val="1"/>
      <w:numFmt w:val="decimal"/>
      <w:suff w:val="space"/>
      <w:lvlText w:val="%1.%2.%3.%4.%5.%6.%7.%8.%9."/>
      <w:lvlJc w:val="left"/>
      <w:pPr>
        <w:ind w:left="0" w:firstLine="0"/>
      </w:pPr>
      <w:rPr>
        <w:rFonts w:hint="default"/>
        <w:color w:val="auto"/>
      </w:r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711E35"/>
    <w:multiLevelType w:val="multilevel"/>
    <w:tmpl w:val="27D0E1BC"/>
    <w:lvl w:ilvl="0">
      <w:start w:val="3"/>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79530D"/>
    <w:multiLevelType w:val="multilevel"/>
    <w:tmpl w:val="B76AFE72"/>
    <w:lvl w:ilvl="0">
      <w:start w:val="3"/>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3"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4" w15:restartNumberingAfterBreak="0">
    <w:nsid w:val="4B344ECB"/>
    <w:multiLevelType w:val="multilevel"/>
    <w:tmpl w:val="221E3158"/>
    <w:lvl w:ilvl="0">
      <w:start w:val="3"/>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D34793"/>
    <w:multiLevelType w:val="multilevel"/>
    <w:tmpl w:val="2A88F318"/>
    <w:lvl w:ilvl="0">
      <w:start w:val="3"/>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1DB1E47"/>
    <w:multiLevelType w:val="multilevel"/>
    <w:tmpl w:val="813EAFC2"/>
    <w:lvl w:ilvl="0">
      <w:start w:val="3"/>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5A331C3"/>
    <w:multiLevelType w:val="multilevel"/>
    <w:tmpl w:val="6204D29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8"/>
  </w:num>
  <w:num w:numId="3">
    <w:abstractNumId w:val="4"/>
  </w:num>
  <w:num w:numId="4">
    <w:abstractNumId w:val="16"/>
  </w:num>
  <w:num w:numId="5">
    <w:abstractNumId w:val="9"/>
  </w:num>
  <w:num w:numId="6">
    <w:abstractNumId w:val="15"/>
  </w:num>
  <w:num w:numId="7">
    <w:abstractNumId w:val="0"/>
  </w:num>
  <w:num w:numId="8">
    <w:abstractNumId w:val="10"/>
  </w:num>
  <w:num w:numId="9">
    <w:abstractNumId w:val="11"/>
  </w:num>
  <w:num w:numId="10">
    <w:abstractNumId w:val="17"/>
  </w:num>
  <w:num w:numId="11">
    <w:abstractNumId w:val="22"/>
  </w:num>
  <w:num w:numId="12">
    <w:abstractNumId w:val="1"/>
  </w:num>
  <w:num w:numId="13">
    <w:abstractNumId w:val="19"/>
  </w:num>
  <w:num w:numId="14">
    <w:abstractNumId w:val="27"/>
  </w:num>
  <w:num w:numId="15">
    <w:abstractNumId w:val="12"/>
  </w:num>
  <w:num w:numId="16">
    <w:abstractNumId w:val="8"/>
  </w:num>
  <w:num w:numId="17">
    <w:abstractNumId w:val="21"/>
  </w:num>
  <w:num w:numId="18">
    <w:abstractNumId w:val="13"/>
  </w:num>
  <w:num w:numId="19">
    <w:abstractNumId w:val="23"/>
  </w:num>
  <w:num w:numId="20">
    <w:abstractNumId w:val="2"/>
  </w:num>
  <w:num w:numId="21">
    <w:abstractNumId w:val="24"/>
  </w:num>
  <w:num w:numId="22">
    <w:abstractNumId w:val="3"/>
  </w:num>
  <w:num w:numId="23">
    <w:abstractNumId w:val="26"/>
  </w:num>
  <w:num w:numId="24">
    <w:abstractNumId w:val="25"/>
  </w:num>
  <w:num w:numId="25">
    <w:abstractNumId w:val="6"/>
  </w:num>
  <w:num w:numId="26">
    <w:abstractNumId w:val="14"/>
  </w:num>
  <w:num w:numId="27">
    <w:abstractNumId w:val="7"/>
  </w:num>
  <w:num w:numId="28">
    <w:abstractNumId w:val="2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atur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pfrr9af8zx9r1ed00ppfpsy2rvxz9fss59v&quot;&gt;pain and depression&lt;record-ids&gt;&lt;item&gt;2049&lt;/item&gt;&lt;item&gt;2050&lt;/item&gt;&lt;/record-ids&gt;&lt;/item&gt;&lt;/Libraries&gt;"/>
  </w:docVars>
  <w:rsids>
    <w:rsidRoot w:val="00EE705F"/>
    <w:rsid w:val="00001169"/>
    <w:rsid w:val="00001806"/>
    <w:rsid w:val="00005595"/>
    <w:rsid w:val="00005815"/>
    <w:rsid w:val="00007DBC"/>
    <w:rsid w:val="00007EA1"/>
    <w:rsid w:val="000100F0"/>
    <w:rsid w:val="00012FF9"/>
    <w:rsid w:val="00014314"/>
    <w:rsid w:val="00021434"/>
    <w:rsid w:val="00021774"/>
    <w:rsid w:val="00021DF3"/>
    <w:rsid w:val="00023869"/>
    <w:rsid w:val="00024598"/>
    <w:rsid w:val="00032769"/>
    <w:rsid w:val="00033A04"/>
    <w:rsid w:val="000358A4"/>
    <w:rsid w:val="00037B58"/>
    <w:rsid w:val="00041383"/>
    <w:rsid w:val="00043790"/>
    <w:rsid w:val="00051B73"/>
    <w:rsid w:val="00055514"/>
    <w:rsid w:val="00060ABE"/>
    <w:rsid w:val="00061A50"/>
    <w:rsid w:val="00061F58"/>
    <w:rsid w:val="00064104"/>
    <w:rsid w:val="00066025"/>
    <w:rsid w:val="000701D1"/>
    <w:rsid w:val="00074C51"/>
    <w:rsid w:val="00075F51"/>
    <w:rsid w:val="00076419"/>
    <w:rsid w:val="00080A20"/>
    <w:rsid w:val="00082796"/>
    <w:rsid w:val="00087183"/>
    <w:rsid w:val="00087C0A"/>
    <w:rsid w:val="0009028C"/>
    <w:rsid w:val="00093BC4"/>
    <w:rsid w:val="000967EE"/>
    <w:rsid w:val="00097929"/>
    <w:rsid w:val="000A1E80"/>
    <w:rsid w:val="000A3B70"/>
    <w:rsid w:val="000A5153"/>
    <w:rsid w:val="000A7708"/>
    <w:rsid w:val="000B051A"/>
    <w:rsid w:val="000B10AE"/>
    <w:rsid w:val="000B30BF"/>
    <w:rsid w:val="000B566B"/>
    <w:rsid w:val="000B662E"/>
    <w:rsid w:val="000B7294"/>
    <w:rsid w:val="000B75D0"/>
    <w:rsid w:val="000B7882"/>
    <w:rsid w:val="000B7CD3"/>
    <w:rsid w:val="000C13D7"/>
    <w:rsid w:val="000C1CF8"/>
    <w:rsid w:val="000C2372"/>
    <w:rsid w:val="000C49CF"/>
    <w:rsid w:val="000C52E9"/>
    <w:rsid w:val="000C5CDC"/>
    <w:rsid w:val="000C65DC"/>
    <w:rsid w:val="000C66F3"/>
    <w:rsid w:val="000C6900"/>
    <w:rsid w:val="000D31E8"/>
    <w:rsid w:val="000D39D5"/>
    <w:rsid w:val="000D76E4"/>
    <w:rsid w:val="000E2595"/>
    <w:rsid w:val="000E3816"/>
    <w:rsid w:val="000E4F77"/>
    <w:rsid w:val="000E62DD"/>
    <w:rsid w:val="000E6744"/>
    <w:rsid w:val="000E67A0"/>
    <w:rsid w:val="000E7FD5"/>
    <w:rsid w:val="000F243C"/>
    <w:rsid w:val="000F265C"/>
    <w:rsid w:val="000F3AFA"/>
    <w:rsid w:val="000F5712"/>
    <w:rsid w:val="000F6611"/>
    <w:rsid w:val="000F7E22"/>
    <w:rsid w:val="0010184B"/>
    <w:rsid w:val="001104F3"/>
    <w:rsid w:val="00112EEB"/>
    <w:rsid w:val="00112F38"/>
    <w:rsid w:val="0012563A"/>
    <w:rsid w:val="001313A7"/>
    <w:rsid w:val="00131927"/>
    <w:rsid w:val="0013276F"/>
    <w:rsid w:val="001331CC"/>
    <w:rsid w:val="0013621E"/>
    <w:rsid w:val="0013642E"/>
    <w:rsid w:val="00152A23"/>
    <w:rsid w:val="00155E55"/>
    <w:rsid w:val="00162CB7"/>
    <w:rsid w:val="00171E5B"/>
    <w:rsid w:val="00171F94"/>
    <w:rsid w:val="00173EAB"/>
    <w:rsid w:val="00175D4E"/>
    <w:rsid w:val="0017668A"/>
    <w:rsid w:val="001766FE"/>
    <w:rsid w:val="001771E7"/>
    <w:rsid w:val="001911FF"/>
    <w:rsid w:val="00192006"/>
    <w:rsid w:val="00193180"/>
    <w:rsid w:val="00197D00"/>
    <w:rsid w:val="001B0E9B"/>
    <w:rsid w:val="001B1519"/>
    <w:rsid w:val="001B2E2D"/>
    <w:rsid w:val="001B3C40"/>
    <w:rsid w:val="001B5CD2"/>
    <w:rsid w:val="001C07F8"/>
    <w:rsid w:val="001C0BEE"/>
    <w:rsid w:val="001C1E49"/>
    <w:rsid w:val="001C2A98"/>
    <w:rsid w:val="001D3D7D"/>
    <w:rsid w:val="001D3FFF"/>
    <w:rsid w:val="001D625F"/>
    <w:rsid w:val="001D7576"/>
    <w:rsid w:val="001E14A0"/>
    <w:rsid w:val="001E2BB8"/>
    <w:rsid w:val="001E7376"/>
    <w:rsid w:val="001F225C"/>
    <w:rsid w:val="001F36B7"/>
    <w:rsid w:val="001F3D62"/>
    <w:rsid w:val="00201CFA"/>
    <w:rsid w:val="0020220D"/>
    <w:rsid w:val="00202448"/>
    <w:rsid w:val="00202D15"/>
    <w:rsid w:val="002127B2"/>
    <w:rsid w:val="00212EAE"/>
    <w:rsid w:val="002145C4"/>
    <w:rsid w:val="00214BEE"/>
    <w:rsid w:val="002205B8"/>
    <w:rsid w:val="0022134A"/>
    <w:rsid w:val="00225720"/>
    <w:rsid w:val="002259E5"/>
    <w:rsid w:val="00226140"/>
    <w:rsid w:val="002274F3"/>
    <w:rsid w:val="0023094C"/>
    <w:rsid w:val="00234BE3"/>
    <w:rsid w:val="00235A90"/>
    <w:rsid w:val="00240828"/>
    <w:rsid w:val="00241E48"/>
    <w:rsid w:val="0024214E"/>
    <w:rsid w:val="00242597"/>
    <w:rsid w:val="00242623"/>
    <w:rsid w:val="00250558"/>
    <w:rsid w:val="00251CD1"/>
    <w:rsid w:val="00260652"/>
    <w:rsid w:val="00261F25"/>
    <w:rsid w:val="002648A9"/>
    <w:rsid w:val="0026536F"/>
    <w:rsid w:val="0026553C"/>
    <w:rsid w:val="00267799"/>
    <w:rsid w:val="00267DD5"/>
    <w:rsid w:val="002718EA"/>
    <w:rsid w:val="00274A0A"/>
    <w:rsid w:val="0027525D"/>
    <w:rsid w:val="0027700E"/>
    <w:rsid w:val="00277593"/>
    <w:rsid w:val="00280918"/>
    <w:rsid w:val="00282AF6"/>
    <w:rsid w:val="0028355B"/>
    <w:rsid w:val="00287085"/>
    <w:rsid w:val="00290AF9"/>
    <w:rsid w:val="00294583"/>
    <w:rsid w:val="002967CF"/>
    <w:rsid w:val="00297788"/>
    <w:rsid w:val="002A0DC2"/>
    <w:rsid w:val="002A0F05"/>
    <w:rsid w:val="002A484B"/>
    <w:rsid w:val="002A64A6"/>
    <w:rsid w:val="002B724C"/>
    <w:rsid w:val="002C3C9B"/>
    <w:rsid w:val="002C47D4"/>
    <w:rsid w:val="002C7815"/>
    <w:rsid w:val="002D0F38"/>
    <w:rsid w:val="002D2686"/>
    <w:rsid w:val="002D77E3"/>
    <w:rsid w:val="002E6580"/>
    <w:rsid w:val="002F2859"/>
    <w:rsid w:val="002F63C6"/>
    <w:rsid w:val="002F6E3C"/>
    <w:rsid w:val="00300387"/>
    <w:rsid w:val="0030117D"/>
    <w:rsid w:val="00301F30"/>
    <w:rsid w:val="0030309F"/>
    <w:rsid w:val="00303C87"/>
    <w:rsid w:val="003108E5"/>
    <w:rsid w:val="00311409"/>
    <w:rsid w:val="003120CB"/>
    <w:rsid w:val="0031338B"/>
    <w:rsid w:val="00320153"/>
    <w:rsid w:val="00320367"/>
    <w:rsid w:val="00320565"/>
    <w:rsid w:val="00321551"/>
    <w:rsid w:val="00322871"/>
    <w:rsid w:val="00323E2F"/>
    <w:rsid w:val="00324761"/>
    <w:rsid w:val="00326FB3"/>
    <w:rsid w:val="00330AC6"/>
    <w:rsid w:val="003316D4"/>
    <w:rsid w:val="00333822"/>
    <w:rsid w:val="00336715"/>
    <w:rsid w:val="00340DFD"/>
    <w:rsid w:val="00344954"/>
    <w:rsid w:val="00345A10"/>
    <w:rsid w:val="00350A10"/>
    <w:rsid w:val="00350CD7"/>
    <w:rsid w:val="0035119D"/>
    <w:rsid w:val="00360C17"/>
    <w:rsid w:val="003621C6"/>
    <w:rsid w:val="003622B8"/>
    <w:rsid w:val="00366B76"/>
    <w:rsid w:val="0036762A"/>
    <w:rsid w:val="00373051"/>
    <w:rsid w:val="00373B8F"/>
    <w:rsid w:val="003746A8"/>
    <w:rsid w:val="00376D95"/>
    <w:rsid w:val="00377FBB"/>
    <w:rsid w:val="00385140"/>
    <w:rsid w:val="003862C5"/>
    <w:rsid w:val="00386D5F"/>
    <w:rsid w:val="00387D5D"/>
    <w:rsid w:val="003A16FC"/>
    <w:rsid w:val="003A4FCD"/>
    <w:rsid w:val="003B0944"/>
    <w:rsid w:val="003B0B6A"/>
    <w:rsid w:val="003B1593"/>
    <w:rsid w:val="003B3946"/>
    <w:rsid w:val="003B4381"/>
    <w:rsid w:val="003B7BBA"/>
    <w:rsid w:val="003C1043"/>
    <w:rsid w:val="003C1A30"/>
    <w:rsid w:val="003C1F02"/>
    <w:rsid w:val="003C6779"/>
    <w:rsid w:val="003C713F"/>
    <w:rsid w:val="003D06AB"/>
    <w:rsid w:val="003D0E20"/>
    <w:rsid w:val="003D2998"/>
    <w:rsid w:val="003D2F0A"/>
    <w:rsid w:val="003D3891"/>
    <w:rsid w:val="003D5D84"/>
    <w:rsid w:val="003D6B9F"/>
    <w:rsid w:val="003E02F0"/>
    <w:rsid w:val="003E0F4F"/>
    <w:rsid w:val="003E18AC"/>
    <w:rsid w:val="003E210B"/>
    <w:rsid w:val="003E2A12"/>
    <w:rsid w:val="003E3384"/>
    <w:rsid w:val="003E548E"/>
    <w:rsid w:val="003E6D3B"/>
    <w:rsid w:val="003E70C6"/>
    <w:rsid w:val="003F0264"/>
    <w:rsid w:val="003F4A06"/>
    <w:rsid w:val="00400E53"/>
    <w:rsid w:val="004056FD"/>
    <w:rsid w:val="00410157"/>
    <w:rsid w:val="004128CE"/>
    <w:rsid w:val="0041392C"/>
    <w:rsid w:val="0041433F"/>
    <w:rsid w:val="004148E1"/>
    <w:rsid w:val="00414CFA"/>
    <w:rsid w:val="00416BCD"/>
    <w:rsid w:val="00420BE9"/>
    <w:rsid w:val="00423AD8"/>
    <w:rsid w:val="00424C85"/>
    <w:rsid w:val="0042601B"/>
    <w:rsid w:val="004260BD"/>
    <w:rsid w:val="0043012F"/>
    <w:rsid w:val="00430F1F"/>
    <w:rsid w:val="004326EA"/>
    <w:rsid w:val="0044434C"/>
    <w:rsid w:val="0044456B"/>
    <w:rsid w:val="00447BD1"/>
    <w:rsid w:val="004507F3"/>
    <w:rsid w:val="00450AF4"/>
    <w:rsid w:val="0046222C"/>
    <w:rsid w:val="004648DE"/>
    <w:rsid w:val="004671C7"/>
    <w:rsid w:val="00472F4D"/>
    <w:rsid w:val="004730BF"/>
    <w:rsid w:val="00474CFC"/>
    <w:rsid w:val="00474DCB"/>
    <w:rsid w:val="0047535C"/>
    <w:rsid w:val="00483CCA"/>
    <w:rsid w:val="00485870"/>
    <w:rsid w:val="00485FE8"/>
    <w:rsid w:val="00490FF6"/>
    <w:rsid w:val="0049261D"/>
    <w:rsid w:val="00492EB5"/>
    <w:rsid w:val="00494F77"/>
    <w:rsid w:val="00497721"/>
    <w:rsid w:val="004A0229"/>
    <w:rsid w:val="004A110C"/>
    <w:rsid w:val="004A35D2"/>
    <w:rsid w:val="004A71E4"/>
    <w:rsid w:val="004B00B3"/>
    <w:rsid w:val="004B22B5"/>
    <w:rsid w:val="004B2F00"/>
    <w:rsid w:val="004B6E31"/>
    <w:rsid w:val="004C1D66"/>
    <w:rsid w:val="004C31D7"/>
    <w:rsid w:val="004C4AD2"/>
    <w:rsid w:val="004C7D57"/>
    <w:rsid w:val="004D1F21"/>
    <w:rsid w:val="004D3F92"/>
    <w:rsid w:val="004D59D8"/>
    <w:rsid w:val="004D5DA1"/>
    <w:rsid w:val="004E150F"/>
    <w:rsid w:val="004E1DCA"/>
    <w:rsid w:val="004E23A1"/>
    <w:rsid w:val="004E3489"/>
    <w:rsid w:val="004E358A"/>
    <w:rsid w:val="004E3AFA"/>
    <w:rsid w:val="004E6588"/>
    <w:rsid w:val="004F1C9B"/>
    <w:rsid w:val="00502A0A"/>
    <w:rsid w:val="005031A8"/>
    <w:rsid w:val="00504D43"/>
    <w:rsid w:val="00507848"/>
    <w:rsid w:val="00507C50"/>
    <w:rsid w:val="00511BAB"/>
    <w:rsid w:val="00517C3A"/>
    <w:rsid w:val="00527BF4"/>
    <w:rsid w:val="005324BE"/>
    <w:rsid w:val="00534F6C"/>
    <w:rsid w:val="00535994"/>
    <w:rsid w:val="0053646D"/>
    <w:rsid w:val="005377B8"/>
    <w:rsid w:val="00540AAD"/>
    <w:rsid w:val="00543EC1"/>
    <w:rsid w:val="00544F26"/>
    <w:rsid w:val="00546458"/>
    <w:rsid w:val="0055087C"/>
    <w:rsid w:val="00553413"/>
    <w:rsid w:val="005536A2"/>
    <w:rsid w:val="00560097"/>
    <w:rsid w:val="00560E31"/>
    <w:rsid w:val="0056557A"/>
    <w:rsid w:val="00573178"/>
    <w:rsid w:val="00574DA4"/>
    <w:rsid w:val="00576866"/>
    <w:rsid w:val="0058103A"/>
    <w:rsid w:val="00581B23"/>
    <w:rsid w:val="0058219C"/>
    <w:rsid w:val="0058707F"/>
    <w:rsid w:val="005931FE"/>
    <w:rsid w:val="00597098"/>
    <w:rsid w:val="005976F7"/>
    <w:rsid w:val="005A56CA"/>
    <w:rsid w:val="005B0072"/>
    <w:rsid w:val="005B0732"/>
    <w:rsid w:val="005B38A0"/>
    <w:rsid w:val="005B491C"/>
    <w:rsid w:val="005B4DBF"/>
    <w:rsid w:val="005B5DE2"/>
    <w:rsid w:val="005B6660"/>
    <w:rsid w:val="005B674C"/>
    <w:rsid w:val="005C32A3"/>
    <w:rsid w:val="005C7561"/>
    <w:rsid w:val="005D1E57"/>
    <w:rsid w:val="005D2444"/>
    <w:rsid w:val="005D2F57"/>
    <w:rsid w:val="005D34F6"/>
    <w:rsid w:val="005D4F1A"/>
    <w:rsid w:val="005E117F"/>
    <w:rsid w:val="005E1884"/>
    <w:rsid w:val="005E1B58"/>
    <w:rsid w:val="005F2CED"/>
    <w:rsid w:val="005F373A"/>
    <w:rsid w:val="005F4F87"/>
    <w:rsid w:val="005F5E8C"/>
    <w:rsid w:val="005F6B0E"/>
    <w:rsid w:val="005F760E"/>
    <w:rsid w:val="005F7B1D"/>
    <w:rsid w:val="005F7B59"/>
    <w:rsid w:val="0060222A"/>
    <w:rsid w:val="006039D4"/>
    <w:rsid w:val="00610C21"/>
    <w:rsid w:val="00611907"/>
    <w:rsid w:val="00613116"/>
    <w:rsid w:val="0061406A"/>
    <w:rsid w:val="006202A6"/>
    <w:rsid w:val="0062054B"/>
    <w:rsid w:val="00621C4E"/>
    <w:rsid w:val="00624EAE"/>
    <w:rsid w:val="006305D7"/>
    <w:rsid w:val="00630D10"/>
    <w:rsid w:val="00632104"/>
    <w:rsid w:val="00633A01"/>
    <w:rsid w:val="00633B97"/>
    <w:rsid w:val="006341F7"/>
    <w:rsid w:val="00635014"/>
    <w:rsid w:val="0063652A"/>
    <w:rsid w:val="006369CE"/>
    <w:rsid w:val="006411CA"/>
    <w:rsid w:val="00644628"/>
    <w:rsid w:val="0064649A"/>
    <w:rsid w:val="0065089D"/>
    <w:rsid w:val="00660799"/>
    <w:rsid w:val="006619C8"/>
    <w:rsid w:val="00667B67"/>
    <w:rsid w:val="00671710"/>
    <w:rsid w:val="00673414"/>
    <w:rsid w:val="00676079"/>
    <w:rsid w:val="00676ECD"/>
    <w:rsid w:val="00677D0A"/>
    <w:rsid w:val="0068185F"/>
    <w:rsid w:val="00683ACA"/>
    <w:rsid w:val="0068650A"/>
    <w:rsid w:val="006879DD"/>
    <w:rsid w:val="006A01CF"/>
    <w:rsid w:val="006A1D2F"/>
    <w:rsid w:val="006A60DD"/>
    <w:rsid w:val="006B074C"/>
    <w:rsid w:val="006B20E8"/>
    <w:rsid w:val="006B3B84"/>
    <w:rsid w:val="006B4E7C"/>
    <w:rsid w:val="006B5D8C"/>
    <w:rsid w:val="006B72D4"/>
    <w:rsid w:val="006C0312"/>
    <w:rsid w:val="006C11CC"/>
    <w:rsid w:val="006C172D"/>
    <w:rsid w:val="006C1AEB"/>
    <w:rsid w:val="006C57FE"/>
    <w:rsid w:val="006E34F4"/>
    <w:rsid w:val="006E4B63"/>
    <w:rsid w:val="006E7A1A"/>
    <w:rsid w:val="006F06E4"/>
    <w:rsid w:val="006F4426"/>
    <w:rsid w:val="006F7B41"/>
    <w:rsid w:val="00702B5D"/>
    <w:rsid w:val="00703ED2"/>
    <w:rsid w:val="007041DD"/>
    <w:rsid w:val="00707044"/>
    <w:rsid w:val="00707B8D"/>
    <w:rsid w:val="00713636"/>
    <w:rsid w:val="00714B8C"/>
    <w:rsid w:val="0071675D"/>
    <w:rsid w:val="00724BE0"/>
    <w:rsid w:val="00726C48"/>
    <w:rsid w:val="00733353"/>
    <w:rsid w:val="00735CF5"/>
    <w:rsid w:val="0074063A"/>
    <w:rsid w:val="00742AA4"/>
    <w:rsid w:val="00743BA1"/>
    <w:rsid w:val="00745F1E"/>
    <w:rsid w:val="007502AE"/>
    <w:rsid w:val="007515FE"/>
    <w:rsid w:val="007531AE"/>
    <w:rsid w:val="007601D0"/>
    <w:rsid w:val="0076109D"/>
    <w:rsid w:val="007619D4"/>
    <w:rsid w:val="00763C73"/>
    <w:rsid w:val="0076525C"/>
    <w:rsid w:val="00767107"/>
    <w:rsid w:val="007701C9"/>
    <w:rsid w:val="007701F9"/>
    <w:rsid w:val="00771301"/>
    <w:rsid w:val="00773BFD"/>
    <w:rsid w:val="007743B3"/>
    <w:rsid w:val="00774490"/>
    <w:rsid w:val="007770C9"/>
    <w:rsid w:val="007770EB"/>
    <w:rsid w:val="007819FF"/>
    <w:rsid w:val="00784A4C"/>
    <w:rsid w:val="00784BC6"/>
    <w:rsid w:val="00784CB3"/>
    <w:rsid w:val="0078523D"/>
    <w:rsid w:val="00792431"/>
    <w:rsid w:val="007931DF"/>
    <w:rsid w:val="00796559"/>
    <w:rsid w:val="007A0172"/>
    <w:rsid w:val="007A2511"/>
    <w:rsid w:val="007A260E"/>
    <w:rsid w:val="007A2D31"/>
    <w:rsid w:val="007A4D4C"/>
    <w:rsid w:val="007A4DD6"/>
    <w:rsid w:val="007A5CB9"/>
    <w:rsid w:val="007B6B07"/>
    <w:rsid w:val="007B6D43"/>
    <w:rsid w:val="007B749A"/>
    <w:rsid w:val="007B7C6E"/>
    <w:rsid w:val="007C1941"/>
    <w:rsid w:val="007C54D3"/>
    <w:rsid w:val="007D44D7"/>
    <w:rsid w:val="007D621A"/>
    <w:rsid w:val="007E058A"/>
    <w:rsid w:val="007E2887"/>
    <w:rsid w:val="007E40AE"/>
    <w:rsid w:val="007E5278"/>
    <w:rsid w:val="007E749C"/>
    <w:rsid w:val="007F1B5C"/>
    <w:rsid w:val="007F1BE4"/>
    <w:rsid w:val="007F6E99"/>
    <w:rsid w:val="00801257"/>
    <w:rsid w:val="00803733"/>
    <w:rsid w:val="00803B0A"/>
    <w:rsid w:val="00804DED"/>
    <w:rsid w:val="00805B96"/>
    <w:rsid w:val="008105BE"/>
    <w:rsid w:val="008115A5"/>
    <w:rsid w:val="00811D46"/>
    <w:rsid w:val="0081415D"/>
    <w:rsid w:val="00816C6F"/>
    <w:rsid w:val="00820229"/>
    <w:rsid w:val="00822448"/>
    <w:rsid w:val="00822ABE"/>
    <w:rsid w:val="008244D1"/>
    <w:rsid w:val="00826DAF"/>
    <w:rsid w:val="00827F51"/>
    <w:rsid w:val="0083104E"/>
    <w:rsid w:val="008343BE"/>
    <w:rsid w:val="00835902"/>
    <w:rsid w:val="00840FB4"/>
    <w:rsid w:val="008410B2"/>
    <w:rsid w:val="008500A0"/>
    <w:rsid w:val="008524E5"/>
    <w:rsid w:val="0085351C"/>
    <w:rsid w:val="008549CA"/>
    <w:rsid w:val="008556C3"/>
    <w:rsid w:val="00855FD9"/>
    <w:rsid w:val="0085687C"/>
    <w:rsid w:val="00867F95"/>
    <w:rsid w:val="008706C5"/>
    <w:rsid w:val="00873707"/>
    <w:rsid w:val="00874B20"/>
    <w:rsid w:val="00876360"/>
    <w:rsid w:val="008763E1"/>
    <w:rsid w:val="0087775C"/>
    <w:rsid w:val="00877EC8"/>
    <w:rsid w:val="008802FD"/>
    <w:rsid w:val="00880F36"/>
    <w:rsid w:val="00885530"/>
    <w:rsid w:val="008910D1"/>
    <w:rsid w:val="0089296C"/>
    <w:rsid w:val="0089360D"/>
    <w:rsid w:val="00896ABD"/>
    <w:rsid w:val="008A3380"/>
    <w:rsid w:val="008A590C"/>
    <w:rsid w:val="008A7A9C"/>
    <w:rsid w:val="008A7C45"/>
    <w:rsid w:val="008B17B9"/>
    <w:rsid w:val="008B5218"/>
    <w:rsid w:val="008B7102"/>
    <w:rsid w:val="008C3B7D"/>
    <w:rsid w:val="008C63BA"/>
    <w:rsid w:val="008D0F90"/>
    <w:rsid w:val="008D3715"/>
    <w:rsid w:val="008D4DCA"/>
    <w:rsid w:val="008D5465"/>
    <w:rsid w:val="008D7EB7"/>
    <w:rsid w:val="008E038E"/>
    <w:rsid w:val="008E0FBD"/>
    <w:rsid w:val="008E3684"/>
    <w:rsid w:val="008E57F5"/>
    <w:rsid w:val="008E7606"/>
    <w:rsid w:val="008F1DAA"/>
    <w:rsid w:val="008F3EBD"/>
    <w:rsid w:val="008F60B2"/>
    <w:rsid w:val="008F7C41"/>
    <w:rsid w:val="00901784"/>
    <w:rsid w:val="009031E2"/>
    <w:rsid w:val="00904C40"/>
    <w:rsid w:val="00911243"/>
    <w:rsid w:val="0091276C"/>
    <w:rsid w:val="009165AC"/>
    <w:rsid w:val="0092053F"/>
    <w:rsid w:val="0092340A"/>
    <w:rsid w:val="009234D9"/>
    <w:rsid w:val="009313D9"/>
    <w:rsid w:val="00935B7F"/>
    <w:rsid w:val="00941293"/>
    <w:rsid w:val="00943131"/>
    <w:rsid w:val="00944094"/>
    <w:rsid w:val="00946372"/>
    <w:rsid w:val="00950C17"/>
    <w:rsid w:val="009518A2"/>
    <w:rsid w:val="00951FAF"/>
    <w:rsid w:val="00954740"/>
    <w:rsid w:val="009565EF"/>
    <w:rsid w:val="00957313"/>
    <w:rsid w:val="009619DA"/>
    <w:rsid w:val="00963ABC"/>
    <w:rsid w:val="00965D21"/>
    <w:rsid w:val="00967764"/>
    <w:rsid w:val="00970B0E"/>
    <w:rsid w:val="00970BB9"/>
    <w:rsid w:val="009726EE"/>
    <w:rsid w:val="00975573"/>
    <w:rsid w:val="00976D03"/>
    <w:rsid w:val="00977B30"/>
    <w:rsid w:val="00982F41"/>
    <w:rsid w:val="00985090"/>
    <w:rsid w:val="00987710"/>
    <w:rsid w:val="009904AB"/>
    <w:rsid w:val="009953B3"/>
    <w:rsid w:val="00995688"/>
    <w:rsid w:val="009958A6"/>
    <w:rsid w:val="00996258"/>
    <w:rsid w:val="00996456"/>
    <w:rsid w:val="00996F3B"/>
    <w:rsid w:val="009A04F5"/>
    <w:rsid w:val="009A15EF"/>
    <w:rsid w:val="009A38A5"/>
    <w:rsid w:val="009A4550"/>
    <w:rsid w:val="009B118B"/>
    <w:rsid w:val="009B1737"/>
    <w:rsid w:val="009B3D4B"/>
    <w:rsid w:val="009B5B99"/>
    <w:rsid w:val="009B6EFC"/>
    <w:rsid w:val="009C2DF8"/>
    <w:rsid w:val="009C31BF"/>
    <w:rsid w:val="009C68B7"/>
    <w:rsid w:val="009D0834"/>
    <w:rsid w:val="009D0A1E"/>
    <w:rsid w:val="009D2AE3"/>
    <w:rsid w:val="009D2E1E"/>
    <w:rsid w:val="009D3B77"/>
    <w:rsid w:val="009D52BC"/>
    <w:rsid w:val="009D7D0A"/>
    <w:rsid w:val="009E0464"/>
    <w:rsid w:val="009E09D9"/>
    <w:rsid w:val="009E4D0F"/>
    <w:rsid w:val="009E5EBF"/>
    <w:rsid w:val="009E6130"/>
    <w:rsid w:val="009F01B1"/>
    <w:rsid w:val="009F041A"/>
    <w:rsid w:val="009F0DBB"/>
    <w:rsid w:val="009F3887"/>
    <w:rsid w:val="009F410C"/>
    <w:rsid w:val="009F641C"/>
    <w:rsid w:val="009F70FF"/>
    <w:rsid w:val="009F71F4"/>
    <w:rsid w:val="009F732B"/>
    <w:rsid w:val="00A01FE0"/>
    <w:rsid w:val="00A02A30"/>
    <w:rsid w:val="00A0638B"/>
    <w:rsid w:val="00A10656"/>
    <w:rsid w:val="00A113C0"/>
    <w:rsid w:val="00A12C95"/>
    <w:rsid w:val="00A12FA6"/>
    <w:rsid w:val="00A1339B"/>
    <w:rsid w:val="00A14ABA"/>
    <w:rsid w:val="00A16D61"/>
    <w:rsid w:val="00A2291C"/>
    <w:rsid w:val="00A24A1A"/>
    <w:rsid w:val="00A24CB6"/>
    <w:rsid w:val="00A26CD2"/>
    <w:rsid w:val="00A27667"/>
    <w:rsid w:val="00A32979"/>
    <w:rsid w:val="00A34A67"/>
    <w:rsid w:val="00A37462"/>
    <w:rsid w:val="00A43B2D"/>
    <w:rsid w:val="00A459E1"/>
    <w:rsid w:val="00A45B56"/>
    <w:rsid w:val="00A46DCA"/>
    <w:rsid w:val="00A51572"/>
    <w:rsid w:val="00A52296"/>
    <w:rsid w:val="00A55661"/>
    <w:rsid w:val="00A61B70"/>
    <w:rsid w:val="00A61FA8"/>
    <w:rsid w:val="00A637F4"/>
    <w:rsid w:val="00A64DFE"/>
    <w:rsid w:val="00A65485"/>
    <w:rsid w:val="00A66E05"/>
    <w:rsid w:val="00A70753"/>
    <w:rsid w:val="00A712D2"/>
    <w:rsid w:val="00A82C8A"/>
    <w:rsid w:val="00A8346B"/>
    <w:rsid w:val="00A852FF"/>
    <w:rsid w:val="00A87337"/>
    <w:rsid w:val="00A90C97"/>
    <w:rsid w:val="00A94233"/>
    <w:rsid w:val="00A960C8"/>
    <w:rsid w:val="00A96604"/>
    <w:rsid w:val="00AA03DF"/>
    <w:rsid w:val="00AA1A6C"/>
    <w:rsid w:val="00AA1B4F"/>
    <w:rsid w:val="00AA21D8"/>
    <w:rsid w:val="00AA4A37"/>
    <w:rsid w:val="00AA54F3"/>
    <w:rsid w:val="00AA6B43"/>
    <w:rsid w:val="00AB0AC5"/>
    <w:rsid w:val="00AB2FE2"/>
    <w:rsid w:val="00AB367A"/>
    <w:rsid w:val="00AC01D1"/>
    <w:rsid w:val="00AC52A5"/>
    <w:rsid w:val="00AC6EFD"/>
    <w:rsid w:val="00AC7151"/>
    <w:rsid w:val="00AD12C8"/>
    <w:rsid w:val="00AD1523"/>
    <w:rsid w:val="00AD460A"/>
    <w:rsid w:val="00AD6A05"/>
    <w:rsid w:val="00AD7878"/>
    <w:rsid w:val="00AE272B"/>
    <w:rsid w:val="00AE3E3A"/>
    <w:rsid w:val="00AE728B"/>
    <w:rsid w:val="00AE77B4"/>
    <w:rsid w:val="00AE7C1A"/>
    <w:rsid w:val="00AE7DF8"/>
    <w:rsid w:val="00AF0D9C"/>
    <w:rsid w:val="00AF13AB"/>
    <w:rsid w:val="00AF1D36"/>
    <w:rsid w:val="00AF280B"/>
    <w:rsid w:val="00AF5F75"/>
    <w:rsid w:val="00AF6001"/>
    <w:rsid w:val="00B01A16"/>
    <w:rsid w:val="00B07F45"/>
    <w:rsid w:val="00B1021A"/>
    <w:rsid w:val="00B12DF1"/>
    <w:rsid w:val="00B13F48"/>
    <w:rsid w:val="00B1481A"/>
    <w:rsid w:val="00B15A1F"/>
    <w:rsid w:val="00B15FE9"/>
    <w:rsid w:val="00B2148A"/>
    <w:rsid w:val="00B21797"/>
    <w:rsid w:val="00B220C2"/>
    <w:rsid w:val="00B25B32"/>
    <w:rsid w:val="00B32616"/>
    <w:rsid w:val="00B36C42"/>
    <w:rsid w:val="00B42EA7"/>
    <w:rsid w:val="00B5337C"/>
    <w:rsid w:val="00B53FDE"/>
    <w:rsid w:val="00B56397"/>
    <w:rsid w:val="00B6027B"/>
    <w:rsid w:val="00B6309C"/>
    <w:rsid w:val="00B65EDB"/>
    <w:rsid w:val="00B67AFF"/>
    <w:rsid w:val="00B70B59"/>
    <w:rsid w:val="00B73657"/>
    <w:rsid w:val="00B83487"/>
    <w:rsid w:val="00B850AB"/>
    <w:rsid w:val="00B91D00"/>
    <w:rsid w:val="00BA1306"/>
    <w:rsid w:val="00BA1735"/>
    <w:rsid w:val="00BA19FA"/>
    <w:rsid w:val="00BA4288"/>
    <w:rsid w:val="00BB48E5"/>
    <w:rsid w:val="00BB5607"/>
    <w:rsid w:val="00BB5ACA"/>
    <w:rsid w:val="00BB5BC8"/>
    <w:rsid w:val="00BB627F"/>
    <w:rsid w:val="00BC3823"/>
    <w:rsid w:val="00BC5841"/>
    <w:rsid w:val="00BD3BAB"/>
    <w:rsid w:val="00BD60B4"/>
    <w:rsid w:val="00BD796B"/>
    <w:rsid w:val="00BE40C0"/>
    <w:rsid w:val="00BE4B29"/>
    <w:rsid w:val="00BE5F4A"/>
    <w:rsid w:val="00BE7AEF"/>
    <w:rsid w:val="00BF09B0"/>
    <w:rsid w:val="00BF1544"/>
    <w:rsid w:val="00BF1B53"/>
    <w:rsid w:val="00BF246D"/>
    <w:rsid w:val="00BF633F"/>
    <w:rsid w:val="00C0252E"/>
    <w:rsid w:val="00C028A6"/>
    <w:rsid w:val="00C02E6F"/>
    <w:rsid w:val="00C03DF4"/>
    <w:rsid w:val="00C04DB1"/>
    <w:rsid w:val="00C06F06"/>
    <w:rsid w:val="00C1401C"/>
    <w:rsid w:val="00C14359"/>
    <w:rsid w:val="00C15B54"/>
    <w:rsid w:val="00C179D4"/>
    <w:rsid w:val="00C20FAD"/>
    <w:rsid w:val="00C228AE"/>
    <w:rsid w:val="00C23438"/>
    <w:rsid w:val="00C2375F"/>
    <w:rsid w:val="00C247CB"/>
    <w:rsid w:val="00C32E66"/>
    <w:rsid w:val="00C3355F"/>
    <w:rsid w:val="00C33A84"/>
    <w:rsid w:val="00C3569A"/>
    <w:rsid w:val="00C377A8"/>
    <w:rsid w:val="00C43291"/>
    <w:rsid w:val="00C43F48"/>
    <w:rsid w:val="00C448FF"/>
    <w:rsid w:val="00C45E57"/>
    <w:rsid w:val="00C52BF9"/>
    <w:rsid w:val="00C52F29"/>
    <w:rsid w:val="00C5416D"/>
    <w:rsid w:val="00C55995"/>
    <w:rsid w:val="00C56CE6"/>
    <w:rsid w:val="00C5745F"/>
    <w:rsid w:val="00C60005"/>
    <w:rsid w:val="00C61A98"/>
    <w:rsid w:val="00C61E6D"/>
    <w:rsid w:val="00C63201"/>
    <w:rsid w:val="00C64E62"/>
    <w:rsid w:val="00C651D5"/>
    <w:rsid w:val="00C65CCC"/>
    <w:rsid w:val="00C66828"/>
    <w:rsid w:val="00C70C83"/>
    <w:rsid w:val="00C74426"/>
    <w:rsid w:val="00C7618F"/>
    <w:rsid w:val="00C765A9"/>
    <w:rsid w:val="00C8162D"/>
    <w:rsid w:val="00C83A0B"/>
    <w:rsid w:val="00C842D0"/>
    <w:rsid w:val="00C84ED1"/>
    <w:rsid w:val="00C9038F"/>
    <w:rsid w:val="00C92AAB"/>
    <w:rsid w:val="00C93B84"/>
    <w:rsid w:val="00CA2435"/>
    <w:rsid w:val="00CA4068"/>
    <w:rsid w:val="00CA6956"/>
    <w:rsid w:val="00CB1E98"/>
    <w:rsid w:val="00CB37F8"/>
    <w:rsid w:val="00CB48F3"/>
    <w:rsid w:val="00CB7DC3"/>
    <w:rsid w:val="00CC044C"/>
    <w:rsid w:val="00CC2434"/>
    <w:rsid w:val="00CC4AE3"/>
    <w:rsid w:val="00CD0E2F"/>
    <w:rsid w:val="00CD1D49"/>
    <w:rsid w:val="00CD2F20"/>
    <w:rsid w:val="00CD6B20"/>
    <w:rsid w:val="00CE1339"/>
    <w:rsid w:val="00CE1471"/>
    <w:rsid w:val="00CE45F9"/>
    <w:rsid w:val="00CE61CC"/>
    <w:rsid w:val="00CE6E42"/>
    <w:rsid w:val="00CF20B7"/>
    <w:rsid w:val="00CF6692"/>
    <w:rsid w:val="00CF7441"/>
    <w:rsid w:val="00D00D16"/>
    <w:rsid w:val="00D03C6C"/>
    <w:rsid w:val="00D03EB9"/>
    <w:rsid w:val="00D04760"/>
    <w:rsid w:val="00D04A95"/>
    <w:rsid w:val="00D04EA0"/>
    <w:rsid w:val="00D06288"/>
    <w:rsid w:val="00D068C7"/>
    <w:rsid w:val="00D128A4"/>
    <w:rsid w:val="00D15131"/>
    <w:rsid w:val="00D16FA2"/>
    <w:rsid w:val="00D20954"/>
    <w:rsid w:val="00D21C39"/>
    <w:rsid w:val="00D21FC6"/>
    <w:rsid w:val="00D2243A"/>
    <w:rsid w:val="00D2321F"/>
    <w:rsid w:val="00D33393"/>
    <w:rsid w:val="00D33D36"/>
    <w:rsid w:val="00D34D94"/>
    <w:rsid w:val="00D409E2"/>
    <w:rsid w:val="00D427D7"/>
    <w:rsid w:val="00D44E62"/>
    <w:rsid w:val="00D45018"/>
    <w:rsid w:val="00D51570"/>
    <w:rsid w:val="00D51618"/>
    <w:rsid w:val="00D555A1"/>
    <w:rsid w:val="00D556AD"/>
    <w:rsid w:val="00D56A94"/>
    <w:rsid w:val="00D60381"/>
    <w:rsid w:val="00D6103D"/>
    <w:rsid w:val="00D616DE"/>
    <w:rsid w:val="00D62201"/>
    <w:rsid w:val="00D63153"/>
    <w:rsid w:val="00D651D1"/>
    <w:rsid w:val="00D66D18"/>
    <w:rsid w:val="00D717BB"/>
    <w:rsid w:val="00D7226B"/>
    <w:rsid w:val="00D72707"/>
    <w:rsid w:val="00D741E9"/>
    <w:rsid w:val="00D75A9C"/>
    <w:rsid w:val="00D85E29"/>
    <w:rsid w:val="00D86925"/>
    <w:rsid w:val="00D86C74"/>
    <w:rsid w:val="00D90871"/>
    <w:rsid w:val="00D9155F"/>
    <w:rsid w:val="00D9403F"/>
    <w:rsid w:val="00D959B4"/>
    <w:rsid w:val="00D96B10"/>
    <w:rsid w:val="00DA44DE"/>
    <w:rsid w:val="00DB2D6B"/>
    <w:rsid w:val="00DB620A"/>
    <w:rsid w:val="00DC3245"/>
    <w:rsid w:val="00DC3832"/>
    <w:rsid w:val="00DC6562"/>
    <w:rsid w:val="00DC7A51"/>
    <w:rsid w:val="00DD3B1E"/>
    <w:rsid w:val="00DD66C5"/>
    <w:rsid w:val="00DE5B5F"/>
    <w:rsid w:val="00DF3FFE"/>
    <w:rsid w:val="00DF65C1"/>
    <w:rsid w:val="00DF69C7"/>
    <w:rsid w:val="00E00696"/>
    <w:rsid w:val="00E03651"/>
    <w:rsid w:val="00E03808"/>
    <w:rsid w:val="00E0478A"/>
    <w:rsid w:val="00E05E3B"/>
    <w:rsid w:val="00E060C2"/>
    <w:rsid w:val="00E06324"/>
    <w:rsid w:val="00E12FB0"/>
    <w:rsid w:val="00E136CB"/>
    <w:rsid w:val="00E14814"/>
    <w:rsid w:val="00E1591B"/>
    <w:rsid w:val="00E16A50"/>
    <w:rsid w:val="00E24047"/>
    <w:rsid w:val="00E249D5"/>
    <w:rsid w:val="00E26F73"/>
    <w:rsid w:val="00E33C68"/>
    <w:rsid w:val="00E34EEB"/>
    <w:rsid w:val="00E36401"/>
    <w:rsid w:val="00E3687C"/>
    <w:rsid w:val="00E434D6"/>
    <w:rsid w:val="00E44EB9"/>
    <w:rsid w:val="00E45A8B"/>
    <w:rsid w:val="00E46358"/>
    <w:rsid w:val="00E471DC"/>
    <w:rsid w:val="00E47284"/>
    <w:rsid w:val="00E50EB4"/>
    <w:rsid w:val="00E532FC"/>
    <w:rsid w:val="00E559B4"/>
    <w:rsid w:val="00E55BB0"/>
    <w:rsid w:val="00E56411"/>
    <w:rsid w:val="00E57538"/>
    <w:rsid w:val="00E609E5"/>
    <w:rsid w:val="00E60F27"/>
    <w:rsid w:val="00E64D93"/>
    <w:rsid w:val="00E65EDB"/>
    <w:rsid w:val="00E66927"/>
    <w:rsid w:val="00E677B8"/>
    <w:rsid w:val="00E67FA1"/>
    <w:rsid w:val="00E702F6"/>
    <w:rsid w:val="00E7387D"/>
    <w:rsid w:val="00E73D53"/>
    <w:rsid w:val="00E75111"/>
    <w:rsid w:val="00E77296"/>
    <w:rsid w:val="00E83EEF"/>
    <w:rsid w:val="00E93763"/>
    <w:rsid w:val="00E93968"/>
    <w:rsid w:val="00E9428E"/>
    <w:rsid w:val="00E96C4C"/>
    <w:rsid w:val="00EA2AAE"/>
    <w:rsid w:val="00EA2EC0"/>
    <w:rsid w:val="00EA427A"/>
    <w:rsid w:val="00EA723B"/>
    <w:rsid w:val="00EB6350"/>
    <w:rsid w:val="00EB687A"/>
    <w:rsid w:val="00EB6FBC"/>
    <w:rsid w:val="00EC2104"/>
    <w:rsid w:val="00EC2F62"/>
    <w:rsid w:val="00EC62EB"/>
    <w:rsid w:val="00EC6558"/>
    <w:rsid w:val="00EC6E9F"/>
    <w:rsid w:val="00EC76C9"/>
    <w:rsid w:val="00ED0788"/>
    <w:rsid w:val="00ED44F0"/>
    <w:rsid w:val="00ED4B33"/>
    <w:rsid w:val="00ED7DD6"/>
    <w:rsid w:val="00EE060B"/>
    <w:rsid w:val="00EE15A1"/>
    <w:rsid w:val="00EE2A7C"/>
    <w:rsid w:val="00EE2C42"/>
    <w:rsid w:val="00EE2DF0"/>
    <w:rsid w:val="00EE341B"/>
    <w:rsid w:val="00EE4453"/>
    <w:rsid w:val="00EE5FCE"/>
    <w:rsid w:val="00EE6BBD"/>
    <w:rsid w:val="00EE6E1E"/>
    <w:rsid w:val="00EE705F"/>
    <w:rsid w:val="00EF1462"/>
    <w:rsid w:val="00EF54FD"/>
    <w:rsid w:val="00EF681E"/>
    <w:rsid w:val="00F13112"/>
    <w:rsid w:val="00F13F67"/>
    <w:rsid w:val="00F16FE6"/>
    <w:rsid w:val="00F238BD"/>
    <w:rsid w:val="00F24992"/>
    <w:rsid w:val="00F24E47"/>
    <w:rsid w:val="00F25775"/>
    <w:rsid w:val="00F32F2F"/>
    <w:rsid w:val="00F33F3F"/>
    <w:rsid w:val="00F35BDD"/>
    <w:rsid w:val="00F403FD"/>
    <w:rsid w:val="00F41E72"/>
    <w:rsid w:val="00F435C3"/>
    <w:rsid w:val="00F45BDF"/>
    <w:rsid w:val="00F479F7"/>
    <w:rsid w:val="00F50300"/>
    <w:rsid w:val="00F50E22"/>
    <w:rsid w:val="00F56E39"/>
    <w:rsid w:val="00F623E9"/>
    <w:rsid w:val="00F63951"/>
    <w:rsid w:val="00F63C86"/>
    <w:rsid w:val="00F6468E"/>
    <w:rsid w:val="00F66B6D"/>
    <w:rsid w:val="00F7197A"/>
    <w:rsid w:val="00F766BE"/>
    <w:rsid w:val="00F77EB9"/>
    <w:rsid w:val="00F80635"/>
    <w:rsid w:val="00F815D1"/>
    <w:rsid w:val="00F81E7E"/>
    <w:rsid w:val="00F81F0F"/>
    <w:rsid w:val="00F825F4"/>
    <w:rsid w:val="00F87509"/>
    <w:rsid w:val="00F92AA1"/>
    <w:rsid w:val="00F932D1"/>
    <w:rsid w:val="00F932DE"/>
    <w:rsid w:val="00F9608D"/>
    <w:rsid w:val="00F963DD"/>
    <w:rsid w:val="00F9641A"/>
    <w:rsid w:val="00F967AD"/>
    <w:rsid w:val="00F97004"/>
    <w:rsid w:val="00F97148"/>
    <w:rsid w:val="00F97827"/>
    <w:rsid w:val="00FA2045"/>
    <w:rsid w:val="00FA4D8C"/>
    <w:rsid w:val="00FA56A0"/>
    <w:rsid w:val="00FA7A66"/>
    <w:rsid w:val="00FB1AA9"/>
    <w:rsid w:val="00FB4B5A"/>
    <w:rsid w:val="00FB5963"/>
    <w:rsid w:val="00FB5DAA"/>
    <w:rsid w:val="00FC04B9"/>
    <w:rsid w:val="00FC161A"/>
    <w:rsid w:val="00FC23D5"/>
    <w:rsid w:val="00FC48DF"/>
    <w:rsid w:val="00FC4C1A"/>
    <w:rsid w:val="00FC6468"/>
    <w:rsid w:val="00FC6D49"/>
    <w:rsid w:val="00FD4922"/>
    <w:rsid w:val="00FD5C73"/>
    <w:rsid w:val="00FD6461"/>
    <w:rsid w:val="00FE0281"/>
    <w:rsid w:val="00FE38A7"/>
    <w:rsid w:val="00FE7083"/>
    <w:rsid w:val="00FF019F"/>
    <w:rsid w:val="00FF1B2A"/>
    <w:rsid w:val="00FF30DE"/>
    <w:rsid w:val="00FF43A1"/>
    <w:rsid w:val="00FF5E82"/>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link w:val="ListParagraphChar"/>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CA6956"/>
  </w:style>
  <w:style w:type="paragraph" w:customStyle="1" w:styleId="EndNoteBibliographyTitle">
    <w:name w:val="EndNote Bibliography Title"/>
    <w:basedOn w:val="Normal"/>
    <w:link w:val="EndNoteBibliographyTitleChar"/>
    <w:rsid w:val="0010184B"/>
    <w:pPr>
      <w:jc w:val="center"/>
    </w:pPr>
    <w:rPr>
      <w:noProof/>
    </w:rPr>
  </w:style>
  <w:style w:type="character" w:customStyle="1" w:styleId="ListParagraphChar">
    <w:name w:val="List Paragraph Char"/>
    <w:basedOn w:val="DefaultParagraphFont"/>
    <w:link w:val="ListParagraph"/>
    <w:uiPriority w:val="34"/>
    <w:rsid w:val="0010184B"/>
    <w:rPr>
      <w:rFonts w:ascii="Calibri" w:hAnsi="Calibri" w:cs="Calibri"/>
      <w:color w:val="000000"/>
      <w:sz w:val="24"/>
      <w:szCs w:val="24"/>
    </w:rPr>
  </w:style>
  <w:style w:type="character" w:customStyle="1" w:styleId="EndNoteBibliographyTitleChar">
    <w:name w:val="EndNote Bibliography Title Char"/>
    <w:basedOn w:val="ListParagraphChar"/>
    <w:link w:val="EndNoteBibliographyTitle"/>
    <w:rsid w:val="0010184B"/>
    <w:rPr>
      <w:rFonts w:ascii="Calibri" w:hAnsi="Calibri" w:cs="Calibri"/>
      <w:noProof/>
      <w:color w:val="000000"/>
      <w:sz w:val="24"/>
      <w:szCs w:val="24"/>
    </w:rPr>
  </w:style>
  <w:style w:type="paragraph" w:customStyle="1" w:styleId="EndNoteBibliography">
    <w:name w:val="EndNote Bibliography"/>
    <w:basedOn w:val="Normal"/>
    <w:link w:val="EndNoteBibliographyChar"/>
    <w:rsid w:val="0010184B"/>
    <w:rPr>
      <w:noProof/>
    </w:rPr>
  </w:style>
  <w:style w:type="character" w:customStyle="1" w:styleId="EndNoteBibliographyChar">
    <w:name w:val="EndNote Bibliography Char"/>
    <w:basedOn w:val="ListParagraphChar"/>
    <w:link w:val="EndNoteBibliography"/>
    <w:rsid w:val="0010184B"/>
    <w:rPr>
      <w:rFonts w:ascii="Calibri" w:hAnsi="Calibri" w:cs="Calibri"/>
      <w:noProof/>
      <w:color w:val="000000"/>
      <w:sz w:val="24"/>
      <w:szCs w:val="24"/>
    </w:rPr>
  </w:style>
  <w:style w:type="character" w:styleId="UnresolvedMention">
    <w:name w:val="Unresolved Mention"/>
    <w:basedOn w:val="DefaultParagraphFont"/>
    <w:uiPriority w:val="99"/>
    <w:semiHidden/>
    <w:unhideWhenUsed/>
    <w:rsid w:val="00C179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2879318">
      <w:bodyDiv w:val="1"/>
      <w:marLeft w:val="0"/>
      <w:marRight w:val="0"/>
      <w:marTop w:val="0"/>
      <w:marBottom w:val="0"/>
      <w:divBdr>
        <w:top w:val="none" w:sz="0" w:space="0" w:color="auto"/>
        <w:left w:val="none" w:sz="0" w:space="0" w:color="auto"/>
        <w:bottom w:val="none" w:sz="0" w:space="0" w:color="auto"/>
        <w:right w:val="none" w:sz="0" w:space="0" w:color="auto"/>
      </w:divBdr>
      <w:divsChild>
        <w:div w:id="228469717">
          <w:marLeft w:val="0"/>
          <w:marRight w:val="0"/>
          <w:marTop w:val="0"/>
          <w:marBottom w:val="0"/>
          <w:divBdr>
            <w:top w:val="none" w:sz="0" w:space="0" w:color="auto"/>
            <w:left w:val="none" w:sz="0" w:space="0" w:color="auto"/>
            <w:bottom w:val="none" w:sz="0" w:space="0" w:color="auto"/>
            <w:right w:val="none" w:sz="0" w:space="0" w:color="auto"/>
          </w:divBdr>
          <w:divsChild>
            <w:div w:id="1077365318">
              <w:marLeft w:val="0"/>
              <w:marRight w:val="0"/>
              <w:marTop w:val="0"/>
              <w:marBottom w:val="0"/>
              <w:divBdr>
                <w:top w:val="none" w:sz="0" w:space="0" w:color="auto"/>
                <w:left w:val="none" w:sz="0" w:space="0" w:color="auto"/>
                <w:bottom w:val="none" w:sz="0" w:space="0" w:color="auto"/>
                <w:right w:val="none" w:sz="0" w:space="0" w:color="auto"/>
              </w:divBdr>
              <w:divsChild>
                <w:div w:id="1530680855">
                  <w:marLeft w:val="0"/>
                  <w:marRight w:val="0"/>
                  <w:marTop w:val="0"/>
                  <w:marBottom w:val="0"/>
                  <w:divBdr>
                    <w:top w:val="none" w:sz="0" w:space="0" w:color="auto"/>
                    <w:left w:val="none" w:sz="0" w:space="0" w:color="auto"/>
                    <w:bottom w:val="none" w:sz="0" w:space="0" w:color="auto"/>
                    <w:right w:val="none" w:sz="0" w:space="0" w:color="auto"/>
                  </w:divBdr>
                  <w:divsChild>
                    <w:div w:id="1209219575">
                      <w:marLeft w:val="0"/>
                      <w:marRight w:val="0"/>
                      <w:marTop w:val="0"/>
                      <w:marBottom w:val="0"/>
                      <w:divBdr>
                        <w:top w:val="none" w:sz="0" w:space="0" w:color="auto"/>
                        <w:left w:val="none" w:sz="0" w:space="0" w:color="auto"/>
                        <w:bottom w:val="none" w:sz="0" w:space="0" w:color="auto"/>
                        <w:right w:val="none" w:sz="0" w:space="0" w:color="auto"/>
                      </w:divBdr>
                      <w:divsChild>
                        <w:div w:id="392310095">
                          <w:marLeft w:val="0"/>
                          <w:marRight w:val="0"/>
                          <w:marTop w:val="0"/>
                          <w:marBottom w:val="0"/>
                          <w:divBdr>
                            <w:top w:val="none" w:sz="0" w:space="0" w:color="auto"/>
                            <w:left w:val="none" w:sz="0" w:space="0" w:color="auto"/>
                            <w:bottom w:val="none" w:sz="0" w:space="0" w:color="auto"/>
                            <w:right w:val="none" w:sz="0" w:space="0" w:color="auto"/>
                          </w:divBdr>
                          <w:divsChild>
                            <w:div w:id="1141459153">
                              <w:marLeft w:val="0"/>
                              <w:marRight w:val="0"/>
                              <w:marTop w:val="0"/>
                              <w:marBottom w:val="0"/>
                              <w:divBdr>
                                <w:top w:val="none" w:sz="0" w:space="0" w:color="auto"/>
                                <w:left w:val="none" w:sz="0" w:space="0" w:color="auto"/>
                                <w:bottom w:val="none" w:sz="0" w:space="0" w:color="auto"/>
                                <w:right w:val="none" w:sz="0" w:space="0" w:color="auto"/>
                              </w:divBdr>
                              <w:divsChild>
                                <w:div w:id="625505847">
                                  <w:marLeft w:val="0"/>
                                  <w:marRight w:val="0"/>
                                  <w:marTop w:val="0"/>
                                  <w:marBottom w:val="0"/>
                                  <w:divBdr>
                                    <w:top w:val="none" w:sz="0" w:space="0" w:color="auto"/>
                                    <w:left w:val="none" w:sz="0" w:space="0" w:color="auto"/>
                                    <w:bottom w:val="none" w:sz="0" w:space="0" w:color="auto"/>
                                    <w:right w:val="none" w:sz="0" w:space="0" w:color="auto"/>
                                  </w:divBdr>
                                  <w:divsChild>
                                    <w:div w:id="801652358">
                                      <w:marLeft w:val="0"/>
                                      <w:marRight w:val="0"/>
                                      <w:marTop w:val="0"/>
                                      <w:marBottom w:val="0"/>
                                      <w:divBdr>
                                        <w:top w:val="none" w:sz="0" w:space="0" w:color="auto"/>
                                        <w:left w:val="none" w:sz="0" w:space="0" w:color="auto"/>
                                        <w:bottom w:val="none" w:sz="0" w:space="0" w:color="auto"/>
                                        <w:right w:val="none" w:sz="0" w:space="0" w:color="auto"/>
                                      </w:divBdr>
                                      <w:divsChild>
                                        <w:div w:id="264581738">
                                          <w:marLeft w:val="0"/>
                                          <w:marRight w:val="0"/>
                                          <w:marTop w:val="0"/>
                                          <w:marBottom w:val="0"/>
                                          <w:divBdr>
                                            <w:top w:val="none" w:sz="0" w:space="0" w:color="auto"/>
                                            <w:left w:val="none" w:sz="0" w:space="0" w:color="auto"/>
                                            <w:bottom w:val="none" w:sz="0" w:space="0" w:color="auto"/>
                                            <w:right w:val="none" w:sz="0" w:space="0" w:color="auto"/>
                                          </w:divBdr>
                                          <w:divsChild>
                                            <w:div w:id="1432362166">
                                              <w:marLeft w:val="0"/>
                                              <w:marRight w:val="0"/>
                                              <w:marTop w:val="0"/>
                                              <w:marBottom w:val="0"/>
                                              <w:divBdr>
                                                <w:top w:val="none" w:sz="0" w:space="0" w:color="auto"/>
                                                <w:left w:val="none" w:sz="0" w:space="0" w:color="auto"/>
                                                <w:bottom w:val="none" w:sz="0" w:space="0" w:color="auto"/>
                                                <w:right w:val="none" w:sz="0" w:space="0" w:color="auto"/>
                                              </w:divBdr>
                                              <w:divsChild>
                                                <w:div w:id="1684473345">
                                                  <w:marLeft w:val="0"/>
                                                  <w:marRight w:val="0"/>
                                                  <w:marTop w:val="0"/>
                                                  <w:marBottom w:val="0"/>
                                                  <w:divBdr>
                                                    <w:top w:val="none" w:sz="0" w:space="0" w:color="auto"/>
                                                    <w:left w:val="none" w:sz="0" w:space="0" w:color="auto"/>
                                                    <w:bottom w:val="none" w:sz="0" w:space="0" w:color="auto"/>
                                                    <w:right w:val="none" w:sz="0" w:space="0" w:color="auto"/>
                                                  </w:divBdr>
                                                  <w:divsChild>
                                                    <w:div w:id="793716695">
                                                      <w:marLeft w:val="0"/>
                                                      <w:marRight w:val="0"/>
                                                      <w:marTop w:val="0"/>
                                                      <w:marBottom w:val="0"/>
                                                      <w:divBdr>
                                                        <w:top w:val="none" w:sz="0" w:space="0" w:color="auto"/>
                                                        <w:left w:val="none" w:sz="0" w:space="0" w:color="auto"/>
                                                        <w:bottom w:val="none" w:sz="0" w:space="0" w:color="auto"/>
                                                        <w:right w:val="none" w:sz="0" w:space="0" w:color="auto"/>
                                                      </w:divBdr>
                                                      <w:divsChild>
                                                        <w:div w:id="443111908">
                                                          <w:marLeft w:val="0"/>
                                                          <w:marRight w:val="0"/>
                                                          <w:marTop w:val="0"/>
                                                          <w:marBottom w:val="0"/>
                                                          <w:divBdr>
                                                            <w:top w:val="none" w:sz="0" w:space="0" w:color="auto"/>
                                                            <w:left w:val="none" w:sz="0" w:space="0" w:color="auto"/>
                                                            <w:bottom w:val="none" w:sz="0" w:space="0" w:color="auto"/>
                                                            <w:right w:val="none" w:sz="0" w:space="0" w:color="auto"/>
                                                          </w:divBdr>
                                                          <w:divsChild>
                                                            <w:div w:id="1885290081">
                                                              <w:marLeft w:val="0"/>
                                                              <w:marRight w:val="0"/>
                                                              <w:marTop w:val="0"/>
                                                              <w:marBottom w:val="0"/>
                                                              <w:divBdr>
                                                                <w:top w:val="none" w:sz="0" w:space="0" w:color="auto"/>
                                                                <w:left w:val="none" w:sz="0" w:space="0" w:color="auto"/>
                                                                <w:bottom w:val="none" w:sz="0" w:space="0" w:color="auto"/>
                                                                <w:right w:val="none" w:sz="0" w:space="0" w:color="auto"/>
                                                              </w:divBdr>
                                                              <w:divsChild>
                                                                <w:div w:id="271284078">
                                                                  <w:marLeft w:val="0"/>
                                                                  <w:marRight w:val="0"/>
                                                                  <w:marTop w:val="0"/>
                                                                  <w:marBottom w:val="0"/>
                                                                  <w:divBdr>
                                                                    <w:top w:val="none" w:sz="0" w:space="0" w:color="auto"/>
                                                                    <w:left w:val="none" w:sz="0" w:space="0" w:color="auto"/>
                                                                    <w:bottom w:val="none" w:sz="0" w:space="0" w:color="auto"/>
                                                                    <w:right w:val="none" w:sz="0" w:space="0" w:color="auto"/>
                                                                  </w:divBdr>
                                                                  <w:divsChild>
                                                                    <w:div w:id="1080251985">
                                                                      <w:marLeft w:val="0"/>
                                                                      <w:marRight w:val="0"/>
                                                                      <w:marTop w:val="0"/>
                                                                      <w:marBottom w:val="0"/>
                                                                      <w:divBdr>
                                                                        <w:top w:val="none" w:sz="0" w:space="0" w:color="auto"/>
                                                                        <w:left w:val="none" w:sz="0" w:space="0" w:color="auto"/>
                                                                        <w:bottom w:val="none" w:sz="0" w:space="0" w:color="auto"/>
                                                                        <w:right w:val="none" w:sz="0" w:space="0" w:color="auto"/>
                                                                      </w:divBdr>
                                                                      <w:divsChild>
                                                                        <w:div w:id="1663702015">
                                                                          <w:marLeft w:val="0"/>
                                                                          <w:marRight w:val="0"/>
                                                                          <w:marTop w:val="0"/>
                                                                          <w:marBottom w:val="0"/>
                                                                          <w:divBdr>
                                                                            <w:top w:val="none" w:sz="0" w:space="0" w:color="auto"/>
                                                                            <w:left w:val="none" w:sz="0" w:space="0" w:color="auto"/>
                                                                            <w:bottom w:val="none" w:sz="0" w:space="0" w:color="auto"/>
                                                                            <w:right w:val="none" w:sz="0" w:space="0" w:color="auto"/>
                                                                          </w:divBdr>
                                                                          <w:divsChild>
                                                                            <w:div w:id="1858470851">
                                                                              <w:marLeft w:val="0"/>
                                                                              <w:marRight w:val="0"/>
                                                                              <w:marTop w:val="0"/>
                                                                              <w:marBottom w:val="0"/>
                                                                              <w:divBdr>
                                                                                <w:top w:val="none" w:sz="0" w:space="0" w:color="auto"/>
                                                                                <w:left w:val="none" w:sz="0" w:space="0" w:color="auto"/>
                                                                                <w:bottom w:val="none" w:sz="0" w:space="0" w:color="auto"/>
                                                                                <w:right w:val="none" w:sz="0" w:space="0" w:color="auto"/>
                                                                              </w:divBdr>
                                                                              <w:divsChild>
                                                                                <w:div w:id="1039278702">
                                                                                  <w:marLeft w:val="0"/>
                                                                                  <w:marRight w:val="0"/>
                                                                                  <w:marTop w:val="0"/>
                                                                                  <w:marBottom w:val="0"/>
                                                                                  <w:divBdr>
                                                                                    <w:top w:val="none" w:sz="0" w:space="0" w:color="auto"/>
                                                                                    <w:left w:val="none" w:sz="0" w:space="0" w:color="auto"/>
                                                                                    <w:bottom w:val="none" w:sz="0" w:space="0" w:color="auto"/>
                                                                                    <w:right w:val="none" w:sz="0" w:space="0" w:color="auto"/>
                                                                                  </w:divBdr>
                                                                                  <w:divsChild>
                                                                                    <w:div w:id="246232032">
                                                                                      <w:marLeft w:val="0"/>
                                                                                      <w:marRight w:val="0"/>
                                                                                      <w:marTop w:val="0"/>
                                                                                      <w:marBottom w:val="0"/>
                                                                                      <w:divBdr>
                                                                                        <w:top w:val="none" w:sz="0" w:space="0" w:color="auto"/>
                                                                                        <w:left w:val="none" w:sz="0" w:space="0" w:color="auto"/>
                                                                                        <w:bottom w:val="none" w:sz="0" w:space="0" w:color="auto"/>
                                                                                        <w:right w:val="none" w:sz="0" w:space="0" w:color="auto"/>
                                                                                      </w:divBdr>
                                                                                      <w:divsChild>
                                                                                        <w:div w:id="392192144">
                                                                                          <w:marLeft w:val="0"/>
                                                                                          <w:marRight w:val="0"/>
                                                                                          <w:marTop w:val="0"/>
                                                                                          <w:marBottom w:val="0"/>
                                                                                          <w:divBdr>
                                                                                            <w:top w:val="none" w:sz="0" w:space="0" w:color="auto"/>
                                                                                            <w:left w:val="none" w:sz="0" w:space="0" w:color="auto"/>
                                                                                            <w:bottom w:val="none" w:sz="0" w:space="0" w:color="auto"/>
                                                                                            <w:right w:val="none" w:sz="0" w:space="0" w:color="auto"/>
                                                                                          </w:divBdr>
                                                                                          <w:divsChild>
                                                                                            <w:div w:id="1287347494">
                                                                                              <w:marLeft w:val="0"/>
                                                                                              <w:marRight w:val="120"/>
                                                                                              <w:marTop w:val="0"/>
                                                                                              <w:marBottom w:val="150"/>
                                                                                              <w:divBdr>
                                                                                                <w:top w:val="single" w:sz="2" w:space="0" w:color="EFEFEF"/>
                                                                                                <w:left w:val="single" w:sz="6" w:space="0" w:color="EFEFEF"/>
                                                                                                <w:bottom w:val="single" w:sz="6" w:space="0" w:color="E2E2E2"/>
                                                                                                <w:right w:val="single" w:sz="6" w:space="0" w:color="EFEFEF"/>
                                                                                              </w:divBdr>
                                                                                              <w:divsChild>
                                                                                                <w:div w:id="202406315">
                                                                                                  <w:marLeft w:val="0"/>
                                                                                                  <w:marRight w:val="0"/>
                                                                                                  <w:marTop w:val="0"/>
                                                                                                  <w:marBottom w:val="0"/>
                                                                                                  <w:divBdr>
                                                                                                    <w:top w:val="none" w:sz="0" w:space="0" w:color="auto"/>
                                                                                                    <w:left w:val="none" w:sz="0" w:space="0" w:color="auto"/>
                                                                                                    <w:bottom w:val="none" w:sz="0" w:space="0" w:color="auto"/>
                                                                                                    <w:right w:val="none" w:sz="0" w:space="0" w:color="auto"/>
                                                                                                  </w:divBdr>
                                                                                                  <w:divsChild>
                                                                                                    <w:div w:id="732047987">
                                                                                                      <w:marLeft w:val="0"/>
                                                                                                      <w:marRight w:val="0"/>
                                                                                                      <w:marTop w:val="0"/>
                                                                                                      <w:marBottom w:val="0"/>
                                                                                                      <w:divBdr>
                                                                                                        <w:top w:val="none" w:sz="0" w:space="0" w:color="auto"/>
                                                                                                        <w:left w:val="none" w:sz="0" w:space="0" w:color="auto"/>
                                                                                                        <w:bottom w:val="none" w:sz="0" w:space="0" w:color="auto"/>
                                                                                                        <w:right w:val="none" w:sz="0" w:space="0" w:color="auto"/>
                                                                                                      </w:divBdr>
                                                                                                      <w:divsChild>
                                                                                                        <w:div w:id="1786578035">
                                                                                                          <w:marLeft w:val="0"/>
                                                                                                          <w:marRight w:val="0"/>
                                                                                                          <w:marTop w:val="0"/>
                                                                                                          <w:marBottom w:val="0"/>
                                                                                                          <w:divBdr>
                                                                                                            <w:top w:val="none" w:sz="0" w:space="0" w:color="auto"/>
                                                                                                            <w:left w:val="none" w:sz="0" w:space="0" w:color="auto"/>
                                                                                                            <w:bottom w:val="none" w:sz="0" w:space="0" w:color="auto"/>
                                                                                                            <w:right w:val="none" w:sz="0" w:space="0" w:color="auto"/>
                                                                                                          </w:divBdr>
                                                                                                          <w:divsChild>
                                                                                                            <w:div w:id="602566119">
                                                                                                              <w:marLeft w:val="0"/>
                                                                                                              <w:marRight w:val="0"/>
                                                                                                              <w:marTop w:val="0"/>
                                                                                                              <w:marBottom w:val="0"/>
                                                                                                              <w:divBdr>
                                                                                                                <w:top w:val="none" w:sz="0" w:space="0" w:color="auto"/>
                                                                                                                <w:left w:val="none" w:sz="0" w:space="0" w:color="auto"/>
                                                                                                                <w:bottom w:val="none" w:sz="0" w:space="0" w:color="auto"/>
                                                                                                                <w:right w:val="none" w:sz="0" w:space="0" w:color="auto"/>
                                                                                                              </w:divBdr>
                                                                                                              <w:divsChild>
                                                                                                                <w:div w:id="1192038459">
                                                                                                                  <w:marLeft w:val="-570"/>
                                                                                                                  <w:marRight w:val="0"/>
                                                                                                                  <w:marTop w:val="150"/>
                                                                                                                  <w:marBottom w:val="225"/>
                                                                                                                  <w:divBdr>
                                                                                                                    <w:top w:val="single" w:sz="6" w:space="2" w:color="D8D8D8"/>
                                                                                                                    <w:left w:val="single" w:sz="6" w:space="2" w:color="D8D8D8"/>
                                                                                                                    <w:bottom w:val="single" w:sz="6" w:space="2" w:color="D8D8D8"/>
                                                                                                                    <w:right w:val="single" w:sz="6" w:space="2" w:color="D8D8D8"/>
                                                                                                                  </w:divBdr>
                                                                                                                  <w:divsChild>
                                                                                                                    <w:div w:id="742528173">
                                                                                                                      <w:marLeft w:val="0"/>
                                                                                                                      <w:marRight w:val="0"/>
                                                                                                                      <w:marTop w:val="0"/>
                                                                                                                      <w:marBottom w:val="0"/>
                                                                                                                      <w:divBdr>
                                                                                                                        <w:top w:val="none" w:sz="0" w:space="0" w:color="auto"/>
                                                                                                                        <w:left w:val="none" w:sz="0" w:space="0" w:color="auto"/>
                                                                                                                        <w:bottom w:val="none" w:sz="0" w:space="0" w:color="auto"/>
                                                                                                                        <w:right w:val="none" w:sz="0" w:space="0" w:color="auto"/>
                                                                                                                      </w:divBdr>
                                                                                                                      <w:divsChild>
                                                                                                                        <w:div w:id="1642230823">
                                                                                                                          <w:marLeft w:val="225"/>
                                                                                                                          <w:marRight w:val="225"/>
                                                                                                                          <w:marTop w:val="75"/>
                                                                                                                          <w:marBottom w:val="75"/>
                                                                                                                          <w:divBdr>
                                                                                                                            <w:top w:val="none" w:sz="0" w:space="0" w:color="auto"/>
                                                                                                                            <w:left w:val="none" w:sz="0" w:space="0" w:color="auto"/>
                                                                                                                            <w:bottom w:val="none" w:sz="0" w:space="0" w:color="auto"/>
                                                                                                                            <w:right w:val="none" w:sz="0" w:space="0" w:color="auto"/>
                                                                                                                          </w:divBdr>
                                                                                                                          <w:divsChild>
                                                                                                                            <w:div w:id="783579744">
                                                                                                                              <w:marLeft w:val="0"/>
                                                                                                                              <w:marRight w:val="0"/>
                                                                                                                              <w:marTop w:val="0"/>
                                                                                                                              <w:marBottom w:val="0"/>
                                                                                                                              <w:divBdr>
                                                                                                                                <w:top w:val="single" w:sz="6" w:space="0" w:color="auto"/>
                                                                                                                                <w:left w:val="single" w:sz="6" w:space="0" w:color="auto"/>
                                                                                                                                <w:bottom w:val="single" w:sz="6" w:space="0" w:color="auto"/>
                                                                                                                                <w:right w:val="single" w:sz="6" w:space="0" w:color="auto"/>
                                                                                                                              </w:divBdr>
                                                                                                                              <w:divsChild>
                                                                                                                                <w:div w:id="2035383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F39487-9708-4DC7-8A84-A842A460B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2266</Words>
  <Characters>12918</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15154</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2018-09-18T17:35:00Z</dcterms:created>
  <dcterms:modified xsi:type="dcterms:W3CDTF">2018-09-18T18:54:00Z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