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63CAE" w14:textId="77777777" w:rsidR="00370C0E" w:rsidRPr="002624AF" w:rsidRDefault="00370C0E" w:rsidP="002624AF">
      <w:pPr>
        <w:pStyle w:val="NormalWeb"/>
        <w:widowControl/>
        <w:spacing w:before="0" w:beforeAutospacing="0" w:after="0" w:afterAutospacing="0"/>
      </w:pPr>
      <w:r w:rsidRPr="002624AF">
        <w:rPr>
          <w:b/>
          <w:bCs/>
        </w:rPr>
        <w:t>TITLE:</w:t>
      </w:r>
    </w:p>
    <w:p w14:paraId="5C12E16F" w14:textId="6337CFD9" w:rsidR="00370C0E" w:rsidRPr="002624AF" w:rsidRDefault="00370C0E" w:rsidP="002624AF">
      <w:pPr>
        <w:widowControl/>
        <w:rPr>
          <w:color w:val="auto"/>
        </w:rPr>
      </w:pPr>
      <w:r w:rsidRPr="002624AF">
        <w:rPr>
          <w:color w:val="auto"/>
        </w:rPr>
        <w:t>Direct Lineage Reprogramming of Adult Mouse Fibroblast to Erythroid Progenitors</w:t>
      </w:r>
      <w:r w:rsidR="002624AF">
        <w:rPr>
          <w:color w:val="auto"/>
        </w:rPr>
        <w:t xml:space="preserve"> </w:t>
      </w:r>
    </w:p>
    <w:p w14:paraId="5B5F53D6" w14:textId="77777777" w:rsidR="00370C0E" w:rsidRPr="002624AF" w:rsidRDefault="00370C0E" w:rsidP="002624AF">
      <w:pPr>
        <w:widowControl/>
        <w:rPr>
          <w:b/>
          <w:bCs/>
        </w:rPr>
      </w:pPr>
    </w:p>
    <w:p w14:paraId="732023E3" w14:textId="77777777" w:rsidR="00370C0E" w:rsidRPr="002624AF" w:rsidRDefault="00370C0E" w:rsidP="002624AF">
      <w:pPr>
        <w:widowControl/>
        <w:rPr>
          <w:color w:val="808080" w:themeColor="background1" w:themeShade="80"/>
        </w:rPr>
      </w:pPr>
      <w:r w:rsidRPr="002624AF">
        <w:rPr>
          <w:b/>
          <w:bCs/>
        </w:rPr>
        <w:t xml:space="preserve">AUTHORS AND AFFILIATIONS: </w:t>
      </w:r>
    </w:p>
    <w:p w14:paraId="330DB1ED" w14:textId="77777777" w:rsidR="00370C0E" w:rsidRPr="002624AF" w:rsidRDefault="00370C0E" w:rsidP="002624AF">
      <w:pPr>
        <w:widowControl/>
      </w:pPr>
      <w:r w:rsidRPr="002624AF">
        <w:rPr>
          <w:color w:val="auto"/>
        </w:rPr>
        <w:t>Melissa Ilsley</w:t>
      </w:r>
      <w:r w:rsidRPr="002624AF">
        <w:rPr>
          <w:color w:val="auto"/>
          <w:vertAlign w:val="superscript"/>
        </w:rPr>
        <w:t>1</w:t>
      </w:r>
      <w:r w:rsidRPr="002624AF">
        <w:rPr>
          <w:color w:val="auto"/>
        </w:rPr>
        <w:t>, Sandra Capellera-Garcia</w:t>
      </w:r>
      <w:r w:rsidRPr="002624AF">
        <w:rPr>
          <w:color w:val="auto"/>
          <w:vertAlign w:val="superscript"/>
        </w:rPr>
        <w:t>1</w:t>
      </w:r>
      <w:r w:rsidRPr="002624AF">
        <w:rPr>
          <w:color w:val="auto"/>
        </w:rPr>
        <w:t xml:space="preserve">, </w:t>
      </w:r>
      <w:proofErr w:type="spellStart"/>
      <w:r w:rsidRPr="002624AF">
        <w:t>Kishori</w:t>
      </w:r>
      <w:proofErr w:type="spellEnd"/>
      <w:r w:rsidRPr="002624AF">
        <w:t xml:space="preserve"> Dhulipala</w:t>
      </w:r>
      <w:r w:rsidRPr="002624AF">
        <w:rPr>
          <w:color w:val="auto"/>
          <w:vertAlign w:val="superscript"/>
        </w:rPr>
        <w:t>1</w:t>
      </w:r>
      <w:r w:rsidRPr="002624AF">
        <w:rPr>
          <w:color w:val="auto"/>
        </w:rPr>
        <w:t>, Alban Johansson</w:t>
      </w:r>
      <w:r w:rsidRPr="002624AF">
        <w:rPr>
          <w:color w:val="auto"/>
          <w:vertAlign w:val="superscript"/>
        </w:rPr>
        <w:t>1</w:t>
      </w:r>
      <w:r w:rsidRPr="002624AF">
        <w:rPr>
          <w:color w:val="auto"/>
        </w:rPr>
        <w:t>, Johan Flygare</w:t>
      </w:r>
      <w:r w:rsidRPr="002624AF">
        <w:rPr>
          <w:color w:val="auto"/>
          <w:vertAlign w:val="superscript"/>
        </w:rPr>
        <w:t>1</w:t>
      </w:r>
    </w:p>
    <w:p w14:paraId="2F6FB1AE" w14:textId="77777777" w:rsidR="00370C0E" w:rsidRPr="002624AF" w:rsidRDefault="00370C0E" w:rsidP="002624AF">
      <w:pPr>
        <w:widowControl/>
        <w:rPr>
          <w:bCs/>
          <w:color w:val="auto"/>
          <w:vertAlign w:val="superscript"/>
        </w:rPr>
      </w:pPr>
    </w:p>
    <w:p w14:paraId="6B003F38" w14:textId="77777777" w:rsidR="00370C0E" w:rsidRPr="002624AF" w:rsidRDefault="00370C0E" w:rsidP="002624AF">
      <w:pPr>
        <w:widowControl/>
        <w:rPr>
          <w:bCs/>
          <w:color w:val="auto"/>
        </w:rPr>
      </w:pPr>
      <w:r w:rsidRPr="002624AF">
        <w:rPr>
          <w:bCs/>
          <w:color w:val="auto"/>
          <w:vertAlign w:val="superscript"/>
        </w:rPr>
        <w:t>1</w:t>
      </w:r>
      <w:r w:rsidRPr="002624AF">
        <w:rPr>
          <w:bCs/>
          <w:color w:val="auto"/>
        </w:rPr>
        <w:t xml:space="preserve">Department of Molecular Medicine and Gene Therapy, Lund University, Sweden </w:t>
      </w:r>
    </w:p>
    <w:p w14:paraId="03862D7A" w14:textId="77777777" w:rsidR="00370C0E" w:rsidRPr="002624AF" w:rsidRDefault="00370C0E" w:rsidP="002624AF">
      <w:pPr>
        <w:widowControl/>
        <w:rPr>
          <w:bCs/>
          <w:color w:val="808080" w:themeColor="background1" w:themeShade="80"/>
        </w:rPr>
      </w:pPr>
    </w:p>
    <w:p w14:paraId="4D8B449C" w14:textId="77777777" w:rsidR="00370C0E" w:rsidRPr="002624AF" w:rsidRDefault="00370C0E" w:rsidP="002624AF">
      <w:pPr>
        <w:widowControl/>
        <w:rPr>
          <w:b/>
          <w:bCs/>
          <w:color w:val="auto"/>
        </w:rPr>
      </w:pPr>
      <w:r w:rsidRPr="002624AF">
        <w:rPr>
          <w:b/>
          <w:bCs/>
          <w:color w:val="auto"/>
        </w:rPr>
        <w:t xml:space="preserve">Corresponding Author: </w:t>
      </w:r>
    </w:p>
    <w:p w14:paraId="72D403B6" w14:textId="0D715E6C" w:rsidR="00370C0E" w:rsidRPr="002624AF" w:rsidRDefault="00370C0E" w:rsidP="00240422">
      <w:pPr>
        <w:widowControl/>
        <w:tabs>
          <w:tab w:val="left" w:pos="7146"/>
        </w:tabs>
        <w:rPr>
          <w:bCs/>
          <w:color w:val="auto"/>
        </w:rPr>
      </w:pPr>
      <w:r w:rsidRPr="002624AF">
        <w:rPr>
          <w:bCs/>
          <w:color w:val="auto"/>
        </w:rPr>
        <w:t>Johan Flygare</w:t>
      </w:r>
      <w:r w:rsidR="00240422">
        <w:rPr>
          <w:bCs/>
          <w:color w:val="auto"/>
        </w:rPr>
        <w:tab/>
      </w:r>
    </w:p>
    <w:p w14:paraId="4A9F64AA" w14:textId="77777777" w:rsidR="00370C0E" w:rsidRPr="002624AF" w:rsidRDefault="000D1F79" w:rsidP="002624AF">
      <w:pPr>
        <w:widowControl/>
        <w:rPr>
          <w:bCs/>
          <w:color w:val="808080"/>
        </w:rPr>
      </w:pPr>
      <w:hyperlink r:id="rId8" w:history="1">
        <w:r w:rsidR="00370C0E" w:rsidRPr="002624AF">
          <w:rPr>
            <w:rStyle w:val="Hyperlink"/>
            <w:bCs/>
            <w:u w:val="none"/>
          </w:rPr>
          <w:t>johan.flygare@med.lu.se</w:t>
        </w:r>
      </w:hyperlink>
    </w:p>
    <w:p w14:paraId="5FE597DC" w14:textId="77777777" w:rsidR="00370C0E" w:rsidRPr="002624AF" w:rsidRDefault="00370C0E" w:rsidP="002624AF">
      <w:pPr>
        <w:widowControl/>
        <w:rPr>
          <w:bCs/>
          <w:color w:val="808080"/>
        </w:rPr>
      </w:pPr>
      <w:r w:rsidRPr="002624AF">
        <w:rPr>
          <w:bCs/>
        </w:rPr>
        <w:t xml:space="preserve">Tel: </w:t>
      </w:r>
      <w:hyperlink r:id="rId9" w:history="1">
        <w:r w:rsidRPr="002624AF">
          <w:rPr>
            <w:rStyle w:val="Hyperlink"/>
            <w:color w:val="303030"/>
            <w:u w:val="none"/>
            <w:bdr w:val="none" w:sz="0" w:space="0" w:color="auto" w:frame="1"/>
            <w:shd w:val="clear" w:color="auto" w:fill="FFFFFF"/>
          </w:rPr>
          <w:t>+46 46 222 06 87</w:t>
        </w:r>
      </w:hyperlink>
    </w:p>
    <w:p w14:paraId="05FFC56B" w14:textId="77777777" w:rsidR="00370C0E" w:rsidRPr="002624AF" w:rsidRDefault="00370C0E" w:rsidP="002624AF">
      <w:pPr>
        <w:widowControl/>
        <w:rPr>
          <w:bCs/>
          <w:color w:val="808080"/>
        </w:rPr>
      </w:pPr>
    </w:p>
    <w:p w14:paraId="40453BF7" w14:textId="77777777" w:rsidR="00370C0E" w:rsidRPr="002624AF" w:rsidRDefault="00370C0E" w:rsidP="002624AF">
      <w:pPr>
        <w:pStyle w:val="NormalWeb"/>
        <w:widowControl/>
        <w:spacing w:before="0" w:beforeAutospacing="0" w:after="0" w:afterAutospacing="0"/>
        <w:rPr>
          <w:b/>
          <w:bCs/>
          <w:color w:val="auto"/>
        </w:rPr>
      </w:pPr>
      <w:r w:rsidRPr="002624AF">
        <w:rPr>
          <w:b/>
          <w:bCs/>
          <w:color w:val="auto"/>
        </w:rPr>
        <w:t>Email Addresses of Co-authors:</w:t>
      </w:r>
    </w:p>
    <w:p w14:paraId="3B1A3F02" w14:textId="77777777" w:rsidR="00370C0E" w:rsidRPr="002624AF" w:rsidRDefault="00370C0E" w:rsidP="002624AF">
      <w:pPr>
        <w:widowControl/>
        <w:rPr>
          <w:color w:val="auto"/>
        </w:rPr>
      </w:pPr>
      <w:r w:rsidRPr="002624AF">
        <w:rPr>
          <w:color w:val="auto"/>
        </w:rPr>
        <w:t>Melissa Ilsley</w:t>
      </w:r>
      <w:r w:rsidRPr="002624AF">
        <w:rPr>
          <w:color w:val="auto"/>
        </w:rPr>
        <w:tab/>
      </w:r>
      <w:r w:rsidRPr="002624AF">
        <w:rPr>
          <w:color w:val="auto"/>
        </w:rPr>
        <w:tab/>
      </w:r>
      <w:r w:rsidRPr="002624AF">
        <w:rPr>
          <w:color w:val="auto"/>
        </w:rPr>
        <w:tab/>
        <w:t>(</w:t>
      </w:r>
      <w:hyperlink r:id="rId10" w:history="1">
        <w:r w:rsidRPr="002624AF">
          <w:rPr>
            <w:rStyle w:val="Hyperlink"/>
            <w:u w:val="none"/>
          </w:rPr>
          <w:t>melissa.ilsley@med.lu.se</w:t>
        </w:r>
      </w:hyperlink>
      <w:r w:rsidRPr="002624AF">
        <w:rPr>
          <w:color w:val="auto"/>
        </w:rPr>
        <w:t xml:space="preserve">) </w:t>
      </w:r>
    </w:p>
    <w:p w14:paraId="78F0061E" w14:textId="77777777" w:rsidR="00370C0E" w:rsidRPr="002624AF" w:rsidRDefault="00370C0E" w:rsidP="002624AF">
      <w:pPr>
        <w:widowControl/>
        <w:rPr>
          <w:color w:val="auto"/>
        </w:rPr>
      </w:pPr>
      <w:r w:rsidRPr="002624AF">
        <w:rPr>
          <w:color w:val="auto"/>
        </w:rPr>
        <w:t xml:space="preserve">Sandra </w:t>
      </w:r>
      <w:proofErr w:type="spellStart"/>
      <w:r w:rsidRPr="002624AF">
        <w:rPr>
          <w:color w:val="auto"/>
        </w:rPr>
        <w:t>Capellera</w:t>
      </w:r>
      <w:proofErr w:type="spellEnd"/>
      <w:r w:rsidRPr="002624AF">
        <w:rPr>
          <w:color w:val="auto"/>
        </w:rPr>
        <w:t>-Garcia</w:t>
      </w:r>
      <w:r w:rsidRPr="002624AF">
        <w:rPr>
          <w:color w:val="auto"/>
        </w:rPr>
        <w:tab/>
        <w:t>(</w:t>
      </w:r>
      <w:hyperlink r:id="rId11" w:history="1">
        <w:r w:rsidRPr="002624AF">
          <w:rPr>
            <w:rStyle w:val="Hyperlink"/>
            <w:u w:val="none"/>
          </w:rPr>
          <w:t>sandra.capellera_garcia@med.lu.se</w:t>
        </w:r>
      </w:hyperlink>
      <w:r w:rsidRPr="002624AF">
        <w:rPr>
          <w:color w:val="auto"/>
        </w:rPr>
        <w:t>)</w:t>
      </w:r>
    </w:p>
    <w:p w14:paraId="2B27974C" w14:textId="77777777" w:rsidR="00370C0E" w:rsidRPr="002624AF" w:rsidRDefault="00370C0E" w:rsidP="002624AF">
      <w:pPr>
        <w:widowControl/>
        <w:rPr>
          <w:color w:val="auto"/>
        </w:rPr>
      </w:pPr>
      <w:proofErr w:type="spellStart"/>
      <w:r w:rsidRPr="002624AF">
        <w:t>Kishori</w:t>
      </w:r>
      <w:proofErr w:type="spellEnd"/>
      <w:r w:rsidRPr="002624AF">
        <w:t xml:space="preserve"> Dhulipala</w:t>
      </w:r>
      <w:r w:rsidRPr="002624AF">
        <w:tab/>
      </w:r>
      <w:r w:rsidRPr="002624AF">
        <w:tab/>
        <w:t>(</w:t>
      </w:r>
      <w:hyperlink r:id="rId12" w:history="1">
        <w:r w:rsidRPr="002624AF">
          <w:rPr>
            <w:rStyle w:val="Hyperlink"/>
            <w:u w:val="none"/>
          </w:rPr>
          <w:t>kishori.dhulipala@med.lu.se</w:t>
        </w:r>
      </w:hyperlink>
      <w:r w:rsidRPr="002624AF">
        <w:t xml:space="preserve">) </w:t>
      </w:r>
    </w:p>
    <w:p w14:paraId="28E415C1" w14:textId="77777777" w:rsidR="00370C0E" w:rsidRPr="002624AF" w:rsidRDefault="00370C0E" w:rsidP="002624AF">
      <w:pPr>
        <w:widowControl/>
        <w:rPr>
          <w:bCs/>
          <w:color w:val="auto"/>
        </w:rPr>
      </w:pPr>
      <w:r w:rsidRPr="002624AF">
        <w:rPr>
          <w:color w:val="auto"/>
        </w:rPr>
        <w:t>Alban Johansson</w:t>
      </w:r>
      <w:r w:rsidRPr="002624AF">
        <w:rPr>
          <w:color w:val="auto"/>
        </w:rPr>
        <w:tab/>
      </w:r>
      <w:r w:rsidRPr="002624AF">
        <w:rPr>
          <w:color w:val="auto"/>
        </w:rPr>
        <w:tab/>
        <w:t>(</w:t>
      </w:r>
      <w:hyperlink r:id="rId13" w:history="1">
        <w:r w:rsidRPr="002624AF">
          <w:rPr>
            <w:rStyle w:val="Hyperlink"/>
            <w:u w:val="none"/>
          </w:rPr>
          <w:t>nat12aj2@student.lu.se</w:t>
        </w:r>
      </w:hyperlink>
      <w:r w:rsidRPr="002624AF">
        <w:rPr>
          <w:color w:val="auto"/>
        </w:rPr>
        <w:t xml:space="preserve">) </w:t>
      </w:r>
    </w:p>
    <w:p w14:paraId="51234A1B" w14:textId="77777777" w:rsidR="00370C0E" w:rsidRPr="002624AF" w:rsidRDefault="00370C0E" w:rsidP="002624AF">
      <w:pPr>
        <w:widowControl/>
        <w:rPr>
          <w:bCs/>
          <w:color w:val="808080" w:themeColor="background1" w:themeShade="80"/>
        </w:rPr>
      </w:pPr>
    </w:p>
    <w:p w14:paraId="51DEC21A" w14:textId="77777777" w:rsidR="00370C0E" w:rsidRPr="002624AF" w:rsidRDefault="00370C0E" w:rsidP="002624AF">
      <w:pPr>
        <w:pStyle w:val="NormalWeb"/>
        <w:widowControl/>
        <w:spacing w:before="0" w:beforeAutospacing="0" w:after="0" w:afterAutospacing="0"/>
        <w:rPr>
          <w:b/>
          <w:bCs/>
        </w:rPr>
      </w:pPr>
      <w:r w:rsidRPr="002624AF">
        <w:rPr>
          <w:b/>
          <w:bCs/>
        </w:rPr>
        <w:t xml:space="preserve">KEYWORDS: </w:t>
      </w:r>
    </w:p>
    <w:p w14:paraId="69A4404C" w14:textId="77777777" w:rsidR="00370C0E" w:rsidRPr="002624AF" w:rsidRDefault="00370C0E" w:rsidP="002624AF">
      <w:pPr>
        <w:widowControl/>
        <w:rPr>
          <w:color w:val="auto"/>
        </w:rPr>
      </w:pPr>
      <w:r w:rsidRPr="002624AF">
        <w:rPr>
          <w:color w:val="auto"/>
        </w:rPr>
        <w:t xml:space="preserve">Direct lineage reprogramming; Erythropoiesis; Transcription factors; Developmental biology; Gata1; Tal1; Lmo2; c-Myc. </w:t>
      </w:r>
    </w:p>
    <w:p w14:paraId="5D43A2D6" w14:textId="77777777" w:rsidR="00370C0E" w:rsidRPr="002624AF" w:rsidRDefault="00370C0E" w:rsidP="002624AF">
      <w:pPr>
        <w:pStyle w:val="NormalWeb"/>
        <w:widowControl/>
        <w:spacing w:before="0" w:beforeAutospacing="0" w:after="0" w:afterAutospacing="0"/>
      </w:pPr>
    </w:p>
    <w:p w14:paraId="06CAD5EB" w14:textId="77777777" w:rsidR="00370C0E" w:rsidRPr="002624AF" w:rsidRDefault="00370C0E" w:rsidP="002624AF">
      <w:pPr>
        <w:widowControl/>
        <w:rPr>
          <w:b/>
          <w:bCs/>
        </w:rPr>
      </w:pPr>
      <w:r w:rsidRPr="002624AF">
        <w:rPr>
          <w:b/>
          <w:bCs/>
        </w:rPr>
        <w:t>SUMMARY:</w:t>
      </w:r>
    </w:p>
    <w:p w14:paraId="1A09DC08" w14:textId="77777777" w:rsidR="00370C0E" w:rsidRPr="002624AF" w:rsidRDefault="00370C0E" w:rsidP="002624AF">
      <w:pPr>
        <w:widowControl/>
        <w:rPr>
          <w:color w:val="auto"/>
        </w:rPr>
      </w:pPr>
      <w:r w:rsidRPr="002624AF">
        <w:rPr>
          <w:color w:val="auto"/>
        </w:rPr>
        <w:t xml:space="preserve">Here we present our protocol for producing induced erythroid progenitors (iEPs) from mouse adult fibroblasts using transcription factor-driven direct lineage reprogramming (DLR). </w:t>
      </w:r>
    </w:p>
    <w:p w14:paraId="074ACBB8" w14:textId="77777777" w:rsidR="00370C0E" w:rsidRPr="002624AF" w:rsidRDefault="00370C0E" w:rsidP="002624AF">
      <w:pPr>
        <w:widowControl/>
      </w:pPr>
    </w:p>
    <w:p w14:paraId="5789458D" w14:textId="5450A6DD" w:rsidR="00370C0E" w:rsidRPr="002624AF" w:rsidRDefault="00370C0E" w:rsidP="002624AF">
      <w:pPr>
        <w:widowControl/>
      </w:pPr>
      <w:r w:rsidRPr="002624AF">
        <w:rPr>
          <w:b/>
          <w:bCs/>
        </w:rPr>
        <w:t>ABSTRACT:</w:t>
      </w:r>
      <w:r w:rsidRPr="002624AF">
        <w:t xml:space="preserve"> </w:t>
      </w:r>
    </w:p>
    <w:p w14:paraId="0E649EDE" w14:textId="68043A5F" w:rsidR="00370C0E" w:rsidRPr="002624AF" w:rsidRDefault="00370C0E" w:rsidP="002624AF">
      <w:pPr>
        <w:widowControl/>
      </w:pPr>
      <w:r w:rsidRPr="002624AF">
        <w:t xml:space="preserve">Erythroid cell commitment and differentiation proceed through activation of a lineage-restricted transcriptional network orchestrated by a group of cell fate determining and maturing factors. We previously set out to define the minimal set of factors necessary for instructing red blood cell development using direct lineage reprogramming of fibroblasts into induced erythroid progenitors/precursors (iEPs). We showed that overexpression of </w:t>
      </w:r>
      <w:r w:rsidRPr="002624AF">
        <w:rPr>
          <w:i/>
        </w:rPr>
        <w:t>Gata1</w:t>
      </w:r>
      <w:r w:rsidRPr="002624AF">
        <w:t xml:space="preserve">, </w:t>
      </w:r>
      <w:r w:rsidRPr="002624AF">
        <w:rPr>
          <w:i/>
        </w:rPr>
        <w:t>Tal1</w:t>
      </w:r>
      <w:r w:rsidRPr="002624AF">
        <w:t xml:space="preserve">, </w:t>
      </w:r>
      <w:r w:rsidRPr="002624AF">
        <w:rPr>
          <w:i/>
        </w:rPr>
        <w:t>Lmo2</w:t>
      </w:r>
      <w:r w:rsidRPr="002624AF">
        <w:t xml:space="preserve">, and </w:t>
      </w:r>
      <w:r w:rsidRPr="002624AF">
        <w:rPr>
          <w:i/>
        </w:rPr>
        <w:t>c-Myc</w:t>
      </w:r>
      <w:r w:rsidRPr="002624AF">
        <w:t xml:space="preserve"> (GTLM) can rapidly convert murine and human fibroblasts directly to iEPs that resemble </w:t>
      </w:r>
      <w:r w:rsidRPr="002624AF">
        <w:rPr>
          <w:i/>
        </w:rPr>
        <w:t>bona fide</w:t>
      </w:r>
      <w:r w:rsidRPr="002624AF">
        <w:t xml:space="preserve"> erythroid cells in terms of morphology, phenotype, and gene expression. We intend that iEPs will provide an invaluable tool to study erythropoiesis and cell fate regulation. Here we describe the stepwise process of converting murine tail tip fibroblasts into iEPs </w:t>
      </w:r>
      <w:r w:rsidR="002624AF" w:rsidRPr="002624AF">
        <w:rPr>
          <w:i/>
        </w:rPr>
        <w:t>via</w:t>
      </w:r>
      <w:r w:rsidRPr="002624AF">
        <w:t xml:space="preserve"> transcription factor-driven direct lineage reprogramming (DLR). In</w:t>
      </w:r>
      <w:r w:rsidRPr="002624AF">
        <w:rPr>
          <w:color w:val="auto"/>
        </w:rPr>
        <w:t xml:space="preserve"> this example, we perform the reprogramming in fibroblasts from erythroid lineage-tracing mice that express the yellow fluorescent protein (YFP) under the control of the erythropoietin receptor gene (EpoR) promoter, enabling visualization of erythroid cell fate induction upon reprogramming.</w:t>
      </w:r>
      <w:r w:rsidR="002624AF">
        <w:rPr>
          <w:color w:val="auto"/>
        </w:rPr>
        <w:t xml:space="preserve"> </w:t>
      </w:r>
      <w:r w:rsidRPr="002624AF">
        <w:rPr>
          <w:color w:val="auto"/>
        </w:rPr>
        <w:t xml:space="preserve">Following this protocol, fibroblasts can be reprogrammed into iEPs within five to eight days. </w:t>
      </w:r>
    </w:p>
    <w:p w14:paraId="452F6F0F" w14:textId="77777777" w:rsidR="00370C0E" w:rsidRPr="002624AF" w:rsidRDefault="00370C0E" w:rsidP="002624AF">
      <w:pPr>
        <w:widowControl/>
        <w:rPr>
          <w:color w:val="auto"/>
        </w:rPr>
      </w:pPr>
      <w:r w:rsidRPr="002624AF">
        <w:rPr>
          <w:color w:val="auto"/>
        </w:rPr>
        <w:lastRenderedPageBreak/>
        <w:t>While improvements can still be made to the process, we show that GTLM-mediated reprogramming is a rapid and direct process, yielding cells with properties of</w:t>
      </w:r>
      <w:r w:rsidRPr="002624AF">
        <w:rPr>
          <w:i/>
          <w:color w:val="auto"/>
        </w:rPr>
        <w:t xml:space="preserve"> bona fide</w:t>
      </w:r>
      <w:r w:rsidRPr="002624AF">
        <w:rPr>
          <w:color w:val="auto"/>
        </w:rPr>
        <w:t xml:space="preserve"> erythroid progenitor and precursor cells. </w:t>
      </w:r>
    </w:p>
    <w:p w14:paraId="47C46612" w14:textId="77777777" w:rsidR="00370C0E" w:rsidRPr="002624AF" w:rsidRDefault="00370C0E" w:rsidP="002624AF">
      <w:pPr>
        <w:widowControl/>
      </w:pPr>
    </w:p>
    <w:p w14:paraId="2F61E00D" w14:textId="189B50C7" w:rsidR="00370C0E" w:rsidRPr="002624AF" w:rsidRDefault="00370C0E" w:rsidP="002624AF">
      <w:pPr>
        <w:widowControl/>
        <w:rPr>
          <w:b/>
          <w:bCs/>
        </w:rPr>
      </w:pPr>
      <w:r w:rsidRPr="00880FEA">
        <w:rPr>
          <w:b/>
        </w:rPr>
        <w:t>INTRODUCTION</w:t>
      </w:r>
      <w:r w:rsidRPr="00880FEA">
        <w:rPr>
          <w:b/>
          <w:bCs/>
        </w:rPr>
        <w:t>:</w:t>
      </w:r>
    </w:p>
    <w:p w14:paraId="58DD2837" w14:textId="0492CAA9" w:rsidR="00370C0E" w:rsidRPr="002624AF" w:rsidRDefault="00370C0E" w:rsidP="002624AF">
      <w:pPr>
        <w:widowControl/>
        <w:autoSpaceDE/>
        <w:autoSpaceDN/>
        <w:adjustRightInd/>
      </w:pPr>
      <w:r w:rsidRPr="002624AF">
        <w:t>Red blood cells (RBCs) are essential in all vertebrates and make up 84</w:t>
      </w:r>
      <w:r w:rsidR="002624AF">
        <w:t>%</w:t>
      </w:r>
      <w:r w:rsidRPr="002624AF">
        <w:t xml:space="preserve"> of all cells of human bodies</w:t>
      </w:r>
      <w:r w:rsidRPr="002624AF">
        <w:rPr>
          <w:vertAlign w:val="superscript"/>
        </w:rPr>
        <w:t>1</w:t>
      </w:r>
      <w:r w:rsidRPr="002624AF">
        <w:t xml:space="preserve">. From embryonic to adult life, our health is highly dependent on exact regulation of RBC homeostasis. </w:t>
      </w:r>
      <w:r w:rsidRPr="002624AF">
        <w:rPr>
          <w:color w:val="auto"/>
        </w:rPr>
        <w:t xml:space="preserve">The ongoing production of mature RBCs throughout development into adulthood is known as erythropoiesis. </w:t>
      </w:r>
      <w:r w:rsidRPr="002624AF">
        <w:t xml:space="preserve">A major challenge in erythropoiesis research is to define the master regulators that orchestrate RBC development and the switch between primitive and definitive erythropoiesis. Direct lineage reprogramming of erythroid progenitors presents an opportunity to further understand erythroid development </w:t>
      </w:r>
      <w:r w:rsidR="002624AF" w:rsidRPr="002624AF">
        <w:rPr>
          <w:i/>
        </w:rPr>
        <w:t>in vivo</w:t>
      </w:r>
      <w:r w:rsidRPr="002624AF">
        <w:t xml:space="preserve">. </w:t>
      </w:r>
    </w:p>
    <w:p w14:paraId="375CA97C" w14:textId="77777777" w:rsidR="00370C0E" w:rsidRPr="002624AF" w:rsidRDefault="00370C0E" w:rsidP="002624AF">
      <w:pPr>
        <w:widowControl/>
        <w:autoSpaceDE/>
        <w:autoSpaceDN/>
        <w:adjustRightInd/>
        <w:rPr>
          <w:rFonts w:eastAsiaTheme="minorHAnsi"/>
          <w:color w:val="auto"/>
        </w:rPr>
      </w:pPr>
    </w:p>
    <w:p w14:paraId="78DEDC46" w14:textId="47EC1434" w:rsidR="00370C0E" w:rsidRPr="002624AF" w:rsidRDefault="00370C0E" w:rsidP="002624AF">
      <w:pPr>
        <w:widowControl/>
      </w:pPr>
      <w:r w:rsidRPr="002624AF">
        <w:t>Direct lineage reprogramming (DLR), also known as transdifferentiation, is the process of reprogramming one cell type directly into another, bypassing pluripotent and multipotent progenitor stages. DLR has thus far been used to produce numerous cell types including neural</w:t>
      </w:r>
      <w:r w:rsidRPr="002624AF">
        <w:rPr>
          <w:vertAlign w:val="superscript"/>
        </w:rPr>
        <w:t>2</w:t>
      </w:r>
      <w:r w:rsidRPr="002624AF">
        <w:t>, hematopoietic</w:t>
      </w:r>
      <w:r w:rsidRPr="002624AF">
        <w:rPr>
          <w:vertAlign w:val="superscript"/>
        </w:rPr>
        <w:t>3-5</w:t>
      </w:r>
      <w:r w:rsidRPr="002624AF">
        <w:t>, hepatic</w:t>
      </w:r>
      <w:r w:rsidRPr="002624AF">
        <w:rPr>
          <w:vertAlign w:val="superscript"/>
        </w:rPr>
        <w:t>6</w:t>
      </w:r>
      <w:r w:rsidRPr="002624AF">
        <w:t xml:space="preserve"> and nephrotic</w:t>
      </w:r>
      <w:r w:rsidRPr="002624AF">
        <w:rPr>
          <w:vertAlign w:val="superscript"/>
        </w:rPr>
        <w:t>7</w:t>
      </w:r>
      <w:r w:rsidRPr="002624AF">
        <w:t xml:space="preserve">, progenitor cells. For developmental biologists, DLR has become </w:t>
      </w:r>
      <w:proofErr w:type="gramStart"/>
      <w:r w:rsidRPr="002624AF">
        <w:t>an important tool</w:t>
      </w:r>
      <w:proofErr w:type="gramEnd"/>
      <w:r w:rsidRPr="002624AF">
        <w:t xml:space="preserve"> for interrogating aspects of lineage commitment and terminal differentiation processes</w:t>
      </w:r>
      <w:r w:rsidRPr="002624AF">
        <w:rPr>
          <w:vertAlign w:val="superscript"/>
        </w:rPr>
        <w:t>8,9</w:t>
      </w:r>
      <w:r w:rsidRPr="002624AF">
        <w:t xml:space="preserve">. DLR can complement and partially replace </w:t>
      </w:r>
      <w:r w:rsidR="002624AF" w:rsidRPr="002624AF">
        <w:rPr>
          <w:i/>
        </w:rPr>
        <w:t>in vivo</w:t>
      </w:r>
      <w:r w:rsidRPr="002624AF">
        <w:rPr>
          <w:i/>
        </w:rPr>
        <w:t xml:space="preserve"> </w:t>
      </w:r>
      <w:r w:rsidRPr="002624AF">
        <w:t>studies for understanding mechanisms of cell fate determining factors during development.</w:t>
      </w:r>
      <w:r w:rsidR="002624AF">
        <w:t xml:space="preserve"> </w:t>
      </w:r>
      <w:r w:rsidRPr="002624AF">
        <w:t>The DLR protocol for reprogramming to erythroid progenitors described in this paper provides the field a complimentary method for developmental studies of erythropoiesis.</w:t>
      </w:r>
    </w:p>
    <w:p w14:paraId="18B56EA8" w14:textId="77777777" w:rsidR="00370C0E" w:rsidRPr="002624AF" w:rsidRDefault="00370C0E" w:rsidP="002624AF">
      <w:pPr>
        <w:widowControl/>
      </w:pPr>
    </w:p>
    <w:p w14:paraId="0362D503" w14:textId="2F461C0E" w:rsidR="00370C0E" w:rsidRPr="002624AF" w:rsidRDefault="00370C0E" w:rsidP="002624AF">
      <w:pPr>
        <w:widowControl/>
        <w:rPr>
          <w:color w:val="auto"/>
        </w:rPr>
      </w:pPr>
      <w:r w:rsidRPr="002624AF">
        <w:rPr>
          <w:color w:val="auto"/>
        </w:rPr>
        <w:t xml:space="preserve">We have previously </w:t>
      </w:r>
      <w:r w:rsidRPr="002624AF">
        <w:t xml:space="preserve">demonstrated that overexpression of a four-factor cocktail, </w:t>
      </w:r>
      <w:r w:rsidRPr="002624AF">
        <w:rPr>
          <w:i/>
        </w:rPr>
        <w:t>GATA1</w:t>
      </w:r>
      <w:r w:rsidRPr="002624AF">
        <w:t xml:space="preserve">, </w:t>
      </w:r>
      <w:r w:rsidRPr="002624AF">
        <w:rPr>
          <w:i/>
        </w:rPr>
        <w:t>TAL1</w:t>
      </w:r>
      <w:r w:rsidRPr="002624AF">
        <w:t xml:space="preserve">, </w:t>
      </w:r>
      <w:r w:rsidRPr="002624AF">
        <w:rPr>
          <w:i/>
        </w:rPr>
        <w:t>LMO2,</w:t>
      </w:r>
      <w:r w:rsidRPr="002624AF">
        <w:t xml:space="preserve"> and </w:t>
      </w:r>
      <w:r w:rsidRPr="002624AF">
        <w:rPr>
          <w:i/>
        </w:rPr>
        <w:t>c-MYC (GTLM)</w:t>
      </w:r>
      <w:r w:rsidRPr="002624AF">
        <w:t>, is sufficient to reprogram both murine and human fibroblasts directly to induced erythroid progenitors (iEPs)</w:t>
      </w:r>
      <w:r w:rsidRPr="002624AF">
        <w:rPr>
          <w:vertAlign w:val="superscript"/>
        </w:rPr>
        <w:t>10</w:t>
      </w:r>
      <w:r w:rsidRPr="002624AF">
        <w:t xml:space="preserve">. The GTLM-reprogrammed erythroid cells greatly </w:t>
      </w:r>
      <w:r w:rsidRPr="002624AF">
        <w:rPr>
          <w:color w:val="auto"/>
        </w:rPr>
        <w:t xml:space="preserve">resemble </w:t>
      </w:r>
      <w:r w:rsidRPr="002624AF">
        <w:rPr>
          <w:i/>
          <w:color w:val="auto"/>
        </w:rPr>
        <w:t>bona fide</w:t>
      </w:r>
      <w:r w:rsidRPr="002624AF">
        <w:rPr>
          <w:color w:val="auto"/>
        </w:rPr>
        <w:t xml:space="preserve"> primitive erythroid progenitors in terms of morphology, phenotype, and gene expression</w:t>
      </w:r>
      <w:r w:rsidRPr="002624AF">
        <w:rPr>
          <w:color w:val="auto"/>
          <w:vertAlign w:val="superscript"/>
        </w:rPr>
        <w:t>10</w:t>
      </w:r>
      <w:r w:rsidRPr="002624AF">
        <w:rPr>
          <w:color w:val="auto"/>
        </w:rPr>
        <w:t xml:space="preserve">. Thus iEPs have limited proliferation capacity and mature to nucleated erythrocytes similar to those transiently produced in the early embryo before onset of definitive erythropoiesis. </w:t>
      </w:r>
      <w:r w:rsidRPr="002624AF">
        <w:t>By making changes in the reprogramming conditions (</w:t>
      </w:r>
      <w:r w:rsidR="002624AF" w:rsidRPr="002624AF">
        <w:rPr>
          <w:i/>
        </w:rPr>
        <w:t xml:space="preserve">e.g., </w:t>
      </w:r>
      <w:r w:rsidRPr="002624AF">
        <w:t xml:space="preserve">point mutations in reprogramming factors or addition of other factors), </w:t>
      </w:r>
      <w:r w:rsidR="00240422">
        <w:t xml:space="preserve">one </w:t>
      </w:r>
      <w:r w:rsidRPr="002624AF">
        <w:t xml:space="preserve">can understand how this leads to changes in erythroid development and differentiation. We have for example shown that addition of </w:t>
      </w:r>
      <w:r w:rsidRPr="002624AF">
        <w:rPr>
          <w:i/>
        </w:rPr>
        <w:t>Klf1</w:t>
      </w:r>
      <w:r w:rsidRPr="002624AF">
        <w:t xml:space="preserve"> or </w:t>
      </w:r>
      <w:r w:rsidRPr="002624AF">
        <w:rPr>
          <w:i/>
        </w:rPr>
        <w:t>Myb</w:t>
      </w:r>
      <w:r w:rsidRPr="002624AF">
        <w:t xml:space="preserve"> to the GTLM cocktail changes the globin expression pattern from predominantly embryonic (primitive) to mainly adult (definitive).</w:t>
      </w:r>
      <w:r w:rsidRPr="002624AF">
        <w:rPr>
          <w:color w:val="auto"/>
        </w:rPr>
        <w:t xml:space="preserve"> This finding corroborates the validity of using DLR as a tool for defining developmental factors in erythropoiesis.</w:t>
      </w:r>
      <w:r w:rsidR="002624AF">
        <w:rPr>
          <w:color w:val="auto"/>
        </w:rPr>
        <w:t xml:space="preserve"> </w:t>
      </w:r>
    </w:p>
    <w:p w14:paraId="01928D7D" w14:textId="77777777" w:rsidR="00370C0E" w:rsidRPr="002624AF" w:rsidRDefault="00370C0E" w:rsidP="002624AF">
      <w:pPr>
        <w:widowControl/>
        <w:tabs>
          <w:tab w:val="left" w:pos="270"/>
        </w:tabs>
        <w:rPr>
          <w:color w:val="auto"/>
        </w:rPr>
      </w:pPr>
    </w:p>
    <w:p w14:paraId="6E4AAD21" w14:textId="08B89EBC" w:rsidR="00370C0E" w:rsidRPr="002624AF" w:rsidRDefault="00370C0E" w:rsidP="002624AF">
      <w:pPr>
        <w:widowControl/>
      </w:pPr>
      <w:r w:rsidRPr="002624AF">
        <w:rPr>
          <w:color w:val="auto"/>
        </w:rPr>
        <w:t>Here, we outline the process of generating iEPs from mouse tail tip fibroblasts (TTF). In our representative results, we performed the reprogramming on fibroblasts from the erythroid lineage-tracing mice (</w:t>
      </w:r>
      <w:proofErr w:type="spellStart"/>
      <w:r w:rsidRPr="002624AF">
        <w:rPr>
          <w:i/>
          <w:color w:val="auto"/>
        </w:rPr>
        <w:t>Epor</w:t>
      </w:r>
      <w:r w:rsidRPr="002624AF">
        <w:rPr>
          <w:color w:val="auto"/>
        </w:rPr>
        <w:t>-Cre</w:t>
      </w:r>
      <w:proofErr w:type="spellEnd"/>
      <w:r w:rsidRPr="002624AF">
        <w:rPr>
          <w:color w:val="auto"/>
        </w:rPr>
        <w:t xml:space="preserve"> </w:t>
      </w:r>
      <w:r w:rsidRPr="002624AF">
        <w:rPr>
          <w:i/>
          <w:color w:val="auto"/>
        </w:rPr>
        <w:t>R26</w:t>
      </w:r>
      <w:r w:rsidRPr="002624AF">
        <w:rPr>
          <w:color w:val="auto"/>
        </w:rPr>
        <w:t>-eYFP)</w:t>
      </w:r>
      <w:r w:rsidRPr="002624AF">
        <w:rPr>
          <w:rStyle w:val="FigurereferenceChar"/>
          <w:rFonts w:ascii="Calibri" w:hAnsi="Calibri" w:cs="Calibri"/>
          <w:color w:val="auto"/>
        </w:rPr>
        <w:t xml:space="preserve"> </w:t>
      </w:r>
      <w:r w:rsidRPr="002624AF">
        <w:rPr>
          <w:color w:val="auto"/>
        </w:rPr>
        <w:t xml:space="preserve">which express the yellow fluorescent protein (eYFP) from the </w:t>
      </w:r>
      <w:r w:rsidRPr="002624AF">
        <w:rPr>
          <w:i/>
          <w:iCs/>
          <w:color w:val="auto"/>
        </w:rPr>
        <w:t>Rosa26</w:t>
      </w:r>
      <w:r w:rsidRPr="002624AF">
        <w:rPr>
          <w:color w:val="auto"/>
        </w:rPr>
        <w:t xml:space="preserve"> locus in all cells that have expressed the erythropoietin receptor, allowing easy visualization of commitment to the erythroid lineage. Using this method, </w:t>
      </w:r>
      <w:r w:rsidRPr="002624AF">
        <w:t>YFP positive (EpoR+) cells are</w:t>
      </w:r>
      <w:r w:rsidRPr="002624AF">
        <w:rPr>
          <w:color w:val="auto"/>
        </w:rPr>
        <w:t xml:space="preserve"> present </w:t>
      </w:r>
      <w:r w:rsidRPr="002624AF">
        <w:t>as early as five days after transduction.</w:t>
      </w:r>
      <w:r w:rsidR="002624AF">
        <w:t xml:space="preserve"> </w:t>
      </w:r>
      <w:r w:rsidRPr="002624AF">
        <w:rPr>
          <w:color w:val="auto"/>
        </w:rPr>
        <w:t>This protocol, therefore, offers</w:t>
      </w:r>
      <w:r w:rsidR="001777D6">
        <w:rPr>
          <w:color w:val="auto"/>
        </w:rPr>
        <w:t xml:space="preserve"> a</w:t>
      </w:r>
      <w:r w:rsidRPr="002624AF">
        <w:rPr>
          <w:color w:val="auto"/>
        </w:rPr>
        <w:t xml:space="preserve"> quick and robust technique for the generation of erythroid progenitors</w:t>
      </w:r>
      <w:r w:rsidRPr="002624AF">
        <w:rPr>
          <w:i/>
          <w:color w:val="auto"/>
        </w:rPr>
        <w:t xml:space="preserve"> </w:t>
      </w:r>
      <w:r w:rsidR="002624AF" w:rsidRPr="002624AF">
        <w:rPr>
          <w:i/>
          <w:color w:val="auto"/>
        </w:rPr>
        <w:t>in vitro</w:t>
      </w:r>
      <w:r w:rsidRPr="002624AF">
        <w:rPr>
          <w:color w:val="auto"/>
        </w:rPr>
        <w:t xml:space="preserve">. </w:t>
      </w:r>
    </w:p>
    <w:p w14:paraId="41E0B816" w14:textId="77777777" w:rsidR="00370C0E" w:rsidRPr="002624AF" w:rsidRDefault="00370C0E" w:rsidP="002624AF">
      <w:pPr>
        <w:widowControl/>
        <w:autoSpaceDE/>
        <w:autoSpaceDN/>
        <w:adjustRightInd/>
        <w:rPr>
          <w:b/>
        </w:rPr>
      </w:pPr>
    </w:p>
    <w:p w14:paraId="6502F4FD" w14:textId="77777777" w:rsidR="00370C0E" w:rsidRPr="002624AF" w:rsidRDefault="00370C0E" w:rsidP="002624AF">
      <w:pPr>
        <w:widowControl/>
      </w:pPr>
      <w:r w:rsidRPr="002624AF">
        <w:rPr>
          <w:b/>
        </w:rPr>
        <w:lastRenderedPageBreak/>
        <w:t>PROTOCOL:</w:t>
      </w:r>
      <w:r w:rsidRPr="002624AF">
        <w:t xml:space="preserve"> </w:t>
      </w:r>
    </w:p>
    <w:p w14:paraId="3D7D7550" w14:textId="77777777" w:rsidR="00370C0E" w:rsidRPr="002624AF" w:rsidRDefault="00370C0E" w:rsidP="002624AF">
      <w:pPr>
        <w:widowControl/>
        <w:rPr>
          <w:i/>
          <w:color w:val="808080"/>
        </w:rPr>
      </w:pPr>
    </w:p>
    <w:p w14:paraId="110A4B04" w14:textId="76374F65" w:rsidR="00370C0E" w:rsidRPr="001777D6" w:rsidRDefault="001777D6" w:rsidP="002624AF">
      <w:pPr>
        <w:pStyle w:val="Heading2"/>
        <w:keepNext w:val="0"/>
        <w:widowControl/>
        <w:rPr>
          <w:rFonts w:cs="Calibri"/>
        </w:rPr>
      </w:pPr>
      <w:r w:rsidRPr="001777D6">
        <w:rPr>
          <w:rFonts w:cs="Calibri"/>
          <w:bCs w:val="0"/>
          <w:iCs w:val="0"/>
        </w:rPr>
        <w:t>1.</w:t>
      </w:r>
      <w:r w:rsidRPr="001777D6">
        <w:rPr>
          <w:rFonts w:cs="Calibri"/>
        </w:rPr>
        <w:t xml:space="preserve"> </w:t>
      </w:r>
      <w:r w:rsidR="00370C0E" w:rsidRPr="001777D6">
        <w:rPr>
          <w:rFonts w:cs="Calibri"/>
        </w:rPr>
        <w:t xml:space="preserve">Establishment </w:t>
      </w:r>
      <w:r>
        <w:rPr>
          <w:rFonts w:cs="Calibri"/>
        </w:rPr>
        <w:t>a</w:t>
      </w:r>
      <w:r w:rsidRPr="001777D6">
        <w:rPr>
          <w:rFonts w:cs="Calibri"/>
        </w:rPr>
        <w:t xml:space="preserve">nd Maintenance </w:t>
      </w:r>
      <w:r>
        <w:rPr>
          <w:rFonts w:cs="Calibri"/>
        </w:rPr>
        <w:t>o</w:t>
      </w:r>
      <w:r w:rsidRPr="001777D6">
        <w:rPr>
          <w:rFonts w:cs="Calibri"/>
        </w:rPr>
        <w:t>f Primary Mouse Tail Tip Fibroblast Cultures</w:t>
      </w:r>
    </w:p>
    <w:p w14:paraId="52ECA0D5" w14:textId="77777777" w:rsidR="00370C0E" w:rsidRPr="002624AF" w:rsidRDefault="00370C0E" w:rsidP="002624AF">
      <w:pPr>
        <w:widowControl/>
      </w:pPr>
    </w:p>
    <w:p w14:paraId="5AE2F70D" w14:textId="67F96ECB" w:rsidR="00370C0E" w:rsidRPr="002624AF" w:rsidRDefault="00370C0E" w:rsidP="002624AF">
      <w:pPr>
        <w:widowControl/>
        <w:autoSpaceDE/>
        <w:autoSpaceDN/>
        <w:adjustRightInd/>
      </w:pPr>
      <w:r w:rsidRPr="002624AF">
        <w:t>1.1</w:t>
      </w:r>
      <w:r w:rsidR="001777D6">
        <w:t xml:space="preserve"> </w:t>
      </w:r>
      <w:r w:rsidRPr="002624AF">
        <w:t>Prepare gelatin-coated dishes (recommend a 10 cm dish for one tail) by covering the surface with 0.1</w:t>
      </w:r>
      <w:r w:rsidR="002624AF">
        <w:t>%</w:t>
      </w:r>
      <w:r w:rsidRPr="002624AF">
        <w:t xml:space="preserve"> gelatin and incubating the dishes for approximately 20 min at 37 °C. Aspirate the gelatin solution from the dish and allow it to dry for at least 2 </w:t>
      </w:r>
      <w:r w:rsidR="001777D6">
        <w:t>h</w:t>
      </w:r>
      <w:r w:rsidRPr="002624AF">
        <w:t>.</w:t>
      </w:r>
      <w:r w:rsidR="002624AF">
        <w:t xml:space="preserve"> </w:t>
      </w:r>
    </w:p>
    <w:p w14:paraId="48DBE313" w14:textId="77777777" w:rsidR="001777D6" w:rsidRPr="002624AF" w:rsidRDefault="001777D6" w:rsidP="002624AF">
      <w:pPr>
        <w:widowControl/>
        <w:autoSpaceDE/>
        <w:autoSpaceDN/>
        <w:adjustRightInd/>
      </w:pPr>
    </w:p>
    <w:p w14:paraId="57734FD2" w14:textId="0A30CCC9" w:rsidR="00370C0E" w:rsidRPr="002624AF" w:rsidRDefault="00880FEA" w:rsidP="002624AF">
      <w:pPr>
        <w:pStyle w:val="ListParagraph"/>
        <w:widowControl/>
        <w:numPr>
          <w:ilvl w:val="1"/>
          <w:numId w:val="42"/>
        </w:numPr>
      </w:pPr>
      <w:r>
        <w:t>Euthanize</w:t>
      </w:r>
      <w:r w:rsidR="00370C0E" w:rsidRPr="002624AF">
        <w:t xml:space="preserve"> the mice by cervical dislocation. Remove the tail with scissors, cutting at the base of the tail. Put the tail in </w:t>
      </w:r>
      <w:r w:rsidR="00370C0E" w:rsidRPr="002624AF">
        <w:rPr>
          <w:color w:val="222222"/>
          <w:shd w:val="clear" w:color="auto" w:fill="FFFFFF"/>
        </w:rPr>
        <w:t>Dulbecco's phosphate-buffered saline</w:t>
      </w:r>
      <w:r w:rsidR="00370C0E" w:rsidRPr="002624AF">
        <w:t xml:space="preserve"> (DPBS) with 2</w:t>
      </w:r>
      <w:r w:rsidR="002624AF">
        <w:t>%</w:t>
      </w:r>
      <w:r w:rsidR="00370C0E" w:rsidRPr="002624AF">
        <w:t xml:space="preserve"> fetal bovine serum (FBS) until ready to use. </w:t>
      </w:r>
    </w:p>
    <w:p w14:paraId="5DE7AA86" w14:textId="77777777" w:rsidR="001777D6" w:rsidRDefault="001777D6" w:rsidP="002624AF">
      <w:pPr>
        <w:widowControl/>
      </w:pPr>
    </w:p>
    <w:p w14:paraId="7DCA05F3" w14:textId="430FC201" w:rsidR="00370C0E" w:rsidRPr="002624AF" w:rsidRDefault="002624AF" w:rsidP="002624AF">
      <w:pPr>
        <w:widowControl/>
      </w:pPr>
      <w:r>
        <w:t>Note:</w:t>
      </w:r>
      <w:r w:rsidR="00370C0E" w:rsidRPr="002624AF">
        <w:t xml:space="preserve"> </w:t>
      </w:r>
      <w:r w:rsidR="001777D6" w:rsidRPr="002624AF">
        <w:t>For the best results, tails should be taken from mice around 6 to 8 weeks of age.</w:t>
      </w:r>
      <w:r w:rsidR="001777D6">
        <w:t xml:space="preserve"> </w:t>
      </w:r>
      <w:r w:rsidR="00370C0E" w:rsidRPr="002624AF">
        <w:t>Tails can be taken from mice older than 8 weeks of age, however, as the mice age, the proliferation capability of the fibroblasts and the efficiency of reprogramming decrease</w:t>
      </w:r>
      <w:r w:rsidR="00370C0E" w:rsidRPr="002624AF">
        <w:rPr>
          <w:vertAlign w:val="superscript"/>
        </w:rPr>
        <w:t>11</w:t>
      </w:r>
      <w:r w:rsidR="00370C0E" w:rsidRPr="002624AF">
        <w:t>.</w:t>
      </w:r>
      <w:r>
        <w:t xml:space="preserve"> </w:t>
      </w:r>
    </w:p>
    <w:p w14:paraId="4A53333D" w14:textId="77777777" w:rsidR="00370C0E" w:rsidRPr="002624AF" w:rsidRDefault="00370C0E" w:rsidP="002624AF">
      <w:pPr>
        <w:widowControl/>
      </w:pPr>
    </w:p>
    <w:p w14:paraId="74E17DA7" w14:textId="609C2B5B" w:rsidR="00370C0E" w:rsidRPr="002624AF" w:rsidRDefault="001777D6" w:rsidP="002624AF">
      <w:pPr>
        <w:pStyle w:val="ListParagraph"/>
        <w:widowControl/>
        <w:numPr>
          <w:ilvl w:val="1"/>
          <w:numId w:val="42"/>
        </w:numPr>
      </w:pPr>
      <w:r>
        <w:t>Perform</w:t>
      </w:r>
      <w:r w:rsidR="00370C0E" w:rsidRPr="002624AF">
        <w:t xml:space="preserve"> all subsequent steps of this protocol in a tissue culture hood under sterile conditions. Prepare a diluted trypsin solution of 0.02</w:t>
      </w:r>
      <w:r w:rsidR="002624AF">
        <w:t>%</w:t>
      </w:r>
      <w:r w:rsidR="00370C0E" w:rsidRPr="002624AF">
        <w:t xml:space="preserve"> trypsin-EDTA in DPBS and add 5 mL into an uncoated 10 cm dish.</w:t>
      </w:r>
    </w:p>
    <w:p w14:paraId="099E6F59" w14:textId="77777777" w:rsidR="00370C0E" w:rsidRPr="002624AF" w:rsidRDefault="00370C0E" w:rsidP="002624AF">
      <w:pPr>
        <w:widowControl/>
      </w:pPr>
    </w:p>
    <w:p w14:paraId="1E227097" w14:textId="236FEC5C" w:rsidR="00370C0E" w:rsidRPr="002624AF" w:rsidRDefault="00370C0E" w:rsidP="002624AF">
      <w:pPr>
        <w:pStyle w:val="ListParagraph"/>
        <w:widowControl/>
        <w:numPr>
          <w:ilvl w:val="1"/>
          <w:numId w:val="42"/>
        </w:numPr>
      </w:pPr>
      <w:r w:rsidRPr="002624AF">
        <w:t>Wash the tail, first in 70</w:t>
      </w:r>
      <w:r w:rsidR="002624AF">
        <w:t>%</w:t>
      </w:r>
      <w:r w:rsidRPr="002624AF">
        <w:t xml:space="preserve"> ethanol, then in DPBS. In a dish, place the tail flat and use forceps to hold it in place. Make an incision on the tail along its longitudinal axis from the base to the tip. </w:t>
      </w:r>
    </w:p>
    <w:p w14:paraId="2A4620BB" w14:textId="77777777" w:rsidR="00370C0E" w:rsidRPr="002624AF" w:rsidRDefault="00370C0E" w:rsidP="002624AF">
      <w:pPr>
        <w:widowControl/>
      </w:pPr>
    </w:p>
    <w:p w14:paraId="5F627189" w14:textId="77777777" w:rsidR="00370C0E" w:rsidRPr="002624AF" w:rsidRDefault="00370C0E" w:rsidP="002624AF">
      <w:pPr>
        <w:pStyle w:val="ListParagraph"/>
        <w:widowControl/>
        <w:numPr>
          <w:ilvl w:val="1"/>
          <w:numId w:val="42"/>
        </w:numPr>
      </w:pPr>
      <w:r w:rsidRPr="002624AF">
        <w:t xml:space="preserve">Grasp the tail with one pair of forceps and hold it vertically. Using a second pair of forceps, grip the skin beside the incision at the base of the tail and peel it back. Do this at both sides of the incision until the skin can be peeled off by pulling downwards toward the tip of the tail. </w:t>
      </w:r>
    </w:p>
    <w:p w14:paraId="5EAA792C" w14:textId="77777777" w:rsidR="00370C0E" w:rsidRPr="002624AF" w:rsidRDefault="00370C0E" w:rsidP="002624AF">
      <w:pPr>
        <w:widowControl/>
      </w:pPr>
    </w:p>
    <w:p w14:paraId="7933751C" w14:textId="137A9545" w:rsidR="001777D6" w:rsidRDefault="00370C0E" w:rsidP="002624AF">
      <w:pPr>
        <w:pStyle w:val="ListParagraph"/>
        <w:widowControl/>
        <w:numPr>
          <w:ilvl w:val="1"/>
          <w:numId w:val="42"/>
        </w:numPr>
      </w:pPr>
      <w:r w:rsidRPr="002624AF">
        <w:t>Hold the peeled tail with forceps over the dish containing the trypsin solution and cut the tail into approximately 1 cm long pieces. With the tail pieces in the trypsin solution, use scissors to fragment the pieces into smaller pieces</w:t>
      </w:r>
      <w:r w:rsidR="001777D6">
        <w:t>.</w:t>
      </w:r>
      <w:r w:rsidR="001777D6" w:rsidRPr="001777D6">
        <w:t xml:space="preserve"> </w:t>
      </w:r>
      <w:r w:rsidR="001777D6" w:rsidRPr="002624AF">
        <w:t>Incubate the tail pieces in the trypsin solution at 37 °C for 10 min.</w:t>
      </w:r>
    </w:p>
    <w:p w14:paraId="7B831E2E" w14:textId="77777777" w:rsidR="001777D6" w:rsidRDefault="001777D6" w:rsidP="001777D6">
      <w:pPr>
        <w:pStyle w:val="ListParagraph"/>
        <w:widowControl/>
        <w:ind w:left="0"/>
      </w:pPr>
    </w:p>
    <w:p w14:paraId="4CF7761C" w14:textId="6EF9FD25" w:rsidR="00370C0E" w:rsidRPr="002624AF" w:rsidRDefault="001777D6" w:rsidP="001777D6">
      <w:pPr>
        <w:pStyle w:val="ListParagraph"/>
        <w:widowControl/>
        <w:ind w:left="0"/>
      </w:pPr>
      <w:r>
        <w:t xml:space="preserve">Note: </w:t>
      </w:r>
      <w:r w:rsidR="00370C0E" w:rsidRPr="002624AF">
        <w:t>The smaller the pieces</w:t>
      </w:r>
      <w:r>
        <w:t xml:space="preserve"> are preferred so as </w:t>
      </w:r>
      <w:r w:rsidR="00370C0E" w:rsidRPr="002624AF">
        <w:t xml:space="preserve">to </w:t>
      </w:r>
      <w:r>
        <w:t>provide</w:t>
      </w:r>
      <w:r w:rsidR="00370C0E" w:rsidRPr="002624AF">
        <w:t xml:space="preserve"> each piece a high surface area to volume ratio. </w:t>
      </w:r>
    </w:p>
    <w:p w14:paraId="4C7AE3F1" w14:textId="77777777" w:rsidR="00370C0E" w:rsidRPr="002624AF" w:rsidRDefault="00370C0E" w:rsidP="002624AF">
      <w:pPr>
        <w:widowControl/>
      </w:pPr>
    </w:p>
    <w:p w14:paraId="2187713D" w14:textId="6B2A3786" w:rsidR="00370C0E" w:rsidRPr="002624AF" w:rsidRDefault="00370C0E" w:rsidP="002624AF">
      <w:pPr>
        <w:pStyle w:val="ListParagraph"/>
        <w:widowControl/>
        <w:numPr>
          <w:ilvl w:val="1"/>
          <w:numId w:val="42"/>
        </w:numPr>
      </w:pPr>
      <w:r w:rsidRPr="002624AF">
        <w:t>Quench the trypsin using 2 volumes of fibroblast expansion (FEX) medium (high-glucose Dulbecco Modified Eagle Medium (DMEM‎) with 15</w:t>
      </w:r>
      <w:r w:rsidR="002624AF">
        <w:t>%</w:t>
      </w:r>
      <w:r w:rsidRPr="002624AF">
        <w:t xml:space="preserve"> FBS, 2 mM L-glutamine, Non-essential amino acids (NEAA) and 100 </w:t>
      </w:r>
      <w:r w:rsidRPr="002624AF">
        <w:rPr>
          <w:color w:val="222222"/>
          <w:shd w:val="clear" w:color="auto" w:fill="FFFFFF"/>
        </w:rPr>
        <w:t>U/mL</w:t>
      </w:r>
      <w:r w:rsidRPr="002624AF">
        <w:t xml:space="preserve"> Penicillin/Streptomycin). </w:t>
      </w:r>
    </w:p>
    <w:p w14:paraId="640FFF15" w14:textId="77777777" w:rsidR="00370C0E" w:rsidRPr="002624AF" w:rsidRDefault="00370C0E" w:rsidP="002624AF">
      <w:pPr>
        <w:widowControl/>
      </w:pPr>
    </w:p>
    <w:p w14:paraId="54B9C53C" w14:textId="77777777" w:rsidR="00370C0E" w:rsidRPr="002624AF" w:rsidRDefault="00370C0E" w:rsidP="002624AF">
      <w:pPr>
        <w:pStyle w:val="ListParagraph"/>
        <w:widowControl/>
        <w:numPr>
          <w:ilvl w:val="1"/>
          <w:numId w:val="42"/>
        </w:numPr>
      </w:pPr>
      <w:r w:rsidRPr="002624AF">
        <w:t>Collect entire contents of the dish into a 50 mL tube and centrifuge at 350 × g for 5 min at 4 °C. Aspirate the supernatant and resuspend the tail fragments in 10 mL of fresh FEX medium.</w:t>
      </w:r>
    </w:p>
    <w:p w14:paraId="75D06B41" w14:textId="77777777" w:rsidR="00370C0E" w:rsidRPr="002624AF" w:rsidRDefault="00370C0E" w:rsidP="002624AF">
      <w:pPr>
        <w:widowControl/>
      </w:pPr>
    </w:p>
    <w:p w14:paraId="11924FB3" w14:textId="449CA98B" w:rsidR="001777D6" w:rsidRDefault="00370C0E" w:rsidP="001777D6">
      <w:pPr>
        <w:pStyle w:val="ListParagraph"/>
        <w:widowControl/>
        <w:numPr>
          <w:ilvl w:val="1"/>
          <w:numId w:val="42"/>
        </w:numPr>
      </w:pPr>
      <w:r w:rsidRPr="002624AF">
        <w:t>Transfer tail fragments in medium to a gelatin-coated dish and incubate at 37 °C in 5</w:t>
      </w:r>
      <w:r w:rsidR="002624AF">
        <w:t>%</w:t>
      </w:r>
      <w:r w:rsidRPr="002624AF">
        <w:t xml:space="preserve"> CO</w:t>
      </w:r>
      <w:r w:rsidRPr="002624AF">
        <w:rPr>
          <w:vertAlign w:val="subscript"/>
        </w:rPr>
        <w:t xml:space="preserve">2 </w:t>
      </w:r>
      <w:r w:rsidRPr="002624AF">
        <w:t>and 4</w:t>
      </w:r>
      <w:r w:rsidR="002624AF">
        <w:t>%</w:t>
      </w:r>
      <w:r w:rsidRPr="002624AF">
        <w:t xml:space="preserve"> O</w:t>
      </w:r>
      <w:r w:rsidRPr="002624AF">
        <w:rPr>
          <w:vertAlign w:val="subscript"/>
        </w:rPr>
        <w:t>2</w:t>
      </w:r>
      <w:r w:rsidRPr="002624AF">
        <w:rPr>
          <w:vertAlign w:val="subscript"/>
        </w:rPr>
        <w:softHyphen/>
      </w:r>
      <w:r w:rsidRPr="002624AF">
        <w:t>, adding fresh FEX medium every 2 days.</w:t>
      </w:r>
    </w:p>
    <w:p w14:paraId="49211DAD" w14:textId="77777777" w:rsidR="001777D6" w:rsidRDefault="001777D6" w:rsidP="001777D6">
      <w:pPr>
        <w:pStyle w:val="ListParagraph"/>
        <w:widowControl/>
        <w:ind w:left="0"/>
      </w:pPr>
    </w:p>
    <w:p w14:paraId="57AFA25C" w14:textId="77181CF9" w:rsidR="00370C0E" w:rsidRPr="002624AF" w:rsidRDefault="001777D6" w:rsidP="001777D6">
      <w:pPr>
        <w:pStyle w:val="ListParagraph"/>
        <w:widowControl/>
        <w:ind w:left="0"/>
      </w:pPr>
      <w:r>
        <w:t xml:space="preserve">Note: </w:t>
      </w:r>
      <w:r w:rsidR="00370C0E" w:rsidRPr="002624AF">
        <w:t xml:space="preserve">After five to seven days, tail fragments have attached at the bottom of the dish and fibroblasts can be seen moving away from them. </w:t>
      </w:r>
    </w:p>
    <w:p w14:paraId="07F4861B" w14:textId="77777777" w:rsidR="00370C0E" w:rsidRPr="002624AF" w:rsidRDefault="00370C0E" w:rsidP="002624AF">
      <w:pPr>
        <w:widowControl/>
      </w:pPr>
    </w:p>
    <w:p w14:paraId="4AC975C0" w14:textId="77777777" w:rsidR="00370C0E" w:rsidRPr="002624AF" w:rsidRDefault="00370C0E" w:rsidP="002624AF">
      <w:pPr>
        <w:pStyle w:val="ListParagraph"/>
        <w:widowControl/>
        <w:numPr>
          <w:ilvl w:val="1"/>
          <w:numId w:val="42"/>
        </w:numPr>
      </w:pPr>
      <w:r w:rsidRPr="002624AF">
        <w:t xml:space="preserve">Once clusters of fibroblasts are spotted, gently shake the dish to dislodge tail pieces and aspirate the medium and all the bone fragments leaving the fibroblasts attached to the plate. Add new FEX medium and culture the fibroblasts until confluent. </w:t>
      </w:r>
    </w:p>
    <w:p w14:paraId="2DB72C94" w14:textId="77777777" w:rsidR="00370C0E" w:rsidRPr="002624AF" w:rsidRDefault="00370C0E" w:rsidP="002624AF">
      <w:pPr>
        <w:widowControl/>
      </w:pPr>
    </w:p>
    <w:p w14:paraId="6735FDD5" w14:textId="7E74DD5E" w:rsidR="00370C0E" w:rsidRPr="002624AF" w:rsidRDefault="00370C0E" w:rsidP="002624AF">
      <w:pPr>
        <w:pStyle w:val="ListParagraph"/>
        <w:widowControl/>
        <w:numPr>
          <w:ilvl w:val="1"/>
          <w:numId w:val="42"/>
        </w:numPr>
      </w:pPr>
      <w:r w:rsidRPr="002624AF">
        <w:t>To ensure no contamination of fibroblasts by hematopoietic progenitors,</w:t>
      </w:r>
      <w:r w:rsidR="00156493">
        <w:t xml:space="preserve"> </w:t>
      </w:r>
      <w:r w:rsidR="00156493" w:rsidRPr="002624AF">
        <w:t xml:space="preserve">dissociate the cells from the plate </w:t>
      </w:r>
      <w:r w:rsidR="00156493">
        <w:t>using 1X trypsin-EDTA for 5 mins</w:t>
      </w:r>
      <w:r w:rsidRPr="002624AF">
        <w:t xml:space="preserve"> and collect cells</w:t>
      </w:r>
      <w:r w:rsidR="001777D6">
        <w:t>.</w:t>
      </w:r>
      <w:r w:rsidRPr="002624AF">
        <w:t xml:space="preserve"> </w:t>
      </w:r>
      <w:r w:rsidR="001777D6">
        <w:t>D</w:t>
      </w:r>
      <w:r w:rsidRPr="002624AF">
        <w:t>eplete for cells expressing hematopoietic markers (CD117, CD5, CD45R (B220), CD11b, Anti-Gr-1 (Ly-6G/C), 7-4, and Ter-119) using a magnetic separation system</w:t>
      </w:r>
      <w:r w:rsidR="009978B6" w:rsidRPr="009978B6">
        <w:rPr>
          <w:vertAlign w:val="superscript"/>
        </w:rPr>
        <w:t>10</w:t>
      </w:r>
      <w:r w:rsidRPr="002624AF">
        <w:t xml:space="preserve">. </w:t>
      </w:r>
    </w:p>
    <w:p w14:paraId="1D57CCF1" w14:textId="77777777" w:rsidR="00370C0E" w:rsidRPr="002624AF" w:rsidRDefault="00370C0E" w:rsidP="002624AF">
      <w:pPr>
        <w:widowControl/>
      </w:pPr>
    </w:p>
    <w:p w14:paraId="4C5DF6FE" w14:textId="4950FAD1" w:rsidR="00370C0E" w:rsidRPr="002624AF" w:rsidRDefault="00370C0E" w:rsidP="008B1E2A">
      <w:pPr>
        <w:pStyle w:val="Heading2"/>
        <w:keepNext w:val="0"/>
        <w:widowControl/>
        <w:tabs>
          <w:tab w:val="right" w:pos="9360"/>
        </w:tabs>
        <w:rPr>
          <w:rFonts w:cs="Calibri"/>
        </w:rPr>
      </w:pPr>
      <w:r w:rsidRPr="002624AF">
        <w:rPr>
          <w:rFonts w:cs="Calibri"/>
        </w:rPr>
        <w:t xml:space="preserve">2. Retrovirus </w:t>
      </w:r>
      <w:r w:rsidR="001777D6">
        <w:rPr>
          <w:rFonts w:cs="Calibri"/>
        </w:rPr>
        <w:t>P</w:t>
      </w:r>
      <w:r w:rsidRPr="002624AF">
        <w:rPr>
          <w:rFonts w:cs="Calibri"/>
        </w:rPr>
        <w:t>roduction</w:t>
      </w:r>
      <w:r w:rsidR="008B1E2A">
        <w:rPr>
          <w:rFonts w:cs="Calibri"/>
        </w:rPr>
        <w:tab/>
      </w:r>
    </w:p>
    <w:p w14:paraId="4BD94604" w14:textId="77777777" w:rsidR="00370C0E" w:rsidRPr="002624AF" w:rsidRDefault="00370C0E" w:rsidP="002624AF">
      <w:pPr>
        <w:widowControl/>
      </w:pPr>
    </w:p>
    <w:p w14:paraId="695FD5D3" w14:textId="4CBDA23B" w:rsidR="00370C0E" w:rsidRPr="002624AF" w:rsidRDefault="00370C0E" w:rsidP="002624AF">
      <w:pPr>
        <w:pStyle w:val="ListParagraph"/>
        <w:widowControl/>
        <w:numPr>
          <w:ilvl w:val="1"/>
          <w:numId w:val="43"/>
        </w:numPr>
        <w:tabs>
          <w:tab w:val="left" w:pos="426"/>
        </w:tabs>
        <w:autoSpaceDE/>
        <w:autoSpaceDN/>
        <w:adjustRightInd/>
      </w:pPr>
      <w:r w:rsidRPr="002624AF">
        <w:t>Seed retroviral packaging cells at approximately 2.5 × 10</w:t>
      </w:r>
      <w:r w:rsidRPr="002624AF">
        <w:rPr>
          <w:vertAlign w:val="superscript"/>
        </w:rPr>
        <w:t>4</w:t>
      </w:r>
      <w:r w:rsidRPr="002624AF">
        <w:t xml:space="preserve"> cells</w:t>
      </w:r>
      <w:r w:rsidR="001777D6">
        <w:t>/</w:t>
      </w:r>
      <w:r w:rsidRPr="002624AF">
        <w:t>cm</w:t>
      </w:r>
      <w:r w:rsidRPr="002624AF">
        <w:rPr>
          <w:vertAlign w:val="superscript"/>
        </w:rPr>
        <w:t>2</w:t>
      </w:r>
      <w:r w:rsidRPr="002624AF">
        <w:t xml:space="preserve"> (2.0 × 10</w:t>
      </w:r>
      <w:r w:rsidRPr="002624AF">
        <w:rPr>
          <w:vertAlign w:val="superscript"/>
        </w:rPr>
        <w:t>6</w:t>
      </w:r>
      <w:r w:rsidRPr="002624AF">
        <w:t xml:space="preserve"> cells for a 10 cm dish) on a tissue culture-treated (by vacuum-gas plasma) dish and culture overnight </w:t>
      </w:r>
      <w:r w:rsidRPr="002624AF">
        <w:rPr>
          <w:color w:val="auto"/>
        </w:rPr>
        <w:t>in high-glucose DMEM with 10</w:t>
      </w:r>
      <w:r w:rsidR="002624AF">
        <w:rPr>
          <w:color w:val="auto"/>
        </w:rPr>
        <w:t>%</w:t>
      </w:r>
      <w:r w:rsidRPr="002624AF">
        <w:rPr>
          <w:color w:val="auto"/>
        </w:rPr>
        <w:t xml:space="preserve"> FBS, 10 mM Sodium Pyruvate, and 100 </w:t>
      </w:r>
      <w:r w:rsidRPr="002624AF">
        <w:rPr>
          <w:color w:val="auto"/>
          <w:shd w:val="clear" w:color="auto" w:fill="FFFFFF"/>
        </w:rPr>
        <w:t>U/mL</w:t>
      </w:r>
      <w:r w:rsidRPr="002624AF">
        <w:rPr>
          <w:color w:val="auto"/>
        </w:rPr>
        <w:t xml:space="preserve"> Penicillin/Streptomycin at 37 °C and 5</w:t>
      </w:r>
      <w:r w:rsidR="002624AF">
        <w:rPr>
          <w:color w:val="auto"/>
        </w:rPr>
        <w:t>%</w:t>
      </w:r>
      <w:r w:rsidRPr="002624AF">
        <w:rPr>
          <w:color w:val="auto"/>
        </w:rPr>
        <w:t xml:space="preserve"> CO</w:t>
      </w:r>
      <w:r w:rsidRPr="002624AF">
        <w:rPr>
          <w:color w:val="auto"/>
          <w:vertAlign w:val="subscript"/>
        </w:rPr>
        <w:t>2</w:t>
      </w:r>
      <w:r w:rsidRPr="002624AF">
        <w:t xml:space="preserve">. </w:t>
      </w:r>
    </w:p>
    <w:p w14:paraId="1C9AFFB5" w14:textId="77777777" w:rsidR="00370C0E" w:rsidRPr="002624AF" w:rsidRDefault="00370C0E" w:rsidP="002624AF">
      <w:pPr>
        <w:widowControl/>
        <w:tabs>
          <w:tab w:val="left" w:pos="567"/>
        </w:tabs>
        <w:autoSpaceDE/>
        <w:autoSpaceDN/>
        <w:adjustRightInd/>
      </w:pPr>
    </w:p>
    <w:p w14:paraId="0150867E" w14:textId="737CC0B0" w:rsidR="00370C0E" w:rsidRPr="002624AF" w:rsidRDefault="001777D6" w:rsidP="002624AF">
      <w:pPr>
        <w:pStyle w:val="ListParagraph"/>
        <w:widowControl/>
        <w:numPr>
          <w:ilvl w:val="1"/>
          <w:numId w:val="43"/>
        </w:numPr>
        <w:tabs>
          <w:tab w:val="left" w:pos="567"/>
        </w:tabs>
        <w:autoSpaceDE/>
        <w:autoSpaceDN/>
        <w:adjustRightInd/>
      </w:pPr>
      <w:r>
        <w:t>O</w:t>
      </w:r>
      <w:r w:rsidR="00370C0E" w:rsidRPr="002624AF">
        <w:t>n the following morning, change the medium to DMEM with no additives using half the volume used to culture overnight (5 mL for a 10 cm dish). In the afternoon, check that the cells are 70–80</w:t>
      </w:r>
      <w:r w:rsidR="002624AF">
        <w:t>%</w:t>
      </w:r>
      <w:r w:rsidR="00370C0E" w:rsidRPr="002624AF">
        <w:t xml:space="preserve"> confluent and begin the transfection.</w:t>
      </w:r>
    </w:p>
    <w:p w14:paraId="09444B0C" w14:textId="77777777" w:rsidR="00370C0E" w:rsidRPr="002624AF" w:rsidRDefault="00370C0E" w:rsidP="002624AF">
      <w:pPr>
        <w:widowControl/>
        <w:tabs>
          <w:tab w:val="left" w:pos="567"/>
        </w:tabs>
        <w:autoSpaceDE/>
        <w:autoSpaceDN/>
        <w:adjustRightInd/>
      </w:pPr>
    </w:p>
    <w:p w14:paraId="1BFFB27A" w14:textId="6071C4DD" w:rsidR="00370C0E" w:rsidRPr="002624AF" w:rsidRDefault="00370C0E" w:rsidP="002624AF">
      <w:pPr>
        <w:pStyle w:val="ListParagraph"/>
        <w:widowControl/>
        <w:numPr>
          <w:ilvl w:val="1"/>
          <w:numId w:val="43"/>
        </w:numPr>
        <w:tabs>
          <w:tab w:val="left" w:pos="426"/>
        </w:tabs>
        <w:autoSpaceDE/>
        <w:autoSpaceDN/>
        <w:adjustRightInd/>
      </w:pPr>
      <w:r w:rsidRPr="002624AF">
        <w:t>For each reprogramming factor,</w:t>
      </w:r>
      <w:r w:rsidRPr="002624AF">
        <w:rPr>
          <w:b/>
        </w:rPr>
        <w:t xml:space="preserve"> </w:t>
      </w:r>
      <w:r w:rsidRPr="002624AF">
        <w:rPr>
          <w:b/>
          <w:i/>
        </w:rPr>
        <w:t>Gata1</w:t>
      </w:r>
      <w:r w:rsidRPr="002624AF">
        <w:rPr>
          <w:b/>
        </w:rPr>
        <w:t xml:space="preserve">, </w:t>
      </w:r>
      <w:r w:rsidRPr="002624AF">
        <w:rPr>
          <w:b/>
          <w:i/>
        </w:rPr>
        <w:t>Tal1</w:t>
      </w:r>
      <w:r w:rsidRPr="002624AF">
        <w:rPr>
          <w:b/>
        </w:rPr>
        <w:t xml:space="preserve">, </w:t>
      </w:r>
      <w:r w:rsidRPr="002624AF">
        <w:rPr>
          <w:b/>
          <w:i/>
        </w:rPr>
        <w:t>Lmo2</w:t>
      </w:r>
      <w:r w:rsidRPr="002624AF">
        <w:rPr>
          <w:b/>
        </w:rPr>
        <w:t xml:space="preserve">, and </w:t>
      </w:r>
      <w:r w:rsidRPr="002624AF">
        <w:rPr>
          <w:b/>
          <w:i/>
        </w:rPr>
        <w:t>c-Myc</w:t>
      </w:r>
      <w:r w:rsidRPr="002624AF">
        <w:rPr>
          <w:b/>
        </w:rPr>
        <w:t>,</w:t>
      </w:r>
      <w:r w:rsidRPr="002624AF">
        <w:t xml:space="preserve"> prepare a 2:1 mixture of the expression vector (</w:t>
      </w:r>
      <w:proofErr w:type="spellStart"/>
      <w:r w:rsidRPr="002624AF">
        <w:t>pMX</w:t>
      </w:r>
      <w:proofErr w:type="spellEnd"/>
      <w:r w:rsidRPr="002624AF">
        <w:t xml:space="preserve">) and helper vector (containing gag and pol genes). For a 10 cm dish of fibroblasts, use 6 µg of expression vector and 3 µg of helper vector in a final volume of 100 </w:t>
      </w:r>
      <w:r w:rsidR="002624AF">
        <w:t>µL</w:t>
      </w:r>
      <w:r w:rsidRPr="002624AF">
        <w:t xml:space="preserve"> in DMEM medium. </w:t>
      </w:r>
    </w:p>
    <w:p w14:paraId="3B6EAA41" w14:textId="77777777" w:rsidR="00370C0E" w:rsidRPr="002624AF" w:rsidRDefault="00370C0E" w:rsidP="002624AF">
      <w:pPr>
        <w:widowControl/>
        <w:tabs>
          <w:tab w:val="left" w:pos="567"/>
        </w:tabs>
        <w:autoSpaceDE/>
        <w:autoSpaceDN/>
        <w:adjustRightInd/>
      </w:pPr>
    </w:p>
    <w:p w14:paraId="58BEC0EE" w14:textId="77777777" w:rsidR="00B06BBF" w:rsidRDefault="00370C0E" w:rsidP="002624AF">
      <w:pPr>
        <w:pStyle w:val="ListParagraph"/>
        <w:widowControl/>
        <w:numPr>
          <w:ilvl w:val="1"/>
          <w:numId w:val="43"/>
        </w:numPr>
        <w:tabs>
          <w:tab w:val="left" w:pos="426"/>
        </w:tabs>
        <w:autoSpaceDE/>
        <w:autoSpaceDN/>
        <w:adjustRightInd/>
      </w:pPr>
      <w:r w:rsidRPr="002624AF">
        <w:t xml:space="preserve">For each reprogramming factor, prepare 300 </w:t>
      </w:r>
      <w:r w:rsidR="002624AF">
        <w:t>µL</w:t>
      </w:r>
      <w:r w:rsidRPr="002624AF">
        <w:t xml:space="preserve"> of room temperature (RT) DMEM in a sterile polystyrene tube and carefully add 27 </w:t>
      </w:r>
      <w:r w:rsidR="002624AF">
        <w:t>µL</w:t>
      </w:r>
      <w:r w:rsidRPr="002624AF">
        <w:t xml:space="preserve"> of commercial transfection reagent. </w:t>
      </w:r>
    </w:p>
    <w:p w14:paraId="5E9F5C00" w14:textId="77777777" w:rsidR="00B06BBF" w:rsidRDefault="00B06BBF" w:rsidP="00B06BBF">
      <w:pPr>
        <w:pStyle w:val="ListParagraph"/>
        <w:widowControl/>
        <w:tabs>
          <w:tab w:val="left" w:pos="426"/>
        </w:tabs>
        <w:autoSpaceDE/>
        <w:autoSpaceDN/>
        <w:adjustRightInd/>
        <w:ind w:left="0"/>
      </w:pPr>
    </w:p>
    <w:p w14:paraId="1F865D17" w14:textId="5ED79980" w:rsidR="00370C0E" w:rsidRPr="002624AF" w:rsidRDefault="00B06BBF" w:rsidP="00B06BBF">
      <w:pPr>
        <w:pStyle w:val="ListParagraph"/>
        <w:widowControl/>
        <w:tabs>
          <w:tab w:val="left" w:pos="426"/>
        </w:tabs>
        <w:autoSpaceDE/>
        <w:autoSpaceDN/>
        <w:adjustRightInd/>
        <w:ind w:left="0"/>
      </w:pPr>
      <w:r>
        <w:t xml:space="preserve">Note: </w:t>
      </w:r>
      <w:r w:rsidR="00370C0E" w:rsidRPr="002624AF">
        <w:t>The transfection reagent should be brought to RT before use and must be added directly into the medium as the electrostatic properties of the compound can make it stick to the plastic wall of the tube.</w:t>
      </w:r>
    </w:p>
    <w:p w14:paraId="00ADF282" w14:textId="77777777" w:rsidR="00370C0E" w:rsidRPr="002624AF" w:rsidRDefault="00370C0E" w:rsidP="002624AF">
      <w:pPr>
        <w:widowControl/>
        <w:tabs>
          <w:tab w:val="left" w:pos="567"/>
        </w:tabs>
        <w:autoSpaceDE/>
        <w:autoSpaceDN/>
        <w:adjustRightInd/>
      </w:pPr>
    </w:p>
    <w:p w14:paraId="2C3D0CB7" w14:textId="27C978BA" w:rsidR="00370C0E" w:rsidRPr="002624AF" w:rsidRDefault="00370C0E" w:rsidP="002624AF">
      <w:pPr>
        <w:pStyle w:val="ListParagraph"/>
        <w:widowControl/>
        <w:numPr>
          <w:ilvl w:val="1"/>
          <w:numId w:val="43"/>
        </w:numPr>
        <w:tabs>
          <w:tab w:val="left" w:pos="426"/>
        </w:tabs>
        <w:autoSpaceDE/>
        <w:autoSpaceDN/>
        <w:adjustRightInd/>
      </w:pPr>
      <w:r w:rsidRPr="002624AF">
        <w:t xml:space="preserve">Add the plasmid mix into the transfection reagent-containing tube, vortex briefly and incubate the transfection reagent-DNA mixture for 15 min at RT. Briefly vortex the mixture and add it dropwise to </w:t>
      </w:r>
      <w:r w:rsidR="00936A43">
        <w:t xml:space="preserve">the </w:t>
      </w:r>
      <w:r w:rsidRPr="002624AF">
        <w:t>retroviral packaging cells so that the transfection reagent-DNA mix is evenly spread over the culture and incubate at 37 °C overnight.</w:t>
      </w:r>
    </w:p>
    <w:p w14:paraId="3D1D97C2" w14:textId="77777777" w:rsidR="00370C0E" w:rsidRPr="002624AF" w:rsidRDefault="00370C0E" w:rsidP="002624AF">
      <w:pPr>
        <w:widowControl/>
        <w:tabs>
          <w:tab w:val="left" w:pos="567"/>
        </w:tabs>
        <w:autoSpaceDE/>
        <w:autoSpaceDN/>
        <w:adjustRightInd/>
      </w:pPr>
    </w:p>
    <w:p w14:paraId="3353B333" w14:textId="044514BE" w:rsidR="00370C0E" w:rsidRPr="002624AF" w:rsidRDefault="00370C0E" w:rsidP="002624AF">
      <w:pPr>
        <w:pStyle w:val="ListParagraph"/>
        <w:widowControl/>
        <w:numPr>
          <w:ilvl w:val="1"/>
          <w:numId w:val="43"/>
        </w:numPr>
        <w:tabs>
          <w:tab w:val="left" w:pos="426"/>
        </w:tabs>
        <w:autoSpaceDE/>
        <w:autoSpaceDN/>
        <w:adjustRightInd/>
      </w:pPr>
      <w:r w:rsidRPr="002624AF">
        <w:t xml:space="preserve">24 </w:t>
      </w:r>
      <w:r w:rsidR="001777D6">
        <w:t>h</w:t>
      </w:r>
      <w:r w:rsidRPr="002624AF">
        <w:t xml:space="preserve"> after transfection, change the medium to DMEM with 20</w:t>
      </w:r>
      <w:r w:rsidR="002624AF">
        <w:t>%</w:t>
      </w:r>
      <w:r w:rsidRPr="002624AF">
        <w:t xml:space="preserve"> FBS and 100 </w:t>
      </w:r>
      <w:r w:rsidRPr="002624AF">
        <w:rPr>
          <w:color w:val="222222"/>
          <w:shd w:val="clear" w:color="auto" w:fill="FFFFFF"/>
        </w:rPr>
        <w:t>U/mL</w:t>
      </w:r>
      <w:r w:rsidRPr="002624AF">
        <w:t xml:space="preserve"> Penicillin/Streptomycin. 48 </w:t>
      </w:r>
      <w:r w:rsidR="001777D6">
        <w:t>h</w:t>
      </w:r>
      <w:r w:rsidRPr="002624AF">
        <w:t xml:space="preserve"> after transfection, collect the supernatant and filter it through a 0.22 µm pore-size syringe filter. </w:t>
      </w:r>
    </w:p>
    <w:p w14:paraId="2D0E72DC" w14:textId="3313B75A" w:rsidR="00370C0E" w:rsidRPr="002624AF" w:rsidRDefault="002624AF" w:rsidP="002624AF">
      <w:pPr>
        <w:widowControl/>
        <w:autoSpaceDE/>
        <w:autoSpaceDN/>
        <w:adjustRightInd/>
        <w:rPr>
          <w:color w:val="auto"/>
        </w:rPr>
      </w:pPr>
      <w:r>
        <w:lastRenderedPageBreak/>
        <w:t>Note:</w:t>
      </w:r>
      <w:r w:rsidR="00370C0E" w:rsidRPr="002624AF">
        <w:t xml:space="preserve"> Viral supernatants can be frozen to -80 °C and kept until required, </w:t>
      </w:r>
      <w:r w:rsidR="00370C0E" w:rsidRPr="002624AF">
        <w:rPr>
          <w:color w:val="auto"/>
        </w:rPr>
        <w:t xml:space="preserve">although transduction is more efficient if fresh viral supernatant is used. </w:t>
      </w:r>
    </w:p>
    <w:p w14:paraId="1E5938C4" w14:textId="77777777" w:rsidR="00370C0E" w:rsidRPr="002624AF" w:rsidRDefault="00370C0E" w:rsidP="002624AF">
      <w:pPr>
        <w:widowControl/>
      </w:pPr>
    </w:p>
    <w:p w14:paraId="5FE37EAF" w14:textId="77777777" w:rsidR="00370C0E" w:rsidRPr="002624AF" w:rsidRDefault="00370C0E" w:rsidP="002624AF">
      <w:pPr>
        <w:pStyle w:val="Heading2"/>
        <w:keepNext w:val="0"/>
        <w:widowControl/>
        <w:rPr>
          <w:rFonts w:cs="Calibri"/>
        </w:rPr>
      </w:pPr>
      <w:r w:rsidRPr="002624AF">
        <w:rPr>
          <w:rFonts w:cs="Calibri"/>
        </w:rPr>
        <w:t>3. GTLM transduction and iEP harvest</w:t>
      </w:r>
    </w:p>
    <w:p w14:paraId="357FE45B" w14:textId="77777777" w:rsidR="00370C0E" w:rsidRPr="002624AF" w:rsidRDefault="00370C0E" w:rsidP="002624AF">
      <w:pPr>
        <w:widowControl/>
      </w:pPr>
    </w:p>
    <w:p w14:paraId="0668364D" w14:textId="68CFB84C" w:rsidR="00370C0E" w:rsidRPr="002624AF" w:rsidRDefault="00370C0E" w:rsidP="002624AF">
      <w:pPr>
        <w:pStyle w:val="ListParagraph"/>
        <w:widowControl/>
        <w:numPr>
          <w:ilvl w:val="1"/>
          <w:numId w:val="44"/>
        </w:numPr>
        <w:rPr>
          <w:color w:val="auto"/>
        </w:rPr>
      </w:pPr>
      <w:r w:rsidRPr="002624AF">
        <w:rPr>
          <w:color w:val="auto"/>
        </w:rPr>
        <w:t>Seed the tail tip fibroblasts at 1</w:t>
      </w:r>
      <w:r w:rsidR="00936A43">
        <w:rPr>
          <w:color w:val="auto"/>
        </w:rPr>
        <w:t xml:space="preserve"> </w:t>
      </w:r>
      <w:r w:rsidR="00880FEA">
        <w:rPr>
          <w:color w:val="auto"/>
        </w:rPr>
        <w:t>×</w:t>
      </w:r>
      <w:r w:rsidR="00936A43">
        <w:rPr>
          <w:color w:val="auto"/>
        </w:rPr>
        <w:t xml:space="preserve"> </w:t>
      </w:r>
      <w:r w:rsidRPr="002624AF">
        <w:rPr>
          <w:color w:val="auto"/>
        </w:rPr>
        <w:t>10</w:t>
      </w:r>
      <w:r w:rsidRPr="002624AF">
        <w:rPr>
          <w:color w:val="auto"/>
          <w:vertAlign w:val="superscript"/>
        </w:rPr>
        <w:t>4</w:t>
      </w:r>
      <w:r w:rsidRPr="002624AF">
        <w:rPr>
          <w:color w:val="auto"/>
        </w:rPr>
        <w:t xml:space="preserve"> cells</w:t>
      </w:r>
      <w:r w:rsidR="00880FEA">
        <w:rPr>
          <w:color w:val="auto"/>
        </w:rPr>
        <w:t>/</w:t>
      </w:r>
      <w:r w:rsidRPr="002624AF">
        <w:rPr>
          <w:color w:val="auto"/>
        </w:rPr>
        <w:t>cm</w:t>
      </w:r>
      <w:r w:rsidRPr="002624AF">
        <w:rPr>
          <w:color w:val="auto"/>
          <w:vertAlign w:val="superscript"/>
        </w:rPr>
        <w:t>2</w:t>
      </w:r>
      <w:r w:rsidRPr="002624AF">
        <w:rPr>
          <w:color w:val="auto"/>
        </w:rPr>
        <w:t xml:space="preserve"> on 0.1</w:t>
      </w:r>
      <w:r w:rsidR="002624AF">
        <w:rPr>
          <w:color w:val="auto"/>
        </w:rPr>
        <w:t>%</w:t>
      </w:r>
      <w:r w:rsidRPr="002624AF">
        <w:rPr>
          <w:color w:val="auto"/>
        </w:rPr>
        <w:t xml:space="preserve"> gelatin pre-coated dishes in FEX medium and incubate at 37 °C for 24 </w:t>
      </w:r>
      <w:r w:rsidR="001777D6">
        <w:rPr>
          <w:color w:val="auto"/>
        </w:rPr>
        <w:t>h</w:t>
      </w:r>
      <w:r w:rsidRPr="002624AF">
        <w:rPr>
          <w:color w:val="auto"/>
        </w:rPr>
        <w:t>.</w:t>
      </w:r>
    </w:p>
    <w:p w14:paraId="66F7E723" w14:textId="77777777" w:rsidR="00370C0E" w:rsidRPr="002624AF" w:rsidRDefault="00370C0E" w:rsidP="002624AF">
      <w:pPr>
        <w:widowControl/>
        <w:rPr>
          <w:color w:val="auto"/>
        </w:rPr>
      </w:pPr>
    </w:p>
    <w:p w14:paraId="0A1EBEAC" w14:textId="7FAFEDBB" w:rsidR="00880FEA" w:rsidRPr="00880FEA" w:rsidRDefault="00370C0E" w:rsidP="002624AF">
      <w:pPr>
        <w:pStyle w:val="ListParagraph"/>
        <w:widowControl/>
        <w:numPr>
          <w:ilvl w:val="1"/>
          <w:numId w:val="44"/>
        </w:numPr>
      </w:pPr>
      <w:r w:rsidRPr="002624AF">
        <w:rPr>
          <w:color w:val="auto"/>
        </w:rPr>
        <w:t>The following day, prepare a transduction mixture as follows</w:t>
      </w:r>
      <w:r w:rsidR="00880FEA">
        <w:rPr>
          <w:color w:val="auto"/>
        </w:rPr>
        <w:t>.</w:t>
      </w:r>
      <w:r w:rsidRPr="002624AF">
        <w:rPr>
          <w:color w:val="auto"/>
        </w:rPr>
        <w:t xml:space="preserve"> </w:t>
      </w:r>
    </w:p>
    <w:p w14:paraId="1B402954" w14:textId="77777777" w:rsidR="00880FEA" w:rsidRPr="00880FEA" w:rsidRDefault="00880FEA" w:rsidP="00880FEA">
      <w:pPr>
        <w:pStyle w:val="ListParagraph"/>
        <w:widowControl/>
        <w:ind w:left="0"/>
      </w:pPr>
    </w:p>
    <w:p w14:paraId="4DD07C29" w14:textId="3BEC1757" w:rsidR="00880FEA" w:rsidRDefault="00370C0E" w:rsidP="00880FEA">
      <w:pPr>
        <w:pStyle w:val="ListParagraph"/>
        <w:widowControl/>
        <w:numPr>
          <w:ilvl w:val="2"/>
          <w:numId w:val="44"/>
        </w:numPr>
      </w:pPr>
      <w:r w:rsidRPr="002624AF">
        <w:rPr>
          <w:color w:val="auto"/>
        </w:rPr>
        <w:t xml:space="preserve">Add </w:t>
      </w:r>
      <w:r w:rsidRPr="002624AF">
        <w:t xml:space="preserve">1 volume of viral supernatant for each reprogramming factor supplemented with 4 µg/mL of </w:t>
      </w:r>
      <w:r w:rsidRPr="002624AF">
        <w:rPr>
          <w:shd w:val="clear" w:color="auto" w:fill="FFFFFF"/>
        </w:rPr>
        <w:t>retroviral infection</w:t>
      </w:r>
      <w:r w:rsidRPr="002624AF" w:rsidDel="00534D8E">
        <w:t xml:space="preserve"> </w:t>
      </w:r>
      <w:r w:rsidRPr="002624AF">
        <w:t>reagent (40</w:t>
      </w:r>
      <w:r w:rsidR="002624AF">
        <w:t>%</w:t>
      </w:r>
      <w:r w:rsidRPr="002624AF">
        <w:t>) to 6 volumes of FEX medium (60</w:t>
      </w:r>
      <w:r w:rsidR="002624AF">
        <w:t>%</w:t>
      </w:r>
      <w:r w:rsidRPr="002624AF">
        <w:t xml:space="preserve">). </w:t>
      </w:r>
    </w:p>
    <w:p w14:paraId="6B484928" w14:textId="77777777" w:rsidR="00880FEA" w:rsidRDefault="00880FEA" w:rsidP="00880FEA">
      <w:pPr>
        <w:pStyle w:val="ListParagraph"/>
        <w:widowControl/>
        <w:ind w:left="0"/>
      </w:pPr>
    </w:p>
    <w:p w14:paraId="4F6B0846" w14:textId="0C7DB68A" w:rsidR="00370C0E" w:rsidRPr="002624AF" w:rsidRDefault="00370C0E" w:rsidP="00880FEA">
      <w:pPr>
        <w:pStyle w:val="ListParagraph"/>
        <w:widowControl/>
        <w:numPr>
          <w:ilvl w:val="2"/>
          <w:numId w:val="44"/>
        </w:numPr>
      </w:pPr>
      <w:r w:rsidRPr="002624AF">
        <w:t xml:space="preserve">For a 10 cm dish of fibroblasts, add 1 mL of each viral supernatant (4 × viruses = 4 mL) supplemented with 4 µg/mL of </w:t>
      </w:r>
      <w:r w:rsidRPr="002624AF">
        <w:rPr>
          <w:shd w:val="clear" w:color="auto" w:fill="FFFFFF"/>
        </w:rPr>
        <w:t>retroviral infection</w:t>
      </w:r>
      <w:r w:rsidRPr="002624AF" w:rsidDel="00534D8E">
        <w:t xml:space="preserve"> </w:t>
      </w:r>
      <w:r w:rsidRPr="002624AF">
        <w:t xml:space="preserve">reagent to 6 mL of FEX medium, giving a total of 10 mL transduction mixture. </w:t>
      </w:r>
    </w:p>
    <w:p w14:paraId="5829481C" w14:textId="77777777" w:rsidR="00370C0E" w:rsidRPr="002624AF" w:rsidRDefault="00370C0E" w:rsidP="002624AF">
      <w:pPr>
        <w:widowControl/>
      </w:pPr>
    </w:p>
    <w:p w14:paraId="42C03C7A" w14:textId="543C03F1" w:rsidR="00370C0E" w:rsidRPr="002624AF" w:rsidRDefault="00370C0E" w:rsidP="002624AF">
      <w:pPr>
        <w:pStyle w:val="ListParagraph"/>
        <w:widowControl/>
        <w:numPr>
          <w:ilvl w:val="1"/>
          <w:numId w:val="44"/>
        </w:numPr>
        <w:rPr>
          <w:color w:val="auto"/>
        </w:rPr>
      </w:pPr>
      <w:r w:rsidRPr="002624AF">
        <w:rPr>
          <w:color w:val="auto"/>
        </w:rPr>
        <w:t xml:space="preserve">Aspirate FEX medium from the fibroblast culture and replace it with the transduction mixture. Incubate the transduction for 4 </w:t>
      </w:r>
      <w:r w:rsidR="001777D6">
        <w:rPr>
          <w:color w:val="auto"/>
        </w:rPr>
        <w:t>h</w:t>
      </w:r>
      <w:r w:rsidRPr="002624AF">
        <w:rPr>
          <w:color w:val="auto"/>
        </w:rPr>
        <w:t xml:space="preserve"> at 37 °C in hypoxic conditions (5</w:t>
      </w:r>
      <w:r w:rsidR="002624AF">
        <w:rPr>
          <w:color w:val="auto"/>
        </w:rPr>
        <w:t>%</w:t>
      </w:r>
      <w:r w:rsidRPr="002624AF">
        <w:rPr>
          <w:color w:val="auto"/>
        </w:rPr>
        <w:t xml:space="preserve"> CO</w:t>
      </w:r>
      <w:r w:rsidRPr="002624AF">
        <w:rPr>
          <w:color w:val="auto"/>
          <w:vertAlign w:val="subscript"/>
        </w:rPr>
        <w:t>2</w:t>
      </w:r>
      <w:r w:rsidRPr="002624AF">
        <w:rPr>
          <w:color w:val="auto"/>
        </w:rPr>
        <w:t xml:space="preserve"> and 4</w:t>
      </w:r>
      <w:r w:rsidR="002624AF">
        <w:rPr>
          <w:color w:val="auto"/>
        </w:rPr>
        <w:t>%</w:t>
      </w:r>
      <w:r w:rsidRPr="002624AF">
        <w:rPr>
          <w:color w:val="auto"/>
        </w:rPr>
        <w:t xml:space="preserve"> O</w:t>
      </w:r>
      <w:r w:rsidRPr="002624AF">
        <w:rPr>
          <w:color w:val="auto"/>
          <w:vertAlign w:val="subscript"/>
        </w:rPr>
        <w:t>2</w:t>
      </w:r>
      <w:r w:rsidRPr="002624AF">
        <w:rPr>
          <w:color w:val="auto"/>
        </w:rPr>
        <w:t>).</w:t>
      </w:r>
    </w:p>
    <w:p w14:paraId="63DCFA25" w14:textId="77777777" w:rsidR="00370C0E" w:rsidRPr="002624AF" w:rsidRDefault="00370C0E" w:rsidP="002624AF">
      <w:pPr>
        <w:widowControl/>
        <w:rPr>
          <w:color w:val="auto"/>
        </w:rPr>
      </w:pPr>
    </w:p>
    <w:p w14:paraId="2F7557E0" w14:textId="77777777" w:rsidR="00370C0E" w:rsidRPr="002624AF" w:rsidRDefault="00370C0E" w:rsidP="002624AF">
      <w:pPr>
        <w:pStyle w:val="ListParagraph"/>
        <w:widowControl/>
        <w:numPr>
          <w:ilvl w:val="1"/>
          <w:numId w:val="44"/>
        </w:numPr>
        <w:rPr>
          <w:color w:val="auto"/>
        </w:rPr>
      </w:pPr>
      <w:r w:rsidRPr="002624AF">
        <w:rPr>
          <w:color w:val="auto"/>
        </w:rPr>
        <w:t xml:space="preserve">Aspirate the transduction mixture and replace it with fresh reprogramming medium (Serum-free Expansion medium (SFEM), </w:t>
      </w:r>
      <w:r w:rsidRPr="002624AF">
        <w:t xml:space="preserve">100 </w:t>
      </w:r>
      <w:r w:rsidRPr="002624AF">
        <w:rPr>
          <w:color w:val="222222"/>
          <w:shd w:val="clear" w:color="auto" w:fill="FFFFFF"/>
        </w:rPr>
        <w:t>U/mL</w:t>
      </w:r>
      <w:r w:rsidRPr="002624AF">
        <w:t xml:space="preserve"> </w:t>
      </w:r>
      <w:r w:rsidRPr="002624AF">
        <w:rPr>
          <w:color w:val="auto"/>
        </w:rPr>
        <w:t xml:space="preserve">Penicillin/Streptomycin, </w:t>
      </w:r>
      <w:r w:rsidRPr="002624AF">
        <w:t>100 ng/mL murine Stem Cell Factor (</w:t>
      </w:r>
      <w:proofErr w:type="spellStart"/>
      <w:r w:rsidRPr="002624AF">
        <w:t>mSCF</w:t>
      </w:r>
      <w:proofErr w:type="spellEnd"/>
      <w:r w:rsidRPr="002624AF">
        <w:t>), 10 ng/mL murine interleukin-3 (IL3), 2 U/mL human recombinant Erythropoietin (</w:t>
      </w:r>
      <w:proofErr w:type="spellStart"/>
      <w:r w:rsidRPr="002624AF">
        <w:t>hrEPO</w:t>
      </w:r>
      <w:proofErr w:type="spellEnd"/>
      <w:r w:rsidRPr="002624AF">
        <w:t xml:space="preserve">), and 100 </w:t>
      </w:r>
      <w:proofErr w:type="spellStart"/>
      <w:r w:rsidRPr="002624AF">
        <w:t>nM</w:t>
      </w:r>
      <w:proofErr w:type="spellEnd"/>
      <w:r w:rsidRPr="002624AF">
        <w:t xml:space="preserve"> Dexamethasone). </w:t>
      </w:r>
    </w:p>
    <w:p w14:paraId="43B8FE92" w14:textId="77777777" w:rsidR="00370C0E" w:rsidRPr="002624AF" w:rsidRDefault="00370C0E" w:rsidP="002624AF">
      <w:pPr>
        <w:widowControl/>
        <w:rPr>
          <w:color w:val="auto"/>
        </w:rPr>
      </w:pPr>
    </w:p>
    <w:p w14:paraId="2B0B0AD8" w14:textId="77777777" w:rsidR="00370C0E" w:rsidRPr="002624AF" w:rsidRDefault="00370C0E" w:rsidP="002624AF">
      <w:pPr>
        <w:pStyle w:val="ListParagraph"/>
        <w:widowControl/>
        <w:numPr>
          <w:ilvl w:val="1"/>
          <w:numId w:val="44"/>
        </w:numPr>
      </w:pPr>
      <w:r w:rsidRPr="002624AF">
        <w:t xml:space="preserve">Incubate </w:t>
      </w:r>
      <w:r w:rsidRPr="002624AF">
        <w:rPr>
          <w:color w:val="auto"/>
        </w:rPr>
        <w:t>for 8 days</w:t>
      </w:r>
      <w:r w:rsidRPr="002624AF">
        <w:t xml:space="preserve"> </w:t>
      </w:r>
      <w:r w:rsidRPr="002624AF">
        <w:rPr>
          <w:color w:val="auto"/>
        </w:rPr>
        <w:t xml:space="preserve">at 37 °C in hypoxic conditions, adding fresh reprogramming medium every 2 days. </w:t>
      </w:r>
      <w:r w:rsidRPr="002624AF">
        <w:t xml:space="preserve">After five to eight days, successful reprogramming will yield clusters of cells that have detached from the plate. </w:t>
      </w:r>
    </w:p>
    <w:p w14:paraId="61ABD835" w14:textId="77777777" w:rsidR="00370C0E" w:rsidRPr="002624AF" w:rsidRDefault="00370C0E" w:rsidP="002624AF">
      <w:pPr>
        <w:widowControl/>
      </w:pPr>
    </w:p>
    <w:p w14:paraId="18925DFF" w14:textId="0363B6DD" w:rsidR="00370C0E" w:rsidRPr="002624AF" w:rsidRDefault="00370C0E" w:rsidP="002624AF">
      <w:pPr>
        <w:pStyle w:val="ListParagraph"/>
        <w:widowControl/>
        <w:numPr>
          <w:ilvl w:val="1"/>
          <w:numId w:val="44"/>
        </w:numPr>
      </w:pPr>
      <w:r w:rsidRPr="002624AF">
        <w:t>To collect reprogrammed cells for analysis, gently pipette up and down to harvest them directly from the dish. To harvest untransduced fibroblasts for comparison, dissociate the cells from the plate using 1X trypsin-EDTA and collect.</w:t>
      </w:r>
      <w:r w:rsidR="002624AF">
        <w:t xml:space="preserve"> </w:t>
      </w:r>
    </w:p>
    <w:p w14:paraId="47DA7177" w14:textId="77777777" w:rsidR="00370C0E" w:rsidRPr="002624AF" w:rsidRDefault="00370C0E" w:rsidP="002624AF">
      <w:pPr>
        <w:pStyle w:val="NormalWeb"/>
        <w:widowControl/>
        <w:spacing w:before="0" w:beforeAutospacing="0" w:after="0" w:afterAutospacing="0"/>
        <w:rPr>
          <w:b/>
        </w:rPr>
      </w:pPr>
    </w:p>
    <w:p w14:paraId="0349C2C4" w14:textId="15216A92" w:rsidR="00370C0E" w:rsidRPr="00880FEA" w:rsidRDefault="00370C0E" w:rsidP="002624AF">
      <w:pPr>
        <w:pStyle w:val="NormalWeb"/>
        <w:widowControl/>
        <w:spacing w:before="0" w:beforeAutospacing="0" w:after="0" w:afterAutospacing="0"/>
        <w:rPr>
          <w:b/>
        </w:rPr>
      </w:pPr>
      <w:r w:rsidRPr="002624AF">
        <w:rPr>
          <w:b/>
        </w:rPr>
        <w:t xml:space="preserve">REPRESENTATIVE RESULTS: </w:t>
      </w:r>
    </w:p>
    <w:p w14:paraId="3FC185A3" w14:textId="10A3F37C" w:rsidR="00370C0E" w:rsidRPr="002624AF" w:rsidRDefault="00370C0E" w:rsidP="002624AF">
      <w:pPr>
        <w:widowControl/>
        <w:rPr>
          <w:color w:val="auto"/>
        </w:rPr>
      </w:pPr>
      <w:r w:rsidRPr="002624AF">
        <w:t xml:space="preserve">Here we present a reproducible protocol for the production of iEPs from adult fibroblasts using transcription factor-driven DLR. </w:t>
      </w:r>
      <w:r w:rsidRPr="002624AF">
        <w:rPr>
          <w:color w:val="auto"/>
        </w:rPr>
        <w:t xml:space="preserve">We evaluate the cell reprogramming using flow cytometry, colony-forming assays, and gene expression analysis. </w:t>
      </w:r>
      <w:proofErr w:type="gramStart"/>
      <w:r w:rsidRPr="002624AF">
        <w:rPr>
          <w:color w:val="auto"/>
        </w:rPr>
        <w:t>In order to</w:t>
      </w:r>
      <w:proofErr w:type="gramEnd"/>
      <w:r w:rsidRPr="002624AF">
        <w:rPr>
          <w:color w:val="auto"/>
        </w:rPr>
        <w:t xml:space="preserve"> assist in </w:t>
      </w:r>
      <w:r w:rsidR="001C60E1">
        <w:rPr>
          <w:color w:val="auto"/>
        </w:rPr>
        <w:t xml:space="preserve">the </w:t>
      </w:r>
      <w:r w:rsidRPr="002624AF">
        <w:rPr>
          <w:color w:val="auto"/>
        </w:rPr>
        <w:t>visualization of the conversion to erythroid cell fate, we performed the reprogramming on fibroblasts from the erythroid lineage-tracing mice (</w:t>
      </w:r>
      <w:proofErr w:type="spellStart"/>
      <w:r w:rsidRPr="002624AF">
        <w:rPr>
          <w:i/>
          <w:color w:val="auto"/>
        </w:rPr>
        <w:t>Epor</w:t>
      </w:r>
      <w:r w:rsidRPr="002624AF">
        <w:rPr>
          <w:color w:val="auto"/>
        </w:rPr>
        <w:t>-Cre</w:t>
      </w:r>
      <w:proofErr w:type="spellEnd"/>
      <w:r w:rsidRPr="002624AF">
        <w:rPr>
          <w:color w:val="auto"/>
        </w:rPr>
        <w:t xml:space="preserve"> </w:t>
      </w:r>
      <w:r w:rsidRPr="002624AF">
        <w:rPr>
          <w:i/>
          <w:color w:val="auto"/>
        </w:rPr>
        <w:t>R26</w:t>
      </w:r>
      <w:r w:rsidRPr="002624AF">
        <w:rPr>
          <w:color w:val="auto"/>
        </w:rPr>
        <w:t>-eYFP)</w:t>
      </w:r>
      <w:r w:rsidRPr="002624AF">
        <w:rPr>
          <w:rStyle w:val="FigurereferenceChar"/>
          <w:rFonts w:ascii="Calibri" w:hAnsi="Calibri" w:cs="Calibri"/>
          <w:color w:val="auto"/>
        </w:rPr>
        <w:t xml:space="preserve"> </w:t>
      </w:r>
      <w:r w:rsidRPr="002624AF">
        <w:rPr>
          <w:color w:val="auto"/>
        </w:rPr>
        <w:t xml:space="preserve">which express the yellow fluorescent protein (eYFP) from the </w:t>
      </w:r>
      <w:r w:rsidRPr="002624AF">
        <w:rPr>
          <w:i/>
          <w:iCs/>
          <w:color w:val="auto"/>
        </w:rPr>
        <w:t>Rosa26</w:t>
      </w:r>
      <w:r w:rsidRPr="002624AF">
        <w:rPr>
          <w:color w:val="auto"/>
        </w:rPr>
        <w:t xml:space="preserve"> locus in all cells that </w:t>
      </w:r>
      <w:r w:rsidR="000D2F63">
        <w:rPr>
          <w:color w:val="auto"/>
        </w:rPr>
        <w:t xml:space="preserve">express </w:t>
      </w:r>
      <w:r w:rsidRPr="002624AF">
        <w:rPr>
          <w:color w:val="auto"/>
        </w:rPr>
        <w:t>the erythropoietin receptor (</w:t>
      </w:r>
      <w:proofErr w:type="spellStart"/>
      <w:r w:rsidRPr="002624AF">
        <w:rPr>
          <w:i/>
          <w:iCs/>
          <w:color w:val="auto"/>
        </w:rPr>
        <w:t>Epor</w:t>
      </w:r>
      <w:proofErr w:type="spellEnd"/>
      <w:r w:rsidRPr="002624AF">
        <w:rPr>
          <w:color w:val="auto"/>
        </w:rPr>
        <w:t xml:space="preserve">, </w:t>
      </w:r>
      <w:proofErr w:type="spellStart"/>
      <w:r w:rsidRPr="002624AF">
        <w:rPr>
          <w:color w:val="auto"/>
        </w:rPr>
        <w:t>Cre</w:t>
      </w:r>
      <w:proofErr w:type="spellEnd"/>
      <w:r w:rsidRPr="002624AF">
        <w:rPr>
          <w:color w:val="auto"/>
        </w:rPr>
        <w:t xml:space="preserve"> knocked into one allele of the endogenous </w:t>
      </w:r>
      <w:proofErr w:type="spellStart"/>
      <w:r w:rsidRPr="002624AF">
        <w:rPr>
          <w:i/>
          <w:iCs/>
          <w:color w:val="auto"/>
        </w:rPr>
        <w:t>Epor</w:t>
      </w:r>
      <w:proofErr w:type="spellEnd"/>
      <w:r w:rsidRPr="002624AF">
        <w:rPr>
          <w:color w:val="auto"/>
        </w:rPr>
        <w:t xml:space="preserve"> locus) transcript at any stage of their </w:t>
      </w:r>
      <w:r w:rsidR="00A25E8C" w:rsidRPr="002624AF">
        <w:rPr>
          <w:color w:val="auto"/>
        </w:rPr>
        <w:t>development</w:t>
      </w:r>
      <w:r w:rsidR="00A25E8C" w:rsidRPr="002624AF">
        <w:rPr>
          <w:color w:val="auto"/>
          <w:vertAlign w:val="superscript"/>
        </w:rPr>
        <w:t>12,13</w:t>
      </w:r>
      <w:r w:rsidR="00A25E8C" w:rsidRPr="002624AF">
        <w:rPr>
          <w:color w:val="auto"/>
        </w:rPr>
        <w:t xml:space="preserve"> (</w:t>
      </w:r>
      <w:r w:rsidR="002624AF" w:rsidRPr="002624AF">
        <w:rPr>
          <w:b/>
          <w:color w:val="auto"/>
        </w:rPr>
        <w:t>Figure 1A</w:t>
      </w:r>
      <w:r w:rsidRPr="002624AF">
        <w:rPr>
          <w:b/>
          <w:color w:val="auto"/>
        </w:rPr>
        <w:t>)</w:t>
      </w:r>
      <w:r w:rsidRPr="002624AF">
        <w:rPr>
          <w:color w:val="auto"/>
        </w:rPr>
        <w:t xml:space="preserve">. </w:t>
      </w:r>
      <w:r w:rsidRPr="002624AF">
        <w:t>After successful reprogramming of induced erythroid progenitors, YFP positive (EpoR+) cells are observable as early as five days after transduction. By day 5 of reprogramming, cells become round, lift from the surface of the plate and b</w:t>
      </w:r>
      <w:r w:rsidRPr="002624AF">
        <w:rPr>
          <w:color w:val="auto"/>
        </w:rPr>
        <w:t>egin</w:t>
      </w:r>
      <w:r w:rsidRPr="002624AF">
        <w:t xml:space="preserve"> forming cluste</w:t>
      </w:r>
      <w:r w:rsidRPr="002624AF">
        <w:rPr>
          <w:color w:val="auto"/>
        </w:rPr>
        <w:t xml:space="preserve">rs. </w:t>
      </w:r>
      <w:r w:rsidRPr="002624AF">
        <w:rPr>
          <w:color w:val="auto"/>
        </w:rPr>
        <w:lastRenderedPageBreak/>
        <w:t xml:space="preserve">Day 5-iEPs display an erythroid precursor-like morphology, </w:t>
      </w:r>
      <w:r w:rsidR="000D2F63">
        <w:rPr>
          <w:color w:val="auto"/>
        </w:rPr>
        <w:t xml:space="preserve">that </w:t>
      </w:r>
      <w:r w:rsidRPr="002624AF">
        <w:rPr>
          <w:color w:val="auto"/>
        </w:rPr>
        <w:t>featur</w:t>
      </w:r>
      <w:r w:rsidR="000D2F63">
        <w:rPr>
          <w:color w:val="auto"/>
        </w:rPr>
        <w:t>e</w:t>
      </w:r>
      <w:r w:rsidRPr="002624AF">
        <w:rPr>
          <w:color w:val="auto"/>
        </w:rPr>
        <w:t xml:space="preserve"> a characteristic central nucleus, coarse chromatin, and blue cytoplasm after May-</w:t>
      </w:r>
      <w:proofErr w:type="spellStart"/>
      <w:r w:rsidRPr="002624AF">
        <w:rPr>
          <w:color w:val="auto"/>
        </w:rPr>
        <w:t>Grünwald</w:t>
      </w:r>
      <w:proofErr w:type="spellEnd"/>
      <w:r w:rsidRPr="002624AF">
        <w:rPr>
          <w:color w:val="auto"/>
        </w:rPr>
        <w:t xml:space="preserve">-Giemsa staining </w:t>
      </w:r>
      <w:r w:rsidRPr="002624AF">
        <w:rPr>
          <w:b/>
          <w:color w:val="auto"/>
        </w:rPr>
        <w:t>(</w:t>
      </w:r>
      <w:r w:rsidR="002624AF" w:rsidRPr="002624AF">
        <w:rPr>
          <w:b/>
          <w:color w:val="auto"/>
        </w:rPr>
        <w:t>Figure 1C</w:t>
      </w:r>
      <w:r w:rsidRPr="002624AF">
        <w:rPr>
          <w:b/>
          <w:color w:val="auto"/>
        </w:rPr>
        <w:t>)</w:t>
      </w:r>
      <w:r w:rsidRPr="002624AF">
        <w:rPr>
          <w:color w:val="auto"/>
        </w:rPr>
        <w:t xml:space="preserve">. Hemoglobinization of some cells is evident by positive benzidine staining and a mildly red appearance when pelleted </w:t>
      </w:r>
      <w:r w:rsidRPr="002624AF">
        <w:rPr>
          <w:b/>
          <w:color w:val="auto"/>
        </w:rPr>
        <w:t>(Figures 1D-E)</w:t>
      </w:r>
      <w:r w:rsidRPr="002624AF">
        <w:rPr>
          <w:color w:val="auto"/>
        </w:rPr>
        <w:t xml:space="preserve">. In addition, a small fraction of day 5-iEPs co-express YFP and the erythroid-specific surface marker Ter119 </w:t>
      </w:r>
      <w:r w:rsidRPr="002624AF">
        <w:rPr>
          <w:b/>
          <w:color w:val="auto"/>
        </w:rPr>
        <w:t>(</w:t>
      </w:r>
      <w:r w:rsidR="002624AF" w:rsidRPr="002624AF">
        <w:rPr>
          <w:b/>
          <w:color w:val="auto"/>
        </w:rPr>
        <w:t>Figure 1F</w:t>
      </w:r>
      <w:r w:rsidRPr="002624AF">
        <w:rPr>
          <w:b/>
          <w:color w:val="auto"/>
        </w:rPr>
        <w:t>)</w:t>
      </w:r>
      <w:r w:rsidRPr="002624AF">
        <w:rPr>
          <w:color w:val="auto"/>
        </w:rPr>
        <w:t>. By day 8, large YFP+ clusters can be seen</w:t>
      </w:r>
      <w:r w:rsidRPr="002624AF">
        <w:t>.</w:t>
      </w:r>
      <w:r w:rsidRPr="002624AF">
        <w:rPr>
          <w:b/>
        </w:rPr>
        <w:t xml:space="preserve"> </w:t>
      </w:r>
      <w:r w:rsidRPr="002624AF">
        <w:t>Day 8</w:t>
      </w:r>
      <w:r w:rsidRPr="002624AF">
        <w:rPr>
          <w:b/>
        </w:rPr>
        <w:t xml:space="preserve"> </w:t>
      </w:r>
      <w:r w:rsidRPr="002624AF">
        <w:rPr>
          <w:color w:val="auto"/>
        </w:rPr>
        <w:t xml:space="preserve">iEPs present a more differentiated erythroid phenotype than Day 5 iEPs; they are significantly smaller, have accumulated more hemoglobin, and also show significantly upregulated expression of Ter119 </w:t>
      </w:r>
      <w:r w:rsidRPr="002624AF">
        <w:rPr>
          <w:b/>
          <w:color w:val="auto"/>
        </w:rPr>
        <w:t>(Figures 1B–1G)</w:t>
      </w:r>
      <w:r w:rsidRPr="002624AF">
        <w:rPr>
          <w:color w:val="auto"/>
        </w:rPr>
        <w:t xml:space="preserve">. </w:t>
      </w:r>
      <w:proofErr w:type="spellStart"/>
      <w:r w:rsidRPr="002624AF">
        <w:rPr>
          <w:color w:val="auto"/>
        </w:rPr>
        <w:t>Cyto</w:t>
      </w:r>
      <w:proofErr w:type="spellEnd"/>
      <w:r w:rsidR="009978B6">
        <w:rPr>
          <w:color w:val="auto"/>
        </w:rPr>
        <w:t>-</w:t>
      </w:r>
      <w:r w:rsidRPr="002624AF">
        <w:rPr>
          <w:color w:val="auto"/>
        </w:rPr>
        <w:t xml:space="preserve">spins of day 8-iEPs reveal erythroid-like morphology, while very few enucleated reticulocytes are observed </w:t>
      </w:r>
      <w:r w:rsidRPr="002624AF">
        <w:rPr>
          <w:b/>
          <w:color w:val="auto"/>
        </w:rPr>
        <w:t>(</w:t>
      </w:r>
      <w:r w:rsidR="002624AF" w:rsidRPr="002624AF">
        <w:rPr>
          <w:b/>
          <w:color w:val="auto"/>
        </w:rPr>
        <w:t>Figure 1H</w:t>
      </w:r>
      <w:r w:rsidRPr="002624AF">
        <w:rPr>
          <w:b/>
          <w:color w:val="auto"/>
        </w:rPr>
        <w:t>)</w:t>
      </w:r>
      <w:r w:rsidRPr="002624AF">
        <w:rPr>
          <w:color w:val="auto"/>
        </w:rPr>
        <w:t xml:space="preserve">. </w:t>
      </w:r>
    </w:p>
    <w:p w14:paraId="7E308D0A" w14:textId="77777777" w:rsidR="00370C0E" w:rsidRPr="002624AF" w:rsidRDefault="00370C0E" w:rsidP="002624AF">
      <w:pPr>
        <w:widowControl/>
        <w:rPr>
          <w:color w:val="auto"/>
        </w:rPr>
      </w:pPr>
    </w:p>
    <w:p w14:paraId="279FACC6" w14:textId="40CA0C97" w:rsidR="00370C0E" w:rsidRPr="002624AF" w:rsidRDefault="00370C0E" w:rsidP="002624AF">
      <w:pPr>
        <w:widowControl/>
        <w:rPr>
          <w:color w:val="auto"/>
        </w:rPr>
      </w:pPr>
      <w:r w:rsidRPr="002624AF">
        <w:rPr>
          <w:color w:val="auto"/>
        </w:rPr>
        <w:t xml:space="preserve">Gene expression analysis by </w:t>
      </w:r>
      <w:r w:rsidR="00EE3206">
        <w:rPr>
          <w:color w:val="auto"/>
        </w:rPr>
        <w:t>quantitative polymerase chain reaction (</w:t>
      </w:r>
      <w:r w:rsidRPr="002624AF">
        <w:rPr>
          <w:color w:val="auto"/>
        </w:rPr>
        <w:t>qPCR</w:t>
      </w:r>
      <w:r w:rsidR="00EE3206">
        <w:rPr>
          <w:color w:val="auto"/>
        </w:rPr>
        <w:t>)</w:t>
      </w:r>
      <w:r w:rsidRPr="002624AF">
        <w:rPr>
          <w:color w:val="auto"/>
        </w:rPr>
        <w:t xml:space="preserve"> of bulk iEPs collected at day 8 shows that they have almost shutdown expression of fibroblast genes and have upregulated many erythroid genes including globin genes, predominantly expressing embryonic types </w:t>
      </w:r>
      <w:r w:rsidRPr="002624AF">
        <w:rPr>
          <w:b/>
          <w:color w:val="auto"/>
        </w:rPr>
        <w:t>(</w:t>
      </w:r>
      <w:r w:rsidR="002624AF" w:rsidRPr="002624AF">
        <w:rPr>
          <w:b/>
          <w:color w:val="auto"/>
        </w:rPr>
        <w:t>Figure 1I</w:t>
      </w:r>
      <w:r w:rsidRPr="002624AF">
        <w:rPr>
          <w:b/>
          <w:color w:val="auto"/>
        </w:rPr>
        <w:t>)</w:t>
      </w:r>
      <w:r w:rsidRPr="002624AF">
        <w:rPr>
          <w:color w:val="auto"/>
        </w:rPr>
        <w:t>. To assess whether the reprogrammed cells transition through multipotent progenitors, we performed a time course and analyzed the expression of hematopoietic markers throughout reprogramming. We previously reported that erythroid precursor output was highest on day 6, followed by day 8, with 10.5</w:t>
      </w:r>
      <w:r w:rsidR="002624AF">
        <w:rPr>
          <w:color w:val="auto"/>
        </w:rPr>
        <w:t>%</w:t>
      </w:r>
      <w:r w:rsidRPr="002624AF">
        <w:rPr>
          <w:color w:val="auto"/>
        </w:rPr>
        <w:t xml:space="preserve"> ± 4.6</w:t>
      </w:r>
      <w:r w:rsidR="002624AF">
        <w:rPr>
          <w:color w:val="auto"/>
        </w:rPr>
        <w:t>%</w:t>
      </w:r>
      <w:r w:rsidRPr="002624AF">
        <w:rPr>
          <w:color w:val="auto"/>
        </w:rPr>
        <w:t xml:space="preserve"> and 6.6</w:t>
      </w:r>
      <w:r w:rsidR="002624AF">
        <w:rPr>
          <w:color w:val="auto"/>
        </w:rPr>
        <w:t>%</w:t>
      </w:r>
      <w:r w:rsidRPr="002624AF">
        <w:rPr>
          <w:color w:val="auto"/>
        </w:rPr>
        <w:t xml:space="preserve"> ± 0.5</w:t>
      </w:r>
      <w:r w:rsidR="002624AF">
        <w:rPr>
          <w:color w:val="auto"/>
        </w:rPr>
        <w:t>%</w:t>
      </w:r>
      <w:r w:rsidRPr="002624AF">
        <w:rPr>
          <w:color w:val="auto"/>
        </w:rPr>
        <w:t xml:space="preserve"> of live YFP+ cells co-expressing CD71 and Ter119, respectively</w:t>
      </w:r>
      <w:r w:rsidRPr="002624AF">
        <w:rPr>
          <w:color w:val="auto"/>
          <w:vertAlign w:val="superscript"/>
        </w:rPr>
        <w:t>10</w:t>
      </w:r>
      <w:r w:rsidRPr="002624AF">
        <w:rPr>
          <w:color w:val="auto"/>
        </w:rPr>
        <w:t xml:space="preserve">. There is also a population of CD41 positive cells before the appearance of Ter119 positive cells. Neither c-kit nor CD45 markers, which are usually expressed in hematopoietic progenitor and downregulated in erythropoiesis, are expressed at any point in the reprogramming </w:t>
      </w:r>
      <w:r w:rsidRPr="002624AF">
        <w:rPr>
          <w:b/>
          <w:color w:val="auto"/>
        </w:rPr>
        <w:t>(</w:t>
      </w:r>
      <w:r w:rsidR="002624AF" w:rsidRPr="002624AF">
        <w:rPr>
          <w:b/>
          <w:color w:val="auto"/>
        </w:rPr>
        <w:t>Figure 1J</w:t>
      </w:r>
      <w:r w:rsidRPr="002624AF">
        <w:rPr>
          <w:b/>
          <w:color w:val="auto"/>
        </w:rPr>
        <w:t>)</w:t>
      </w:r>
      <w:r w:rsidRPr="002624AF">
        <w:rPr>
          <w:color w:val="auto"/>
        </w:rPr>
        <w:t>. These data suggest that the cells do not go through a multipotent hematopoietic progenitor or earlier stage, though do perhaps transition through a megakaryocyte-erythroid progenitor.</w:t>
      </w:r>
    </w:p>
    <w:p w14:paraId="33B3F063" w14:textId="77777777" w:rsidR="00370C0E" w:rsidRPr="002624AF" w:rsidRDefault="00370C0E" w:rsidP="002624AF">
      <w:pPr>
        <w:widowControl/>
        <w:rPr>
          <w:color w:val="auto"/>
        </w:rPr>
      </w:pPr>
    </w:p>
    <w:p w14:paraId="1919D23F" w14:textId="4D06E56D" w:rsidR="00370C0E" w:rsidRPr="002624AF" w:rsidRDefault="00370C0E" w:rsidP="002624AF">
      <w:pPr>
        <w:widowControl/>
        <w:rPr>
          <w:color w:val="FF0000"/>
          <w:highlight w:val="yellow"/>
        </w:rPr>
      </w:pPr>
      <w:r w:rsidRPr="002624AF">
        <w:rPr>
          <w:color w:val="auto"/>
        </w:rPr>
        <w:t xml:space="preserve">A reliable way to assess the efficiency of the reprogramming is to perform BFU-E colony-forming assays on the reprogrammed cells. </w:t>
      </w:r>
      <w:r w:rsidR="000D2F63">
        <w:rPr>
          <w:i/>
          <w:color w:val="auto"/>
        </w:rPr>
        <w:t>I</w:t>
      </w:r>
      <w:r w:rsidR="002624AF" w:rsidRPr="002624AF">
        <w:rPr>
          <w:i/>
          <w:color w:val="auto"/>
        </w:rPr>
        <w:t>n vitro</w:t>
      </w:r>
      <w:r w:rsidRPr="002624AF">
        <w:rPr>
          <w:color w:val="auto"/>
        </w:rPr>
        <w:t xml:space="preserve"> differentiation capacity of day 5- and day 8-iEPs</w:t>
      </w:r>
      <w:r w:rsidR="000D2F63">
        <w:rPr>
          <w:color w:val="auto"/>
        </w:rPr>
        <w:t xml:space="preserve"> </w:t>
      </w:r>
      <w:proofErr w:type="gramStart"/>
      <w:r w:rsidR="000D2F63">
        <w:rPr>
          <w:color w:val="auto"/>
        </w:rPr>
        <w:t>was assayed</w:t>
      </w:r>
      <w:proofErr w:type="gramEnd"/>
      <w:r w:rsidRPr="002624AF">
        <w:rPr>
          <w:color w:val="auto"/>
        </w:rPr>
        <w:t xml:space="preserve"> in methylcellulose supplemented with human erythropoietin, murine stem cell factor, and dexamethasone. After 8 days, iEPs formed two types of colonies: distinctly red (red </w:t>
      </w:r>
      <w:proofErr w:type="spellStart"/>
      <w:r w:rsidRPr="002624AF">
        <w:rPr>
          <w:color w:val="auto"/>
        </w:rPr>
        <w:t>iEP</w:t>
      </w:r>
      <w:proofErr w:type="spellEnd"/>
      <w:r w:rsidRPr="002624AF">
        <w:rPr>
          <w:color w:val="auto"/>
        </w:rPr>
        <w:t>) and not</w:t>
      </w:r>
      <w:r w:rsidR="000D2F63">
        <w:rPr>
          <w:color w:val="auto"/>
        </w:rPr>
        <w:t>-</w:t>
      </w:r>
      <w:r w:rsidRPr="002624AF">
        <w:rPr>
          <w:color w:val="auto"/>
        </w:rPr>
        <w:t xml:space="preserve">visibly red (non-red </w:t>
      </w:r>
      <w:proofErr w:type="spellStart"/>
      <w:r w:rsidRPr="002624AF">
        <w:rPr>
          <w:color w:val="auto"/>
        </w:rPr>
        <w:t>iEP</w:t>
      </w:r>
      <w:proofErr w:type="spellEnd"/>
      <w:r w:rsidRPr="002624AF">
        <w:rPr>
          <w:color w:val="auto"/>
        </w:rPr>
        <w:t xml:space="preserve">). </w:t>
      </w:r>
      <w:r w:rsidR="000D2F63">
        <w:rPr>
          <w:color w:val="auto"/>
        </w:rPr>
        <w:t>While</w:t>
      </w:r>
      <w:r w:rsidRPr="002624AF">
        <w:rPr>
          <w:color w:val="auto"/>
        </w:rPr>
        <w:t xml:space="preserve"> cells from red colonies displayed erythroblast morphology, cells from non-red colonies </w:t>
      </w:r>
      <w:r w:rsidR="000D2F63">
        <w:rPr>
          <w:color w:val="auto"/>
        </w:rPr>
        <w:t xml:space="preserve">did not resemble erythroid cells, and </w:t>
      </w:r>
      <w:r w:rsidRPr="002624AF">
        <w:rPr>
          <w:color w:val="auto"/>
        </w:rPr>
        <w:t>were irregular, had large deep blue and granular cytoplasm</w:t>
      </w:r>
      <w:r w:rsidR="000D2F63">
        <w:rPr>
          <w:color w:val="auto"/>
        </w:rPr>
        <w:t xml:space="preserve"> </w:t>
      </w:r>
      <w:r w:rsidRPr="002624AF">
        <w:rPr>
          <w:color w:val="auto"/>
        </w:rPr>
        <w:t>(</w:t>
      </w:r>
      <w:r w:rsidR="002624AF" w:rsidRPr="002624AF">
        <w:rPr>
          <w:b/>
          <w:color w:val="auto"/>
        </w:rPr>
        <w:t>Figure 2A</w:t>
      </w:r>
      <w:r w:rsidRPr="002624AF">
        <w:rPr>
          <w:b/>
          <w:color w:val="auto"/>
        </w:rPr>
        <w:t>)</w:t>
      </w:r>
      <w:r w:rsidRPr="002624AF">
        <w:rPr>
          <w:color w:val="auto"/>
        </w:rPr>
        <w:t xml:space="preserve">. </w:t>
      </w:r>
      <w:bookmarkStart w:id="0" w:name="_GoBack"/>
      <w:bookmarkEnd w:id="0"/>
    </w:p>
    <w:p w14:paraId="0EA36AEB" w14:textId="77777777" w:rsidR="00370C0E" w:rsidRPr="002624AF" w:rsidRDefault="00370C0E" w:rsidP="002624AF">
      <w:pPr>
        <w:pStyle w:val="CommentText"/>
        <w:widowControl/>
        <w:rPr>
          <w:color w:val="FF0000"/>
          <w:highlight w:val="yellow"/>
        </w:rPr>
      </w:pPr>
    </w:p>
    <w:p w14:paraId="2E497D68" w14:textId="6A48D639" w:rsidR="00370C0E" w:rsidRPr="002624AF" w:rsidRDefault="00370C0E" w:rsidP="002624AF">
      <w:pPr>
        <w:pStyle w:val="CommentText"/>
        <w:widowControl/>
        <w:rPr>
          <w:color w:val="auto"/>
        </w:rPr>
      </w:pPr>
      <w:r w:rsidRPr="002624AF">
        <w:rPr>
          <w:color w:val="auto"/>
        </w:rPr>
        <w:t xml:space="preserve">Of the day 5-iEPs, approximately 1 in 1,000 formed red colonies, while only approximately 1:10,000 Day 8-iEPs formed red colonies, with a much higher ratio of non-red colonies formed </w:t>
      </w:r>
      <w:r w:rsidRPr="002624AF">
        <w:rPr>
          <w:b/>
          <w:color w:val="auto"/>
        </w:rPr>
        <w:t>(</w:t>
      </w:r>
      <w:r w:rsidR="002624AF" w:rsidRPr="002624AF">
        <w:rPr>
          <w:b/>
          <w:color w:val="auto"/>
        </w:rPr>
        <w:t>Figure 2B</w:t>
      </w:r>
      <w:r w:rsidRPr="002624AF">
        <w:rPr>
          <w:b/>
          <w:color w:val="auto"/>
        </w:rPr>
        <w:t>)</w:t>
      </w:r>
      <w:r w:rsidRPr="002624AF">
        <w:rPr>
          <w:color w:val="auto"/>
        </w:rPr>
        <w:t>. This reduction in colony-forming ability between day 5- and day 8-iEPs could be explained by</w:t>
      </w:r>
      <w:r w:rsidRPr="002624AF">
        <w:rPr>
          <w:color w:val="FF0000"/>
        </w:rPr>
        <w:t xml:space="preserve"> </w:t>
      </w:r>
      <w:r w:rsidRPr="002624AF">
        <w:rPr>
          <w:color w:val="auto"/>
        </w:rPr>
        <w:t xml:space="preserve">iEPs undergoing differentiation from days 5–8 and the GTLM expression vectors suffering silencing over time. qPCR analysis confirmed that expression of the exogenous transcript decreases significantly from days 5 to 8. As expected in successful reprogramming, expression levels of endogenous </w:t>
      </w:r>
      <w:r w:rsidRPr="002624AF">
        <w:rPr>
          <w:i/>
          <w:color w:val="auto"/>
        </w:rPr>
        <w:t>Gata1</w:t>
      </w:r>
      <w:r w:rsidRPr="002624AF">
        <w:rPr>
          <w:color w:val="auto"/>
        </w:rPr>
        <w:t xml:space="preserve">, </w:t>
      </w:r>
      <w:r w:rsidRPr="002624AF">
        <w:rPr>
          <w:i/>
          <w:color w:val="auto"/>
        </w:rPr>
        <w:t>Tal1</w:t>
      </w:r>
      <w:r w:rsidRPr="002624AF">
        <w:rPr>
          <w:color w:val="auto"/>
        </w:rPr>
        <w:t>,</w:t>
      </w:r>
      <w:r w:rsidRPr="009978B6">
        <w:rPr>
          <w:i/>
          <w:color w:val="auto"/>
        </w:rPr>
        <w:t xml:space="preserve"> Lmo2</w:t>
      </w:r>
      <w:r w:rsidRPr="002624AF">
        <w:rPr>
          <w:color w:val="auto"/>
        </w:rPr>
        <w:t xml:space="preserve">, and </w:t>
      </w:r>
      <w:r w:rsidRPr="002624AF">
        <w:rPr>
          <w:i/>
          <w:color w:val="auto"/>
        </w:rPr>
        <w:t>c-Myc</w:t>
      </w:r>
      <w:r w:rsidRPr="002624AF">
        <w:rPr>
          <w:color w:val="auto"/>
        </w:rPr>
        <w:t xml:space="preserve"> are induced, however, endogenous Lmo2 expression is only very lowly expressed </w:t>
      </w:r>
      <w:r w:rsidRPr="002624AF">
        <w:rPr>
          <w:b/>
          <w:color w:val="auto"/>
        </w:rPr>
        <w:t>(</w:t>
      </w:r>
      <w:r w:rsidR="002624AF" w:rsidRPr="002624AF">
        <w:rPr>
          <w:b/>
          <w:color w:val="auto"/>
        </w:rPr>
        <w:t>Figure 2C</w:t>
      </w:r>
      <w:r w:rsidRPr="002624AF">
        <w:rPr>
          <w:b/>
          <w:color w:val="auto"/>
        </w:rPr>
        <w:t>)</w:t>
      </w:r>
      <w:r w:rsidRPr="002624AF">
        <w:rPr>
          <w:color w:val="auto"/>
        </w:rPr>
        <w:t xml:space="preserve">. </w:t>
      </w:r>
    </w:p>
    <w:p w14:paraId="545CD5EC" w14:textId="77777777" w:rsidR="00370C0E" w:rsidRPr="002624AF" w:rsidRDefault="00370C0E" w:rsidP="002624AF">
      <w:pPr>
        <w:pStyle w:val="CommentText"/>
        <w:widowControl/>
        <w:rPr>
          <w:color w:val="auto"/>
        </w:rPr>
      </w:pPr>
    </w:p>
    <w:p w14:paraId="0887A218" w14:textId="3315363C" w:rsidR="00370C0E" w:rsidRPr="002624AF" w:rsidRDefault="00370C0E" w:rsidP="002624AF">
      <w:pPr>
        <w:pStyle w:val="CommentText"/>
        <w:widowControl/>
      </w:pPr>
      <w:r w:rsidRPr="002624AF">
        <w:rPr>
          <w:color w:val="auto"/>
        </w:rPr>
        <w:t xml:space="preserve">A point of note, and a limitation of the assay, is that non-red colonies containing macrophage-like cells outnumber the red </w:t>
      </w:r>
      <w:proofErr w:type="spellStart"/>
      <w:r w:rsidRPr="002624AF">
        <w:rPr>
          <w:color w:val="auto"/>
        </w:rPr>
        <w:t>hemoglobinized</w:t>
      </w:r>
      <w:proofErr w:type="spellEnd"/>
      <w:r w:rsidRPr="002624AF">
        <w:rPr>
          <w:color w:val="auto"/>
        </w:rPr>
        <w:t xml:space="preserve"> </w:t>
      </w:r>
      <w:proofErr w:type="spellStart"/>
      <w:r w:rsidRPr="002624AF">
        <w:rPr>
          <w:color w:val="auto"/>
        </w:rPr>
        <w:t>iEP</w:t>
      </w:r>
      <w:proofErr w:type="spellEnd"/>
      <w:r w:rsidRPr="002624AF">
        <w:rPr>
          <w:color w:val="auto"/>
        </w:rPr>
        <w:t xml:space="preserve"> colonies formed by reprogrammed fibroblasts in colony-forming assays. Colony-forming ability to create red iEP colonies can be improved by </w:t>
      </w:r>
      <w:r w:rsidRPr="002624AF">
        <w:rPr>
          <w:color w:val="auto"/>
        </w:rPr>
        <w:lastRenderedPageBreak/>
        <w:t xml:space="preserve">changing the </w:t>
      </w:r>
      <w:r w:rsidRPr="002624AF">
        <w:t xml:space="preserve">stoichiometric ratios of GTLM factors. Transducing the cells with double the amount of </w:t>
      </w:r>
      <w:r w:rsidRPr="002624AF">
        <w:rPr>
          <w:i/>
        </w:rPr>
        <w:t>Tal1</w:t>
      </w:r>
      <w:r w:rsidRPr="002624AF">
        <w:t xml:space="preserve"> and </w:t>
      </w:r>
      <w:r w:rsidRPr="002624AF">
        <w:rPr>
          <w:i/>
        </w:rPr>
        <w:t>Lmo2</w:t>
      </w:r>
      <w:r w:rsidRPr="002624AF">
        <w:t xml:space="preserve"> expression vectors led to a slight increase in the ratio of red colonies over non-red colonies, while extra </w:t>
      </w:r>
      <w:r w:rsidRPr="002624AF">
        <w:rPr>
          <w:i/>
        </w:rPr>
        <w:t>Gata1</w:t>
      </w:r>
      <w:r w:rsidRPr="002624AF">
        <w:t xml:space="preserve"> led to a significant increase in the formation of red colonies and nearly a complete elimination of non-red colonies supporting the important role for these factors in erythropoiesis </w:t>
      </w:r>
      <w:r w:rsidRPr="002624AF">
        <w:rPr>
          <w:b/>
          <w:color w:val="auto"/>
        </w:rPr>
        <w:t>(</w:t>
      </w:r>
      <w:r w:rsidR="002624AF" w:rsidRPr="002624AF">
        <w:rPr>
          <w:b/>
          <w:color w:val="auto"/>
        </w:rPr>
        <w:t>Figure 2D</w:t>
      </w:r>
      <w:r w:rsidRPr="002624AF">
        <w:rPr>
          <w:b/>
          <w:color w:val="auto"/>
        </w:rPr>
        <w:t>)</w:t>
      </w:r>
      <w:r w:rsidRPr="002624AF">
        <w:t xml:space="preserve">. Interestingly, increasing the expression of </w:t>
      </w:r>
      <w:r w:rsidRPr="002624AF">
        <w:rPr>
          <w:i/>
        </w:rPr>
        <w:t>c-Myc</w:t>
      </w:r>
      <w:r w:rsidRPr="002624AF">
        <w:t xml:space="preserve"> drastically increases the production of non-red colonies despite being indispensable for reprogramming. To obtain </w:t>
      </w:r>
      <w:r w:rsidRPr="002624AF">
        <w:rPr>
          <w:color w:val="auto"/>
        </w:rPr>
        <w:t>pure induced</w:t>
      </w:r>
      <w:r w:rsidRPr="002624AF">
        <w:rPr>
          <w:i/>
          <w:color w:val="auto"/>
        </w:rPr>
        <w:t xml:space="preserve"> </w:t>
      </w:r>
      <w:r w:rsidRPr="002624AF">
        <w:rPr>
          <w:color w:val="auto"/>
        </w:rPr>
        <w:t xml:space="preserve">erythroid progenitors for downstream analysis, colonies can be isolated from the colony-forming </w:t>
      </w:r>
      <w:r w:rsidRPr="002624AF">
        <w:t>assays. We performed gene expression analysis in the form of microarray on red and non-red colonies from Day 5-iEPs and colonies from 14.5 days post coitus (</w:t>
      </w:r>
      <w:proofErr w:type="spellStart"/>
      <w:r w:rsidRPr="002624AF">
        <w:t>dpc</w:t>
      </w:r>
      <w:proofErr w:type="spellEnd"/>
      <w:r w:rsidRPr="002624AF">
        <w:t>) fetal liver (FL) and adult bone marrow (BM) for comparison.</w:t>
      </w:r>
      <w:r w:rsidRPr="002624AF">
        <w:rPr>
          <w:szCs w:val="14"/>
        </w:rPr>
        <w:t xml:space="preserve"> The microarray data are accessible through NCBI’s Gene Expression Omnibus (GEO): GSE73344.</w:t>
      </w:r>
      <w:r w:rsidRPr="002624AF">
        <w:t xml:space="preserve"> We have previously shown that red-iEP colonies resemble the </w:t>
      </w:r>
      <w:r w:rsidRPr="002624AF">
        <w:rPr>
          <w:i/>
        </w:rPr>
        <w:t>bona fide</w:t>
      </w:r>
      <w:r w:rsidRPr="002624AF">
        <w:t xml:space="preserve"> erythroid colonies (FL and BM) by gene expression</w:t>
      </w:r>
      <w:r w:rsidRPr="002624AF">
        <w:rPr>
          <w:vertAlign w:val="superscript"/>
        </w:rPr>
        <w:t>10</w:t>
      </w:r>
      <w:r w:rsidRPr="002624AF">
        <w:t>.</w:t>
      </w:r>
      <w:r w:rsidR="002624AF">
        <w:t xml:space="preserve"> </w:t>
      </w:r>
      <w:r w:rsidRPr="002624AF">
        <w:t xml:space="preserve">Examination of the expression of </w:t>
      </w:r>
      <w:r w:rsidRPr="002624AF">
        <w:rPr>
          <w:i/>
        </w:rPr>
        <w:t>Gata1</w:t>
      </w:r>
      <w:r w:rsidRPr="002624AF">
        <w:t xml:space="preserve">, </w:t>
      </w:r>
      <w:r w:rsidRPr="002624AF">
        <w:rPr>
          <w:i/>
        </w:rPr>
        <w:t>Tal1</w:t>
      </w:r>
      <w:r w:rsidRPr="002624AF">
        <w:t xml:space="preserve">, </w:t>
      </w:r>
      <w:r w:rsidRPr="002624AF">
        <w:rPr>
          <w:i/>
        </w:rPr>
        <w:t>Lmo2,</w:t>
      </w:r>
      <w:r w:rsidRPr="002624AF">
        <w:t xml:space="preserve"> and </w:t>
      </w:r>
      <w:r w:rsidRPr="002624AF">
        <w:rPr>
          <w:i/>
        </w:rPr>
        <w:t>c-Myc</w:t>
      </w:r>
      <w:r w:rsidRPr="002624AF">
        <w:t xml:space="preserve"> in each colony shows that while the red colonies show similar levels of expression of all four factors to FL and BM, non-red colonies have lower expression of all factors, especially </w:t>
      </w:r>
      <w:r w:rsidRPr="002624AF">
        <w:rPr>
          <w:i/>
        </w:rPr>
        <w:t>Gata1</w:t>
      </w:r>
      <w:r w:rsidRPr="002624AF">
        <w:t xml:space="preserve"> </w:t>
      </w:r>
      <w:r w:rsidRPr="002624AF">
        <w:rPr>
          <w:b/>
        </w:rPr>
        <w:t>(</w:t>
      </w:r>
      <w:r w:rsidR="002624AF" w:rsidRPr="002624AF">
        <w:rPr>
          <w:b/>
        </w:rPr>
        <w:t>Figure 2E</w:t>
      </w:r>
      <w:r w:rsidRPr="002624AF">
        <w:rPr>
          <w:b/>
        </w:rPr>
        <w:t>)</w:t>
      </w:r>
      <w:r w:rsidRPr="002624AF">
        <w:t>. To understand what the non-red colonies containing macrophage-like cells are, we surveyed the expression of cell type-specific genes in each type of colony from the microarray data. As previously reported, the red colonies express many erythroid-specific genes, similar to that of FL and BM. After revisiting the data, it is clear that the non-red colonies show high expression of a number of genes characteristic of macrophage cells</w:t>
      </w:r>
      <w:r w:rsidRPr="002624AF">
        <w:rPr>
          <w:color w:val="auto"/>
          <w:vertAlign w:val="superscript"/>
        </w:rPr>
        <w:t>14</w:t>
      </w:r>
      <w:r w:rsidRPr="002624AF">
        <w:rPr>
          <w:b/>
          <w:color w:val="auto"/>
        </w:rPr>
        <w:t xml:space="preserve"> (</w:t>
      </w:r>
      <w:r w:rsidR="002624AF" w:rsidRPr="002624AF">
        <w:rPr>
          <w:b/>
          <w:color w:val="auto"/>
        </w:rPr>
        <w:t>Figure 2F</w:t>
      </w:r>
      <w:r w:rsidRPr="002624AF">
        <w:rPr>
          <w:b/>
          <w:color w:val="auto"/>
        </w:rPr>
        <w:t>)</w:t>
      </w:r>
      <w:r w:rsidRPr="002624AF">
        <w:t xml:space="preserve">. Neither </w:t>
      </w:r>
      <w:proofErr w:type="spellStart"/>
      <w:r w:rsidRPr="002624AF">
        <w:t>red</w:t>
      </w:r>
      <w:proofErr w:type="spellEnd"/>
      <w:r w:rsidRPr="002624AF">
        <w:t xml:space="preserve"> nor non-red colonies show significantly increased expression of typical megakaryocyte genes</w:t>
      </w:r>
      <w:r w:rsidRPr="002624AF">
        <w:rPr>
          <w:color w:val="auto"/>
          <w:vertAlign w:val="superscript"/>
        </w:rPr>
        <w:t>15</w:t>
      </w:r>
      <w:r w:rsidRPr="002624AF">
        <w:t xml:space="preserve">. Together, these data suggest that the non-red colonies more closely resemble macrophages than erythrocytes. Since non-red colonies are never observed when one of the GTLM factors are removed these macrophage-like cells seem to be formed when expression levels of one or more of the reprogramming factors </w:t>
      </w:r>
      <w:r w:rsidRPr="002624AF">
        <w:rPr>
          <w:i/>
        </w:rPr>
        <w:t>Gata1</w:t>
      </w:r>
      <w:r w:rsidRPr="002624AF">
        <w:t xml:space="preserve">, </w:t>
      </w:r>
      <w:r w:rsidRPr="002624AF">
        <w:rPr>
          <w:i/>
        </w:rPr>
        <w:t>Tal1</w:t>
      </w:r>
      <w:r w:rsidRPr="002624AF">
        <w:t xml:space="preserve">, </w:t>
      </w:r>
      <w:r w:rsidRPr="002624AF">
        <w:rPr>
          <w:i/>
        </w:rPr>
        <w:t>Lmo2</w:t>
      </w:r>
      <w:r w:rsidRPr="002624AF">
        <w:t xml:space="preserve"> are lower than required for reprogramming to iEPs. Together, this suggests that the expression levels of all four GTLM factors are important in TTF to iEP reprogramming and that </w:t>
      </w:r>
      <w:r w:rsidRPr="002624AF">
        <w:rPr>
          <w:color w:val="auto"/>
        </w:rPr>
        <w:t xml:space="preserve">heterogeneity is explained by incomplete reprogramming of individual cells, which potentially can be corrected </w:t>
      </w:r>
      <w:r w:rsidRPr="002624AF">
        <w:t>by adjusting stoichiometric ratios.</w:t>
      </w:r>
    </w:p>
    <w:p w14:paraId="566220A6" w14:textId="77777777" w:rsidR="00370C0E" w:rsidRPr="002624AF" w:rsidRDefault="00370C0E" w:rsidP="002624AF">
      <w:pPr>
        <w:widowControl/>
        <w:rPr>
          <w:color w:val="7030A0"/>
        </w:rPr>
      </w:pPr>
    </w:p>
    <w:p w14:paraId="0D8B6769" w14:textId="45A24D99" w:rsidR="00370C0E" w:rsidRPr="002624AF" w:rsidRDefault="00370C0E" w:rsidP="002624AF">
      <w:pPr>
        <w:widowControl/>
        <w:rPr>
          <w:color w:val="auto"/>
        </w:rPr>
      </w:pPr>
      <w:r w:rsidRPr="002624AF">
        <w:rPr>
          <w:color w:val="auto"/>
        </w:rPr>
        <w:t>To assess efficiency and robustness of our protocol, we tested the ability of set numbers of fibroblasts to produce visible clusters of iEP cells after 5 days when cultured in 384-well plates. We determined that out of 24 transductions of 20, 30, 40, and 50 TTFs, the number of wells with at least one iEP cluster was 3 (0.6</w:t>
      </w:r>
      <w:r w:rsidR="002624AF">
        <w:rPr>
          <w:color w:val="auto"/>
        </w:rPr>
        <w:t>%</w:t>
      </w:r>
      <w:r w:rsidRPr="002624AF">
        <w:rPr>
          <w:color w:val="auto"/>
        </w:rPr>
        <w:t xml:space="preserve"> of plates fibroblasts), 15 (2.0</w:t>
      </w:r>
      <w:r w:rsidR="002624AF">
        <w:rPr>
          <w:color w:val="auto"/>
        </w:rPr>
        <w:t>%</w:t>
      </w:r>
      <w:r w:rsidRPr="002624AF">
        <w:rPr>
          <w:color w:val="auto"/>
        </w:rPr>
        <w:t xml:space="preserve"> of plates fibroblasts), 15 (1.6</w:t>
      </w:r>
      <w:r w:rsidR="002624AF">
        <w:rPr>
          <w:color w:val="auto"/>
        </w:rPr>
        <w:t>%</w:t>
      </w:r>
      <w:r w:rsidRPr="002624AF">
        <w:rPr>
          <w:color w:val="auto"/>
        </w:rPr>
        <w:t xml:space="preserve"> of plates fibroblasts), and 13 (1.1</w:t>
      </w:r>
      <w:r w:rsidR="002624AF">
        <w:rPr>
          <w:color w:val="auto"/>
        </w:rPr>
        <w:t>%</w:t>
      </w:r>
      <w:r w:rsidRPr="002624AF">
        <w:rPr>
          <w:color w:val="auto"/>
        </w:rPr>
        <w:t xml:space="preserve"> of plates fibroblasts), respectively. This suggests that GLTM iEP reprogramming is a robust and reliable process that can reach an efficiency of 1</w:t>
      </w:r>
      <w:r w:rsidR="002624AF">
        <w:rPr>
          <w:color w:val="auto"/>
        </w:rPr>
        <w:t>%</w:t>
      </w:r>
      <w:r w:rsidRPr="002624AF">
        <w:rPr>
          <w:color w:val="auto"/>
        </w:rPr>
        <w:t xml:space="preserve">. </w:t>
      </w:r>
    </w:p>
    <w:p w14:paraId="380AD839" w14:textId="77777777" w:rsidR="00370C0E" w:rsidRPr="002624AF" w:rsidRDefault="00370C0E" w:rsidP="002624AF">
      <w:pPr>
        <w:widowControl/>
        <w:rPr>
          <w:color w:val="auto"/>
        </w:rPr>
      </w:pPr>
    </w:p>
    <w:p w14:paraId="1315DB93" w14:textId="2AB89FCD" w:rsidR="00370C0E" w:rsidRPr="002624AF" w:rsidRDefault="00370C0E" w:rsidP="002624AF">
      <w:pPr>
        <w:widowControl/>
        <w:rPr>
          <w:color w:val="auto"/>
        </w:rPr>
      </w:pPr>
      <w:r w:rsidRPr="002624AF">
        <w:rPr>
          <w:color w:val="auto"/>
        </w:rPr>
        <w:t>Other factors that can affect efficiency of reprogramming include the passage number of the fibroblasts and the culture conditions.</w:t>
      </w:r>
      <w:r w:rsidR="002624AF">
        <w:rPr>
          <w:color w:val="auto"/>
        </w:rPr>
        <w:t xml:space="preserve"> </w:t>
      </w:r>
      <w:r w:rsidRPr="002624AF">
        <w:rPr>
          <w:color w:val="auto"/>
        </w:rPr>
        <w:t xml:space="preserve">We compared the reprogramming efficiency of TTFs that had been passaged three times or nine times prior to transduction. TTFs that had been passaged nine times (P9) showed a dramatic reduction in the ability to produce clusters of iEPs </w:t>
      </w:r>
      <w:r w:rsidRPr="002624AF">
        <w:rPr>
          <w:b/>
          <w:color w:val="auto"/>
        </w:rPr>
        <w:t>(</w:t>
      </w:r>
      <w:r w:rsidR="002624AF" w:rsidRPr="002624AF">
        <w:rPr>
          <w:b/>
          <w:color w:val="auto"/>
        </w:rPr>
        <w:t>Figure 3A</w:t>
      </w:r>
      <w:r w:rsidRPr="002624AF">
        <w:rPr>
          <w:b/>
          <w:color w:val="auto"/>
        </w:rPr>
        <w:t>)</w:t>
      </w:r>
      <w:r w:rsidRPr="002624AF">
        <w:rPr>
          <w:color w:val="auto"/>
        </w:rPr>
        <w:t xml:space="preserve">. Interestingly, inclusion of serum in the reprogramming media completely blocks reprogramming, replacing serum with erythroid cytokines is necessary to allow the transduced factors to drive the new cell fate without compounding signals from the serum. Removal of the serum and the expression of new factors within the cell is likely to be stressful on the cells. Indeed, blocking p53 </w:t>
      </w:r>
      <w:r w:rsidRPr="002624AF">
        <w:rPr>
          <w:color w:val="auto"/>
        </w:rPr>
        <w:lastRenderedPageBreak/>
        <w:t xml:space="preserve">activation greatly increased the number of iEPs generated. This effect can also be seen in reprogramming of p53 knockout fibroblasts </w:t>
      </w:r>
      <w:r w:rsidRPr="002624AF">
        <w:rPr>
          <w:b/>
          <w:color w:val="auto"/>
        </w:rPr>
        <w:t>(</w:t>
      </w:r>
      <w:r w:rsidR="002624AF" w:rsidRPr="002624AF">
        <w:rPr>
          <w:b/>
          <w:color w:val="auto"/>
        </w:rPr>
        <w:t>Figure 3B</w:t>
      </w:r>
      <w:r w:rsidRPr="002624AF">
        <w:rPr>
          <w:b/>
          <w:color w:val="auto"/>
        </w:rPr>
        <w:t>-D).</w:t>
      </w:r>
      <w:r w:rsidRPr="002624AF">
        <w:rPr>
          <w:color w:val="auto"/>
        </w:rPr>
        <w:t xml:space="preserve"> Inhibition of p53 signaling leads to more cell survival and better reprogramming and is one validated method for improving yield. Finally, reprogramming in hypoxic conditions is favorable but not vital for iEP production. However, transduced TTFs cultured in normoxia are much slower to reprogram and iEP clusters are observed </w:t>
      </w:r>
      <w:r w:rsidRPr="002624AF">
        <w:t>after 10 days instead of five to eight days</w:t>
      </w:r>
      <w:r w:rsidRPr="002624AF">
        <w:rPr>
          <w:b/>
        </w:rPr>
        <w:t xml:space="preserve"> (</w:t>
      </w:r>
      <w:r w:rsidR="002624AF" w:rsidRPr="002624AF">
        <w:rPr>
          <w:b/>
        </w:rPr>
        <w:t>Figure 3E</w:t>
      </w:r>
      <w:r w:rsidRPr="002624AF">
        <w:rPr>
          <w:b/>
        </w:rPr>
        <w:t>)</w:t>
      </w:r>
      <w:r w:rsidRPr="002624AF">
        <w:t xml:space="preserve">. </w:t>
      </w:r>
    </w:p>
    <w:p w14:paraId="48955A36" w14:textId="77777777" w:rsidR="00370C0E" w:rsidRPr="002624AF" w:rsidRDefault="00370C0E" w:rsidP="002624AF">
      <w:pPr>
        <w:widowControl/>
        <w:rPr>
          <w:color w:val="auto"/>
        </w:rPr>
      </w:pPr>
    </w:p>
    <w:p w14:paraId="24B2B238" w14:textId="77777777" w:rsidR="00370C0E" w:rsidRPr="002624AF" w:rsidRDefault="00370C0E" w:rsidP="002624AF">
      <w:pPr>
        <w:widowControl/>
        <w:rPr>
          <w:color w:val="808080"/>
        </w:rPr>
      </w:pPr>
      <w:r w:rsidRPr="002624AF">
        <w:rPr>
          <w:b/>
        </w:rPr>
        <w:t>FIGURE AND TABLE LEGENDS:</w:t>
      </w:r>
      <w:r w:rsidRPr="002624AF">
        <w:rPr>
          <w:color w:val="808080"/>
        </w:rPr>
        <w:t xml:space="preserve"> </w:t>
      </w:r>
    </w:p>
    <w:p w14:paraId="766BD7B2" w14:textId="77777777" w:rsidR="00370C0E" w:rsidRPr="002624AF" w:rsidRDefault="00370C0E" w:rsidP="002624AF">
      <w:pPr>
        <w:widowControl/>
        <w:rPr>
          <w:color w:val="808080"/>
        </w:rPr>
      </w:pPr>
    </w:p>
    <w:p w14:paraId="637A76C5" w14:textId="04AFA5E5" w:rsidR="00370C0E" w:rsidRPr="009978B6" w:rsidRDefault="002624AF" w:rsidP="002624AF">
      <w:pPr>
        <w:widowControl/>
        <w:rPr>
          <w:b/>
        </w:rPr>
      </w:pPr>
      <w:r w:rsidRPr="002624AF">
        <w:rPr>
          <w:b/>
        </w:rPr>
        <w:t>Figure 1</w:t>
      </w:r>
      <w:r w:rsidR="00370C0E" w:rsidRPr="002624AF">
        <w:rPr>
          <w:b/>
        </w:rPr>
        <w:t xml:space="preserve">: Forced expression of </w:t>
      </w:r>
      <w:r w:rsidR="00370C0E" w:rsidRPr="009978B6">
        <w:rPr>
          <w:b/>
          <w:i/>
        </w:rPr>
        <w:t>Gata1, Tal1, Lmo2</w:t>
      </w:r>
      <w:r w:rsidR="00370C0E" w:rsidRPr="002624AF">
        <w:rPr>
          <w:b/>
        </w:rPr>
        <w:t xml:space="preserve">, and </w:t>
      </w:r>
      <w:r w:rsidR="00370C0E" w:rsidRPr="009978B6">
        <w:rPr>
          <w:b/>
          <w:i/>
        </w:rPr>
        <w:t>c-Myc</w:t>
      </w:r>
      <w:r w:rsidR="00370C0E" w:rsidRPr="002624AF">
        <w:rPr>
          <w:b/>
        </w:rPr>
        <w:t xml:space="preserve"> reprograms murine adult fibroblasts into erythroid progenitors which exhibit properties of </w:t>
      </w:r>
      <w:r w:rsidR="00370C0E" w:rsidRPr="002624AF">
        <w:rPr>
          <w:b/>
          <w:i/>
        </w:rPr>
        <w:t>bona fide</w:t>
      </w:r>
      <w:r w:rsidR="00370C0E" w:rsidRPr="002624AF">
        <w:rPr>
          <w:b/>
        </w:rPr>
        <w:t xml:space="preserve"> erythroid cells</w:t>
      </w:r>
      <w:r w:rsidR="009978B6">
        <w:rPr>
          <w:b/>
        </w:rPr>
        <w:t xml:space="preserve">. </w:t>
      </w:r>
      <w:r w:rsidR="00370C0E" w:rsidRPr="002624AF">
        <w:rPr>
          <w:b/>
          <w:color w:val="auto"/>
        </w:rPr>
        <w:t>(A)</w:t>
      </w:r>
      <w:r w:rsidR="00370C0E" w:rsidRPr="002624AF">
        <w:rPr>
          <w:color w:val="auto"/>
        </w:rPr>
        <w:t xml:space="preserve"> Experimental design for transcription factor-mediated reprogramming of erythroid reporter (</w:t>
      </w:r>
      <w:proofErr w:type="spellStart"/>
      <w:r w:rsidR="00370C0E" w:rsidRPr="002624AF">
        <w:rPr>
          <w:color w:val="auto"/>
        </w:rPr>
        <w:t>Epor-Cre</w:t>
      </w:r>
      <w:proofErr w:type="spellEnd"/>
      <w:r w:rsidR="00370C0E" w:rsidRPr="002624AF">
        <w:rPr>
          <w:color w:val="auto"/>
        </w:rPr>
        <w:t xml:space="preserve"> R26-eYFP) tail tip fibroblasts (TTF) to EpoR+ reprogrammed cells. </w:t>
      </w:r>
      <w:r w:rsidR="00370C0E" w:rsidRPr="002624AF">
        <w:rPr>
          <w:b/>
          <w:color w:val="auto"/>
        </w:rPr>
        <w:t>(B–F)</w:t>
      </w:r>
      <w:r w:rsidR="00370C0E" w:rsidRPr="002624AF">
        <w:rPr>
          <w:color w:val="auto"/>
        </w:rPr>
        <w:t xml:space="preserve"> Time course of iEP generation of untransduced TTFs (day 0) and bulk GTLM-transduced TTFs on days 5 and 8 (representative of n = 2–3). Transdifferentiation was evaluated by </w:t>
      </w:r>
      <w:r w:rsidR="00370C0E" w:rsidRPr="002624AF">
        <w:rPr>
          <w:b/>
          <w:color w:val="auto"/>
        </w:rPr>
        <w:t>(B)</w:t>
      </w:r>
      <w:r w:rsidR="00370C0E" w:rsidRPr="002624AF">
        <w:rPr>
          <w:color w:val="auto"/>
        </w:rPr>
        <w:t xml:space="preserve"> live-cell, bright-field images of single wells (scale bar, 50 </w:t>
      </w:r>
      <w:r w:rsidR="009978B6">
        <w:rPr>
          <w:color w:val="auto"/>
        </w:rPr>
        <w:t>µ</w:t>
      </w:r>
      <w:r w:rsidR="00370C0E" w:rsidRPr="002624AF">
        <w:rPr>
          <w:color w:val="auto"/>
        </w:rPr>
        <w:t xml:space="preserve">m); </w:t>
      </w:r>
      <w:r w:rsidR="00370C0E" w:rsidRPr="002624AF">
        <w:rPr>
          <w:b/>
          <w:color w:val="auto"/>
        </w:rPr>
        <w:t>(C)</w:t>
      </w:r>
      <w:r w:rsidR="00370C0E" w:rsidRPr="002624AF">
        <w:rPr>
          <w:color w:val="auto"/>
        </w:rPr>
        <w:t xml:space="preserve"> May-</w:t>
      </w:r>
      <w:proofErr w:type="spellStart"/>
      <w:r w:rsidR="00370C0E" w:rsidRPr="002624AF">
        <w:rPr>
          <w:bCs/>
          <w:color w:val="auto"/>
          <w:shd w:val="clear" w:color="auto" w:fill="FFFFFF"/>
        </w:rPr>
        <w:t>Grünwald's</w:t>
      </w:r>
      <w:proofErr w:type="spellEnd"/>
      <w:r w:rsidR="00370C0E" w:rsidRPr="002624AF">
        <w:rPr>
          <w:color w:val="auto"/>
          <w:shd w:val="clear" w:color="auto" w:fill="FFFFFF"/>
        </w:rPr>
        <w:t> </w:t>
      </w:r>
      <w:r w:rsidR="00370C0E" w:rsidRPr="002624AF">
        <w:rPr>
          <w:color w:val="auto"/>
        </w:rPr>
        <w:t xml:space="preserve">-Giemsa staining </w:t>
      </w:r>
      <w:proofErr w:type="spellStart"/>
      <w:r w:rsidR="00370C0E" w:rsidRPr="002624AF">
        <w:rPr>
          <w:color w:val="auto"/>
        </w:rPr>
        <w:t>cyto</w:t>
      </w:r>
      <w:proofErr w:type="spellEnd"/>
      <w:r w:rsidR="009978B6">
        <w:rPr>
          <w:color w:val="auto"/>
        </w:rPr>
        <w:t>-</w:t>
      </w:r>
      <w:r w:rsidR="00370C0E" w:rsidRPr="002624AF">
        <w:rPr>
          <w:color w:val="auto"/>
        </w:rPr>
        <w:t xml:space="preserve">spin (scale bar, 20 </w:t>
      </w:r>
      <w:r w:rsidR="009978B6">
        <w:rPr>
          <w:color w:val="auto"/>
        </w:rPr>
        <w:t>µ</w:t>
      </w:r>
      <w:r w:rsidR="00370C0E" w:rsidRPr="002624AF">
        <w:rPr>
          <w:color w:val="auto"/>
        </w:rPr>
        <w:t xml:space="preserve">m); </w:t>
      </w:r>
      <w:r w:rsidR="00370C0E" w:rsidRPr="002624AF">
        <w:rPr>
          <w:b/>
          <w:color w:val="auto"/>
        </w:rPr>
        <w:t>(D)</w:t>
      </w:r>
      <w:r w:rsidR="00370C0E" w:rsidRPr="002624AF">
        <w:rPr>
          <w:color w:val="auto"/>
        </w:rPr>
        <w:t xml:space="preserve"> Benzidine/Giemsa staining </w:t>
      </w:r>
      <w:proofErr w:type="spellStart"/>
      <w:r w:rsidR="00370C0E" w:rsidRPr="002624AF">
        <w:rPr>
          <w:color w:val="auto"/>
        </w:rPr>
        <w:t>cyto</w:t>
      </w:r>
      <w:proofErr w:type="spellEnd"/>
      <w:r w:rsidR="009978B6">
        <w:rPr>
          <w:color w:val="auto"/>
        </w:rPr>
        <w:t>-</w:t>
      </w:r>
      <w:r w:rsidR="00370C0E" w:rsidRPr="002624AF">
        <w:rPr>
          <w:color w:val="auto"/>
        </w:rPr>
        <w:t xml:space="preserve">spin (scale bar, 20 </w:t>
      </w:r>
      <w:r w:rsidR="009978B6">
        <w:rPr>
          <w:color w:val="auto"/>
        </w:rPr>
        <w:t>µ</w:t>
      </w:r>
      <w:r w:rsidR="00370C0E" w:rsidRPr="002624AF">
        <w:rPr>
          <w:color w:val="auto"/>
        </w:rPr>
        <w:t xml:space="preserve">m); </w:t>
      </w:r>
      <w:r w:rsidR="00370C0E" w:rsidRPr="002624AF">
        <w:rPr>
          <w:b/>
          <w:color w:val="auto"/>
        </w:rPr>
        <w:t>(E)</w:t>
      </w:r>
      <w:r w:rsidR="00370C0E" w:rsidRPr="002624AF">
        <w:rPr>
          <w:color w:val="auto"/>
        </w:rPr>
        <w:t xml:space="preserve"> macroscopic inspection of cell pellets; and </w:t>
      </w:r>
      <w:r w:rsidR="00370C0E" w:rsidRPr="002624AF">
        <w:rPr>
          <w:b/>
          <w:color w:val="auto"/>
        </w:rPr>
        <w:t>(F)</w:t>
      </w:r>
      <w:r w:rsidR="00370C0E" w:rsidRPr="002624AF">
        <w:rPr>
          <w:color w:val="auto"/>
        </w:rPr>
        <w:t xml:space="preserve"> representative flow cytometry plots showing YFP/ Ter119 expression.</w:t>
      </w:r>
      <w:r w:rsidR="009978B6">
        <w:rPr>
          <w:color w:val="auto"/>
        </w:rPr>
        <w:t xml:space="preserve"> </w:t>
      </w:r>
      <w:r w:rsidR="00370C0E" w:rsidRPr="002624AF">
        <w:rPr>
          <w:b/>
          <w:color w:val="auto"/>
        </w:rPr>
        <w:t>(G)</w:t>
      </w:r>
      <w:r w:rsidR="00370C0E" w:rsidRPr="002624AF">
        <w:rPr>
          <w:color w:val="auto"/>
        </w:rPr>
        <w:t xml:space="preserve"> Cell diameter of iEPs harvested on days 5 and 8 measured from several </w:t>
      </w:r>
      <w:proofErr w:type="spellStart"/>
      <w:r w:rsidR="00370C0E" w:rsidRPr="002624AF">
        <w:rPr>
          <w:color w:val="auto"/>
        </w:rPr>
        <w:t>cyto</w:t>
      </w:r>
      <w:proofErr w:type="spellEnd"/>
      <w:r w:rsidR="009978B6">
        <w:rPr>
          <w:color w:val="auto"/>
        </w:rPr>
        <w:t>-</w:t>
      </w:r>
      <w:r w:rsidR="00370C0E" w:rsidRPr="002624AF">
        <w:rPr>
          <w:color w:val="auto"/>
        </w:rPr>
        <w:t xml:space="preserve">spin slides, showing a decrease in cell size on day 8. Data </w:t>
      </w:r>
      <w:proofErr w:type="gramStart"/>
      <w:r w:rsidR="00370C0E" w:rsidRPr="002624AF">
        <w:rPr>
          <w:color w:val="auto"/>
        </w:rPr>
        <w:t>are presented</w:t>
      </w:r>
      <w:proofErr w:type="gramEnd"/>
      <w:r w:rsidR="00370C0E" w:rsidRPr="002624AF">
        <w:rPr>
          <w:color w:val="auto"/>
        </w:rPr>
        <w:t xml:space="preserve"> as mean ± SD (n = 21–25)</w:t>
      </w:r>
      <w:r w:rsidR="008B1E2A">
        <w:rPr>
          <w:color w:val="auto"/>
        </w:rPr>
        <w:t>;</w:t>
      </w:r>
      <w:r w:rsidR="00370C0E" w:rsidRPr="002624AF">
        <w:rPr>
          <w:color w:val="auto"/>
        </w:rPr>
        <w:t xml:space="preserve"> ****p </w:t>
      </w:r>
      <w:r w:rsidR="00370C0E" w:rsidRPr="002624AF">
        <w:rPr>
          <w:color w:val="auto"/>
        </w:rPr>
        <w:sym w:font="Symbol" w:char="F0A3"/>
      </w:r>
      <w:r w:rsidR="00370C0E" w:rsidRPr="002624AF">
        <w:rPr>
          <w:color w:val="auto"/>
        </w:rPr>
        <w:t xml:space="preserve"> 0.0001</w:t>
      </w:r>
      <w:r w:rsidR="00DA0CC4">
        <w:rPr>
          <w:color w:val="auto"/>
        </w:rPr>
        <w:t xml:space="preserve"> by unpaired </w:t>
      </w:r>
      <w:r w:rsidR="00DA0CC4" w:rsidRPr="00517868">
        <w:rPr>
          <w:i/>
          <w:color w:val="auto"/>
        </w:rPr>
        <w:t>t</w:t>
      </w:r>
      <w:r w:rsidR="00DA0CC4">
        <w:rPr>
          <w:color w:val="auto"/>
        </w:rPr>
        <w:t>-test</w:t>
      </w:r>
      <w:r w:rsidR="00370C0E" w:rsidRPr="002624AF">
        <w:rPr>
          <w:color w:val="auto"/>
        </w:rPr>
        <w:t>.</w:t>
      </w:r>
      <w:r w:rsidR="009978B6">
        <w:rPr>
          <w:b/>
        </w:rPr>
        <w:t xml:space="preserve"> </w:t>
      </w:r>
      <w:r w:rsidR="00370C0E" w:rsidRPr="002624AF">
        <w:rPr>
          <w:b/>
          <w:color w:val="auto"/>
        </w:rPr>
        <w:t>(H)</w:t>
      </w:r>
      <w:r w:rsidR="00370C0E" w:rsidRPr="002624AF">
        <w:rPr>
          <w:color w:val="auto"/>
        </w:rPr>
        <w:t xml:space="preserve"> Representative high-resolution benzidine/Giemsa images of GTLM-transduced TTFs on day 8. Scale bar, 5 </w:t>
      </w:r>
      <w:r w:rsidR="009978B6">
        <w:rPr>
          <w:color w:val="auto"/>
        </w:rPr>
        <w:t>µ</w:t>
      </w:r>
      <w:r w:rsidR="00370C0E" w:rsidRPr="002624AF">
        <w:rPr>
          <w:color w:val="auto"/>
        </w:rPr>
        <w:t>m.</w:t>
      </w:r>
      <w:r w:rsidR="009978B6">
        <w:rPr>
          <w:color w:val="auto"/>
        </w:rPr>
        <w:t xml:space="preserve"> </w:t>
      </w:r>
      <w:r w:rsidR="00370C0E" w:rsidRPr="002624AF">
        <w:rPr>
          <w:b/>
          <w:color w:val="auto"/>
        </w:rPr>
        <w:t xml:space="preserve">(I) </w:t>
      </w:r>
      <w:r w:rsidR="00370C0E" w:rsidRPr="002624AF">
        <w:rPr>
          <w:color w:val="auto"/>
        </w:rPr>
        <w:t xml:space="preserve">Relative mRNA expression of relevant fibroblast- and erythroid-specific genes including globin genes in untransduced TTFs (gray columns) </w:t>
      </w:r>
      <w:r w:rsidRPr="002624AF">
        <w:rPr>
          <w:i/>
          <w:color w:val="auto"/>
        </w:rPr>
        <w:t>versus</w:t>
      </w:r>
      <w:r w:rsidR="00370C0E" w:rsidRPr="002624AF">
        <w:rPr>
          <w:color w:val="auto"/>
        </w:rPr>
        <w:t xml:space="preserve"> bulk GTLM-transduced TTFs (red columns) on day 8, determined by qPCR. Data are presented as mean ± SD (n = 4–6 for iEPs, n = 2 for untransduced TTFs).</w:t>
      </w:r>
      <w:r w:rsidR="009978B6">
        <w:rPr>
          <w:color w:val="auto"/>
        </w:rPr>
        <w:t xml:space="preserve"> </w:t>
      </w:r>
      <w:r w:rsidR="00370C0E" w:rsidRPr="002624AF">
        <w:rPr>
          <w:b/>
          <w:color w:val="auto"/>
        </w:rPr>
        <w:t>(J)</w:t>
      </w:r>
      <w:r w:rsidR="00370C0E" w:rsidRPr="002624AF">
        <w:rPr>
          <w:color w:val="auto"/>
        </w:rPr>
        <w:t xml:space="preserve"> </w:t>
      </w:r>
      <w:r w:rsidR="00370C0E" w:rsidRPr="002624AF">
        <w:t>Graph showing summary of time-course flow cytometry analysis of untransduced TTF (day 0) and bulk GTLM-transduced TTF harvested at day 2, 4, 6 and 8 showing YFP, CD45, CD71 and Ter119 expression (n</w:t>
      </w:r>
      <w:r w:rsidR="008B1E2A">
        <w:t xml:space="preserve"> </w:t>
      </w:r>
      <w:r w:rsidR="00370C0E" w:rsidRPr="002624AF">
        <w:t>=</w:t>
      </w:r>
      <w:r w:rsidR="008B1E2A">
        <w:t xml:space="preserve"> </w:t>
      </w:r>
      <w:r w:rsidR="00370C0E" w:rsidRPr="002624AF">
        <w:t>3)</w:t>
      </w:r>
      <w:r w:rsidR="00D552BD">
        <w:t xml:space="preserve">. </w:t>
      </w:r>
      <w:r w:rsidR="00D552BD" w:rsidRPr="002624AF">
        <w:t xml:space="preserve">Data </w:t>
      </w:r>
      <w:proofErr w:type="gramStart"/>
      <w:r w:rsidR="00D552BD" w:rsidRPr="002624AF">
        <w:t>a</w:t>
      </w:r>
      <w:r w:rsidR="00D552BD">
        <w:t>re presented</w:t>
      </w:r>
      <w:proofErr w:type="gramEnd"/>
      <w:r w:rsidR="00D552BD">
        <w:t xml:space="preserve"> as mean ± SD</w:t>
      </w:r>
      <w:r w:rsidR="00370C0E" w:rsidRPr="002624AF">
        <w:t>.</w:t>
      </w:r>
      <w:r w:rsidR="009978B6">
        <w:rPr>
          <w:color w:val="auto"/>
        </w:rPr>
        <w:t xml:space="preserve"> </w:t>
      </w:r>
      <w:r w:rsidR="00370C0E" w:rsidRPr="002624AF">
        <w:rPr>
          <w:color w:val="auto"/>
        </w:rPr>
        <w:t xml:space="preserve">Figure is adapted from </w:t>
      </w:r>
      <w:proofErr w:type="spellStart"/>
      <w:r w:rsidR="00370C0E" w:rsidRPr="002624AF">
        <w:rPr>
          <w:color w:val="auto"/>
        </w:rPr>
        <w:t>Capellera</w:t>
      </w:r>
      <w:proofErr w:type="spellEnd"/>
      <w:r w:rsidR="00370C0E" w:rsidRPr="002624AF">
        <w:rPr>
          <w:color w:val="auto"/>
        </w:rPr>
        <w:t>-Garcia S,</w:t>
      </w:r>
      <w:r w:rsidRPr="002624AF">
        <w:rPr>
          <w:i/>
          <w:color w:val="auto"/>
        </w:rPr>
        <w:t xml:space="preserve"> et al</w:t>
      </w:r>
      <w:r w:rsidR="00370C0E" w:rsidRPr="002624AF">
        <w:rPr>
          <w:color w:val="auto"/>
        </w:rPr>
        <w:t>.</w:t>
      </w:r>
      <w:r w:rsidR="00370C0E" w:rsidRPr="002624AF">
        <w:rPr>
          <w:color w:val="auto"/>
          <w:vertAlign w:val="superscript"/>
        </w:rPr>
        <w:t>10</w:t>
      </w:r>
      <w:r w:rsidR="00370C0E" w:rsidRPr="002624AF">
        <w:rPr>
          <w:color w:val="auto"/>
        </w:rPr>
        <w:t xml:space="preserve">. </w:t>
      </w:r>
    </w:p>
    <w:p w14:paraId="6C2B3CE1" w14:textId="77777777" w:rsidR="00370C0E" w:rsidRPr="002624AF" w:rsidRDefault="00370C0E" w:rsidP="002624AF">
      <w:pPr>
        <w:widowControl/>
        <w:rPr>
          <w:color w:val="auto"/>
        </w:rPr>
      </w:pPr>
    </w:p>
    <w:p w14:paraId="51CB715C" w14:textId="173F1238" w:rsidR="00370C0E" w:rsidRPr="002624AF" w:rsidRDefault="002624AF" w:rsidP="002624AF">
      <w:pPr>
        <w:widowControl/>
        <w:rPr>
          <w:b/>
          <w:color w:val="auto"/>
        </w:rPr>
      </w:pPr>
      <w:r w:rsidRPr="002624AF">
        <w:rPr>
          <w:b/>
          <w:color w:val="auto"/>
        </w:rPr>
        <w:t>Figure 2</w:t>
      </w:r>
      <w:r w:rsidR="00370C0E" w:rsidRPr="002624AF">
        <w:rPr>
          <w:b/>
          <w:color w:val="auto"/>
        </w:rPr>
        <w:t xml:space="preserve">: GTLM iEPs produce red and non-red colonies in BFU-E colony assays. </w:t>
      </w:r>
    </w:p>
    <w:p w14:paraId="32C17A46" w14:textId="5196DB16" w:rsidR="00370C0E" w:rsidRPr="008B1E2A" w:rsidRDefault="00370C0E" w:rsidP="002624AF">
      <w:pPr>
        <w:widowControl/>
        <w:rPr>
          <w:color w:val="FF0000"/>
        </w:rPr>
      </w:pPr>
      <w:r w:rsidRPr="002624AF">
        <w:rPr>
          <w:b/>
          <w:color w:val="auto"/>
        </w:rPr>
        <w:t>(A)</w:t>
      </w:r>
      <w:r w:rsidRPr="002624AF">
        <w:rPr>
          <w:color w:val="auto"/>
        </w:rPr>
        <w:t xml:space="preserve"> Representative bright-field and May-</w:t>
      </w:r>
      <w:proofErr w:type="spellStart"/>
      <w:r w:rsidRPr="002624AF">
        <w:rPr>
          <w:color w:val="auto"/>
        </w:rPr>
        <w:t>Grünwald</w:t>
      </w:r>
      <w:proofErr w:type="spellEnd"/>
      <w:r w:rsidRPr="002624AF">
        <w:rPr>
          <w:color w:val="auto"/>
        </w:rPr>
        <w:t xml:space="preserve">-Giemsa </w:t>
      </w:r>
      <w:proofErr w:type="spellStart"/>
      <w:r w:rsidRPr="002624AF">
        <w:rPr>
          <w:color w:val="auto"/>
        </w:rPr>
        <w:t>cytospin</w:t>
      </w:r>
      <w:proofErr w:type="spellEnd"/>
      <w:r w:rsidRPr="002624AF">
        <w:rPr>
          <w:color w:val="auto"/>
        </w:rPr>
        <w:t xml:space="preserve"> images of </w:t>
      </w:r>
      <w:proofErr w:type="spellStart"/>
      <w:r w:rsidRPr="002624AF">
        <w:rPr>
          <w:color w:val="auto"/>
        </w:rPr>
        <w:t>iEP</w:t>
      </w:r>
      <w:proofErr w:type="spellEnd"/>
      <w:r w:rsidRPr="002624AF">
        <w:rPr>
          <w:color w:val="auto"/>
        </w:rPr>
        <w:t xml:space="preserve">-derived red and non-red colonies. Scale bars, 50 </w:t>
      </w:r>
      <w:r w:rsidR="008B1E2A">
        <w:rPr>
          <w:color w:val="auto"/>
        </w:rPr>
        <w:t>µ</w:t>
      </w:r>
      <w:r w:rsidRPr="002624AF">
        <w:rPr>
          <w:color w:val="auto"/>
        </w:rPr>
        <w:t xml:space="preserve">m (colony images) and </w:t>
      </w:r>
      <w:r w:rsidR="00C251FC">
        <w:rPr>
          <w:color w:val="auto"/>
        </w:rPr>
        <w:t>1</w:t>
      </w:r>
      <w:r w:rsidR="00C251FC" w:rsidRPr="002624AF">
        <w:rPr>
          <w:color w:val="auto"/>
        </w:rPr>
        <w:t>0</w:t>
      </w:r>
      <w:r w:rsidR="00C251FC">
        <w:rPr>
          <w:color w:val="auto"/>
        </w:rPr>
        <w:t xml:space="preserve"> </w:t>
      </w:r>
      <w:r w:rsidR="008B1E2A">
        <w:rPr>
          <w:color w:val="auto"/>
        </w:rPr>
        <w:t>µm</w:t>
      </w:r>
      <w:r w:rsidRPr="002624AF">
        <w:rPr>
          <w:color w:val="auto"/>
        </w:rPr>
        <w:t xml:space="preserve"> (</w:t>
      </w:r>
      <w:proofErr w:type="spellStart"/>
      <w:r w:rsidRPr="002624AF">
        <w:rPr>
          <w:color w:val="auto"/>
        </w:rPr>
        <w:t>cyto</w:t>
      </w:r>
      <w:proofErr w:type="spellEnd"/>
      <w:r w:rsidR="008B1E2A">
        <w:rPr>
          <w:color w:val="auto"/>
        </w:rPr>
        <w:t>-</w:t>
      </w:r>
      <w:r w:rsidRPr="002624AF">
        <w:rPr>
          <w:color w:val="auto"/>
        </w:rPr>
        <w:t>spin images</w:t>
      </w:r>
      <w:r w:rsidRPr="002624AF">
        <w:rPr>
          <w:color w:val="000000" w:themeColor="text1"/>
        </w:rPr>
        <w:t>).</w:t>
      </w:r>
      <w:r w:rsidR="008B1E2A">
        <w:rPr>
          <w:color w:val="FF0000"/>
        </w:rPr>
        <w:t xml:space="preserve"> </w:t>
      </w:r>
      <w:r w:rsidRPr="002624AF">
        <w:rPr>
          <w:b/>
          <w:color w:val="auto"/>
        </w:rPr>
        <w:t>(B)</w:t>
      </w:r>
      <w:r w:rsidRPr="002624AF">
        <w:rPr>
          <w:color w:val="auto"/>
        </w:rPr>
        <w:t xml:space="preserve"> Colony counts generated from plated untransduced TTFs, bulk day 5 iEPs and bulk day 8. Data are presented</w:t>
      </w:r>
      <w:bookmarkStart w:id="1" w:name="OLE_LINK1"/>
      <w:r w:rsidRPr="002624AF">
        <w:rPr>
          <w:color w:val="auto"/>
        </w:rPr>
        <w:t xml:space="preserve"> as mean ± SD (n = 3)</w:t>
      </w:r>
      <w:r w:rsidR="008B1E2A">
        <w:rPr>
          <w:color w:val="auto"/>
        </w:rPr>
        <w:t xml:space="preserve">; </w:t>
      </w:r>
      <w:r w:rsidRPr="002624AF">
        <w:rPr>
          <w:color w:val="auto"/>
        </w:rPr>
        <w:t xml:space="preserve">***p </w:t>
      </w:r>
      <w:r w:rsidRPr="002624AF">
        <w:rPr>
          <w:color w:val="auto"/>
          <w:szCs w:val="20"/>
        </w:rPr>
        <w:sym w:font="Symbol" w:char="F0A3"/>
      </w:r>
      <w:r w:rsidRPr="002624AF">
        <w:rPr>
          <w:color w:val="auto"/>
          <w:szCs w:val="20"/>
        </w:rPr>
        <w:t xml:space="preserve"> </w:t>
      </w:r>
      <w:r w:rsidRPr="002624AF">
        <w:rPr>
          <w:color w:val="auto"/>
          <w:szCs w:val="20"/>
          <w:lang w:eastAsia="en-AU"/>
        </w:rPr>
        <w:t>0.0005</w:t>
      </w:r>
      <w:r w:rsidRPr="002624AF">
        <w:rPr>
          <w:color w:val="auto"/>
        </w:rPr>
        <w:t xml:space="preserve">; ****p </w:t>
      </w:r>
      <w:r w:rsidRPr="002624AF">
        <w:rPr>
          <w:color w:val="auto"/>
        </w:rPr>
        <w:sym w:font="Symbol" w:char="F0A3"/>
      </w:r>
      <w:r w:rsidRPr="002624AF">
        <w:rPr>
          <w:color w:val="auto"/>
        </w:rPr>
        <w:t xml:space="preserve"> 0.0001</w:t>
      </w:r>
      <w:r w:rsidR="00CA4077">
        <w:rPr>
          <w:color w:val="auto"/>
        </w:rPr>
        <w:t xml:space="preserve"> by two-way ANOVA</w:t>
      </w:r>
      <w:r w:rsidRPr="002624AF">
        <w:rPr>
          <w:color w:val="auto"/>
        </w:rPr>
        <w:t xml:space="preserve">. </w:t>
      </w:r>
      <w:r w:rsidRPr="002624AF">
        <w:rPr>
          <w:b/>
          <w:color w:val="auto"/>
        </w:rPr>
        <w:t>(C)</w:t>
      </w:r>
      <w:r w:rsidRPr="002624AF">
        <w:rPr>
          <w:color w:val="auto"/>
        </w:rPr>
        <w:t xml:space="preserve"> </w:t>
      </w:r>
      <w:r w:rsidRPr="002624AF">
        <w:t xml:space="preserve">Relative mRNA expression of </w:t>
      </w:r>
      <w:r w:rsidRPr="002624AF">
        <w:rPr>
          <w:i/>
          <w:iCs/>
        </w:rPr>
        <w:t>Gata1</w:t>
      </w:r>
      <w:r w:rsidRPr="002624AF">
        <w:t xml:space="preserve">, </w:t>
      </w:r>
      <w:r w:rsidRPr="002624AF">
        <w:rPr>
          <w:i/>
          <w:iCs/>
        </w:rPr>
        <w:t>Tal1</w:t>
      </w:r>
      <w:r w:rsidRPr="002624AF">
        <w:t xml:space="preserve">, </w:t>
      </w:r>
      <w:r w:rsidRPr="002624AF">
        <w:rPr>
          <w:i/>
          <w:iCs/>
        </w:rPr>
        <w:t xml:space="preserve">Lmo2, </w:t>
      </w:r>
      <w:r w:rsidRPr="002624AF">
        <w:t xml:space="preserve">and </w:t>
      </w:r>
      <w:r w:rsidRPr="002624AF">
        <w:rPr>
          <w:i/>
          <w:iCs/>
        </w:rPr>
        <w:t xml:space="preserve">c-Myc </w:t>
      </w:r>
      <w:r w:rsidRPr="002624AF">
        <w:t>in untransduced TTF and bulk GTLM-transduced TTF harvested at day 5 and day 8, determined by qPCR. Primers were designed so that endogenous expression could be distinguished from total expression. Data are presented as mean ± SD (n</w:t>
      </w:r>
      <w:r w:rsidR="008B1E2A">
        <w:t xml:space="preserve"> </w:t>
      </w:r>
      <w:r w:rsidRPr="002624AF">
        <w:t>=</w:t>
      </w:r>
      <w:r w:rsidR="008B1E2A">
        <w:t xml:space="preserve"> </w:t>
      </w:r>
      <w:r w:rsidRPr="002624AF">
        <w:t>4</w:t>
      </w:r>
      <w:r w:rsidR="008B1E2A" w:rsidRPr="00D13D3E">
        <w:t>‒</w:t>
      </w:r>
      <w:r w:rsidRPr="002624AF">
        <w:t>6 for iEPs, n</w:t>
      </w:r>
      <w:r w:rsidR="008B1E2A">
        <w:t xml:space="preserve"> </w:t>
      </w:r>
      <w:r w:rsidRPr="002624AF">
        <w:t>=</w:t>
      </w:r>
      <w:r w:rsidR="008B1E2A">
        <w:t xml:space="preserve"> </w:t>
      </w:r>
      <w:r w:rsidRPr="002624AF">
        <w:t>2 for untransduced TTF).</w:t>
      </w:r>
      <w:r w:rsidR="008B1E2A">
        <w:rPr>
          <w:color w:val="FF0000"/>
        </w:rPr>
        <w:t xml:space="preserve"> </w:t>
      </w:r>
      <w:r w:rsidRPr="002624AF">
        <w:rPr>
          <w:b/>
        </w:rPr>
        <w:t>(D)</w:t>
      </w:r>
      <w:r w:rsidRPr="002624AF">
        <w:t xml:space="preserve"> Colony counts generated from plated untransduced TTFs, and bulk day 5 iEPs generated by doubling the ratio of each of the GTLM factors. Data </w:t>
      </w:r>
      <w:proofErr w:type="gramStart"/>
      <w:r w:rsidRPr="002624AF">
        <w:t>are presented</w:t>
      </w:r>
      <w:proofErr w:type="gramEnd"/>
      <w:r w:rsidRPr="002624AF">
        <w:t xml:space="preserve"> as mean ± SD (n = 3)</w:t>
      </w:r>
      <w:r w:rsidR="008B1E2A">
        <w:t>;</w:t>
      </w:r>
      <w:r w:rsidRPr="002624AF">
        <w:t xml:space="preserve"> **p</w:t>
      </w:r>
      <w:r w:rsidR="002624AF">
        <w:t xml:space="preserve"> </w:t>
      </w:r>
      <w:r w:rsidRPr="002624AF">
        <w:rPr>
          <w:color w:val="auto"/>
        </w:rPr>
        <w:sym w:font="Symbol" w:char="F0A3"/>
      </w:r>
      <w:r w:rsidR="002624AF">
        <w:rPr>
          <w:color w:val="auto"/>
        </w:rPr>
        <w:t xml:space="preserve"> </w:t>
      </w:r>
      <w:r w:rsidRPr="002624AF">
        <w:t>0.001; ****p</w:t>
      </w:r>
      <w:r w:rsidR="002624AF">
        <w:t xml:space="preserve"> </w:t>
      </w:r>
      <w:r w:rsidRPr="002624AF">
        <w:rPr>
          <w:color w:val="auto"/>
        </w:rPr>
        <w:sym w:font="Symbol" w:char="F0A3"/>
      </w:r>
      <w:r w:rsidR="002624AF">
        <w:rPr>
          <w:color w:val="auto"/>
        </w:rPr>
        <w:t xml:space="preserve"> </w:t>
      </w:r>
      <w:r w:rsidRPr="002624AF">
        <w:t>0.0001</w:t>
      </w:r>
      <w:r w:rsidR="00DA0CC4">
        <w:t xml:space="preserve"> by two-way ANOVA</w:t>
      </w:r>
      <w:r w:rsidRPr="002624AF">
        <w:t>.</w:t>
      </w:r>
      <w:r w:rsidR="008B1E2A">
        <w:rPr>
          <w:color w:val="FF0000"/>
        </w:rPr>
        <w:t xml:space="preserve"> </w:t>
      </w:r>
      <w:r w:rsidRPr="002624AF">
        <w:rPr>
          <w:b/>
        </w:rPr>
        <w:t>(E)</w:t>
      </w:r>
      <w:r w:rsidRPr="002624AF">
        <w:t xml:space="preserve"> Relative expression of </w:t>
      </w:r>
      <w:r w:rsidRPr="002624AF">
        <w:rPr>
          <w:i/>
          <w:iCs/>
        </w:rPr>
        <w:t>Gata1</w:t>
      </w:r>
      <w:r w:rsidRPr="002624AF">
        <w:t xml:space="preserve">, </w:t>
      </w:r>
      <w:r w:rsidRPr="002624AF">
        <w:rPr>
          <w:i/>
          <w:iCs/>
        </w:rPr>
        <w:t>Tal1</w:t>
      </w:r>
      <w:r w:rsidRPr="002624AF">
        <w:t xml:space="preserve">, </w:t>
      </w:r>
      <w:r w:rsidRPr="002624AF">
        <w:rPr>
          <w:i/>
          <w:iCs/>
        </w:rPr>
        <w:t xml:space="preserve">Lmo2, </w:t>
      </w:r>
      <w:r w:rsidRPr="002624AF">
        <w:t xml:space="preserve">and </w:t>
      </w:r>
      <w:r w:rsidRPr="002624AF">
        <w:rPr>
          <w:i/>
          <w:iCs/>
        </w:rPr>
        <w:t xml:space="preserve">c-Myc </w:t>
      </w:r>
      <w:r w:rsidRPr="002624AF">
        <w:t>in untransduced fibroblasts and picked colonies generated from GTLM-transduced iEPs (red and non-red), 14.5</w:t>
      </w:r>
      <w:r w:rsidR="008B1E2A">
        <w:t xml:space="preserve"> </w:t>
      </w:r>
      <w:proofErr w:type="spellStart"/>
      <w:r w:rsidRPr="002624AF">
        <w:t>dpc</w:t>
      </w:r>
      <w:proofErr w:type="spellEnd"/>
      <w:r w:rsidRPr="002624AF">
        <w:t xml:space="preserve"> fetal liver and adult bone marrow, determined by microarray. </w:t>
      </w:r>
      <w:r w:rsidR="00D552BD" w:rsidRPr="002624AF">
        <w:t>Data ar</w:t>
      </w:r>
      <w:r w:rsidR="00D552BD">
        <w:t>e presented as mean ± SD;</w:t>
      </w:r>
      <w:r w:rsidR="00D552BD" w:rsidRPr="002624AF">
        <w:t xml:space="preserve"> </w:t>
      </w:r>
      <w:r w:rsidRPr="002624AF">
        <w:rPr>
          <w:color w:val="auto"/>
        </w:rPr>
        <w:t xml:space="preserve">*p </w:t>
      </w:r>
      <w:r w:rsidRPr="002624AF">
        <w:rPr>
          <w:color w:val="auto"/>
          <w:szCs w:val="20"/>
        </w:rPr>
        <w:sym w:font="Symbol" w:char="F0A3"/>
      </w:r>
      <w:r w:rsidRPr="002624AF">
        <w:rPr>
          <w:color w:val="auto"/>
          <w:szCs w:val="20"/>
        </w:rPr>
        <w:t xml:space="preserve"> </w:t>
      </w:r>
      <w:r w:rsidRPr="002624AF">
        <w:rPr>
          <w:color w:val="auto"/>
          <w:szCs w:val="20"/>
          <w:lang w:eastAsia="en-AU"/>
        </w:rPr>
        <w:t>0.05</w:t>
      </w:r>
      <w:r w:rsidRPr="002624AF">
        <w:rPr>
          <w:color w:val="auto"/>
        </w:rPr>
        <w:t xml:space="preserve">; **p </w:t>
      </w:r>
      <w:r w:rsidRPr="002624AF">
        <w:rPr>
          <w:color w:val="auto"/>
        </w:rPr>
        <w:sym w:font="Symbol" w:char="F0A3"/>
      </w:r>
      <w:r w:rsidRPr="002624AF">
        <w:rPr>
          <w:color w:val="auto"/>
        </w:rPr>
        <w:t xml:space="preserve"> 0.005. ***p </w:t>
      </w:r>
      <w:r w:rsidRPr="002624AF">
        <w:rPr>
          <w:color w:val="auto"/>
          <w:szCs w:val="20"/>
        </w:rPr>
        <w:sym w:font="Symbol" w:char="F0A3"/>
      </w:r>
      <w:r w:rsidRPr="002624AF">
        <w:rPr>
          <w:color w:val="auto"/>
          <w:szCs w:val="20"/>
        </w:rPr>
        <w:t xml:space="preserve"> </w:t>
      </w:r>
      <w:r w:rsidRPr="002624AF">
        <w:rPr>
          <w:color w:val="auto"/>
          <w:szCs w:val="20"/>
          <w:lang w:eastAsia="en-AU"/>
        </w:rPr>
        <w:t>0.0005</w:t>
      </w:r>
      <w:r w:rsidRPr="002624AF">
        <w:rPr>
          <w:color w:val="auto"/>
        </w:rPr>
        <w:t xml:space="preserve">; ****p </w:t>
      </w:r>
      <w:r w:rsidRPr="002624AF">
        <w:rPr>
          <w:color w:val="auto"/>
        </w:rPr>
        <w:sym w:font="Symbol" w:char="F0A3"/>
      </w:r>
      <w:r w:rsidRPr="002624AF">
        <w:rPr>
          <w:color w:val="auto"/>
        </w:rPr>
        <w:t xml:space="preserve"> 0.0001</w:t>
      </w:r>
      <w:r w:rsidR="00DA0CC4">
        <w:rPr>
          <w:color w:val="auto"/>
        </w:rPr>
        <w:t xml:space="preserve"> by two-way ANOVA</w:t>
      </w:r>
      <w:r w:rsidRPr="002624AF">
        <w:rPr>
          <w:color w:val="auto"/>
        </w:rPr>
        <w:t>.</w:t>
      </w:r>
      <w:r w:rsidR="008B1E2A">
        <w:rPr>
          <w:color w:val="FF0000"/>
        </w:rPr>
        <w:t xml:space="preserve"> </w:t>
      </w:r>
      <w:r w:rsidRPr="002624AF">
        <w:rPr>
          <w:b/>
        </w:rPr>
        <w:t>(F)</w:t>
      </w:r>
      <w:r w:rsidRPr="002624AF">
        <w:t xml:space="preserve"> Relative expression of </w:t>
      </w:r>
      <w:r w:rsidRPr="002624AF">
        <w:rPr>
          <w:iCs/>
        </w:rPr>
        <w:t xml:space="preserve">selected </w:t>
      </w:r>
      <w:r w:rsidRPr="002624AF">
        <w:rPr>
          <w:iCs/>
        </w:rPr>
        <w:lastRenderedPageBreak/>
        <w:t>genes known for their expression in erythroid (top), megakaryocyte (middle), and macrophage (bottom) cells</w:t>
      </w:r>
      <w:r w:rsidRPr="002624AF">
        <w:rPr>
          <w:i/>
          <w:iCs/>
        </w:rPr>
        <w:t xml:space="preserve"> </w:t>
      </w:r>
      <w:r w:rsidRPr="002624AF">
        <w:t>in untransduced fibroblasts and picked colonies generated from GTLM-transduced iEPs (red and non-red), 14.5dpc fetal liver and adult bone marrow, determined by microarray</w:t>
      </w:r>
      <w:r w:rsidR="00D552BD">
        <w:t xml:space="preserve">. </w:t>
      </w:r>
      <w:r w:rsidR="00D552BD" w:rsidRPr="002624AF">
        <w:t>Data a</w:t>
      </w:r>
      <w:r w:rsidR="00D552BD">
        <w:t>re presented as mean ± SD</w:t>
      </w:r>
      <w:r w:rsidR="008B1E2A">
        <w:t>;</w:t>
      </w:r>
      <w:r w:rsidRPr="002624AF">
        <w:t xml:space="preserve"> </w:t>
      </w:r>
      <w:r w:rsidRPr="002624AF">
        <w:rPr>
          <w:color w:val="auto"/>
        </w:rPr>
        <w:t xml:space="preserve">*p </w:t>
      </w:r>
      <w:r w:rsidRPr="002624AF">
        <w:rPr>
          <w:color w:val="auto"/>
          <w:szCs w:val="20"/>
        </w:rPr>
        <w:sym w:font="Symbol" w:char="F0A3"/>
      </w:r>
      <w:r w:rsidRPr="002624AF">
        <w:rPr>
          <w:color w:val="auto"/>
          <w:szCs w:val="20"/>
        </w:rPr>
        <w:t xml:space="preserve"> </w:t>
      </w:r>
      <w:r w:rsidRPr="002624AF">
        <w:rPr>
          <w:color w:val="auto"/>
          <w:szCs w:val="20"/>
          <w:lang w:eastAsia="en-AU"/>
        </w:rPr>
        <w:t>0.05</w:t>
      </w:r>
      <w:r w:rsidRPr="002624AF">
        <w:rPr>
          <w:color w:val="auto"/>
        </w:rPr>
        <w:t xml:space="preserve">; **p </w:t>
      </w:r>
      <w:r w:rsidRPr="002624AF">
        <w:rPr>
          <w:color w:val="auto"/>
        </w:rPr>
        <w:sym w:font="Symbol" w:char="F0A3"/>
      </w:r>
      <w:r w:rsidRPr="002624AF">
        <w:rPr>
          <w:color w:val="auto"/>
        </w:rPr>
        <w:t xml:space="preserve"> 0.005. ***p </w:t>
      </w:r>
      <w:r w:rsidRPr="002624AF">
        <w:rPr>
          <w:color w:val="auto"/>
          <w:szCs w:val="20"/>
        </w:rPr>
        <w:sym w:font="Symbol" w:char="F0A3"/>
      </w:r>
      <w:r w:rsidRPr="002624AF">
        <w:rPr>
          <w:color w:val="auto"/>
          <w:szCs w:val="20"/>
        </w:rPr>
        <w:t xml:space="preserve"> </w:t>
      </w:r>
      <w:r w:rsidRPr="002624AF">
        <w:rPr>
          <w:color w:val="auto"/>
          <w:szCs w:val="20"/>
          <w:lang w:eastAsia="en-AU"/>
        </w:rPr>
        <w:t>0.0005</w:t>
      </w:r>
      <w:r w:rsidRPr="002624AF">
        <w:rPr>
          <w:color w:val="auto"/>
        </w:rPr>
        <w:t xml:space="preserve">; ****p </w:t>
      </w:r>
      <w:r w:rsidRPr="002624AF">
        <w:rPr>
          <w:color w:val="auto"/>
        </w:rPr>
        <w:sym w:font="Symbol" w:char="F0A3"/>
      </w:r>
      <w:r w:rsidRPr="002624AF">
        <w:rPr>
          <w:color w:val="auto"/>
        </w:rPr>
        <w:t xml:space="preserve"> 0.0001</w:t>
      </w:r>
      <w:r w:rsidR="00DA0CC4">
        <w:rPr>
          <w:color w:val="auto"/>
        </w:rPr>
        <w:t xml:space="preserve"> by two-way ANOVA</w:t>
      </w:r>
      <w:r w:rsidRPr="002624AF">
        <w:rPr>
          <w:color w:val="auto"/>
        </w:rPr>
        <w:t>.</w:t>
      </w:r>
      <w:r w:rsidR="008B1E2A">
        <w:rPr>
          <w:color w:val="FF0000"/>
        </w:rPr>
        <w:t xml:space="preserve"> </w:t>
      </w:r>
      <w:r w:rsidRPr="002624AF">
        <w:rPr>
          <w:color w:val="auto"/>
        </w:rPr>
        <w:t xml:space="preserve">Figure </w:t>
      </w:r>
      <w:proofErr w:type="gramStart"/>
      <w:r w:rsidRPr="002624AF">
        <w:rPr>
          <w:color w:val="auto"/>
        </w:rPr>
        <w:t>is adapted</w:t>
      </w:r>
      <w:proofErr w:type="gramEnd"/>
      <w:r w:rsidRPr="002624AF">
        <w:rPr>
          <w:color w:val="auto"/>
        </w:rPr>
        <w:t xml:space="preserve"> from </w:t>
      </w:r>
      <w:proofErr w:type="spellStart"/>
      <w:r w:rsidRPr="002624AF">
        <w:rPr>
          <w:color w:val="auto"/>
        </w:rPr>
        <w:t>Capellera</w:t>
      </w:r>
      <w:proofErr w:type="spellEnd"/>
      <w:r w:rsidRPr="002624AF">
        <w:rPr>
          <w:color w:val="auto"/>
        </w:rPr>
        <w:t>-Garcia S,</w:t>
      </w:r>
      <w:r w:rsidR="002624AF" w:rsidRPr="002624AF">
        <w:rPr>
          <w:i/>
          <w:color w:val="auto"/>
        </w:rPr>
        <w:t xml:space="preserve"> et al.</w:t>
      </w:r>
      <w:bookmarkEnd w:id="1"/>
      <w:r w:rsidRPr="002624AF">
        <w:rPr>
          <w:color w:val="auto"/>
          <w:vertAlign w:val="superscript"/>
        </w:rPr>
        <w:t>10</w:t>
      </w:r>
      <w:r w:rsidRPr="002624AF">
        <w:rPr>
          <w:color w:val="auto"/>
        </w:rPr>
        <w:t xml:space="preserve">. </w:t>
      </w:r>
    </w:p>
    <w:p w14:paraId="437C8FF1" w14:textId="77777777" w:rsidR="00370C0E" w:rsidRPr="002624AF" w:rsidRDefault="00370C0E" w:rsidP="002624AF">
      <w:pPr>
        <w:widowControl/>
        <w:rPr>
          <w:color w:val="auto"/>
        </w:rPr>
      </w:pPr>
    </w:p>
    <w:p w14:paraId="63F8E84F" w14:textId="3F8DD78E" w:rsidR="00370C0E" w:rsidRPr="008B1E2A" w:rsidRDefault="002624AF" w:rsidP="002624AF">
      <w:pPr>
        <w:widowControl/>
        <w:rPr>
          <w:b/>
          <w:color w:val="auto"/>
        </w:rPr>
      </w:pPr>
      <w:r w:rsidRPr="002624AF">
        <w:rPr>
          <w:b/>
          <w:color w:val="auto"/>
        </w:rPr>
        <w:t>Figure 3</w:t>
      </w:r>
      <w:r w:rsidR="00370C0E" w:rsidRPr="002624AF">
        <w:rPr>
          <w:b/>
          <w:color w:val="auto"/>
        </w:rPr>
        <w:t>: GTLM reprogramming is a robust and reliable process</w:t>
      </w:r>
      <w:r w:rsidR="008B1E2A">
        <w:rPr>
          <w:b/>
          <w:color w:val="auto"/>
        </w:rPr>
        <w:t xml:space="preserve">. </w:t>
      </w:r>
      <w:r w:rsidR="00370C0E" w:rsidRPr="002624AF">
        <w:rPr>
          <w:b/>
          <w:color w:val="auto"/>
        </w:rPr>
        <w:t>(A)</w:t>
      </w:r>
      <w:r w:rsidR="00370C0E" w:rsidRPr="002624AF">
        <w:rPr>
          <w:color w:val="auto"/>
        </w:rPr>
        <w:t xml:space="preserve"> Graph of the number of clusters observed from 10,000 TTFs and representative pictures on day 5 of GTLM reprogramming of tail tip fibroblasts (TTF) that have undergone three passages (P3) or nine passages (P9) prior to reprogramming. </w:t>
      </w:r>
      <w:r w:rsidR="00370C0E" w:rsidRPr="002624AF">
        <w:t xml:space="preserve">Data </w:t>
      </w:r>
      <w:proofErr w:type="gramStart"/>
      <w:r w:rsidR="00370C0E" w:rsidRPr="002624AF">
        <w:t>are presented</w:t>
      </w:r>
      <w:proofErr w:type="gramEnd"/>
      <w:r w:rsidR="00370C0E" w:rsidRPr="002624AF">
        <w:t xml:space="preserve"> as mean ± SD (n = 6)</w:t>
      </w:r>
      <w:r w:rsidR="00517868">
        <w:t>;</w:t>
      </w:r>
      <w:r w:rsidR="00C251FC">
        <w:t xml:space="preserve"> </w:t>
      </w:r>
      <w:r w:rsidR="00C251FC" w:rsidRPr="002624AF">
        <w:rPr>
          <w:color w:val="auto"/>
        </w:rPr>
        <w:t>scale bar</w:t>
      </w:r>
      <w:r w:rsidR="00C251FC">
        <w:rPr>
          <w:color w:val="auto"/>
        </w:rPr>
        <w:t>s</w:t>
      </w:r>
      <w:r w:rsidR="00517868">
        <w:rPr>
          <w:color w:val="auto"/>
        </w:rPr>
        <w:t xml:space="preserve"> are</w:t>
      </w:r>
      <w:r w:rsidR="00C251FC" w:rsidRPr="002624AF">
        <w:rPr>
          <w:color w:val="auto"/>
        </w:rPr>
        <w:t xml:space="preserve"> 50 </w:t>
      </w:r>
      <w:r w:rsidR="00C251FC">
        <w:rPr>
          <w:color w:val="auto"/>
        </w:rPr>
        <w:t>µ</w:t>
      </w:r>
      <w:r w:rsidR="00C251FC" w:rsidRPr="002624AF">
        <w:rPr>
          <w:color w:val="auto"/>
        </w:rPr>
        <w:t>m</w:t>
      </w:r>
      <w:r w:rsidR="00C251FC">
        <w:rPr>
          <w:color w:val="auto"/>
        </w:rPr>
        <w:t>.</w:t>
      </w:r>
      <w:r w:rsidR="008B1E2A">
        <w:t xml:space="preserve"> </w:t>
      </w:r>
      <w:r w:rsidR="00370C0E" w:rsidRPr="002624AF">
        <w:rPr>
          <w:b/>
          <w:color w:val="auto"/>
        </w:rPr>
        <w:t>(B</w:t>
      </w:r>
      <w:r w:rsidR="008B1E2A" w:rsidRPr="008B1E2A">
        <w:rPr>
          <w:b/>
          <w:color w:val="auto"/>
        </w:rPr>
        <w:t>‒</w:t>
      </w:r>
      <w:r w:rsidR="00370C0E" w:rsidRPr="002624AF">
        <w:rPr>
          <w:b/>
          <w:color w:val="auto"/>
        </w:rPr>
        <w:t>D)</w:t>
      </w:r>
      <w:r w:rsidR="00370C0E" w:rsidRPr="002624AF">
        <w:rPr>
          <w:color w:val="auto"/>
        </w:rPr>
        <w:t xml:space="preserve"> Representative pictures of iEP clusters 6 days after</w:t>
      </w:r>
      <w:r w:rsidR="00370C0E" w:rsidRPr="002624AF">
        <w:rPr>
          <w:b/>
          <w:color w:val="auto"/>
        </w:rPr>
        <w:t xml:space="preserve"> (B)</w:t>
      </w:r>
      <w:r w:rsidR="00370C0E" w:rsidRPr="002624AF">
        <w:rPr>
          <w:color w:val="auto"/>
        </w:rPr>
        <w:t xml:space="preserve"> GTLM reprogramming of tail tip fibroblasts;</w:t>
      </w:r>
      <w:r w:rsidR="00370C0E" w:rsidRPr="002624AF">
        <w:rPr>
          <w:b/>
          <w:color w:val="auto"/>
        </w:rPr>
        <w:t xml:space="preserve"> (C)</w:t>
      </w:r>
      <w:r w:rsidR="00370C0E" w:rsidRPr="002624AF">
        <w:rPr>
          <w:color w:val="auto"/>
        </w:rPr>
        <w:t xml:space="preserve"> GTLM reprogramming of TTFs with addition of p53DN expression vector; </w:t>
      </w:r>
      <w:r w:rsidR="00370C0E" w:rsidRPr="002624AF">
        <w:rPr>
          <w:b/>
          <w:color w:val="auto"/>
        </w:rPr>
        <w:t>(D)</w:t>
      </w:r>
      <w:r w:rsidR="00370C0E" w:rsidRPr="002624AF">
        <w:rPr>
          <w:color w:val="auto"/>
        </w:rPr>
        <w:t xml:space="preserve"> GTLM reprogramming of p53 knockout TTFs (scale bars = 50 </w:t>
      </w:r>
      <w:r w:rsidR="008B1E2A">
        <w:rPr>
          <w:color w:val="auto"/>
        </w:rPr>
        <w:t>µ</w:t>
      </w:r>
      <w:r w:rsidR="00370C0E" w:rsidRPr="002624AF">
        <w:rPr>
          <w:color w:val="auto"/>
        </w:rPr>
        <w:t>m).</w:t>
      </w:r>
      <w:r w:rsidR="008B1E2A">
        <w:rPr>
          <w:b/>
          <w:color w:val="auto"/>
        </w:rPr>
        <w:t xml:space="preserve"> </w:t>
      </w:r>
      <w:r w:rsidR="00370C0E" w:rsidRPr="002624AF">
        <w:rPr>
          <w:b/>
          <w:color w:val="auto"/>
        </w:rPr>
        <w:t>(E)</w:t>
      </w:r>
      <w:r w:rsidR="00370C0E" w:rsidRPr="002624AF">
        <w:rPr>
          <w:color w:val="auto"/>
        </w:rPr>
        <w:t xml:space="preserve"> Representative pictures of iEP clusters after 10 days of GTLM reprogramming performed at </w:t>
      </w:r>
      <w:proofErr w:type="spellStart"/>
      <w:r w:rsidR="00370C0E" w:rsidRPr="002624AF">
        <w:rPr>
          <w:color w:val="auto"/>
        </w:rPr>
        <w:t>normoxic</w:t>
      </w:r>
      <w:proofErr w:type="spellEnd"/>
      <w:r w:rsidR="00370C0E" w:rsidRPr="002624AF">
        <w:rPr>
          <w:color w:val="auto"/>
        </w:rPr>
        <w:t xml:space="preserve"> conditions (scale bar = 50 </w:t>
      </w:r>
      <w:r w:rsidR="008B1E2A">
        <w:rPr>
          <w:color w:val="auto"/>
        </w:rPr>
        <w:t>µ</w:t>
      </w:r>
      <w:r w:rsidR="00370C0E" w:rsidRPr="002624AF">
        <w:rPr>
          <w:color w:val="auto"/>
        </w:rPr>
        <w:t xml:space="preserve">m). </w:t>
      </w:r>
    </w:p>
    <w:p w14:paraId="5EF4FF94" w14:textId="77777777" w:rsidR="00370C0E" w:rsidRPr="002624AF" w:rsidRDefault="00370C0E" w:rsidP="002624AF">
      <w:pPr>
        <w:widowControl/>
        <w:rPr>
          <w:color w:val="auto"/>
        </w:rPr>
      </w:pPr>
    </w:p>
    <w:p w14:paraId="5E7A74F2" w14:textId="4D83AFCF" w:rsidR="00370C0E" w:rsidRPr="008B1E2A" w:rsidRDefault="00370C0E" w:rsidP="008B1E2A">
      <w:pPr>
        <w:widowControl/>
        <w:rPr>
          <w:b/>
          <w:bCs/>
        </w:rPr>
      </w:pPr>
      <w:r w:rsidRPr="002624AF">
        <w:rPr>
          <w:b/>
        </w:rPr>
        <w:t>DISCUSSION</w:t>
      </w:r>
      <w:r w:rsidRPr="002624AF">
        <w:rPr>
          <w:b/>
          <w:bCs/>
        </w:rPr>
        <w:t>:</w:t>
      </w:r>
    </w:p>
    <w:p w14:paraId="1AE5596F" w14:textId="77777777" w:rsidR="00370C0E" w:rsidRPr="002624AF" w:rsidRDefault="00370C0E" w:rsidP="002624AF">
      <w:pPr>
        <w:widowControl/>
      </w:pPr>
      <w:r w:rsidRPr="002624AF">
        <w:rPr>
          <w:color w:val="auto"/>
        </w:rPr>
        <w:t xml:space="preserve">Overexpression of a four-factor cocktail, </w:t>
      </w:r>
      <w:r w:rsidRPr="002624AF">
        <w:rPr>
          <w:b/>
          <w:i/>
          <w:color w:val="auto"/>
        </w:rPr>
        <w:t>GATA1</w:t>
      </w:r>
      <w:r w:rsidRPr="002624AF">
        <w:rPr>
          <w:color w:val="auto"/>
        </w:rPr>
        <w:t>,</w:t>
      </w:r>
      <w:r w:rsidRPr="002624AF">
        <w:rPr>
          <w:b/>
          <w:color w:val="auto"/>
        </w:rPr>
        <w:t xml:space="preserve"> </w:t>
      </w:r>
      <w:r w:rsidRPr="002624AF">
        <w:rPr>
          <w:b/>
          <w:i/>
          <w:color w:val="auto"/>
        </w:rPr>
        <w:t>TAL1</w:t>
      </w:r>
      <w:r w:rsidRPr="002624AF">
        <w:rPr>
          <w:color w:val="auto"/>
        </w:rPr>
        <w:t>,</w:t>
      </w:r>
      <w:r w:rsidRPr="002624AF">
        <w:rPr>
          <w:b/>
          <w:color w:val="auto"/>
        </w:rPr>
        <w:t xml:space="preserve"> </w:t>
      </w:r>
      <w:r w:rsidRPr="002624AF">
        <w:rPr>
          <w:b/>
          <w:i/>
          <w:color w:val="auto"/>
        </w:rPr>
        <w:t>LMO2</w:t>
      </w:r>
      <w:r w:rsidRPr="002624AF">
        <w:rPr>
          <w:i/>
          <w:color w:val="auto"/>
        </w:rPr>
        <w:t>,</w:t>
      </w:r>
      <w:r w:rsidRPr="002624AF">
        <w:rPr>
          <w:b/>
          <w:color w:val="auto"/>
        </w:rPr>
        <w:t xml:space="preserve"> </w:t>
      </w:r>
      <w:r w:rsidRPr="002624AF">
        <w:rPr>
          <w:color w:val="auto"/>
        </w:rPr>
        <w:t xml:space="preserve">and </w:t>
      </w:r>
      <w:r w:rsidRPr="002624AF">
        <w:rPr>
          <w:b/>
          <w:i/>
          <w:color w:val="auto"/>
        </w:rPr>
        <w:t>c-MYC (GTLM)</w:t>
      </w:r>
      <w:r w:rsidRPr="002624AF">
        <w:rPr>
          <w:color w:val="auto"/>
        </w:rPr>
        <w:t>, is sufficient to reprogram murine and human fibroblasts directly to iEPs</w:t>
      </w:r>
      <w:r w:rsidRPr="002624AF">
        <w:rPr>
          <w:color w:val="auto"/>
          <w:vertAlign w:val="superscript"/>
        </w:rPr>
        <w:t>10</w:t>
      </w:r>
      <w:r w:rsidRPr="002624AF">
        <w:t xml:space="preserve">. The reprogrammed erythroid cells greatly resembled </w:t>
      </w:r>
      <w:r w:rsidRPr="002624AF">
        <w:rPr>
          <w:i/>
        </w:rPr>
        <w:t>bona fide</w:t>
      </w:r>
      <w:r w:rsidRPr="002624AF">
        <w:t xml:space="preserve"> erythroid progenitors in terms of morphology, phenotype, gene expression, and colony-forming ability. This finding corroborates the rationale of using direct reprogramming as a tool for defining developmental factors in hematopoiesis. To support the validity of this method, iEPs can also be generated using GTLM induction of mouse embryonic fibroblasts and human foreskin fibroblasts, showing that it works for fibroblasts of different origins and across species</w:t>
      </w:r>
      <w:r w:rsidRPr="002624AF">
        <w:rPr>
          <w:vertAlign w:val="superscript"/>
        </w:rPr>
        <w:t>10</w:t>
      </w:r>
      <w:r w:rsidRPr="002624AF">
        <w:t xml:space="preserve">. In this report, we induce reprogramming of fibroblasts from </w:t>
      </w:r>
      <w:r w:rsidRPr="002624AF">
        <w:rPr>
          <w:color w:val="auto"/>
        </w:rPr>
        <w:t xml:space="preserve">the erythroid lineage-tracing mouse as a tool to visualize the conversion to an erythroid cell. Use of this mouse is useful but not critical to the protocol. We routinely perform reprogramming using multiple types of fibroblast from various mouse strains and identify iEPs by cell surface marker expression of Ter119 and CD71. </w:t>
      </w:r>
    </w:p>
    <w:p w14:paraId="6BA4B1EA" w14:textId="77777777" w:rsidR="00370C0E" w:rsidRPr="002624AF" w:rsidRDefault="00370C0E" w:rsidP="002624AF">
      <w:pPr>
        <w:widowControl/>
      </w:pPr>
    </w:p>
    <w:p w14:paraId="284A5FDC" w14:textId="0AC7B48B" w:rsidR="00370C0E" w:rsidRPr="002624AF" w:rsidRDefault="00370C0E" w:rsidP="002624AF">
      <w:pPr>
        <w:widowControl/>
        <w:rPr>
          <w:color w:val="auto"/>
        </w:rPr>
      </w:pPr>
      <w:r w:rsidRPr="002624AF">
        <w:rPr>
          <w:color w:val="auto"/>
        </w:rPr>
        <w:t xml:space="preserve">Our current method generates iEPs that exhibit a primitive erythroid phenotype as opposed to a definitive adult phenotype. One major difference between these phases of development is the expression of different globin genes. However, we have shown that addition of </w:t>
      </w:r>
      <w:r w:rsidRPr="002624AF">
        <w:rPr>
          <w:i/>
          <w:color w:val="auto"/>
        </w:rPr>
        <w:t>Klf1</w:t>
      </w:r>
      <w:r w:rsidRPr="002624AF">
        <w:rPr>
          <w:color w:val="auto"/>
        </w:rPr>
        <w:t xml:space="preserve"> and </w:t>
      </w:r>
      <w:r w:rsidRPr="002624AF">
        <w:rPr>
          <w:i/>
          <w:color w:val="auto"/>
        </w:rPr>
        <w:t>Myb</w:t>
      </w:r>
      <w:r w:rsidRPr="002624AF">
        <w:rPr>
          <w:color w:val="auto"/>
        </w:rPr>
        <w:t xml:space="preserve"> to the GTLM cocktail changes iEPs’ globin expression pattern from predominantly embryonic to mainly adult</w:t>
      </w:r>
      <w:r w:rsidRPr="002624AF">
        <w:rPr>
          <w:color w:val="auto"/>
          <w:vertAlign w:val="superscript"/>
        </w:rPr>
        <w:t>10,14</w:t>
      </w:r>
      <w:r w:rsidRPr="002624AF">
        <w:rPr>
          <w:color w:val="auto"/>
        </w:rPr>
        <w:t>. Interestingly, addition of Gata2 and Runx1 to the four-factor cocktail and thrombopoietin in the medium biases the reprogramming process towards the megakaryocytic lineage</w:t>
      </w:r>
      <w:r w:rsidRPr="002624AF">
        <w:rPr>
          <w:color w:val="auto"/>
          <w:vertAlign w:val="superscript"/>
        </w:rPr>
        <w:t>16</w:t>
      </w:r>
      <w:r w:rsidRPr="002624AF">
        <w:rPr>
          <w:color w:val="auto"/>
        </w:rPr>
        <w:t>.</w:t>
      </w:r>
      <w:r w:rsidR="002624AF">
        <w:rPr>
          <w:color w:val="auto"/>
        </w:rPr>
        <w:t xml:space="preserve"> </w:t>
      </w:r>
    </w:p>
    <w:p w14:paraId="484C4C85" w14:textId="77777777" w:rsidR="00370C0E" w:rsidRPr="002624AF" w:rsidRDefault="00370C0E" w:rsidP="002624AF">
      <w:pPr>
        <w:widowControl/>
        <w:rPr>
          <w:color w:val="auto"/>
        </w:rPr>
      </w:pPr>
    </w:p>
    <w:p w14:paraId="32205CBD" w14:textId="7893729E" w:rsidR="00370C0E" w:rsidRDefault="00370C0E" w:rsidP="002624AF">
      <w:pPr>
        <w:widowControl/>
        <w:rPr>
          <w:color w:val="auto"/>
        </w:rPr>
      </w:pPr>
      <w:r w:rsidRPr="002624AF">
        <w:rPr>
          <w:color w:val="auto"/>
        </w:rPr>
        <w:t>The GTLM-induced iEPs produce erythroid progenitors with a primitive gene expression signature and a limited proliferative capacity. Furthermore</w:t>
      </w:r>
      <w:r w:rsidR="00C00B0F">
        <w:rPr>
          <w:color w:val="auto"/>
        </w:rPr>
        <w:t>,</w:t>
      </w:r>
      <w:r w:rsidRPr="002624AF">
        <w:rPr>
          <w:color w:val="auto"/>
        </w:rPr>
        <w:t xml:space="preserve"> the iEPs produce very few enucleated erythrocytes. The poor erythroid progenitor expansion is explained by the failure to reprogram to kit+ definitive erythroid cells, which could potentially be achieved with addition of other factors inducing direct reprogramming to iEPs with a definitive gene expression program. </w:t>
      </w:r>
    </w:p>
    <w:p w14:paraId="4BA101F2" w14:textId="77777777" w:rsidR="0036419D" w:rsidRPr="002624AF" w:rsidRDefault="0036419D" w:rsidP="002624AF">
      <w:pPr>
        <w:widowControl/>
        <w:rPr>
          <w:color w:val="7030A0"/>
        </w:rPr>
      </w:pPr>
    </w:p>
    <w:p w14:paraId="1E929102" w14:textId="77777777" w:rsidR="00370C0E" w:rsidRPr="002624AF" w:rsidRDefault="00370C0E" w:rsidP="002624AF">
      <w:pPr>
        <w:widowControl/>
        <w:rPr>
          <w:color w:val="auto"/>
        </w:rPr>
      </w:pPr>
      <w:r w:rsidRPr="002624AF">
        <w:rPr>
          <w:color w:val="auto"/>
        </w:rPr>
        <w:lastRenderedPageBreak/>
        <w:t xml:space="preserve">Our data also suggest poor enucleation efficiency is explained by the fact GTLM-induced iEPs generate precursors with a primitive, rather than a definitive gene expression program. Several attempts at optimizing culture conditions were attempted without improved enucleation. Ongoing attempts to increase both progenitor proliferation and enucleation efficiency are therefore focused at identifying missing factors for inducing reprogramming to definitive iEPs. </w:t>
      </w:r>
    </w:p>
    <w:p w14:paraId="77D1C51A" w14:textId="77777777" w:rsidR="00370C0E" w:rsidRPr="002624AF" w:rsidRDefault="00370C0E" w:rsidP="002624AF">
      <w:pPr>
        <w:widowControl/>
        <w:rPr>
          <w:color w:val="7030A0"/>
        </w:rPr>
      </w:pPr>
    </w:p>
    <w:p w14:paraId="45836C4F" w14:textId="77777777" w:rsidR="00370C0E" w:rsidRPr="002624AF" w:rsidRDefault="00370C0E" w:rsidP="002624AF">
      <w:pPr>
        <w:widowControl/>
        <w:rPr>
          <w:color w:val="auto"/>
        </w:rPr>
      </w:pPr>
      <w:r w:rsidRPr="002624AF">
        <w:rPr>
          <w:color w:val="auto"/>
        </w:rPr>
        <w:t xml:space="preserve">For the optimal production of red iEP colonies, it is vital that cells are transduced with all four vectors and GTL genes are expressed at high levels. Unfortunately the currently most efficient method does not allow prior control of vector titers. An attempt to improve the efficiency using </w:t>
      </w:r>
      <w:proofErr w:type="spellStart"/>
      <w:r w:rsidRPr="002624AF">
        <w:rPr>
          <w:color w:val="auto"/>
        </w:rPr>
        <w:t>bicistronic</w:t>
      </w:r>
      <w:proofErr w:type="spellEnd"/>
      <w:r w:rsidRPr="002624AF">
        <w:rPr>
          <w:color w:val="auto"/>
        </w:rPr>
        <w:t xml:space="preserve"> lentiviral vectors was not successful, possibly due to issues with inferior stoichiometry or insufficient expression levels. While work is ongoing to improve reprogramming vectors, the most efficient method remains using combinations of freshly produced vector supernatant with the previously described retroviral vectors expressing only one factor and no selection marker gene. </w:t>
      </w:r>
    </w:p>
    <w:p w14:paraId="5DDEE1E6" w14:textId="77777777" w:rsidR="00370C0E" w:rsidRPr="002624AF" w:rsidRDefault="00370C0E" w:rsidP="002624AF">
      <w:pPr>
        <w:widowControl/>
        <w:rPr>
          <w:highlight w:val="yellow"/>
        </w:rPr>
      </w:pPr>
    </w:p>
    <w:p w14:paraId="4A8D0E2B" w14:textId="212657A2" w:rsidR="00370C0E" w:rsidRPr="002624AF" w:rsidRDefault="00370C0E" w:rsidP="002624AF">
      <w:pPr>
        <w:widowControl/>
        <w:rPr>
          <w:color w:val="auto"/>
        </w:rPr>
      </w:pPr>
      <w:r w:rsidRPr="002624AF">
        <w:t>GTLM reprogramming to iEPs is the only reported protocol able to produce erythroid progenitor-like cells from a committed somatic cell.</w:t>
      </w:r>
      <w:r w:rsidR="002624AF">
        <w:t xml:space="preserve"> </w:t>
      </w:r>
      <w:r w:rsidRPr="002624AF">
        <w:t xml:space="preserve">As a research tool the DLR iEP method therefore has several advantages over other erythroid cell model systems such as the erythroid cell lines </w:t>
      </w:r>
      <w:proofErr w:type="spellStart"/>
      <w:r w:rsidRPr="002624AF">
        <w:t>HiDEPs</w:t>
      </w:r>
      <w:proofErr w:type="spellEnd"/>
      <w:r w:rsidRPr="002624AF">
        <w:t>/</w:t>
      </w:r>
      <w:proofErr w:type="spellStart"/>
      <w:r w:rsidRPr="002624AF">
        <w:t>HuDEP</w:t>
      </w:r>
      <w:proofErr w:type="spellEnd"/>
      <w:r w:rsidRPr="002624AF">
        <w:t xml:space="preserve"> cells (PMID: 23533656)</w:t>
      </w:r>
      <w:r w:rsidRPr="002624AF">
        <w:rPr>
          <w:vertAlign w:val="superscript"/>
        </w:rPr>
        <w:t>17</w:t>
      </w:r>
      <w:r w:rsidRPr="002624AF">
        <w:t xml:space="preserve">. While </w:t>
      </w:r>
      <w:proofErr w:type="spellStart"/>
      <w:r w:rsidRPr="002624AF">
        <w:t>HiDEPs</w:t>
      </w:r>
      <w:proofErr w:type="spellEnd"/>
      <w:r w:rsidRPr="002624AF">
        <w:t>/</w:t>
      </w:r>
      <w:proofErr w:type="spellStart"/>
      <w:r w:rsidRPr="002624AF">
        <w:t>HuDEP</w:t>
      </w:r>
      <w:proofErr w:type="spellEnd"/>
      <w:r w:rsidRPr="002624AF">
        <w:t xml:space="preserve"> cells</w:t>
      </w:r>
      <w:r w:rsidRPr="002624AF" w:rsidDel="005E0332">
        <w:t xml:space="preserve"> </w:t>
      </w:r>
      <w:r w:rsidRPr="002624AF">
        <w:t xml:space="preserve">are more convenient tools for large scale erythrocyte production and evaluating gene function during terminal erythropoiesis, the unique advantage of GTLM reprogramming to iEPs is the ability to directly study of the core transcriptional programs determining erythroid cell fate. GTLM reprogramming provides an invaluable platform for studying both erythropoiesis in humans and mouse, for example, to study the switch between primitive and definitive erythropoiesis. </w:t>
      </w:r>
      <w:r w:rsidRPr="002624AF">
        <w:rPr>
          <w:color w:val="auto"/>
        </w:rPr>
        <w:t xml:space="preserve">Understanding this switch is of huge interest in the potential treatment of hemoglobinopathies, such as Sickle Cell Anemia, in which researchers strive to reverse the switch in adults to fetal hemoglobin to alleviate the disease. </w:t>
      </w:r>
    </w:p>
    <w:p w14:paraId="6DBD2D80" w14:textId="77777777" w:rsidR="00370C0E" w:rsidRPr="002624AF" w:rsidRDefault="00370C0E" w:rsidP="002624AF">
      <w:pPr>
        <w:widowControl/>
        <w:rPr>
          <w:color w:val="auto"/>
        </w:rPr>
      </w:pPr>
    </w:p>
    <w:p w14:paraId="21852C20" w14:textId="2193D1E6" w:rsidR="00370C0E" w:rsidRPr="0036419D" w:rsidRDefault="00370C0E" w:rsidP="002624AF">
      <w:pPr>
        <w:pStyle w:val="NormalWeb"/>
        <w:widowControl/>
        <w:spacing w:before="0" w:beforeAutospacing="0" w:after="0" w:afterAutospacing="0"/>
        <w:rPr>
          <w:b/>
          <w:bCs/>
        </w:rPr>
      </w:pPr>
      <w:r w:rsidRPr="002624AF">
        <w:rPr>
          <w:b/>
          <w:bCs/>
        </w:rPr>
        <w:t xml:space="preserve">ACKNOWLEDGMENTS: </w:t>
      </w:r>
    </w:p>
    <w:p w14:paraId="02CCA98A" w14:textId="5612A01D" w:rsidR="00370C0E" w:rsidRPr="002624AF" w:rsidRDefault="00370C0E" w:rsidP="002624AF">
      <w:pPr>
        <w:widowControl/>
      </w:pPr>
      <w:r w:rsidRPr="002624AF">
        <w:t xml:space="preserve">We thank Evelyn Wang and Gregory Hyde (Whitehead Institute, Cambridge, MA) for cloning and Harvey </w:t>
      </w:r>
      <w:proofErr w:type="spellStart"/>
      <w:r w:rsidRPr="002624AF">
        <w:t>Lodish</w:t>
      </w:r>
      <w:proofErr w:type="spellEnd"/>
      <w:r w:rsidRPr="002624AF">
        <w:t xml:space="preserve"> (Whitehead Institute) for providing many of the plasmids used for generating the retroviral library. We thank Kavitha Siva and Sofie </w:t>
      </w:r>
      <w:proofErr w:type="spellStart"/>
      <w:r w:rsidRPr="002624AF">
        <w:t>Singbrant</w:t>
      </w:r>
      <w:proofErr w:type="spellEnd"/>
      <w:r w:rsidRPr="002624AF">
        <w:t xml:space="preserve"> (Department of Molecular Medicine and Gene Therapy, Lund University), </w:t>
      </w:r>
      <w:proofErr w:type="spellStart"/>
      <w:r w:rsidRPr="002624AF">
        <w:t>Göran</w:t>
      </w:r>
      <w:proofErr w:type="spellEnd"/>
      <w:r w:rsidRPr="002624AF">
        <w:t xml:space="preserve"> Karlsson and </w:t>
      </w:r>
      <w:proofErr w:type="spellStart"/>
      <w:r w:rsidRPr="002624AF">
        <w:t>Shamit</w:t>
      </w:r>
      <w:proofErr w:type="spellEnd"/>
      <w:r w:rsidRPr="002624AF">
        <w:t xml:space="preserve"> Soneji (Department of Molecular Hematology, Lund University) for their roles in description of iEP production. We would also like to acknowledge and thank Julian </w:t>
      </w:r>
      <w:proofErr w:type="spellStart"/>
      <w:r w:rsidRPr="002624AF">
        <w:t>Pulecio</w:t>
      </w:r>
      <w:proofErr w:type="spellEnd"/>
      <w:r w:rsidRPr="002624AF">
        <w:t xml:space="preserve"> (Centre of Regenerative Medicine, Barcelona Biomedical Research Park), Violeta Rayon-Estrada (The Rockefeller University, New York), Carl Walkley (St. Vincent’s Institute of Medical Research and Department of Medicine, St Vincent’s Hospital, University of Melbourne), </w:t>
      </w:r>
      <w:proofErr w:type="spellStart"/>
      <w:r w:rsidRPr="002624AF">
        <w:t>Ángel</w:t>
      </w:r>
      <w:proofErr w:type="spellEnd"/>
      <w:r w:rsidRPr="002624AF">
        <w:t xml:space="preserve"> Raya (Catalan Institution for Research and Advanced Studies, Barcelona), and Vijay G. Sankaran (Broad Institute of the Massachusetts Institute of Technology and Harvard, Cambridge) for their previous contributions to this work.</w:t>
      </w:r>
      <w:r w:rsidR="0036419D">
        <w:t xml:space="preserve"> </w:t>
      </w:r>
      <w:r w:rsidRPr="002624AF">
        <w:t xml:space="preserve">This work was supported by the Ragnar </w:t>
      </w:r>
      <w:proofErr w:type="spellStart"/>
      <w:r w:rsidRPr="002624AF">
        <w:t>Söderberg</w:t>
      </w:r>
      <w:proofErr w:type="spellEnd"/>
      <w:r w:rsidRPr="002624AF">
        <w:t xml:space="preserve"> Foundation (to J.F.); the Swedish Research Council (to J.F.); </w:t>
      </w:r>
      <w:proofErr w:type="spellStart"/>
      <w:r w:rsidRPr="002624AF">
        <w:t>Stiftelsen</w:t>
      </w:r>
      <w:proofErr w:type="spellEnd"/>
      <w:r w:rsidRPr="002624AF">
        <w:t xml:space="preserve"> </w:t>
      </w:r>
      <w:proofErr w:type="spellStart"/>
      <w:r w:rsidRPr="002624AF">
        <w:t>Olle</w:t>
      </w:r>
      <w:proofErr w:type="spellEnd"/>
      <w:r w:rsidRPr="002624AF">
        <w:t xml:space="preserve"> </w:t>
      </w:r>
      <w:proofErr w:type="spellStart"/>
      <w:r w:rsidRPr="002624AF">
        <w:t>Engkvist</w:t>
      </w:r>
      <w:proofErr w:type="spellEnd"/>
      <w:r w:rsidRPr="002624AF">
        <w:t xml:space="preserve"> </w:t>
      </w:r>
      <w:proofErr w:type="spellStart"/>
      <w:r w:rsidRPr="002624AF">
        <w:t>Byggmästare</w:t>
      </w:r>
      <w:proofErr w:type="spellEnd"/>
      <w:r w:rsidRPr="002624AF">
        <w:t xml:space="preserve"> (to J.F.); the Swedish Foundation for Strategic Research (to J.F.); </w:t>
      </w:r>
      <w:proofErr w:type="spellStart"/>
      <w:r w:rsidRPr="002624AF">
        <w:t>Åke</w:t>
      </w:r>
      <w:proofErr w:type="spellEnd"/>
      <w:r w:rsidRPr="002624AF">
        <w:t xml:space="preserve"> </w:t>
      </w:r>
      <w:proofErr w:type="spellStart"/>
      <w:r w:rsidRPr="002624AF">
        <w:t>Wiberg’s</w:t>
      </w:r>
      <w:proofErr w:type="spellEnd"/>
      <w:r w:rsidRPr="002624AF">
        <w:t xml:space="preserve"> Foundation (to J.F.); a Marie Curie integration grant (to J.F.). </w:t>
      </w:r>
    </w:p>
    <w:p w14:paraId="0090D021" w14:textId="77777777" w:rsidR="00370C0E" w:rsidRPr="002624AF" w:rsidRDefault="00370C0E" w:rsidP="002624AF">
      <w:pPr>
        <w:widowControl/>
        <w:rPr>
          <w:b/>
          <w:bCs/>
        </w:rPr>
      </w:pPr>
    </w:p>
    <w:p w14:paraId="19744879" w14:textId="52E76F8B" w:rsidR="00370C0E" w:rsidRPr="0036419D" w:rsidRDefault="00370C0E" w:rsidP="002624AF">
      <w:pPr>
        <w:pStyle w:val="NormalWeb"/>
        <w:widowControl/>
        <w:spacing w:before="0" w:beforeAutospacing="0" w:after="0" w:afterAutospacing="0"/>
        <w:rPr>
          <w:b/>
          <w:bCs/>
        </w:rPr>
      </w:pPr>
      <w:r w:rsidRPr="002624AF">
        <w:rPr>
          <w:b/>
        </w:rPr>
        <w:lastRenderedPageBreak/>
        <w:t>DISCLOSURES</w:t>
      </w:r>
      <w:r w:rsidRPr="002624AF">
        <w:rPr>
          <w:b/>
          <w:bCs/>
        </w:rPr>
        <w:t>:</w:t>
      </w:r>
    </w:p>
    <w:p w14:paraId="1D0D053A" w14:textId="77777777" w:rsidR="00370C0E" w:rsidRPr="002624AF" w:rsidRDefault="00370C0E" w:rsidP="002624AF">
      <w:pPr>
        <w:widowControl/>
        <w:rPr>
          <w:color w:val="auto"/>
        </w:rPr>
      </w:pPr>
      <w:r w:rsidRPr="002624AF">
        <w:rPr>
          <w:color w:val="auto"/>
        </w:rPr>
        <w:t xml:space="preserve">The authors have no conflicts of interest to report. </w:t>
      </w:r>
    </w:p>
    <w:p w14:paraId="178E4F8D" w14:textId="77777777" w:rsidR="00370C0E" w:rsidRPr="002624AF" w:rsidRDefault="00370C0E" w:rsidP="002624AF">
      <w:pPr>
        <w:widowControl/>
        <w:rPr>
          <w:color w:val="auto"/>
        </w:rPr>
      </w:pPr>
    </w:p>
    <w:p w14:paraId="7AEA7BDA" w14:textId="70E81E74" w:rsidR="00370C0E" w:rsidRPr="0036419D" w:rsidRDefault="00370C0E" w:rsidP="002624AF">
      <w:pPr>
        <w:widowControl/>
      </w:pPr>
      <w:r w:rsidRPr="002624AF">
        <w:rPr>
          <w:b/>
          <w:bCs/>
        </w:rPr>
        <w:t>REFERENCES:</w:t>
      </w:r>
      <w:r w:rsidRPr="002624AF">
        <w:t xml:space="preserve"> </w:t>
      </w:r>
    </w:p>
    <w:p w14:paraId="109E5DB3" w14:textId="77777777" w:rsidR="00370C0E" w:rsidRPr="002624AF" w:rsidRDefault="00370C0E" w:rsidP="002624AF">
      <w:pPr>
        <w:pStyle w:val="EndNoteBibliography"/>
        <w:widowControl/>
        <w:rPr>
          <w:noProof w:val="0"/>
        </w:rPr>
      </w:pPr>
      <w:r w:rsidRPr="002624AF">
        <w:rPr>
          <w:noProof w:val="0"/>
        </w:rPr>
        <w:t>1</w:t>
      </w:r>
      <w:r w:rsidRPr="002624AF">
        <w:rPr>
          <w:noProof w:val="0"/>
        </w:rPr>
        <w:tab/>
        <w:t xml:space="preserve">Sender, R., Fuchs, S. &amp; Milo, R. Are We Really Vastly Outnumbered? Revisiting the Ratio of Bacterial to Host Cells in Humans. </w:t>
      </w:r>
      <w:r w:rsidRPr="002624AF">
        <w:rPr>
          <w:i/>
          <w:noProof w:val="0"/>
        </w:rPr>
        <w:t>Cell.</w:t>
      </w:r>
      <w:r w:rsidRPr="002624AF">
        <w:rPr>
          <w:noProof w:val="0"/>
        </w:rPr>
        <w:t xml:space="preserve"> </w:t>
      </w:r>
      <w:r w:rsidRPr="002624AF">
        <w:rPr>
          <w:b/>
          <w:noProof w:val="0"/>
        </w:rPr>
        <w:t>164</w:t>
      </w:r>
      <w:r w:rsidRPr="002624AF">
        <w:rPr>
          <w:noProof w:val="0"/>
        </w:rPr>
        <w:t xml:space="preserve"> (3), 337-340, (2016).</w:t>
      </w:r>
    </w:p>
    <w:p w14:paraId="267D471D" w14:textId="4621973C" w:rsidR="00370C0E" w:rsidRPr="002624AF" w:rsidRDefault="00370C0E" w:rsidP="002624AF">
      <w:pPr>
        <w:pStyle w:val="EndNoteBibliography"/>
        <w:widowControl/>
        <w:rPr>
          <w:noProof w:val="0"/>
        </w:rPr>
      </w:pPr>
      <w:r w:rsidRPr="002624AF">
        <w:rPr>
          <w:noProof w:val="0"/>
        </w:rPr>
        <w:t>2</w:t>
      </w:r>
      <w:r w:rsidRPr="002624AF">
        <w:rPr>
          <w:noProof w:val="0"/>
        </w:rPr>
        <w:tab/>
        <w:t xml:space="preserve">Lujan, E., Chanda, S., </w:t>
      </w:r>
      <w:proofErr w:type="spellStart"/>
      <w:r w:rsidRPr="002624AF">
        <w:rPr>
          <w:noProof w:val="0"/>
        </w:rPr>
        <w:t>Ahlenius</w:t>
      </w:r>
      <w:proofErr w:type="spellEnd"/>
      <w:r w:rsidRPr="002624AF">
        <w:rPr>
          <w:noProof w:val="0"/>
        </w:rPr>
        <w:t xml:space="preserve">, H., </w:t>
      </w:r>
      <w:proofErr w:type="spellStart"/>
      <w:r w:rsidRPr="002624AF">
        <w:rPr>
          <w:noProof w:val="0"/>
        </w:rPr>
        <w:t>Sudhof</w:t>
      </w:r>
      <w:proofErr w:type="spellEnd"/>
      <w:r w:rsidRPr="002624AF">
        <w:rPr>
          <w:noProof w:val="0"/>
        </w:rPr>
        <w:t xml:space="preserve">, T. C. &amp; </w:t>
      </w:r>
      <w:proofErr w:type="spellStart"/>
      <w:r w:rsidRPr="002624AF">
        <w:rPr>
          <w:noProof w:val="0"/>
        </w:rPr>
        <w:t>Wernig</w:t>
      </w:r>
      <w:proofErr w:type="spellEnd"/>
      <w:r w:rsidRPr="002624AF">
        <w:rPr>
          <w:noProof w:val="0"/>
        </w:rPr>
        <w:t xml:space="preserve">, M. Direct conversion of mouse fibroblasts to self-renewing, </w:t>
      </w:r>
      <w:proofErr w:type="spellStart"/>
      <w:r w:rsidRPr="002624AF">
        <w:rPr>
          <w:noProof w:val="0"/>
        </w:rPr>
        <w:t>tripotent</w:t>
      </w:r>
      <w:proofErr w:type="spellEnd"/>
      <w:r w:rsidRPr="002624AF">
        <w:rPr>
          <w:noProof w:val="0"/>
        </w:rPr>
        <w:t xml:space="preserve"> neural precursor cells. </w:t>
      </w:r>
      <w:r w:rsidRPr="002624AF">
        <w:rPr>
          <w:i/>
          <w:noProof w:val="0"/>
        </w:rPr>
        <w:t>Proc</w:t>
      </w:r>
      <w:r w:rsidR="00146741">
        <w:rPr>
          <w:i/>
          <w:noProof w:val="0"/>
        </w:rPr>
        <w:t>eedings of the</w:t>
      </w:r>
      <w:r w:rsidRPr="002624AF">
        <w:rPr>
          <w:i/>
          <w:noProof w:val="0"/>
        </w:rPr>
        <w:t xml:space="preserve"> Nat</w:t>
      </w:r>
      <w:r w:rsidR="00146741">
        <w:rPr>
          <w:i/>
          <w:noProof w:val="0"/>
        </w:rPr>
        <w:t>ional</w:t>
      </w:r>
      <w:r w:rsidRPr="002624AF">
        <w:rPr>
          <w:i/>
          <w:noProof w:val="0"/>
        </w:rPr>
        <w:t xml:space="preserve"> Acad</w:t>
      </w:r>
      <w:r w:rsidR="00146741">
        <w:rPr>
          <w:i/>
          <w:noProof w:val="0"/>
        </w:rPr>
        <w:t>emy of</w:t>
      </w:r>
      <w:r w:rsidRPr="002624AF">
        <w:rPr>
          <w:i/>
          <w:noProof w:val="0"/>
        </w:rPr>
        <w:t xml:space="preserve"> Sci</w:t>
      </w:r>
      <w:r w:rsidR="00146741">
        <w:rPr>
          <w:i/>
          <w:noProof w:val="0"/>
        </w:rPr>
        <w:t>ences of the</w:t>
      </w:r>
      <w:r w:rsidRPr="002624AF">
        <w:rPr>
          <w:i/>
          <w:noProof w:val="0"/>
        </w:rPr>
        <w:t xml:space="preserve"> U</w:t>
      </w:r>
      <w:r w:rsidR="00146741">
        <w:rPr>
          <w:i/>
          <w:noProof w:val="0"/>
        </w:rPr>
        <w:t xml:space="preserve">nited </w:t>
      </w:r>
      <w:r w:rsidRPr="002624AF">
        <w:rPr>
          <w:i/>
          <w:noProof w:val="0"/>
        </w:rPr>
        <w:t>S</w:t>
      </w:r>
      <w:r w:rsidR="00146741">
        <w:rPr>
          <w:i/>
          <w:noProof w:val="0"/>
        </w:rPr>
        <w:t>tates of</w:t>
      </w:r>
      <w:r w:rsidRPr="002624AF">
        <w:rPr>
          <w:i/>
          <w:noProof w:val="0"/>
        </w:rPr>
        <w:t xml:space="preserve"> A</w:t>
      </w:r>
      <w:r w:rsidR="00146741">
        <w:rPr>
          <w:i/>
          <w:noProof w:val="0"/>
        </w:rPr>
        <w:t>merica</w:t>
      </w:r>
      <w:r w:rsidRPr="002624AF">
        <w:rPr>
          <w:i/>
          <w:noProof w:val="0"/>
        </w:rPr>
        <w:t>.</w:t>
      </w:r>
      <w:r w:rsidRPr="002624AF">
        <w:rPr>
          <w:noProof w:val="0"/>
        </w:rPr>
        <w:t xml:space="preserve"> </w:t>
      </w:r>
      <w:r w:rsidRPr="002624AF">
        <w:rPr>
          <w:b/>
          <w:noProof w:val="0"/>
        </w:rPr>
        <w:t>109</w:t>
      </w:r>
      <w:r w:rsidRPr="002624AF">
        <w:rPr>
          <w:noProof w:val="0"/>
        </w:rPr>
        <w:t xml:space="preserve"> (7), 2527-2532, (2012).</w:t>
      </w:r>
    </w:p>
    <w:p w14:paraId="2F1DE805" w14:textId="65C0FA36" w:rsidR="00370C0E" w:rsidRPr="002624AF" w:rsidRDefault="00370C0E" w:rsidP="002624AF">
      <w:pPr>
        <w:pStyle w:val="EndNoteBibliography"/>
        <w:widowControl/>
        <w:rPr>
          <w:noProof w:val="0"/>
        </w:rPr>
      </w:pPr>
      <w:r w:rsidRPr="002624AF">
        <w:rPr>
          <w:noProof w:val="0"/>
        </w:rPr>
        <w:t>3</w:t>
      </w:r>
      <w:r w:rsidRPr="002624AF">
        <w:rPr>
          <w:noProof w:val="0"/>
        </w:rPr>
        <w:tab/>
        <w:t>Szabo, E.</w:t>
      </w:r>
      <w:r w:rsidR="002624AF" w:rsidRPr="002624AF">
        <w:rPr>
          <w:i/>
          <w:noProof w:val="0"/>
        </w:rPr>
        <w:t xml:space="preserve"> et al</w:t>
      </w:r>
      <w:r w:rsidR="00146741">
        <w:rPr>
          <w:i/>
          <w:noProof w:val="0"/>
        </w:rPr>
        <w:t>.</w:t>
      </w:r>
      <w:r w:rsidRPr="002624AF">
        <w:rPr>
          <w:noProof w:val="0"/>
        </w:rPr>
        <w:t xml:space="preserve"> Direct conversion of human fibroblasts to multilineage blood progenitors. </w:t>
      </w:r>
      <w:r w:rsidRPr="002624AF">
        <w:rPr>
          <w:i/>
          <w:noProof w:val="0"/>
        </w:rPr>
        <w:t>Nature.</w:t>
      </w:r>
      <w:r w:rsidRPr="002624AF">
        <w:rPr>
          <w:noProof w:val="0"/>
        </w:rPr>
        <w:t xml:space="preserve"> </w:t>
      </w:r>
      <w:r w:rsidRPr="002624AF">
        <w:rPr>
          <w:b/>
          <w:noProof w:val="0"/>
        </w:rPr>
        <w:t>468</w:t>
      </w:r>
      <w:r w:rsidRPr="002624AF">
        <w:rPr>
          <w:noProof w:val="0"/>
        </w:rPr>
        <w:t xml:space="preserve"> (7323), 521-526, (2010).</w:t>
      </w:r>
    </w:p>
    <w:p w14:paraId="295AE268" w14:textId="713729EE" w:rsidR="00370C0E" w:rsidRPr="002624AF" w:rsidRDefault="00370C0E" w:rsidP="002624AF">
      <w:pPr>
        <w:pStyle w:val="EndNoteBibliography"/>
        <w:widowControl/>
        <w:rPr>
          <w:noProof w:val="0"/>
        </w:rPr>
      </w:pPr>
      <w:r w:rsidRPr="002624AF">
        <w:rPr>
          <w:noProof w:val="0"/>
        </w:rPr>
        <w:t>4</w:t>
      </w:r>
      <w:r w:rsidRPr="002624AF">
        <w:rPr>
          <w:noProof w:val="0"/>
        </w:rPr>
        <w:tab/>
        <w:t>Pereira, C. F.</w:t>
      </w:r>
      <w:r w:rsidR="002624AF" w:rsidRPr="002624AF">
        <w:rPr>
          <w:i/>
          <w:noProof w:val="0"/>
        </w:rPr>
        <w:t xml:space="preserve"> et al</w:t>
      </w:r>
      <w:r w:rsidR="00146741">
        <w:rPr>
          <w:i/>
          <w:noProof w:val="0"/>
        </w:rPr>
        <w:t>.</w:t>
      </w:r>
      <w:r w:rsidRPr="002624AF">
        <w:rPr>
          <w:noProof w:val="0"/>
        </w:rPr>
        <w:t xml:space="preserve"> Induction of a hemogenic program in mouse fibroblasts. </w:t>
      </w:r>
      <w:r w:rsidRPr="002624AF">
        <w:rPr>
          <w:i/>
          <w:noProof w:val="0"/>
        </w:rPr>
        <w:t>Cell Stem Cell.</w:t>
      </w:r>
      <w:r w:rsidRPr="002624AF">
        <w:rPr>
          <w:noProof w:val="0"/>
        </w:rPr>
        <w:t xml:space="preserve"> </w:t>
      </w:r>
      <w:r w:rsidRPr="002624AF">
        <w:rPr>
          <w:b/>
          <w:noProof w:val="0"/>
        </w:rPr>
        <w:t>13</w:t>
      </w:r>
      <w:r w:rsidRPr="002624AF">
        <w:rPr>
          <w:noProof w:val="0"/>
        </w:rPr>
        <w:t xml:space="preserve"> (2), 205-218, (2013).</w:t>
      </w:r>
    </w:p>
    <w:p w14:paraId="1EAC7A6A" w14:textId="42DC8862" w:rsidR="00370C0E" w:rsidRPr="002624AF" w:rsidRDefault="00370C0E" w:rsidP="002624AF">
      <w:pPr>
        <w:pStyle w:val="EndNoteBibliography"/>
        <w:widowControl/>
        <w:rPr>
          <w:noProof w:val="0"/>
        </w:rPr>
      </w:pPr>
      <w:r w:rsidRPr="002624AF">
        <w:rPr>
          <w:noProof w:val="0"/>
        </w:rPr>
        <w:t>5</w:t>
      </w:r>
      <w:r w:rsidRPr="002624AF">
        <w:rPr>
          <w:noProof w:val="0"/>
        </w:rPr>
        <w:tab/>
      </w:r>
      <w:proofErr w:type="spellStart"/>
      <w:r w:rsidRPr="002624AF">
        <w:rPr>
          <w:noProof w:val="0"/>
        </w:rPr>
        <w:t>Batta</w:t>
      </w:r>
      <w:proofErr w:type="spellEnd"/>
      <w:r w:rsidRPr="002624AF">
        <w:rPr>
          <w:noProof w:val="0"/>
        </w:rPr>
        <w:t xml:space="preserve">, K., </w:t>
      </w:r>
      <w:proofErr w:type="spellStart"/>
      <w:r w:rsidRPr="002624AF">
        <w:rPr>
          <w:noProof w:val="0"/>
        </w:rPr>
        <w:t>Florkowska</w:t>
      </w:r>
      <w:proofErr w:type="spellEnd"/>
      <w:r w:rsidRPr="002624AF">
        <w:rPr>
          <w:noProof w:val="0"/>
        </w:rPr>
        <w:t xml:space="preserve">, M., </w:t>
      </w:r>
      <w:proofErr w:type="spellStart"/>
      <w:r w:rsidRPr="002624AF">
        <w:rPr>
          <w:noProof w:val="0"/>
        </w:rPr>
        <w:t>Kouskoff</w:t>
      </w:r>
      <w:proofErr w:type="spellEnd"/>
      <w:r w:rsidRPr="002624AF">
        <w:rPr>
          <w:noProof w:val="0"/>
        </w:rPr>
        <w:t xml:space="preserve">, V. &amp; </w:t>
      </w:r>
      <w:proofErr w:type="spellStart"/>
      <w:r w:rsidRPr="002624AF">
        <w:rPr>
          <w:noProof w:val="0"/>
        </w:rPr>
        <w:t>Lacaud</w:t>
      </w:r>
      <w:proofErr w:type="spellEnd"/>
      <w:r w:rsidRPr="002624AF">
        <w:rPr>
          <w:noProof w:val="0"/>
        </w:rPr>
        <w:t xml:space="preserve">, G. Direct reprogramming of murine fibroblasts to hematopoietic progenitor cells. </w:t>
      </w:r>
      <w:r w:rsidRPr="002624AF">
        <w:rPr>
          <w:i/>
          <w:noProof w:val="0"/>
        </w:rPr>
        <w:t>Cell Rep</w:t>
      </w:r>
      <w:r w:rsidR="00146741">
        <w:rPr>
          <w:i/>
          <w:noProof w:val="0"/>
        </w:rPr>
        <w:t>orts</w:t>
      </w:r>
      <w:r w:rsidRPr="002624AF">
        <w:rPr>
          <w:i/>
          <w:noProof w:val="0"/>
        </w:rPr>
        <w:t>.</w:t>
      </w:r>
      <w:r w:rsidRPr="002624AF">
        <w:rPr>
          <w:noProof w:val="0"/>
        </w:rPr>
        <w:t xml:space="preserve"> </w:t>
      </w:r>
      <w:r w:rsidRPr="002624AF">
        <w:rPr>
          <w:b/>
          <w:noProof w:val="0"/>
        </w:rPr>
        <w:t>9</w:t>
      </w:r>
      <w:r w:rsidRPr="002624AF">
        <w:rPr>
          <w:noProof w:val="0"/>
        </w:rPr>
        <w:t xml:space="preserve"> (5), 1871-1884, (2014).</w:t>
      </w:r>
    </w:p>
    <w:p w14:paraId="59E0E4AF" w14:textId="697C0050" w:rsidR="00370C0E" w:rsidRPr="002624AF" w:rsidRDefault="00370C0E" w:rsidP="002624AF">
      <w:pPr>
        <w:pStyle w:val="EndNoteBibliography"/>
        <w:widowControl/>
        <w:rPr>
          <w:noProof w:val="0"/>
        </w:rPr>
      </w:pPr>
      <w:r w:rsidRPr="002624AF">
        <w:rPr>
          <w:noProof w:val="0"/>
        </w:rPr>
        <w:t>6</w:t>
      </w:r>
      <w:r w:rsidRPr="002624AF">
        <w:rPr>
          <w:noProof w:val="0"/>
        </w:rPr>
        <w:tab/>
        <w:t>Yu, B.</w:t>
      </w:r>
      <w:r w:rsidR="002624AF" w:rsidRPr="002624AF">
        <w:rPr>
          <w:i/>
          <w:noProof w:val="0"/>
        </w:rPr>
        <w:t xml:space="preserve"> et al</w:t>
      </w:r>
      <w:r w:rsidR="00146741">
        <w:rPr>
          <w:i/>
          <w:noProof w:val="0"/>
        </w:rPr>
        <w:t>.</w:t>
      </w:r>
      <w:r w:rsidRPr="002624AF">
        <w:rPr>
          <w:noProof w:val="0"/>
        </w:rPr>
        <w:t xml:space="preserve"> Reprogramming fibroblasts into bipotential hepatic stem cells by defined factors. </w:t>
      </w:r>
      <w:r w:rsidRPr="002624AF">
        <w:rPr>
          <w:i/>
          <w:noProof w:val="0"/>
        </w:rPr>
        <w:t>Cell Stem Cell.</w:t>
      </w:r>
      <w:r w:rsidRPr="002624AF">
        <w:rPr>
          <w:noProof w:val="0"/>
        </w:rPr>
        <w:t xml:space="preserve"> </w:t>
      </w:r>
      <w:r w:rsidRPr="002624AF">
        <w:rPr>
          <w:b/>
          <w:noProof w:val="0"/>
        </w:rPr>
        <w:t>13</w:t>
      </w:r>
      <w:r w:rsidRPr="002624AF">
        <w:rPr>
          <w:noProof w:val="0"/>
        </w:rPr>
        <w:t xml:space="preserve"> (3), 328-340, (2013).</w:t>
      </w:r>
    </w:p>
    <w:p w14:paraId="23B205E9" w14:textId="26181C5B" w:rsidR="00370C0E" w:rsidRPr="002624AF" w:rsidRDefault="00370C0E" w:rsidP="002624AF">
      <w:pPr>
        <w:pStyle w:val="EndNoteBibliography"/>
        <w:widowControl/>
        <w:rPr>
          <w:noProof w:val="0"/>
        </w:rPr>
      </w:pPr>
      <w:r w:rsidRPr="002624AF">
        <w:rPr>
          <w:noProof w:val="0"/>
        </w:rPr>
        <w:t>7</w:t>
      </w:r>
      <w:r w:rsidRPr="002624AF">
        <w:rPr>
          <w:noProof w:val="0"/>
        </w:rPr>
        <w:tab/>
        <w:t>Hendry, C. E.</w:t>
      </w:r>
      <w:r w:rsidR="002624AF" w:rsidRPr="002624AF">
        <w:rPr>
          <w:i/>
          <w:noProof w:val="0"/>
        </w:rPr>
        <w:t xml:space="preserve"> et al</w:t>
      </w:r>
      <w:r w:rsidR="00146741">
        <w:rPr>
          <w:i/>
          <w:noProof w:val="0"/>
        </w:rPr>
        <w:t>.</w:t>
      </w:r>
      <w:r w:rsidRPr="002624AF">
        <w:rPr>
          <w:noProof w:val="0"/>
        </w:rPr>
        <w:t xml:space="preserve"> Direct transcriptional reprogramming of adult cells to embryonic nephron progenitors. </w:t>
      </w:r>
      <w:r w:rsidRPr="002624AF">
        <w:rPr>
          <w:i/>
          <w:noProof w:val="0"/>
        </w:rPr>
        <w:t>J</w:t>
      </w:r>
      <w:r w:rsidR="00146741">
        <w:rPr>
          <w:i/>
          <w:noProof w:val="0"/>
        </w:rPr>
        <w:t>ournal of the</w:t>
      </w:r>
      <w:r w:rsidRPr="002624AF">
        <w:rPr>
          <w:i/>
          <w:noProof w:val="0"/>
        </w:rPr>
        <w:t xml:space="preserve"> Am</w:t>
      </w:r>
      <w:r w:rsidR="00146741">
        <w:rPr>
          <w:i/>
          <w:noProof w:val="0"/>
        </w:rPr>
        <w:t>erican</w:t>
      </w:r>
      <w:r w:rsidRPr="002624AF">
        <w:rPr>
          <w:i/>
          <w:noProof w:val="0"/>
        </w:rPr>
        <w:t xml:space="preserve"> Soc</w:t>
      </w:r>
      <w:r w:rsidR="00146741">
        <w:rPr>
          <w:i/>
          <w:noProof w:val="0"/>
        </w:rPr>
        <w:t>iety of</w:t>
      </w:r>
      <w:r w:rsidRPr="002624AF">
        <w:rPr>
          <w:i/>
          <w:noProof w:val="0"/>
        </w:rPr>
        <w:t xml:space="preserve"> Nephrol</w:t>
      </w:r>
      <w:r w:rsidR="00146741">
        <w:rPr>
          <w:i/>
          <w:noProof w:val="0"/>
        </w:rPr>
        <w:t>ogy</w:t>
      </w:r>
      <w:r w:rsidRPr="002624AF">
        <w:rPr>
          <w:i/>
          <w:noProof w:val="0"/>
        </w:rPr>
        <w:t>.</w:t>
      </w:r>
      <w:r w:rsidRPr="002624AF">
        <w:rPr>
          <w:noProof w:val="0"/>
        </w:rPr>
        <w:t xml:space="preserve"> </w:t>
      </w:r>
      <w:r w:rsidRPr="002624AF">
        <w:rPr>
          <w:b/>
          <w:noProof w:val="0"/>
        </w:rPr>
        <w:t>24</w:t>
      </w:r>
      <w:r w:rsidRPr="002624AF">
        <w:rPr>
          <w:noProof w:val="0"/>
        </w:rPr>
        <w:t xml:space="preserve"> (9), 1424-1434, (2013).</w:t>
      </w:r>
    </w:p>
    <w:p w14:paraId="7F998A8A" w14:textId="102F307C" w:rsidR="00370C0E" w:rsidRPr="002624AF" w:rsidRDefault="00370C0E" w:rsidP="002624AF">
      <w:pPr>
        <w:pStyle w:val="EndNoteBibliography"/>
        <w:widowControl/>
        <w:rPr>
          <w:noProof w:val="0"/>
        </w:rPr>
      </w:pPr>
      <w:r w:rsidRPr="002624AF">
        <w:rPr>
          <w:noProof w:val="0"/>
        </w:rPr>
        <w:t>8</w:t>
      </w:r>
      <w:r w:rsidRPr="002624AF">
        <w:rPr>
          <w:noProof w:val="0"/>
        </w:rPr>
        <w:tab/>
      </w:r>
      <w:proofErr w:type="spellStart"/>
      <w:r w:rsidRPr="002624AF">
        <w:rPr>
          <w:noProof w:val="0"/>
        </w:rPr>
        <w:t>Vierbuchen</w:t>
      </w:r>
      <w:proofErr w:type="spellEnd"/>
      <w:r w:rsidRPr="002624AF">
        <w:rPr>
          <w:noProof w:val="0"/>
        </w:rPr>
        <w:t xml:space="preserve">, T. &amp; </w:t>
      </w:r>
      <w:proofErr w:type="spellStart"/>
      <w:r w:rsidRPr="002624AF">
        <w:rPr>
          <w:noProof w:val="0"/>
        </w:rPr>
        <w:t>Wernig</w:t>
      </w:r>
      <w:proofErr w:type="spellEnd"/>
      <w:r w:rsidRPr="002624AF">
        <w:rPr>
          <w:noProof w:val="0"/>
        </w:rPr>
        <w:t xml:space="preserve">, M. Direct lineage conversions: unnatural but useful? </w:t>
      </w:r>
      <w:r w:rsidRPr="002624AF">
        <w:rPr>
          <w:i/>
          <w:noProof w:val="0"/>
        </w:rPr>
        <w:t>Nat</w:t>
      </w:r>
      <w:r w:rsidR="00146741">
        <w:rPr>
          <w:i/>
          <w:noProof w:val="0"/>
        </w:rPr>
        <w:t>ure</w:t>
      </w:r>
      <w:r w:rsidRPr="002624AF">
        <w:rPr>
          <w:i/>
          <w:noProof w:val="0"/>
        </w:rPr>
        <w:t xml:space="preserve"> Biotechnol</w:t>
      </w:r>
      <w:r w:rsidR="00146741">
        <w:rPr>
          <w:i/>
          <w:noProof w:val="0"/>
        </w:rPr>
        <w:t>ogy</w:t>
      </w:r>
      <w:r w:rsidRPr="002624AF">
        <w:rPr>
          <w:i/>
          <w:noProof w:val="0"/>
        </w:rPr>
        <w:t>.</w:t>
      </w:r>
      <w:r w:rsidRPr="002624AF">
        <w:rPr>
          <w:noProof w:val="0"/>
        </w:rPr>
        <w:t xml:space="preserve"> </w:t>
      </w:r>
      <w:r w:rsidRPr="002624AF">
        <w:rPr>
          <w:b/>
          <w:noProof w:val="0"/>
        </w:rPr>
        <w:t>29</w:t>
      </w:r>
      <w:r w:rsidRPr="002624AF">
        <w:rPr>
          <w:noProof w:val="0"/>
        </w:rPr>
        <w:t xml:space="preserve"> (10), 892-907, (2011).</w:t>
      </w:r>
    </w:p>
    <w:p w14:paraId="4064DA9A" w14:textId="0BAAE5CC" w:rsidR="00370C0E" w:rsidRPr="002624AF" w:rsidRDefault="00370C0E" w:rsidP="002624AF">
      <w:pPr>
        <w:pStyle w:val="EndNoteBibliography"/>
        <w:widowControl/>
        <w:rPr>
          <w:noProof w:val="0"/>
        </w:rPr>
      </w:pPr>
      <w:r w:rsidRPr="002624AF">
        <w:rPr>
          <w:noProof w:val="0"/>
        </w:rPr>
        <w:t>9</w:t>
      </w:r>
      <w:r w:rsidRPr="002624AF">
        <w:rPr>
          <w:noProof w:val="0"/>
        </w:rPr>
        <w:tab/>
      </w:r>
      <w:proofErr w:type="spellStart"/>
      <w:r w:rsidRPr="002624AF">
        <w:rPr>
          <w:noProof w:val="0"/>
        </w:rPr>
        <w:t>Capellera</w:t>
      </w:r>
      <w:proofErr w:type="spellEnd"/>
      <w:r w:rsidRPr="002624AF">
        <w:rPr>
          <w:noProof w:val="0"/>
        </w:rPr>
        <w:t xml:space="preserve">-Garcia, S. &amp; Flygare, J. Direct lineage reprogramming: a useful addition to the blood cell research toolbox. </w:t>
      </w:r>
      <w:r w:rsidRPr="002624AF">
        <w:rPr>
          <w:i/>
          <w:noProof w:val="0"/>
        </w:rPr>
        <w:t>Expert Rev</w:t>
      </w:r>
      <w:r w:rsidR="00146741">
        <w:rPr>
          <w:i/>
          <w:noProof w:val="0"/>
        </w:rPr>
        <w:t>iew of</w:t>
      </w:r>
      <w:r w:rsidRPr="002624AF">
        <w:rPr>
          <w:i/>
          <w:noProof w:val="0"/>
        </w:rPr>
        <w:t xml:space="preserve"> Hematol</w:t>
      </w:r>
      <w:r w:rsidR="00146741">
        <w:rPr>
          <w:i/>
          <w:noProof w:val="0"/>
        </w:rPr>
        <w:t>ogy</w:t>
      </w:r>
      <w:r w:rsidRPr="002624AF">
        <w:rPr>
          <w:i/>
          <w:noProof w:val="0"/>
        </w:rPr>
        <w:t>.</w:t>
      </w:r>
      <w:r w:rsidRPr="002624AF">
        <w:rPr>
          <w:noProof w:val="0"/>
        </w:rPr>
        <w:t xml:space="preserve"> </w:t>
      </w:r>
      <w:r w:rsidRPr="002624AF">
        <w:rPr>
          <w:b/>
          <w:noProof w:val="0"/>
        </w:rPr>
        <w:t>10</w:t>
      </w:r>
      <w:r w:rsidRPr="002624AF">
        <w:rPr>
          <w:noProof w:val="0"/>
        </w:rPr>
        <w:t xml:space="preserve"> (2), 107-109, (2017).</w:t>
      </w:r>
    </w:p>
    <w:p w14:paraId="78231331" w14:textId="633D73E3" w:rsidR="00370C0E" w:rsidRPr="002624AF" w:rsidRDefault="00370C0E" w:rsidP="002624AF">
      <w:pPr>
        <w:pStyle w:val="EndNoteBibliography"/>
        <w:widowControl/>
        <w:rPr>
          <w:noProof w:val="0"/>
        </w:rPr>
      </w:pPr>
      <w:r w:rsidRPr="002624AF">
        <w:rPr>
          <w:noProof w:val="0"/>
        </w:rPr>
        <w:t>10</w:t>
      </w:r>
      <w:r w:rsidRPr="002624AF">
        <w:rPr>
          <w:noProof w:val="0"/>
        </w:rPr>
        <w:tab/>
      </w:r>
      <w:proofErr w:type="spellStart"/>
      <w:r w:rsidRPr="002624AF">
        <w:rPr>
          <w:noProof w:val="0"/>
        </w:rPr>
        <w:t>Capellera</w:t>
      </w:r>
      <w:proofErr w:type="spellEnd"/>
      <w:r w:rsidRPr="002624AF">
        <w:rPr>
          <w:noProof w:val="0"/>
        </w:rPr>
        <w:t>-Garcia, S.</w:t>
      </w:r>
      <w:r w:rsidR="002624AF" w:rsidRPr="002624AF">
        <w:rPr>
          <w:i/>
          <w:noProof w:val="0"/>
        </w:rPr>
        <w:t xml:space="preserve"> et al</w:t>
      </w:r>
      <w:r w:rsidR="00146741">
        <w:rPr>
          <w:i/>
          <w:noProof w:val="0"/>
        </w:rPr>
        <w:t>.</w:t>
      </w:r>
      <w:r w:rsidRPr="002624AF">
        <w:rPr>
          <w:noProof w:val="0"/>
        </w:rPr>
        <w:t xml:space="preserve"> Defining the Minimal Factors Required for Erythropoiesis through Direct Lineage Conversion. </w:t>
      </w:r>
      <w:r w:rsidRPr="002624AF">
        <w:rPr>
          <w:i/>
          <w:noProof w:val="0"/>
        </w:rPr>
        <w:t>Cell Rep</w:t>
      </w:r>
      <w:r w:rsidR="00146741">
        <w:rPr>
          <w:i/>
          <w:noProof w:val="0"/>
        </w:rPr>
        <w:t>orts</w:t>
      </w:r>
      <w:r w:rsidRPr="002624AF">
        <w:rPr>
          <w:i/>
          <w:noProof w:val="0"/>
        </w:rPr>
        <w:t>.</w:t>
      </w:r>
      <w:r w:rsidRPr="002624AF">
        <w:rPr>
          <w:noProof w:val="0"/>
        </w:rPr>
        <w:t xml:space="preserve"> </w:t>
      </w:r>
      <w:r w:rsidRPr="002624AF">
        <w:rPr>
          <w:b/>
          <w:noProof w:val="0"/>
        </w:rPr>
        <w:t>15</w:t>
      </w:r>
      <w:r w:rsidRPr="002624AF">
        <w:rPr>
          <w:noProof w:val="0"/>
        </w:rPr>
        <w:t xml:space="preserve"> (11), 2550-2562, (2016).</w:t>
      </w:r>
    </w:p>
    <w:p w14:paraId="74A4496A" w14:textId="54E8AC6F" w:rsidR="00370C0E" w:rsidRPr="002624AF" w:rsidRDefault="00370C0E" w:rsidP="002624AF">
      <w:pPr>
        <w:pStyle w:val="EndNoteBibliography"/>
        <w:widowControl/>
        <w:rPr>
          <w:noProof w:val="0"/>
        </w:rPr>
      </w:pPr>
      <w:r w:rsidRPr="002624AF">
        <w:rPr>
          <w:noProof w:val="0"/>
        </w:rPr>
        <w:t>11</w:t>
      </w:r>
      <w:r w:rsidRPr="002624AF">
        <w:rPr>
          <w:noProof w:val="0"/>
        </w:rPr>
        <w:tab/>
      </w:r>
      <w:proofErr w:type="spellStart"/>
      <w:r w:rsidRPr="002624AF">
        <w:rPr>
          <w:noProof w:val="0"/>
        </w:rPr>
        <w:t>Mahmoudi</w:t>
      </w:r>
      <w:proofErr w:type="spellEnd"/>
      <w:r w:rsidRPr="002624AF">
        <w:rPr>
          <w:noProof w:val="0"/>
        </w:rPr>
        <w:t xml:space="preserve">, S. &amp; Brunet, A. Aging and reprogramming: a two-way street. </w:t>
      </w:r>
      <w:r w:rsidRPr="002624AF">
        <w:rPr>
          <w:i/>
          <w:noProof w:val="0"/>
        </w:rPr>
        <w:t>Curr</w:t>
      </w:r>
      <w:r w:rsidR="00146741">
        <w:rPr>
          <w:i/>
          <w:noProof w:val="0"/>
        </w:rPr>
        <w:t>ent</w:t>
      </w:r>
      <w:r w:rsidRPr="002624AF">
        <w:rPr>
          <w:i/>
          <w:noProof w:val="0"/>
        </w:rPr>
        <w:t xml:space="preserve"> Opin</w:t>
      </w:r>
      <w:r w:rsidR="00146741">
        <w:rPr>
          <w:i/>
          <w:noProof w:val="0"/>
        </w:rPr>
        <w:t>ions in</w:t>
      </w:r>
      <w:r w:rsidRPr="002624AF">
        <w:rPr>
          <w:i/>
          <w:noProof w:val="0"/>
        </w:rPr>
        <w:t xml:space="preserve"> Cell</w:t>
      </w:r>
      <w:r w:rsidR="00146741">
        <w:rPr>
          <w:i/>
          <w:noProof w:val="0"/>
        </w:rPr>
        <w:t>ular</w:t>
      </w:r>
      <w:r w:rsidRPr="002624AF">
        <w:rPr>
          <w:i/>
          <w:noProof w:val="0"/>
        </w:rPr>
        <w:t xml:space="preserve"> Biol</w:t>
      </w:r>
      <w:r w:rsidR="00146741">
        <w:rPr>
          <w:i/>
          <w:noProof w:val="0"/>
        </w:rPr>
        <w:t>ogy</w:t>
      </w:r>
      <w:r w:rsidRPr="002624AF">
        <w:rPr>
          <w:i/>
          <w:noProof w:val="0"/>
        </w:rPr>
        <w:t>.</w:t>
      </w:r>
      <w:r w:rsidRPr="002624AF">
        <w:rPr>
          <w:noProof w:val="0"/>
        </w:rPr>
        <w:t xml:space="preserve"> </w:t>
      </w:r>
      <w:r w:rsidRPr="002624AF">
        <w:rPr>
          <w:b/>
          <w:noProof w:val="0"/>
        </w:rPr>
        <w:t>24</w:t>
      </w:r>
      <w:r w:rsidRPr="002624AF">
        <w:rPr>
          <w:noProof w:val="0"/>
        </w:rPr>
        <w:t xml:space="preserve"> (6), 744-756, (2012).</w:t>
      </w:r>
    </w:p>
    <w:p w14:paraId="5DA16935" w14:textId="5080FA7D" w:rsidR="00370C0E" w:rsidRPr="002624AF" w:rsidRDefault="00370C0E" w:rsidP="002624AF">
      <w:pPr>
        <w:pStyle w:val="EndNoteBibliography"/>
        <w:widowControl/>
        <w:rPr>
          <w:noProof w:val="0"/>
        </w:rPr>
      </w:pPr>
      <w:r w:rsidRPr="002624AF">
        <w:rPr>
          <w:noProof w:val="0"/>
        </w:rPr>
        <w:t>12</w:t>
      </w:r>
      <w:r w:rsidRPr="002624AF">
        <w:rPr>
          <w:noProof w:val="0"/>
        </w:rPr>
        <w:tab/>
      </w:r>
      <w:proofErr w:type="spellStart"/>
      <w:r w:rsidRPr="002624AF">
        <w:rPr>
          <w:noProof w:val="0"/>
        </w:rPr>
        <w:t>Singbrant</w:t>
      </w:r>
      <w:proofErr w:type="spellEnd"/>
      <w:r w:rsidRPr="002624AF">
        <w:rPr>
          <w:noProof w:val="0"/>
        </w:rPr>
        <w:t>, S.</w:t>
      </w:r>
      <w:r w:rsidR="002624AF" w:rsidRPr="002624AF">
        <w:rPr>
          <w:i/>
          <w:noProof w:val="0"/>
        </w:rPr>
        <w:t xml:space="preserve"> et al</w:t>
      </w:r>
      <w:r w:rsidR="00146741">
        <w:rPr>
          <w:i/>
          <w:noProof w:val="0"/>
        </w:rPr>
        <w:t>.</w:t>
      </w:r>
      <w:r w:rsidRPr="002624AF">
        <w:rPr>
          <w:noProof w:val="0"/>
        </w:rPr>
        <w:t xml:space="preserve"> Erythropoietin couples erythropoiesis, B-lymphopoiesis, and bone homeostasis within the bone marrow microenvironment. </w:t>
      </w:r>
      <w:r w:rsidRPr="002624AF">
        <w:rPr>
          <w:i/>
          <w:noProof w:val="0"/>
        </w:rPr>
        <w:t>Blood.</w:t>
      </w:r>
      <w:r w:rsidRPr="002624AF">
        <w:rPr>
          <w:noProof w:val="0"/>
        </w:rPr>
        <w:t xml:space="preserve"> </w:t>
      </w:r>
      <w:r w:rsidRPr="002624AF">
        <w:rPr>
          <w:b/>
          <w:noProof w:val="0"/>
        </w:rPr>
        <w:t>117</w:t>
      </w:r>
      <w:r w:rsidRPr="002624AF">
        <w:rPr>
          <w:noProof w:val="0"/>
        </w:rPr>
        <w:t xml:space="preserve"> (21), 5631-5642, (2011).</w:t>
      </w:r>
    </w:p>
    <w:p w14:paraId="144E0048" w14:textId="77777777" w:rsidR="00370C0E" w:rsidRPr="002624AF" w:rsidRDefault="00370C0E" w:rsidP="002624AF">
      <w:pPr>
        <w:pStyle w:val="EndNoteBibliography"/>
        <w:widowControl/>
        <w:rPr>
          <w:noProof w:val="0"/>
        </w:rPr>
      </w:pPr>
      <w:r w:rsidRPr="002624AF">
        <w:rPr>
          <w:noProof w:val="0"/>
        </w:rPr>
        <w:t>13</w:t>
      </w:r>
      <w:r w:rsidRPr="002624AF">
        <w:rPr>
          <w:noProof w:val="0"/>
        </w:rPr>
        <w:tab/>
        <w:t xml:space="preserve">Heinrich, A. C., </w:t>
      </w:r>
      <w:proofErr w:type="spellStart"/>
      <w:r w:rsidRPr="002624AF">
        <w:rPr>
          <w:noProof w:val="0"/>
        </w:rPr>
        <w:t>Pelanda</w:t>
      </w:r>
      <w:proofErr w:type="spellEnd"/>
      <w:r w:rsidRPr="002624AF">
        <w:rPr>
          <w:noProof w:val="0"/>
        </w:rPr>
        <w:t xml:space="preserve">, R. &amp; </w:t>
      </w:r>
      <w:proofErr w:type="spellStart"/>
      <w:r w:rsidRPr="002624AF">
        <w:rPr>
          <w:noProof w:val="0"/>
        </w:rPr>
        <w:t>Klingmuller</w:t>
      </w:r>
      <w:proofErr w:type="spellEnd"/>
      <w:r w:rsidRPr="002624AF">
        <w:rPr>
          <w:noProof w:val="0"/>
        </w:rPr>
        <w:t xml:space="preserve">, U. A mouse model for visualization and conditional mutations in the erythroid lineage. </w:t>
      </w:r>
      <w:r w:rsidRPr="002624AF">
        <w:rPr>
          <w:i/>
          <w:noProof w:val="0"/>
        </w:rPr>
        <w:t>Blood.</w:t>
      </w:r>
      <w:r w:rsidRPr="002624AF">
        <w:rPr>
          <w:noProof w:val="0"/>
        </w:rPr>
        <w:t xml:space="preserve"> </w:t>
      </w:r>
      <w:r w:rsidRPr="002624AF">
        <w:rPr>
          <w:b/>
          <w:noProof w:val="0"/>
        </w:rPr>
        <w:t>104</w:t>
      </w:r>
      <w:r w:rsidRPr="002624AF">
        <w:rPr>
          <w:noProof w:val="0"/>
        </w:rPr>
        <w:t xml:space="preserve"> (3), 659-666, (2004).</w:t>
      </w:r>
    </w:p>
    <w:p w14:paraId="0F6D7E76" w14:textId="79785453" w:rsidR="00370C0E" w:rsidRPr="002624AF" w:rsidRDefault="00370C0E" w:rsidP="002624AF">
      <w:pPr>
        <w:pStyle w:val="EndNoteBibliography"/>
        <w:widowControl/>
        <w:rPr>
          <w:noProof w:val="0"/>
        </w:rPr>
      </w:pPr>
      <w:r w:rsidRPr="002624AF">
        <w:rPr>
          <w:noProof w:val="0"/>
        </w:rPr>
        <w:t>14</w:t>
      </w:r>
      <w:r w:rsidRPr="002624AF">
        <w:rPr>
          <w:noProof w:val="0"/>
        </w:rPr>
        <w:tab/>
        <w:t>Gautier, E. L.</w:t>
      </w:r>
      <w:r w:rsidR="002624AF" w:rsidRPr="002624AF">
        <w:rPr>
          <w:i/>
          <w:noProof w:val="0"/>
        </w:rPr>
        <w:t xml:space="preserve"> et al</w:t>
      </w:r>
      <w:r w:rsidR="00146741">
        <w:rPr>
          <w:i/>
          <w:noProof w:val="0"/>
        </w:rPr>
        <w:t>.</w:t>
      </w:r>
      <w:r w:rsidRPr="002624AF">
        <w:rPr>
          <w:noProof w:val="0"/>
        </w:rPr>
        <w:t xml:space="preserve"> Gene-expression profiles and transcriptional regulatory pathways that underlie the identity and diversity of mouse tissue macrophages. </w:t>
      </w:r>
      <w:r w:rsidRPr="002624AF">
        <w:rPr>
          <w:i/>
          <w:noProof w:val="0"/>
        </w:rPr>
        <w:t>Nat</w:t>
      </w:r>
      <w:r w:rsidR="00146741">
        <w:rPr>
          <w:i/>
          <w:noProof w:val="0"/>
        </w:rPr>
        <w:t>ure</w:t>
      </w:r>
      <w:r w:rsidRPr="002624AF">
        <w:rPr>
          <w:i/>
          <w:noProof w:val="0"/>
        </w:rPr>
        <w:t xml:space="preserve"> Immunol</w:t>
      </w:r>
      <w:r w:rsidR="00146741">
        <w:rPr>
          <w:i/>
          <w:noProof w:val="0"/>
        </w:rPr>
        <w:t>ogy</w:t>
      </w:r>
      <w:r w:rsidRPr="002624AF">
        <w:rPr>
          <w:i/>
          <w:noProof w:val="0"/>
        </w:rPr>
        <w:t>.</w:t>
      </w:r>
      <w:r w:rsidRPr="002624AF">
        <w:rPr>
          <w:noProof w:val="0"/>
        </w:rPr>
        <w:t xml:space="preserve"> </w:t>
      </w:r>
      <w:r w:rsidRPr="002624AF">
        <w:rPr>
          <w:b/>
          <w:noProof w:val="0"/>
        </w:rPr>
        <w:t>13</w:t>
      </w:r>
      <w:r w:rsidRPr="002624AF">
        <w:rPr>
          <w:noProof w:val="0"/>
        </w:rPr>
        <w:t xml:space="preserve"> (11), 1118-1128, (2012).</w:t>
      </w:r>
    </w:p>
    <w:p w14:paraId="76992019" w14:textId="6FF987B3" w:rsidR="00370C0E" w:rsidRPr="002624AF" w:rsidRDefault="00370C0E" w:rsidP="002624AF">
      <w:pPr>
        <w:pStyle w:val="EndNoteBibliography"/>
        <w:widowControl/>
        <w:rPr>
          <w:noProof w:val="0"/>
        </w:rPr>
      </w:pPr>
      <w:r w:rsidRPr="002624AF">
        <w:rPr>
          <w:noProof w:val="0"/>
        </w:rPr>
        <w:t>15</w:t>
      </w:r>
      <w:r w:rsidRPr="002624AF">
        <w:rPr>
          <w:noProof w:val="0"/>
        </w:rPr>
        <w:tab/>
      </w:r>
      <w:proofErr w:type="spellStart"/>
      <w:r w:rsidRPr="002624AF">
        <w:rPr>
          <w:noProof w:val="0"/>
        </w:rPr>
        <w:t>Psaila</w:t>
      </w:r>
      <w:proofErr w:type="spellEnd"/>
      <w:r w:rsidRPr="002624AF">
        <w:rPr>
          <w:noProof w:val="0"/>
        </w:rPr>
        <w:t>, B.</w:t>
      </w:r>
      <w:r w:rsidR="002624AF" w:rsidRPr="002624AF">
        <w:rPr>
          <w:i/>
          <w:noProof w:val="0"/>
        </w:rPr>
        <w:t xml:space="preserve"> et al</w:t>
      </w:r>
      <w:r w:rsidR="00146741">
        <w:rPr>
          <w:i/>
          <w:noProof w:val="0"/>
        </w:rPr>
        <w:t>.</w:t>
      </w:r>
      <w:r w:rsidRPr="002624AF">
        <w:rPr>
          <w:noProof w:val="0"/>
        </w:rPr>
        <w:t xml:space="preserve"> Single-cell profiling of human megakaryocyte-erythroid progenitors identifies distinct megakaryocyte and erythroid differentiation pathways. </w:t>
      </w:r>
      <w:r w:rsidRPr="002624AF">
        <w:rPr>
          <w:i/>
          <w:noProof w:val="0"/>
        </w:rPr>
        <w:t>Genome Biology.</w:t>
      </w:r>
      <w:r w:rsidRPr="002624AF">
        <w:rPr>
          <w:noProof w:val="0"/>
        </w:rPr>
        <w:t xml:space="preserve"> </w:t>
      </w:r>
      <w:r w:rsidRPr="002624AF">
        <w:rPr>
          <w:b/>
          <w:noProof w:val="0"/>
        </w:rPr>
        <w:t>17</w:t>
      </w:r>
      <w:r w:rsidRPr="002624AF">
        <w:rPr>
          <w:noProof w:val="0"/>
        </w:rPr>
        <w:t xml:space="preserve"> (1), 83, (2016).</w:t>
      </w:r>
    </w:p>
    <w:p w14:paraId="6B7157DD" w14:textId="7BBBF934" w:rsidR="00370C0E" w:rsidRPr="002624AF" w:rsidRDefault="00370C0E" w:rsidP="002624AF">
      <w:pPr>
        <w:pStyle w:val="EndNoteBibliography"/>
        <w:widowControl/>
        <w:rPr>
          <w:noProof w:val="0"/>
        </w:rPr>
      </w:pPr>
      <w:r w:rsidRPr="002624AF">
        <w:rPr>
          <w:noProof w:val="0"/>
        </w:rPr>
        <w:t>16</w:t>
      </w:r>
      <w:r w:rsidRPr="002624AF">
        <w:rPr>
          <w:noProof w:val="0"/>
        </w:rPr>
        <w:tab/>
      </w:r>
      <w:proofErr w:type="spellStart"/>
      <w:r w:rsidRPr="002624AF">
        <w:rPr>
          <w:noProof w:val="0"/>
        </w:rPr>
        <w:t>Pulecio</w:t>
      </w:r>
      <w:proofErr w:type="spellEnd"/>
      <w:r w:rsidRPr="002624AF">
        <w:rPr>
          <w:noProof w:val="0"/>
        </w:rPr>
        <w:t>, J.</w:t>
      </w:r>
      <w:r w:rsidR="002624AF" w:rsidRPr="002624AF">
        <w:rPr>
          <w:i/>
          <w:noProof w:val="0"/>
        </w:rPr>
        <w:t xml:space="preserve"> et al</w:t>
      </w:r>
      <w:r w:rsidR="00146741">
        <w:rPr>
          <w:i/>
          <w:noProof w:val="0"/>
        </w:rPr>
        <w:t>.</w:t>
      </w:r>
      <w:r w:rsidRPr="002624AF">
        <w:rPr>
          <w:noProof w:val="0"/>
        </w:rPr>
        <w:t xml:space="preserve"> Direct Conversion of Fibroblasts to Megakaryocyte Progenitors. </w:t>
      </w:r>
      <w:r w:rsidRPr="002624AF">
        <w:rPr>
          <w:i/>
          <w:noProof w:val="0"/>
        </w:rPr>
        <w:t>Cell Rep</w:t>
      </w:r>
      <w:r w:rsidR="00146741">
        <w:rPr>
          <w:i/>
          <w:noProof w:val="0"/>
        </w:rPr>
        <w:t>orts</w:t>
      </w:r>
      <w:r w:rsidRPr="002624AF">
        <w:rPr>
          <w:i/>
          <w:noProof w:val="0"/>
        </w:rPr>
        <w:t>.</w:t>
      </w:r>
      <w:r w:rsidRPr="002624AF">
        <w:rPr>
          <w:noProof w:val="0"/>
        </w:rPr>
        <w:t xml:space="preserve"> </w:t>
      </w:r>
      <w:r w:rsidRPr="002624AF">
        <w:rPr>
          <w:b/>
          <w:noProof w:val="0"/>
        </w:rPr>
        <w:t>17</w:t>
      </w:r>
      <w:r w:rsidRPr="002624AF">
        <w:rPr>
          <w:noProof w:val="0"/>
        </w:rPr>
        <w:t xml:space="preserve"> (3), 671-683, (2016).</w:t>
      </w:r>
    </w:p>
    <w:p w14:paraId="7644B1FE" w14:textId="4A295A49" w:rsidR="00370C0E" w:rsidRPr="002624AF" w:rsidRDefault="00370C0E" w:rsidP="002624AF">
      <w:pPr>
        <w:pStyle w:val="EndNoteBibliography"/>
        <w:widowControl/>
        <w:rPr>
          <w:noProof w:val="0"/>
        </w:rPr>
      </w:pPr>
      <w:r w:rsidRPr="002624AF">
        <w:rPr>
          <w:noProof w:val="0"/>
        </w:rPr>
        <w:t>17</w:t>
      </w:r>
      <w:r w:rsidRPr="002624AF">
        <w:rPr>
          <w:noProof w:val="0"/>
        </w:rPr>
        <w:tab/>
        <w:t>Kurita, R.</w:t>
      </w:r>
      <w:r w:rsidR="002624AF" w:rsidRPr="002624AF">
        <w:rPr>
          <w:i/>
          <w:noProof w:val="0"/>
        </w:rPr>
        <w:t xml:space="preserve"> et al</w:t>
      </w:r>
      <w:r w:rsidR="00146741">
        <w:rPr>
          <w:i/>
          <w:noProof w:val="0"/>
        </w:rPr>
        <w:t>.</w:t>
      </w:r>
      <w:r w:rsidRPr="002624AF">
        <w:rPr>
          <w:noProof w:val="0"/>
        </w:rPr>
        <w:t xml:space="preserve"> Establishment of immortalized human erythroid progenitor cell lines able to produce enucleated red blood cells. </w:t>
      </w:r>
      <w:proofErr w:type="spellStart"/>
      <w:r w:rsidRPr="002624AF">
        <w:rPr>
          <w:i/>
          <w:noProof w:val="0"/>
        </w:rPr>
        <w:t>PLoS</w:t>
      </w:r>
      <w:proofErr w:type="spellEnd"/>
      <w:r w:rsidRPr="002624AF">
        <w:rPr>
          <w:i/>
          <w:noProof w:val="0"/>
        </w:rPr>
        <w:t xml:space="preserve"> One.</w:t>
      </w:r>
      <w:r w:rsidRPr="002624AF">
        <w:rPr>
          <w:noProof w:val="0"/>
        </w:rPr>
        <w:t xml:space="preserve"> </w:t>
      </w:r>
      <w:r w:rsidRPr="002624AF">
        <w:rPr>
          <w:b/>
          <w:noProof w:val="0"/>
        </w:rPr>
        <w:t>8</w:t>
      </w:r>
      <w:r w:rsidRPr="002624AF">
        <w:rPr>
          <w:noProof w:val="0"/>
        </w:rPr>
        <w:t xml:space="preserve"> (3), e59890, (2013).</w:t>
      </w:r>
    </w:p>
    <w:p w14:paraId="4B6E6E9B" w14:textId="26E00FAE" w:rsidR="00205B3F" w:rsidRPr="002624AF" w:rsidRDefault="00205B3F" w:rsidP="002624AF">
      <w:pPr>
        <w:widowControl/>
      </w:pPr>
    </w:p>
    <w:sectPr w:rsidR="00205B3F" w:rsidRPr="002624AF" w:rsidSect="002624AF">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BF3E1" w14:textId="77777777" w:rsidR="000D1F79" w:rsidRDefault="000D1F79" w:rsidP="00621C4E">
      <w:r>
        <w:separator/>
      </w:r>
    </w:p>
  </w:endnote>
  <w:endnote w:type="continuationSeparator" w:id="0">
    <w:p w14:paraId="4E960567" w14:textId="77777777" w:rsidR="000D1F79" w:rsidRDefault="000D1F7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DB65F" w:rsidR="001C60E1" w:rsidRDefault="001C60E1">
        <w:pPr>
          <w:pStyle w:val="Footer"/>
        </w:pPr>
        <w:r>
          <w:rPr>
            <w:noProof/>
          </w:rPr>
          <w:tab/>
        </w:r>
        <w:r>
          <w:rPr>
            <w:noProof/>
          </w:rPr>
          <w:tab/>
        </w:r>
      </w:p>
    </w:sdtContent>
  </w:sdt>
  <w:p w14:paraId="39947363" w14:textId="71AB2B06" w:rsidR="001C60E1" w:rsidRPr="00494F77" w:rsidRDefault="001C60E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C60E1" w:rsidRDefault="001C60E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B2B84" w14:textId="77777777" w:rsidR="000D1F79" w:rsidRDefault="000D1F79" w:rsidP="00621C4E">
      <w:r>
        <w:separator/>
      </w:r>
    </w:p>
  </w:footnote>
  <w:footnote w:type="continuationSeparator" w:id="0">
    <w:p w14:paraId="65F5942D" w14:textId="77777777" w:rsidR="000D1F79" w:rsidRDefault="000D1F7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C60E1" w:rsidRPr="006F06E4" w:rsidRDefault="001C60E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CD140F4" w:rsidR="001C60E1" w:rsidRPr="006F06E4" w:rsidRDefault="001C60E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F162C"/>
    <w:multiLevelType w:val="hybridMultilevel"/>
    <w:tmpl w:val="7A64D28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84E66"/>
    <w:multiLevelType w:val="hybridMultilevel"/>
    <w:tmpl w:val="EA3C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10C52"/>
    <w:multiLevelType w:val="hybridMultilevel"/>
    <w:tmpl w:val="A2EEF2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EDC4646"/>
    <w:multiLevelType w:val="hybridMultilevel"/>
    <w:tmpl w:val="9F560EFC"/>
    <w:lvl w:ilvl="0" w:tplc="87F41C58">
      <w:start w:val="6"/>
      <w:numFmt w:val="bullet"/>
      <w:lvlText w:val=""/>
      <w:lvlJc w:val="left"/>
      <w:pPr>
        <w:ind w:left="720" w:hanging="360"/>
      </w:pPr>
      <w:rPr>
        <w:rFonts w:ascii="Wingdings" w:eastAsia="Times New Roman"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803C03"/>
    <w:multiLevelType w:val="hybridMultilevel"/>
    <w:tmpl w:val="E1FE7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310346"/>
    <w:multiLevelType w:val="hybridMultilevel"/>
    <w:tmpl w:val="F9A49F22"/>
    <w:lvl w:ilvl="0" w:tplc="25DCDEEE">
      <w:start w:val="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383385"/>
    <w:multiLevelType w:val="multilevel"/>
    <w:tmpl w:val="74E6243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5727CCC"/>
    <w:multiLevelType w:val="hybridMultilevel"/>
    <w:tmpl w:val="21AAC1EA"/>
    <w:lvl w:ilvl="0" w:tplc="F02C5924">
      <w:start w:val="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13F6A"/>
    <w:multiLevelType w:val="hybridMultilevel"/>
    <w:tmpl w:val="201AD2E0"/>
    <w:lvl w:ilvl="0" w:tplc="3B42D1B2">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90601"/>
    <w:multiLevelType w:val="multilevel"/>
    <w:tmpl w:val="85E6547A"/>
    <w:lvl w:ilvl="0">
      <w:start w:val="3"/>
      <w:numFmt w:val="decimal"/>
      <w:lvlText w:val="%1"/>
      <w:lvlJc w:val="left"/>
      <w:pPr>
        <w:ind w:left="0" w:firstLine="0"/>
      </w:pPr>
      <w:rPr>
        <w:rFonts w:ascii="Calibri" w:hAnsi="Calibri" w:cs="Calibri" w:hint="default"/>
      </w:rPr>
    </w:lvl>
    <w:lvl w:ilvl="1">
      <w:start w:val="1"/>
      <w:numFmt w:val="decimal"/>
      <w:suff w:val="space"/>
      <w:lvlText w:val="%1.%2"/>
      <w:lvlJc w:val="left"/>
      <w:pPr>
        <w:ind w:left="0" w:firstLine="0"/>
      </w:pPr>
      <w:rPr>
        <w:rFonts w:ascii="Calibri" w:hAnsi="Calibri" w:cs="Calibri" w:hint="default"/>
      </w:rPr>
    </w:lvl>
    <w:lvl w:ilvl="2">
      <w:start w:val="1"/>
      <w:numFmt w:val="decimal"/>
      <w:suff w:val="space"/>
      <w:lvlText w:val="%1.%2.%3"/>
      <w:lvlJc w:val="left"/>
      <w:pPr>
        <w:ind w:left="0" w:firstLine="0"/>
      </w:pPr>
      <w:rPr>
        <w:rFonts w:ascii="Calibri" w:hAnsi="Calibri" w:cs="Calibri" w:hint="default"/>
      </w:rPr>
    </w:lvl>
    <w:lvl w:ilvl="3">
      <w:start w:val="1"/>
      <w:numFmt w:val="decimal"/>
      <w:lvlText w:val="%1.%2.%3.%4"/>
      <w:lvlJc w:val="left"/>
      <w:pPr>
        <w:ind w:left="0" w:firstLine="0"/>
      </w:pPr>
      <w:rPr>
        <w:rFonts w:ascii="Calibri" w:hAnsi="Calibri" w:cs="Calibri" w:hint="default"/>
      </w:rPr>
    </w:lvl>
    <w:lvl w:ilvl="4">
      <w:start w:val="1"/>
      <w:numFmt w:val="decimal"/>
      <w:lvlText w:val="%1.%2.%3.%4.%5"/>
      <w:lvlJc w:val="left"/>
      <w:pPr>
        <w:ind w:left="0" w:firstLine="0"/>
      </w:pPr>
      <w:rPr>
        <w:rFonts w:ascii="Calibri" w:hAnsi="Calibri" w:cs="Calibri" w:hint="default"/>
      </w:rPr>
    </w:lvl>
    <w:lvl w:ilvl="5">
      <w:start w:val="1"/>
      <w:numFmt w:val="decimal"/>
      <w:lvlText w:val="%1.%2.%3.%4.%5.%6"/>
      <w:lvlJc w:val="left"/>
      <w:pPr>
        <w:ind w:left="0" w:firstLine="0"/>
      </w:pPr>
      <w:rPr>
        <w:rFonts w:ascii="Calibri" w:hAnsi="Calibri" w:cs="Calibri" w:hint="default"/>
      </w:rPr>
    </w:lvl>
    <w:lvl w:ilvl="6">
      <w:start w:val="1"/>
      <w:numFmt w:val="decimal"/>
      <w:lvlText w:val="%1.%2.%3.%4.%5.%6.%7"/>
      <w:lvlJc w:val="left"/>
      <w:pPr>
        <w:ind w:left="0" w:firstLine="0"/>
      </w:pPr>
      <w:rPr>
        <w:rFonts w:ascii="Calibri" w:hAnsi="Calibri" w:cs="Calibri" w:hint="default"/>
      </w:rPr>
    </w:lvl>
    <w:lvl w:ilvl="7">
      <w:start w:val="1"/>
      <w:numFmt w:val="decimal"/>
      <w:lvlText w:val="%1.%2.%3.%4.%5.%6.%7.%8"/>
      <w:lvlJc w:val="left"/>
      <w:pPr>
        <w:ind w:left="0" w:firstLine="0"/>
      </w:pPr>
      <w:rPr>
        <w:rFonts w:ascii="Calibri" w:hAnsi="Calibri" w:cs="Calibri" w:hint="default"/>
      </w:rPr>
    </w:lvl>
    <w:lvl w:ilvl="8">
      <w:start w:val="1"/>
      <w:numFmt w:val="decimal"/>
      <w:lvlText w:val="%1.%2.%3.%4.%5.%6.%7.%8.%9"/>
      <w:lvlJc w:val="left"/>
      <w:pPr>
        <w:ind w:left="0" w:firstLine="0"/>
      </w:pPr>
      <w:rPr>
        <w:rFonts w:ascii="Calibri" w:hAnsi="Calibri" w:cs="Calibri"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6E22D85"/>
    <w:multiLevelType w:val="hybridMultilevel"/>
    <w:tmpl w:val="1046B834"/>
    <w:lvl w:ilvl="0" w:tplc="225455A4">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00087"/>
    <w:multiLevelType w:val="hybridMultilevel"/>
    <w:tmpl w:val="C5166686"/>
    <w:lvl w:ilvl="0" w:tplc="73969D36">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A6F08"/>
    <w:multiLevelType w:val="multilevel"/>
    <w:tmpl w:val="7612320E"/>
    <w:lvl w:ilvl="0">
      <w:start w:val="1"/>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83BC4"/>
    <w:multiLevelType w:val="hybridMultilevel"/>
    <w:tmpl w:val="9DD6A9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C4BBF"/>
    <w:multiLevelType w:val="hybridMultilevel"/>
    <w:tmpl w:val="29C0F4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D2256F7"/>
    <w:multiLevelType w:val="hybridMultilevel"/>
    <w:tmpl w:val="2056D8C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426A3"/>
    <w:multiLevelType w:val="hybridMultilevel"/>
    <w:tmpl w:val="E1FE72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D62AE2"/>
    <w:multiLevelType w:val="hybridMultilevel"/>
    <w:tmpl w:val="CD20F0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545B9"/>
    <w:multiLevelType w:val="hybridMultilevel"/>
    <w:tmpl w:val="2E7472D8"/>
    <w:lvl w:ilvl="0" w:tplc="AA5CF5B8">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95E7E"/>
    <w:multiLevelType w:val="hybridMultilevel"/>
    <w:tmpl w:val="0C404818"/>
    <w:lvl w:ilvl="0" w:tplc="F63852AC">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29F05D1"/>
    <w:multiLevelType w:val="hybridMultilevel"/>
    <w:tmpl w:val="4094DDBA"/>
    <w:lvl w:ilvl="0" w:tplc="588C5BFC">
      <w:start w:val="2"/>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D22362"/>
    <w:multiLevelType w:val="hybridMultilevel"/>
    <w:tmpl w:val="84EE3C8A"/>
    <w:lvl w:ilvl="0" w:tplc="EF58A3F6">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483EC4"/>
    <w:multiLevelType w:val="hybridMultilevel"/>
    <w:tmpl w:val="70DC2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3"/>
  </w:num>
  <w:num w:numId="2">
    <w:abstractNumId w:val="34"/>
  </w:num>
  <w:num w:numId="3">
    <w:abstractNumId w:val="11"/>
  </w:num>
  <w:num w:numId="4">
    <w:abstractNumId w:val="30"/>
  </w:num>
  <w:num w:numId="5">
    <w:abstractNumId w:val="19"/>
  </w:num>
  <w:num w:numId="6">
    <w:abstractNumId w:val="29"/>
  </w:num>
  <w:num w:numId="7">
    <w:abstractNumId w:val="0"/>
  </w:num>
  <w:num w:numId="8">
    <w:abstractNumId w:val="21"/>
  </w:num>
  <w:num w:numId="9">
    <w:abstractNumId w:val="23"/>
  </w:num>
  <w:num w:numId="10">
    <w:abstractNumId w:val="31"/>
  </w:num>
  <w:num w:numId="11">
    <w:abstractNumId w:val="37"/>
  </w:num>
  <w:num w:numId="12">
    <w:abstractNumId w:val="3"/>
  </w:num>
  <w:num w:numId="13">
    <w:abstractNumId w:val="35"/>
  </w:num>
  <w:num w:numId="14">
    <w:abstractNumId w:val="46"/>
  </w:num>
  <w:num w:numId="15">
    <w:abstractNumId w:val="25"/>
  </w:num>
  <w:num w:numId="16">
    <w:abstractNumId w:val="17"/>
  </w:num>
  <w:num w:numId="17">
    <w:abstractNumId w:val="36"/>
  </w:num>
  <w:num w:numId="18">
    <w:abstractNumId w:val="26"/>
  </w:num>
  <w:num w:numId="19">
    <w:abstractNumId w:val="40"/>
  </w:num>
  <w:num w:numId="20">
    <w:abstractNumId w:val="4"/>
  </w:num>
  <w:num w:numId="21">
    <w:abstractNumId w:val="42"/>
  </w:num>
  <w:num w:numId="22">
    <w:abstractNumId w:val="38"/>
  </w:num>
  <w:num w:numId="23">
    <w:abstractNumId w:val="28"/>
  </w:num>
  <w:num w:numId="24">
    <w:abstractNumId w:val="47"/>
  </w:num>
  <w:num w:numId="25">
    <w:abstractNumId w:val="15"/>
  </w:num>
  <w:num w:numId="26">
    <w:abstractNumId w:val="19"/>
  </w:num>
  <w:num w:numId="27">
    <w:abstractNumId w:val="27"/>
  </w:num>
  <w:num w:numId="28">
    <w:abstractNumId w:val="27"/>
  </w:num>
  <w:num w:numId="29">
    <w:abstractNumId w:val="41"/>
  </w:num>
  <w:num w:numId="30">
    <w:abstractNumId w:val="32"/>
  </w:num>
  <w:num w:numId="31">
    <w:abstractNumId w:val="33"/>
  </w:num>
  <w:num w:numId="32">
    <w:abstractNumId w:val="7"/>
  </w:num>
  <w:num w:numId="33">
    <w:abstractNumId w:val="44"/>
  </w:num>
  <w:num w:numId="34">
    <w:abstractNumId w:val="12"/>
  </w:num>
  <w:num w:numId="35">
    <w:abstractNumId w:val="1"/>
  </w:num>
  <w:num w:numId="36">
    <w:abstractNumId w:val="5"/>
  </w:num>
  <w:num w:numId="37">
    <w:abstractNumId w:val="45"/>
  </w:num>
  <w:num w:numId="38">
    <w:abstractNumId w:val="22"/>
  </w:num>
  <w:num w:numId="39">
    <w:abstractNumId w:val="24"/>
  </w:num>
  <w:num w:numId="40">
    <w:abstractNumId w:val="39"/>
  </w:num>
  <w:num w:numId="41">
    <w:abstractNumId w:val="16"/>
  </w:num>
  <w:num w:numId="42">
    <w:abstractNumId w:val="20"/>
  </w:num>
  <w:num w:numId="43">
    <w:abstractNumId w:val="9"/>
  </w:num>
  <w:num w:numId="44">
    <w:abstractNumId w:val="14"/>
  </w:num>
  <w:num w:numId="45">
    <w:abstractNumId w:val="10"/>
  </w:num>
  <w:num w:numId="46">
    <w:abstractNumId w:val="2"/>
  </w:num>
  <w:num w:numId="47">
    <w:abstractNumId w:val="6"/>
  </w:num>
  <w:num w:numId="48">
    <w:abstractNumId w:val="8"/>
  </w:num>
  <w:num w:numId="49">
    <w:abstractNumId w:val="43"/>
  </w:num>
  <w:num w:numId="5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2MDKzMDUyNzIxsjRT0lEKTi0uzszPAykwMqwFAM/wnAc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50tvvddpewa1er0s8x0vp4rp9w50t5at5x&quot;&gt;Reprogramming EndNote Library&lt;record-ids&gt;&lt;item&gt;1&lt;/item&gt;&lt;item&gt;2&lt;/item&gt;&lt;item&gt;3&lt;/item&gt;&lt;item&gt;41&lt;/item&gt;&lt;item&gt;42&lt;/item&gt;&lt;item&gt;43&lt;/item&gt;&lt;item&gt;44&lt;/item&gt;&lt;item&gt;46&lt;/item&gt;&lt;item&gt;48&lt;/item&gt;&lt;item&gt;49&lt;/item&gt;&lt;item&gt;55&lt;/item&gt;&lt;item&gt;56&lt;/item&gt;&lt;item&gt;57&lt;/item&gt;&lt;item&gt;58&lt;/item&gt;&lt;item&gt;59&lt;/item&gt;&lt;item&gt;60&lt;/item&gt;&lt;/record-ids&gt;&lt;/item&gt;&lt;/Libraries&gt;"/>
  </w:docVars>
  <w:rsids>
    <w:rsidRoot w:val="00EE705F"/>
    <w:rsid w:val="00001169"/>
    <w:rsid w:val="00001806"/>
    <w:rsid w:val="00003289"/>
    <w:rsid w:val="000054F2"/>
    <w:rsid w:val="00005815"/>
    <w:rsid w:val="00005CAF"/>
    <w:rsid w:val="00007DBC"/>
    <w:rsid w:val="00007EA1"/>
    <w:rsid w:val="000100F0"/>
    <w:rsid w:val="00011104"/>
    <w:rsid w:val="000129B2"/>
    <w:rsid w:val="00012FF9"/>
    <w:rsid w:val="0001389C"/>
    <w:rsid w:val="00014314"/>
    <w:rsid w:val="00014C56"/>
    <w:rsid w:val="00016D62"/>
    <w:rsid w:val="00021434"/>
    <w:rsid w:val="00021774"/>
    <w:rsid w:val="00021DF3"/>
    <w:rsid w:val="00023869"/>
    <w:rsid w:val="00024598"/>
    <w:rsid w:val="00024EC8"/>
    <w:rsid w:val="00026423"/>
    <w:rsid w:val="000279B0"/>
    <w:rsid w:val="00032769"/>
    <w:rsid w:val="0003311E"/>
    <w:rsid w:val="0003402E"/>
    <w:rsid w:val="0003790F"/>
    <w:rsid w:val="00037B58"/>
    <w:rsid w:val="00044C99"/>
    <w:rsid w:val="00051B73"/>
    <w:rsid w:val="000555E4"/>
    <w:rsid w:val="00055B40"/>
    <w:rsid w:val="00057AD0"/>
    <w:rsid w:val="00060ABE"/>
    <w:rsid w:val="00061A50"/>
    <w:rsid w:val="0006361B"/>
    <w:rsid w:val="00063C8F"/>
    <w:rsid w:val="00064104"/>
    <w:rsid w:val="000652E3"/>
    <w:rsid w:val="00066025"/>
    <w:rsid w:val="00066FF7"/>
    <w:rsid w:val="00067A8F"/>
    <w:rsid w:val="000701D1"/>
    <w:rsid w:val="00080A20"/>
    <w:rsid w:val="00082796"/>
    <w:rsid w:val="00082DF4"/>
    <w:rsid w:val="0008401C"/>
    <w:rsid w:val="00086EBA"/>
    <w:rsid w:val="00086FF5"/>
    <w:rsid w:val="00087C0A"/>
    <w:rsid w:val="00093BC4"/>
    <w:rsid w:val="000943E6"/>
    <w:rsid w:val="0009473A"/>
    <w:rsid w:val="000968F1"/>
    <w:rsid w:val="00097929"/>
    <w:rsid w:val="000A1494"/>
    <w:rsid w:val="000A1E80"/>
    <w:rsid w:val="000A286E"/>
    <w:rsid w:val="000A3B70"/>
    <w:rsid w:val="000A4282"/>
    <w:rsid w:val="000A5153"/>
    <w:rsid w:val="000A63AE"/>
    <w:rsid w:val="000A6C79"/>
    <w:rsid w:val="000A7836"/>
    <w:rsid w:val="000B10AE"/>
    <w:rsid w:val="000B30BF"/>
    <w:rsid w:val="000B566B"/>
    <w:rsid w:val="000B662E"/>
    <w:rsid w:val="000B7294"/>
    <w:rsid w:val="000B75D0"/>
    <w:rsid w:val="000C1CF8"/>
    <w:rsid w:val="000C49CF"/>
    <w:rsid w:val="000C52E9"/>
    <w:rsid w:val="000C5CDC"/>
    <w:rsid w:val="000C65DC"/>
    <w:rsid w:val="000C66F3"/>
    <w:rsid w:val="000C6900"/>
    <w:rsid w:val="000D1B97"/>
    <w:rsid w:val="000D1F79"/>
    <w:rsid w:val="000D2F63"/>
    <w:rsid w:val="000D31E8"/>
    <w:rsid w:val="000D76E4"/>
    <w:rsid w:val="000D771E"/>
    <w:rsid w:val="000E1570"/>
    <w:rsid w:val="000E1CAE"/>
    <w:rsid w:val="000E3816"/>
    <w:rsid w:val="000E4F77"/>
    <w:rsid w:val="000F265C"/>
    <w:rsid w:val="000F3AFA"/>
    <w:rsid w:val="000F5712"/>
    <w:rsid w:val="000F6611"/>
    <w:rsid w:val="000F685A"/>
    <w:rsid w:val="000F7E22"/>
    <w:rsid w:val="0010106F"/>
    <w:rsid w:val="001104F3"/>
    <w:rsid w:val="00112EEB"/>
    <w:rsid w:val="001173FF"/>
    <w:rsid w:val="00117424"/>
    <w:rsid w:val="0012563A"/>
    <w:rsid w:val="001264DE"/>
    <w:rsid w:val="001313A7"/>
    <w:rsid w:val="0013276F"/>
    <w:rsid w:val="00132A17"/>
    <w:rsid w:val="00132E99"/>
    <w:rsid w:val="0013621E"/>
    <w:rsid w:val="0013642E"/>
    <w:rsid w:val="00142EFE"/>
    <w:rsid w:val="00146741"/>
    <w:rsid w:val="001523E3"/>
    <w:rsid w:val="00152A23"/>
    <w:rsid w:val="001548A6"/>
    <w:rsid w:val="00156493"/>
    <w:rsid w:val="00162CB7"/>
    <w:rsid w:val="001652CF"/>
    <w:rsid w:val="00166293"/>
    <w:rsid w:val="001665C9"/>
    <w:rsid w:val="00166F32"/>
    <w:rsid w:val="0016744E"/>
    <w:rsid w:val="00171E5B"/>
    <w:rsid w:val="00171F94"/>
    <w:rsid w:val="00172A4E"/>
    <w:rsid w:val="001744D9"/>
    <w:rsid w:val="00175D4E"/>
    <w:rsid w:val="0017668A"/>
    <w:rsid w:val="001766FE"/>
    <w:rsid w:val="001771E7"/>
    <w:rsid w:val="001777D6"/>
    <w:rsid w:val="00181B1E"/>
    <w:rsid w:val="001844BF"/>
    <w:rsid w:val="00190807"/>
    <w:rsid w:val="001911FF"/>
    <w:rsid w:val="00192006"/>
    <w:rsid w:val="00193180"/>
    <w:rsid w:val="001941B1"/>
    <w:rsid w:val="00195058"/>
    <w:rsid w:val="00195716"/>
    <w:rsid w:val="00196792"/>
    <w:rsid w:val="00197423"/>
    <w:rsid w:val="001A42B6"/>
    <w:rsid w:val="001B1519"/>
    <w:rsid w:val="001B240A"/>
    <w:rsid w:val="001B2E2D"/>
    <w:rsid w:val="001B5CD2"/>
    <w:rsid w:val="001C068E"/>
    <w:rsid w:val="001C08B0"/>
    <w:rsid w:val="001C0BEE"/>
    <w:rsid w:val="001C18C4"/>
    <w:rsid w:val="001C1E49"/>
    <w:rsid w:val="001C27C1"/>
    <w:rsid w:val="001C2A98"/>
    <w:rsid w:val="001C4D95"/>
    <w:rsid w:val="001C60E1"/>
    <w:rsid w:val="001D3D7D"/>
    <w:rsid w:val="001D3FFF"/>
    <w:rsid w:val="001D625F"/>
    <w:rsid w:val="001D68A4"/>
    <w:rsid w:val="001D7576"/>
    <w:rsid w:val="001D7999"/>
    <w:rsid w:val="001E0160"/>
    <w:rsid w:val="001E0E3F"/>
    <w:rsid w:val="001E14A0"/>
    <w:rsid w:val="001E1E72"/>
    <w:rsid w:val="001E40E0"/>
    <w:rsid w:val="001E7376"/>
    <w:rsid w:val="001F1C51"/>
    <w:rsid w:val="001F225C"/>
    <w:rsid w:val="001F6F6F"/>
    <w:rsid w:val="00200A52"/>
    <w:rsid w:val="00201457"/>
    <w:rsid w:val="00201CFA"/>
    <w:rsid w:val="0020220D"/>
    <w:rsid w:val="00202448"/>
    <w:rsid w:val="00202D15"/>
    <w:rsid w:val="00202F57"/>
    <w:rsid w:val="00205B3F"/>
    <w:rsid w:val="00205FD7"/>
    <w:rsid w:val="00212EAE"/>
    <w:rsid w:val="00213EF0"/>
    <w:rsid w:val="00214BEE"/>
    <w:rsid w:val="002205B8"/>
    <w:rsid w:val="00224937"/>
    <w:rsid w:val="00225720"/>
    <w:rsid w:val="002259E5"/>
    <w:rsid w:val="00226140"/>
    <w:rsid w:val="002274F3"/>
    <w:rsid w:val="0023094C"/>
    <w:rsid w:val="0023194E"/>
    <w:rsid w:val="00233F5C"/>
    <w:rsid w:val="00234BE3"/>
    <w:rsid w:val="00235A90"/>
    <w:rsid w:val="002360FC"/>
    <w:rsid w:val="00236F67"/>
    <w:rsid w:val="00240422"/>
    <w:rsid w:val="0024056B"/>
    <w:rsid w:val="00241E48"/>
    <w:rsid w:val="0024214E"/>
    <w:rsid w:val="002421F6"/>
    <w:rsid w:val="00242623"/>
    <w:rsid w:val="00250558"/>
    <w:rsid w:val="0025220D"/>
    <w:rsid w:val="002553EC"/>
    <w:rsid w:val="00256E92"/>
    <w:rsid w:val="002604BF"/>
    <w:rsid w:val="002605D1"/>
    <w:rsid w:val="00260652"/>
    <w:rsid w:val="00261F25"/>
    <w:rsid w:val="002624AF"/>
    <w:rsid w:val="00263ABE"/>
    <w:rsid w:val="00264219"/>
    <w:rsid w:val="002648A9"/>
    <w:rsid w:val="0026536F"/>
    <w:rsid w:val="0026553C"/>
    <w:rsid w:val="002672FA"/>
    <w:rsid w:val="00267319"/>
    <w:rsid w:val="00267DD5"/>
    <w:rsid w:val="00274A0A"/>
    <w:rsid w:val="00277593"/>
    <w:rsid w:val="00280909"/>
    <w:rsid w:val="00280918"/>
    <w:rsid w:val="00280CAE"/>
    <w:rsid w:val="0028221D"/>
    <w:rsid w:val="00282AF6"/>
    <w:rsid w:val="00284934"/>
    <w:rsid w:val="0028596A"/>
    <w:rsid w:val="00285B4E"/>
    <w:rsid w:val="00287085"/>
    <w:rsid w:val="0028757A"/>
    <w:rsid w:val="00290AF9"/>
    <w:rsid w:val="0029599E"/>
    <w:rsid w:val="002964A9"/>
    <w:rsid w:val="002967CF"/>
    <w:rsid w:val="00297788"/>
    <w:rsid w:val="002A0DB6"/>
    <w:rsid w:val="002A203E"/>
    <w:rsid w:val="002A3285"/>
    <w:rsid w:val="002A484B"/>
    <w:rsid w:val="002A64A6"/>
    <w:rsid w:val="002A7EA6"/>
    <w:rsid w:val="002B3301"/>
    <w:rsid w:val="002C47D4"/>
    <w:rsid w:val="002D0F38"/>
    <w:rsid w:val="002D77E3"/>
    <w:rsid w:val="002F2859"/>
    <w:rsid w:val="002F31E3"/>
    <w:rsid w:val="002F4FE1"/>
    <w:rsid w:val="002F6E3C"/>
    <w:rsid w:val="0030117D"/>
    <w:rsid w:val="00301F30"/>
    <w:rsid w:val="003038FD"/>
    <w:rsid w:val="00303C87"/>
    <w:rsid w:val="00304F56"/>
    <w:rsid w:val="00307077"/>
    <w:rsid w:val="003108E5"/>
    <w:rsid w:val="003120CB"/>
    <w:rsid w:val="00313E26"/>
    <w:rsid w:val="00320153"/>
    <w:rsid w:val="00320367"/>
    <w:rsid w:val="00322871"/>
    <w:rsid w:val="00322E7A"/>
    <w:rsid w:val="00326716"/>
    <w:rsid w:val="00326FB3"/>
    <w:rsid w:val="003300E1"/>
    <w:rsid w:val="003316D4"/>
    <w:rsid w:val="00333822"/>
    <w:rsid w:val="00336715"/>
    <w:rsid w:val="003401EC"/>
    <w:rsid w:val="00340571"/>
    <w:rsid w:val="00340DFD"/>
    <w:rsid w:val="003439EF"/>
    <w:rsid w:val="00343DEE"/>
    <w:rsid w:val="00344954"/>
    <w:rsid w:val="00346C6B"/>
    <w:rsid w:val="00347128"/>
    <w:rsid w:val="00350CD7"/>
    <w:rsid w:val="00351B7D"/>
    <w:rsid w:val="00354B7A"/>
    <w:rsid w:val="00360C17"/>
    <w:rsid w:val="003621C6"/>
    <w:rsid w:val="003622B8"/>
    <w:rsid w:val="00363526"/>
    <w:rsid w:val="0036419D"/>
    <w:rsid w:val="00366478"/>
    <w:rsid w:val="00366B76"/>
    <w:rsid w:val="00370C0E"/>
    <w:rsid w:val="00373051"/>
    <w:rsid w:val="00373B8F"/>
    <w:rsid w:val="00376D95"/>
    <w:rsid w:val="003777B9"/>
    <w:rsid w:val="003779A7"/>
    <w:rsid w:val="00377FBB"/>
    <w:rsid w:val="00385140"/>
    <w:rsid w:val="00391011"/>
    <w:rsid w:val="00393CC7"/>
    <w:rsid w:val="0039491A"/>
    <w:rsid w:val="003971F7"/>
    <w:rsid w:val="003A16FC"/>
    <w:rsid w:val="003A2F68"/>
    <w:rsid w:val="003A4414"/>
    <w:rsid w:val="003A4947"/>
    <w:rsid w:val="003A4FCD"/>
    <w:rsid w:val="003A62A9"/>
    <w:rsid w:val="003A677F"/>
    <w:rsid w:val="003B0282"/>
    <w:rsid w:val="003B0944"/>
    <w:rsid w:val="003B1593"/>
    <w:rsid w:val="003B4381"/>
    <w:rsid w:val="003C1043"/>
    <w:rsid w:val="003C1A30"/>
    <w:rsid w:val="003C27A3"/>
    <w:rsid w:val="003C58B9"/>
    <w:rsid w:val="003C6779"/>
    <w:rsid w:val="003D1F6F"/>
    <w:rsid w:val="003D2998"/>
    <w:rsid w:val="003D2F0A"/>
    <w:rsid w:val="003D3891"/>
    <w:rsid w:val="003D5D84"/>
    <w:rsid w:val="003D79B8"/>
    <w:rsid w:val="003E01D0"/>
    <w:rsid w:val="003E05F9"/>
    <w:rsid w:val="003E0D4A"/>
    <w:rsid w:val="003E0F4F"/>
    <w:rsid w:val="003E18AC"/>
    <w:rsid w:val="003E210B"/>
    <w:rsid w:val="003E2A12"/>
    <w:rsid w:val="003E3384"/>
    <w:rsid w:val="003E3CA4"/>
    <w:rsid w:val="003E548E"/>
    <w:rsid w:val="003E637A"/>
    <w:rsid w:val="003E6925"/>
    <w:rsid w:val="003F09FC"/>
    <w:rsid w:val="003F238E"/>
    <w:rsid w:val="003F3FBA"/>
    <w:rsid w:val="0040008B"/>
    <w:rsid w:val="00401D9C"/>
    <w:rsid w:val="00403CA0"/>
    <w:rsid w:val="00407EC8"/>
    <w:rsid w:val="0041110A"/>
    <w:rsid w:val="00411624"/>
    <w:rsid w:val="004148E1"/>
    <w:rsid w:val="0041498A"/>
    <w:rsid w:val="00414CFA"/>
    <w:rsid w:val="00415A13"/>
    <w:rsid w:val="00415EC0"/>
    <w:rsid w:val="00420BE9"/>
    <w:rsid w:val="00423AD8"/>
    <w:rsid w:val="00423FDD"/>
    <w:rsid w:val="00424C85"/>
    <w:rsid w:val="004260BD"/>
    <w:rsid w:val="0043012F"/>
    <w:rsid w:val="00430F1F"/>
    <w:rsid w:val="004326EA"/>
    <w:rsid w:val="00442C4D"/>
    <w:rsid w:val="004439D3"/>
    <w:rsid w:val="00443A01"/>
    <w:rsid w:val="0044434C"/>
    <w:rsid w:val="0044456B"/>
    <w:rsid w:val="00447BD1"/>
    <w:rsid w:val="00447C2D"/>
    <w:rsid w:val="00447DE1"/>
    <w:rsid w:val="004507F3"/>
    <w:rsid w:val="00450AF4"/>
    <w:rsid w:val="00450E6C"/>
    <w:rsid w:val="00456A57"/>
    <w:rsid w:val="004607DE"/>
    <w:rsid w:val="00461AE5"/>
    <w:rsid w:val="00465157"/>
    <w:rsid w:val="004671C7"/>
    <w:rsid w:val="0046763C"/>
    <w:rsid w:val="00471EA9"/>
    <w:rsid w:val="00472F4D"/>
    <w:rsid w:val="004730BF"/>
    <w:rsid w:val="00474DCB"/>
    <w:rsid w:val="0047535C"/>
    <w:rsid w:val="004762F6"/>
    <w:rsid w:val="00477A9D"/>
    <w:rsid w:val="00483E65"/>
    <w:rsid w:val="00485870"/>
    <w:rsid w:val="00485FE8"/>
    <w:rsid w:val="00492473"/>
    <w:rsid w:val="00492EB5"/>
    <w:rsid w:val="00493F3F"/>
    <w:rsid w:val="0049474F"/>
    <w:rsid w:val="00494F77"/>
    <w:rsid w:val="0049569B"/>
    <w:rsid w:val="00497721"/>
    <w:rsid w:val="004A0229"/>
    <w:rsid w:val="004A2D89"/>
    <w:rsid w:val="004A35D2"/>
    <w:rsid w:val="004A7165"/>
    <w:rsid w:val="004A71E4"/>
    <w:rsid w:val="004B054C"/>
    <w:rsid w:val="004B2F00"/>
    <w:rsid w:val="004B66BF"/>
    <w:rsid w:val="004B6E31"/>
    <w:rsid w:val="004C1D66"/>
    <w:rsid w:val="004C31D7"/>
    <w:rsid w:val="004C4AD2"/>
    <w:rsid w:val="004C5307"/>
    <w:rsid w:val="004C6981"/>
    <w:rsid w:val="004D1F21"/>
    <w:rsid w:val="004D268C"/>
    <w:rsid w:val="004D3A8E"/>
    <w:rsid w:val="004D59D8"/>
    <w:rsid w:val="004D5DA1"/>
    <w:rsid w:val="004D7C12"/>
    <w:rsid w:val="004E150F"/>
    <w:rsid w:val="004E1DCA"/>
    <w:rsid w:val="004E23A1"/>
    <w:rsid w:val="004E3489"/>
    <w:rsid w:val="004E358A"/>
    <w:rsid w:val="004E3AFA"/>
    <w:rsid w:val="004E6588"/>
    <w:rsid w:val="004E76BF"/>
    <w:rsid w:val="004F0DBA"/>
    <w:rsid w:val="004F2742"/>
    <w:rsid w:val="004F7C39"/>
    <w:rsid w:val="00502A0A"/>
    <w:rsid w:val="005061DE"/>
    <w:rsid w:val="00507C50"/>
    <w:rsid w:val="00511310"/>
    <w:rsid w:val="00514D40"/>
    <w:rsid w:val="00515635"/>
    <w:rsid w:val="00517868"/>
    <w:rsid w:val="00517C3A"/>
    <w:rsid w:val="00517D1A"/>
    <w:rsid w:val="005217D2"/>
    <w:rsid w:val="00524D47"/>
    <w:rsid w:val="00527BF4"/>
    <w:rsid w:val="00527C87"/>
    <w:rsid w:val="005318BA"/>
    <w:rsid w:val="005324BE"/>
    <w:rsid w:val="00532C20"/>
    <w:rsid w:val="00534D8E"/>
    <w:rsid w:val="00534F6C"/>
    <w:rsid w:val="00535994"/>
    <w:rsid w:val="0053646D"/>
    <w:rsid w:val="00540855"/>
    <w:rsid w:val="00540AAD"/>
    <w:rsid w:val="00543EC1"/>
    <w:rsid w:val="00544A6B"/>
    <w:rsid w:val="00546458"/>
    <w:rsid w:val="00546ADE"/>
    <w:rsid w:val="0055087C"/>
    <w:rsid w:val="00552BCC"/>
    <w:rsid w:val="00553413"/>
    <w:rsid w:val="00555983"/>
    <w:rsid w:val="00560E31"/>
    <w:rsid w:val="00561BDA"/>
    <w:rsid w:val="005647D0"/>
    <w:rsid w:val="00564CD6"/>
    <w:rsid w:val="00564F04"/>
    <w:rsid w:val="00570EAE"/>
    <w:rsid w:val="005764BF"/>
    <w:rsid w:val="0057729B"/>
    <w:rsid w:val="005805E1"/>
    <w:rsid w:val="00581B23"/>
    <w:rsid w:val="0058219C"/>
    <w:rsid w:val="0058600D"/>
    <w:rsid w:val="0058707F"/>
    <w:rsid w:val="00587C89"/>
    <w:rsid w:val="00591DBD"/>
    <w:rsid w:val="005931FE"/>
    <w:rsid w:val="005A0028"/>
    <w:rsid w:val="005A0ACC"/>
    <w:rsid w:val="005A3E66"/>
    <w:rsid w:val="005A4DFB"/>
    <w:rsid w:val="005A5781"/>
    <w:rsid w:val="005A6C7B"/>
    <w:rsid w:val="005B0072"/>
    <w:rsid w:val="005B0732"/>
    <w:rsid w:val="005B23BE"/>
    <w:rsid w:val="005B3424"/>
    <w:rsid w:val="005B38A0"/>
    <w:rsid w:val="005B491C"/>
    <w:rsid w:val="005B4DBF"/>
    <w:rsid w:val="005B5DE2"/>
    <w:rsid w:val="005B674C"/>
    <w:rsid w:val="005C24F2"/>
    <w:rsid w:val="005C7027"/>
    <w:rsid w:val="005C7561"/>
    <w:rsid w:val="005D13A3"/>
    <w:rsid w:val="005D1E57"/>
    <w:rsid w:val="005D2F57"/>
    <w:rsid w:val="005D34F6"/>
    <w:rsid w:val="005D4F1A"/>
    <w:rsid w:val="005E1303"/>
    <w:rsid w:val="005E1884"/>
    <w:rsid w:val="005F2692"/>
    <w:rsid w:val="005F373A"/>
    <w:rsid w:val="005F3ACB"/>
    <w:rsid w:val="005F4F87"/>
    <w:rsid w:val="005F5E06"/>
    <w:rsid w:val="005F6B0E"/>
    <w:rsid w:val="005F760E"/>
    <w:rsid w:val="005F7B1D"/>
    <w:rsid w:val="0060222A"/>
    <w:rsid w:val="00606FA7"/>
    <w:rsid w:val="006070C4"/>
    <w:rsid w:val="00610068"/>
    <w:rsid w:val="00610C21"/>
    <w:rsid w:val="00611907"/>
    <w:rsid w:val="00613116"/>
    <w:rsid w:val="0062027E"/>
    <w:rsid w:val="006202A6"/>
    <w:rsid w:val="0062054B"/>
    <w:rsid w:val="00621B5F"/>
    <w:rsid w:val="00621C4E"/>
    <w:rsid w:val="00622F51"/>
    <w:rsid w:val="00624EAE"/>
    <w:rsid w:val="006305D7"/>
    <w:rsid w:val="00632F63"/>
    <w:rsid w:val="00632FEB"/>
    <w:rsid w:val="00633A01"/>
    <w:rsid w:val="00633B97"/>
    <w:rsid w:val="006341F7"/>
    <w:rsid w:val="00634585"/>
    <w:rsid w:val="006347A2"/>
    <w:rsid w:val="00635014"/>
    <w:rsid w:val="006369CE"/>
    <w:rsid w:val="006411CA"/>
    <w:rsid w:val="0064605E"/>
    <w:rsid w:val="006537DD"/>
    <w:rsid w:val="00657AE8"/>
    <w:rsid w:val="006619C8"/>
    <w:rsid w:val="006627D9"/>
    <w:rsid w:val="00670DAE"/>
    <w:rsid w:val="00671710"/>
    <w:rsid w:val="00673414"/>
    <w:rsid w:val="0067534D"/>
    <w:rsid w:val="00676079"/>
    <w:rsid w:val="00676676"/>
    <w:rsid w:val="00676ECD"/>
    <w:rsid w:val="00677D0A"/>
    <w:rsid w:val="00677E52"/>
    <w:rsid w:val="0068185F"/>
    <w:rsid w:val="006907AD"/>
    <w:rsid w:val="00694D97"/>
    <w:rsid w:val="00694E7E"/>
    <w:rsid w:val="00695D4E"/>
    <w:rsid w:val="006A01CF"/>
    <w:rsid w:val="006A25CD"/>
    <w:rsid w:val="006A40D9"/>
    <w:rsid w:val="006A60DD"/>
    <w:rsid w:val="006B0679"/>
    <w:rsid w:val="006B074C"/>
    <w:rsid w:val="006B3386"/>
    <w:rsid w:val="006B3B84"/>
    <w:rsid w:val="006B4E7C"/>
    <w:rsid w:val="006B5D8C"/>
    <w:rsid w:val="006B72D4"/>
    <w:rsid w:val="006C11CC"/>
    <w:rsid w:val="006C1AEB"/>
    <w:rsid w:val="006C52CB"/>
    <w:rsid w:val="006C57FE"/>
    <w:rsid w:val="006C5C28"/>
    <w:rsid w:val="006C668E"/>
    <w:rsid w:val="006D0C2B"/>
    <w:rsid w:val="006D3ABA"/>
    <w:rsid w:val="006D4779"/>
    <w:rsid w:val="006E31BF"/>
    <w:rsid w:val="006E37EC"/>
    <w:rsid w:val="006E4B63"/>
    <w:rsid w:val="006E5D79"/>
    <w:rsid w:val="006F06E4"/>
    <w:rsid w:val="006F1770"/>
    <w:rsid w:val="006F53E0"/>
    <w:rsid w:val="006F7B41"/>
    <w:rsid w:val="00700572"/>
    <w:rsid w:val="00702B5D"/>
    <w:rsid w:val="00703109"/>
    <w:rsid w:val="007037DF"/>
    <w:rsid w:val="00703ED2"/>
    <w:rsid w:val="00707B8D"/>
    <w:rsid w:val="00710D55"/>
    <w:rsid w:val="00713636"/>
    <w:rsid w:val="00714B8C"/>
    <w:rsid w:val="0071675D"/>
    <w:rsid w:val="00717736"/>
    <w:rsid w:val="007178DF"/>
    <w:rsid w:val="00721350"/>
    <w:rsid w:val="00727A9E"/>
    <w:rsid w:val="00732B47"/>
    <w:rsid w:val="00734C09"/>
    <w:rsid w:val="00735CF5"/>
    <w:rsid w:val="0074063A"/>
    <w:rsid w:val="0074069E"/>
    <w:rsid w:val="00742AA4"/>
    <w:rsid w:val="007436F3"/>
    <w:rsid w:val="00743BA1"/>
    <w:rsid w:val="00745F1E"/>
    <w:rsid w:val="007479F0"/>
    <w:rsid w:val="007515FE"/>
    <w:rsid w:val="0075613C"/>
    <w:rsid w:val="007601D0"/>
    <w:rsid w:val="007603BB"/>
    <w:rsid w:val="0076109D"/>
    <w:rsid w:val="00767107"/>
    <w:rsid w:val="00771CFB"/>
    <w:rsid w:val="00773617"/>
    <w:rsid w:val="00773BFD"/>
    <w:rsid w:val="007743B3"/>
    <w:rsid w:val="00774490"/>
    <w:rsid w:val="00775167"/>
    <w:rsid w:val="00775361"/>
    <w:rsid w:val="007760F0"/>
    <w:rsid w:val="00776D10"/>
    <w:rsid w:val="0078194B"/>
    <w:rsid w:val="007819FF"/>
    <w:rsid w:val="00781D79"/>
    <w:rsid w:val="0078360C"/>
    <w:rsid w:val="00784A4C"/>
    <w:rsid w:val="00784BC6"/>
    <w:rsid w:val="0078502B"/>
    <w:rsid w:val="0078523D"/>
    <w:rsid w:val="0078613F"/>
    <w:rsid w:val="007914CD"/>
    <w:rsid w:val="00791A03"/>
    <w:rsid w:val="007931DF"/>
    <w:rsid w:val="0079684E"/>
    <w:rsid w:val="007A0172"/>
    <w:rsid w:val="007A1804"/>
    <w:rsid w:val="007A2511"/>
    <w:rsid w:val="007A260E"/>
    <w:rsid w:val="007A4D4C"/>
    <w:rsid w:val="007A4DD6"/>
    <w:rsid w:val="007A534E"/>
    <w:rsid w:val="007A5CB9"/>
    <w:rsid w:val="007B0314"/>
    <w:rsid w:val="007B20AE"/>
    <w:rsid w:val="007B4931"/>
    <w:rsid w:val="007B5228"/>
    <w:rsid w:val="007B6B07"/>
    <w:rsid w:val="007B6D43"/>
    <w:rsid w:val="007B749A"/>
    <w:rsid w:val="007B7C6E"/>
    <w:rsid w:val="007C0B45"/>
    <w:rsid w:val="007C17D8"/>
    <w:rsid w:val="007C2F37"/>
    <w:rsid w:val="007C3BBD"/>
    <w:rsid w:val="007C64B8"/>
    <w:rsid w:val="007D2AC6"/>
    <w:rsid w:val="007D38D7"/>
    <w:rsid w:val="007D44D7"/>
    <w:rsid w:val="007D621A"/>
    <w:rsid w:val="007E058A"/>
    <w:rsid w:val="007E2887"/>
    <w:rsid w:val="007E5278"/>
    <w:rsid w:val="007E6085"/>
    <w:rsid w:val="007E749C"/>
    <w:rsid w:val="007F177D"/>
    <w:rsid w:val="007F1B5C"/>
    <w:rsid w:val="007F28CD"/>
    <w:rsid w:val="007F4DE7"/>
    <w:rsid w:val="0080116C"/>
    <w:rsid w:val="00801257"/>
    <w:rsid w:val="00803B0A"/>
    <w:rsid w:val="00804DED"/>
    <w:rsid w:val="00805B96"/>
    <w:rsid w:val="00805C29"/>
    <w:rsid w:val="00807CD2"/>
    <w:rsid w:val="008105BE"/>
    <w:rsid w:val="00810D2B"/>
    <w:rsid w:val="008115A5"/>
    <w:rsid w:val="00811D46"/>
    <w:rsid w:val="00813482"/>
    <w:rsid w:val="0081415D"/>
    <w:rsid w:val="00817CA4"/>
    <w:rsid w:val="00820229"/>
    <w:rsid w:val="00820574"/>
    <w:rsid w:val="00821E9F"/>
    <w:rsid w:val="00822448"/>
    <w:rsid w:val="00822ABE"/>
    <w:rsid w:val="00823809"/>
    <w:rsid w:val="00823D91"/>
    <w:rsid w:val="008244D1"/>
    <w:rsid w:val="00824E42"/>
    <w:rsid w:val="00827F51"/>
    <w:rsid w:val="0083104E"/>
    <w:rsid w:val="008343BE"/>
    <w:rsid w:val="00836535"/>
    <w:rsid w:val="0083769C"/>
    <w:rsid w:val="00840FB4"/>
    <w:rsid w:val="008410B2"/>
    <w:rsid w:val="008413A8"/>
    <w:rsid w:val="00841F5B"/>
    <w:rsid w:val="008464F6"/>
    <w:rsid w:val="008500A0"/>
    <w:rsid w:val="00851A66"/>
    <w:rsid w:val="008524E5"/>
    <w:rsid w:val="0085351C"/>
    <w:rsid w:val="00853CBF"/>
    <w:rsid w:val="0085435A"/>
    <w:rsid w:val="008549CA"/>
    <w:rsid w:val="008556C3"/>
    <w:rsid w:val="0085687C"/>
    <w:rsid w:val="0086062F"/>
    <w:rsid w:val="00861FB1"/>
    <w:rsid w:val="00867A73"/>
    <w:rsid w:val="008706C5"/>
    <w:rsid w:val="00873707"/>
    <w:rsid w:val="00874B20"/>
    <w:rsid w:val="00874FF0"/>
    <w:rsid w:val="008757C6"/>
    <w:rsid w:val="008763E1"/>
    <w:rsid w:val="00876D59"/>
    <w:rsid w:val="00877193"/>
    <w:rsid w:val="0087775C"/>
    <w:rsid w:val="00877EC8"/>
    <w:rsid w:val="00880F36"/>
    <w:rsid w:val="00880FEA"/>
    <w:rsid w:val="0088242F"/>
    <w:rsid w:val="00882504"/>
    <w:rsid w:val="00885530"/>
    <w:rsid w:val="008910D1"/>
    <w:rsid w:val="0089296C"/>
    <w:rsid w:val="00896ABD"/>
    <w:rsid w:val="008976ED"/>
    <w:rsid w:val="00897AB6"/>
    <w:rsid w:val="00897CBD"/>
    <w:rsid w:val="008A3380"/>
    <w:rsid w:val="008A3CE0"/>
    <w:rsid w:val="008A7A9C"/>
    <w:rsid w:val="008B1385"/>
    <w:rsid w:val="008B18B8"/>
    <w:rsid w:val="008B1E2A"/>
    <w:rsid w:val="008B5218"/>
    <w:rsid w:val="008B69E5"/>
    <w:rsid w:val="008B7102"/>
    <w:rsid w:val="008C2EA9"/>
    <w:rsid w:val="008C3B7D"/>
    <w:rsid w:val="008C77A0"/>
    <w:rsid w:val="008D0F90"/>
    <w:rsid w:val="008D3715"/>
    <w:rsid w:val="008D38F4"/>
    <w:rsid w:val="008D5465"/>
    <w:rsid w:val="008D5E61"/>
    <w:rsid w:val="008D6C50"/>
    <w:rsid w:val="008D6F7F"/>
    <w:rsid w:val="008D7EB7"/>
    <w:rsid w:val="008D7EC5"/>
    <w:rsid w:val="008E057F"/>
    <w:rsid w:val="008E3684"/>
    <w:rsid w:val="008E57F5"/>
    <w:rsid w:val="008E5B21"/>
    <w:rsid w:val="008E7606"/>
    <w:rsid w:val="008F022B"/>
    <w:rsid w:val="008F1DAA"/>
    <w:rsid w:val="008F3EBD"/>
    <w:rsid w:val="008F60B2"/>
    <w:rsid w:val="008F7C41"/>
    <w:rsid w:val="009031E2"/>
    <w:rsid w:val="009033C3"/>
    <w:rsid w:val="0091276C"/>
    <w:rsid w:val="009165AC"/>
    <w:rsid w:val="00916FFC"/>
    <w:rsid w:val="009171A7"/>
    <w:rsid w:val="0092053F"/>
    <w:rsid w:val="009229C5"/>
    <w:rsid w:val="009230C7"/>
    <w:rsid w:val="0092340A"/>
    <w:rsid w:val="009313D9"/>
    <w:rsid w:val="009318F7"/>
    <w:rsid w:val="00931B6C"/>
    <w:rsid w:val="00932D7B"/>
    <w:rsid w:val="00935B7F"/>
    <w:rsid w:val="00936A43"/>
    <w:rsid w:val="00941293"/>
    <w:rsid w:val="00942EA9"/>
    <w:rsid w:val="0094397E"/>
    <w:rsid w:val="00945758"/>
    <w:rsid w:val="00946372"/>
    <w:rsid w:val="00950A21"/>
    <w:rsid w:val="00950C17"/>
    <w:rsid w:val="00951FAF"/>
    <w:rsid w:val="00954740"/>
    <w:rsid w:val="009559C7"/>
    <w:rsid w:val="00955AE5"/>
    <w:rsid w:val="00960926"/>
    <w:rsid w:val="00962E71"/>
    <w:rsid w:val="00963209"/>
    <w:rsid w:val="009636CC"/>
    <w:rsid w:val="00963ABC"/>
    <w:rsid w:val="00965D21"/>
    <w:rsid w:val="0096704A"/>
    <w:rsid w:val="00967764"/>
    <w:rsid w:val="00970B0E"/>
    <w:rsid w:val="00970BB9"/>
    <w:rsid w:val="0097100B"/>
    <w:rsid w:val="009726EE"/>
    <w:rsid w:val="00972CDE"/>
    <w:rsid w:val="009733DD"/>
    <w:rsid w:val="009747C1"/>
    <w:rsid w:val="00975573"/>
    <w:rsid w:val="00976D03"/>
    <w:rsid w:val="00977B30"/>
    <w:rsid w:val="00982F41"/>
    <w:rsid w:val="00985090"/>
    <w:rsid w:val="009871AE"/>
    <w:rsid w:val="00987710"/>
    <w:rsid w:val="009904AB"/>
    <w:rsid w:val="0099124E"/>
    <w:rsid w:val="00991A69"/>
    <w:rsid w:val="009925A0"/>
    <w:rsid w:val="00994BBF"/>
    <w:rsid w:val="00995688"/>
    <w:rsid w:val="009958A6"/>
    <w:rsid w:val="00996456"/>
    <w:rsid w:val="009978B6"/>
    <w:rsid w:val="009A04F5"/>
    <w:rsid w:val="009A15EF"/>
    <w:rsid w:val="009A38A5"/>
    <w:rsid w:val="009A5B5D"/>
    <w:rsid w:val="009A5B73"/>
    <w:rsid w:val="009B118B"/>
    <w:rsid w:val="009B1737"/>
    <w:rsid w:val="009B3D4B"/>
    <w:rsid w:val="009B5B99"/>
    <w:rsid w:val="009B6EFC"/>
    <w:rsid w:val="009C1DBF"/>
    <w:rsid w:val="009C1FD0"/>
    <w:rsid w:val="009C2DF8"/>
    <w:rsid w:val="009C31BF"/>
    <w:rsid w:val="009C48AA"/>
    <w:rsid w:val="009C68B7"/>
    <w:rsid w:val="009D0834"/>
    <w:rsid w:val="009D0A1E"/>
    <w:rsid w:val="009D2AE3"/>
    <w:rsid w:val="009D2EE0"/>
    <w:rsid w:val="009D3353"/>
    <w:rsid w:val="009D52BC"/>
    <w:rsid w:val="009D7C70"/>
    <w:rsid w:val="009D7D0A"/>
    <w:rsid w:val="009E09D9"/>
    <w:rsid w:val="009E1066"/>
    <w:rsid w:val="009E2757"/>
    <w:rsid w:val="009F01B1"/>
    <w:rsid w:val="009F0DBB"/>
    <w:rsid w:val="009F3887"/>
    <w:rsid w:val="009F40D8"/>
    <w:rsid w:val="009F659A"/>
    <w:rsid w:val="009F732B"/>
    <w:rsid w:val="00A01FE0"/>
    <w:rsid w:val="00A033C2"/>
    <w:rsid w:val="00A06945"/>
    <w:rsid w:val="00A07BA3"/>
    <w:rsid w:val="00A10656"/>
    <w:rsid w:val="00A113C0"/>
    <w:rsid w:val="00A12FA6"/>
    <w:rsid w:val="00A131A1"/>
    <w:rsid w:val="00A1339B"/>
    <w:rsid w:val="00A14ABA"/>
    <w:rsid w:val="00A21C93"/>
    <w:rsid w:val="00A24CB6"/>
    <w:rsid w:val="00A24D57"/>
    <w:rsid w:val="00A25037"/>
    <w:rsid w:val="00A25DEB"/>
    <w:rsid w:val="00A25E8C"/>
    <w:rsid w:val="00A26CD2"/>
    <w:rsid w:val="00A27667"/>
    <w:rsid w:val="00A32979"/>
    <w:rsid w:val="00A32FA6"/>
    <w:rsid w:val="00A34A67"/>
    <w:rsid w:val="00A37462"/>
    <w:rsid w:val="00A44716"/>
    <w:rsid w:val="00A44D9C"/>
    <w:rsid w:val="00A459E1"/>
    <w:rsid w:val="00A46AC4"/>
    <w:rsid w:val="00A46E2A"/>
    <w:rsid w:val="00A475C8"/>
    <w:rsid w:val="00A500DE"/>
    <w:rsid w:val="00A52296"/>
    <w:rsid w:val="00A54FCC"/>
    <w:rsid w:val="00A55661"/>
    <w:rsid w:val="00A57287"/>
    <w:rsid w:val="00A61B70"/>
    <w:rsid w:val="00A61FA8"/>
    <w:rsid w:val="00A637F4"/>
    <w:rsid w:val="00A6390E"/>
    <w:rsid w:val="00A64DF2"/>
    <w:rsid w:val="00A64FFD"/>
    <w:rsid w:val="00A65485"/>
    <w:rsid w:val="00A65C51"/>
    <w:rsid w:val="00A66E05"/>
    <w:rsid w:val="00A70753"/>
    <w:rsid w:val="00A712D2"/>
    <w:rsid w:val="00A718FA"/>
    <w:rsid w:val="00A7289A"/>
    <w:rsid w:val="00A73C8F"/>
    <w:rsid w:val="00A76420"/>
    <w:rsid w:val="00A776A8"/>
    <w:rsid w:val="00A8011F"/>
    <w:rsid w:val="00A82C8A"/>
    <w:rsid w:val="00A8346B"/>
    <w:rsid w:val="00A852FF"/>
    <w:rsid w:val="00A87337"/>
    <w:rsid w:val="00A879D6"/>
    <w:rsid w:val="00A90C97"/>
    <w:rsid w:val="00A92DDC"/>
    <w:rsid w:val="00A960C8"/>
    <w:rsid w:val="00A96604"/>
    <w:rsid w:val="00A97A98"/>
    <w:rsid w:val="00AA03DF"/>
    <w:rsid w:val="00AA1B4F"/>
    <w:rsid w:val="00AA21D8"/>
    <w:rsid w:val="00AA271A"/>
    <w:rsid w:val="00AA3270"/>
    <w:rsid w:val="00AA51C3"/>
    <w:rsid w:val="00AA54F3"/>
    <w:rsid w:val="00AA6B43"/>
    <w:rsid w:val="00AA720D"/>
    <w:rsid w:val="00AB0D62"/>
    <w:rsid w:val="00AB367A"/>
    <w:rsid w:val="00AC01D1"/>
    <w:rsid w:val="00AC0AB2"/>
    <w:rsid w:val="00AC0E9F"/>
    <w:rsid w:val="00AC2202"/>
    <w:rsid w:val="00AC45E3"/>
    <w:rsid w:val="00AC52A5"/>
    <w:rsid w:val="00AC6EFD"/>
    <w:rsid w:val="00AC7151"/>
    <w:rsid w:val="00AD2699"/>
    <w:rsid w:val="00AD2C94"/>
    <w:rsid w:val="00AD460A"/>
    <w:rsid w:val="00AD68DD"/>
    <w:rsid w:val="00AD6A05"/>
    <w:rsid w:val="00AE0BC0"/>
    <w:rsid w:val="00AE118B"/>
    <w:rsid w:val="00AE272B"/>
    <w:rsid w:val="00AE3687"/>
    <w:rsid w:val="00AE3E3A"/>
    <w:rsid w:val="00AE77B4"/>
    <w:rsid w:val="00AE7C1A"/>
    <w:rsid w:val="00AE7DF8"/>
    <w:rsid w:val="00AF0D9C"/>
    <w:rsid w:val="00AF13AB"/>
    <w:rsid w:val="00AF1D36"/>
    <w:rsid w:val="00AF280B"/>
    <w:rsid w:val="00AF4C31"/>
    <w:rsid w:val="00AF5F75"/>
    <w:rsid w:val="00AF6001"/>
    <w:rsid w:val="00AF7756"/>
    <w:rsid w:val="00B008F3"/>
    <w:rsid w:val="00B01A16"/>
    <w:rsid w:val="00B061F5"/>
    <w:rsid w:val="00B06BBF"/>
    <w:rsid w:val="00B07F45"/>
    <w:rsid w:val="00B1021A"/>
    <w:rsid w:val="00B11DDA"/>
    <w:rsid w:val="00B1481A"/>
    <w:rsid w:val="00B15A1F"/>
    <w:rsid w:val="00B15FE9"/>
    <w:rsid w:val="00B2148A"/>
    <w:rsid w:val="00B2208C"/>
    <w:rsid w:val="00B220C2"/>
    <w:rsid w:val="00B22D4F"/>
    <w:rsid w:val="00B235CD"/>
    <w:rsid w:val="00B25B32"/>
    <w:rsid w:val="00B32377"/>
    <w:rsid w:val="00B32616"/>
    <w:rsid w:val="00B36C42"/>
    <w:rsid w:val="00B4068D"/>
    <w:rsid w:val="00B42EA7"/>
    <w:rsid w:val="00B45548"/>
    <w:rsid w:val="00B45C23"/>
    <w:rsid w:val="00B51845"/>
    <w:rsid w:val="00B51923"/>
    <w:rsid w:val="00B5337C"/>
    <w:rsid w:val="00B53FDE"/>
    <w:rsid w:val="00B5492A"/>
    <w:rsid w:val="00B54ADE"/>
    <w:rsid w:val="00B56397"/>
    <w:rsid w:val="00B571DA"/>
    <w:rsid w:val="00B6027B"/>
    <w:rsid w:val="00B636C8"/>
    <w:rsid w:val="00B6508D"/>
    <w:rsid w:val="00B65EDB"/>
    <w:rsid w:val="00B67AFF"/>
    <w:rsid w:val="00B70B59"/>
    <w:rsid w:val="00B72837"/>
    <w:rsid w:val="00B73657"/>
    <w:rsid w:val="00B739B3"/>
    <w:rsid w:val="00B81665"/>
    <w:rsid w:val="00B81843"/>
    <w:rsid w:val="00B81B15"/>
    <w:rsid w:val="00B866AA"/>
    <w:rsid w:val="00B915AE"/>
    <w:rsid w:val="00B93123"/>
    <w:rsid w:val="00B97668"/>
    <w:rsid w:val="00B97D63"/>
    <w:rsid w:val="00BA1735"/>
    <w:rsid w:val="00BA19FA"/>
    <w:rsid w:val="00BA4288"/>
    <w:rsid w:val="00BA714C"/>
    <w:rsid w:val="00BB0902"/>
    <w:rsid w:val="00BB116A"/>
    <w:rsid w:val="00BB1F9C"/>
    <w:rsid w:val="00BB48E5"/>
    <w:rsid w:val="00BB50D6"/>
    <w:rsid w:val="00BB5607"/>
    <w:rsid w:val="00BB5ACA"/>
    <w:rsid w:val="00BB627F"/>
    <w:rsid w:val="00BC0C17"/>
    <w:rsid w:val="00BC308E"/>
    <w:rsid w:val="00BC3823"/>
    <w:rsid w:val="00BC5841"/>
    <w:rsid w:val="00BC591A"/>
    <w:rsid w:val="00BC7239"/>
    <w:rsid w:val="00BD22B7"/>
    <w:rsid w:val="00BD2948"/>
    <w:rsid w:val="00BD2EF0"/>
    <w:rsid w:val="00BD60B4"/>
    <w:rsid w:val="00BD796B"/>
    <w:rsid w:val="00BE31B2"/>
    <w:rsid w:val="00BE40C0"/>
    <w:rsid w:val="00BE48ED"/>
    <w:rsid w:val="00BE5F4A"/>
    <w:rsid w:val="00BE74E8"/>
    <w:rsid w:val="00BE7AEF"/>
    <w:rsid w:val="00BF09B0"/>
    <w:rsid w:val="00BF1544"/>
    <w:rsid w:val="00BF1B53"/>
    <w:rsid w:val="00BF246D"/>
    <w:rsid w:val="00BF2682"/>
    <w:rsid w:val="00C00B0F"/>
    <w:rsid w:val="00C06F06"/>
    <w:rsid w:val="00C07039"/>
    <w:rsid w:val="00C20FAD"/>
    <w:rsid w:val="00C2375F"/>
    <w:rsid w:val="00C247CB"/>
    <w:rsid w:val="00C251FC"/>
    <w:rsid w:val="00C2782D"/>
    <w:rsid w:val="00C325F3"/>
    <w:rsid w:val="00C32E66"/>
    <w:rsid w:val="00C3355F"/>
    <w:rsid w:val="00C33A04"/>
    <w:rsid w:val="00C3569A"/>
    <w:rsid w:val="00C36856"/>
    <w:rsid w:val="00C36E33"/>
    <w:rsid w:val="00C416FB"/>
    <w:rsid w:val="00C43F48"/>
    <w:rsid w:val="00C448FF"/>
    <w:rsid w:val="00C45E57"/>
    <w:rsid w:val="00C462BB"/>
    <w:rsid w:val="00C46E2A"/>
    <w:rsid w:val="00C52563"/>
    <w:rsid w:val="00C52F29"/>
    <w:rsid w:val="00C555FD"/>
    <w:rsid w:val="00C56CE6"/>
    <w:rsid w:val="00C5745F"/>
    <w:rsid w:val="00C57637"/>
    <w:rsid w:val="00C60005"/>
    <w:rsid w:val="00C61A98"/>
    <w:rsid w:val="00C61C53"/>
    <w:rsid w:val="00C62E7C"/>
    <w:rsid w:val="00C63201"/>
    <w:rsid w:val="00C64E62"/>
    <w:rsid w:val="00C651D5"/>
    <w:rsid w:val="00C65CCC"/>
    <w:rsid w:val="00C72683"/>
    <w:rsid w:val="00C7618F"/>
    <w:rsid w:val="00C765A9"/>
    <w:rsid w:val="00C81157"/>
    <w:rsid w:val="00C8162D"/>
    <w:rsid w:val="00C830BB"/>
    <w:rsid w:val="00C83A0B"/>
    <w:rsid w:val="00C842D0"/>
    <w:rsid w:val="00C84AA1"/>
    <w:rsid w:val="00C84ED1"/>
    <w:rsid w:val="00C85BD9"/>
    <w:rsid w:val="00C863CC"/>
    <w:rsid w:val="00C9038F"/>
    <w:rsid w:val="00C92A00"/>
    <w:rsid w:val="00C92AAB"/>
    <w:rsid w:val="00C95615"/>
    <w:rsid w:val="00C95D4C"/>
    <w:rsid w:val="00C9637F"/>
    <w:rsid w:val="00C9708A"/>
    <w:rsid w:val="00CA2435"/>
    <w:rsid w:val="00CA4068"/>
    <w:rsid w:val="00CA4077"/>
    <w:rsid w:val="00CA67F4"/>
    <w:rsid w:val="00CB2C59"/>
    <w:rsid w:val="00CB37F8"/>
    <w:rsid w:val="00CB4E99"/>
    <w:rsid w:val="00CB55B1"/>
    <w:rsid w:val="00CB7DC3"/>
    <w:rsid w:val="00CC1EC4"/>
    <w:rsid w:val="00CC5001"/>
    <w:rsid w:val="00CC5BE1"/>
    <w:rsid w:val="00CC75A2"/>
    <w:rsid w:val="00CC7A18"/>
    <w:rsid w:val="00CD0DE7"/>
    <w:rsid w:val="00CD0E2F"/>
    <w:rsid w:val="00CD164C"/>
    <w:rsid w:val="00CD1D49"/>
    <w:rsid w:val="00CD2F20"/>
    <w:rsid w:val="00CD4C5B"/>
    <w:rsid w:val="00CD6B20"/>
    <w:rsid w:val="00CD788E"/>
    <w:rsid w:val="00CD7893"/>
    <w:rsid w:val="00CE1339"/>
    <w:rsid w:val="00CE181A"/>
    <w:rsid w:val="00CE1A11"/>
    <w:rsid w:val="00CE1C06"/>
    <w:rsid w:val="00CE61CC"/>
    <w:rsid w:val="00CE6E03"/>
    <w:rsid w:val="00CE6E42"/>
    <w:rsid w:val="00CE7176"/>
    <w:rsid w:val="00CF20B7"/>
    <w:rsid w:val="00CF6692"/>
    <w:rsid w:val="00CF7441"/>
    <w:rsid w:val="00CF7CC9"/>
    <w:rsid w:val="00D00D16"/>
    <w:rsid w:val="00D035AF"/>
    <w:rsid w:val="00D03C6C"/>
    <w:rsid w:val="00D04760"/>
    <w:rsid w:val="00D04A95"/>
    <w:rsid w:val="00D05E27"/>
    <w:rsid w:val="00D06288"/>
    <w:rsid w:val="00D068C7"/>
    <w:rsid w:val="00D07532"/>
    <w:rsid w:val="00D128A4"/>
    <w:rsid w:val="00D12B7F"/>
    <w:rsid w:val="00D1391D"/>
    <w:rsid w:val="00D147C8"/>
    <w:rsid w:val="00D15131"/>
    <w:rsid w:val="00D16FA2"/>
    <w:rsid w:val="00D20954"/>
    <w:rsid w:val="00D2097C"/>
    <w:rsid w:val="00D21780"/>
    <w:rsid w:val="00D21C39"/>
    <w:rsid w:val="00D21FC6"/>
    <w:rsid w:val="00D2243A"/>
    <w:rsid w:val="00D33393"/>
    <w:rsid w:val="00D33D36"/>
    <w:rsid w:val="00D34D94"/>
    <w:rsid w:val="00D355B0"/>
    <w:rsid w:val="00D373A7"/>
    <w:rsid w:val="00D377F8"/>
    <w:rsid w:val="00D409E2"/>
    <w:rsid w:val="00D427D7"/>
    <w:rsid w:val="00D44D34"/>
    <w:rsid w:val="00D44E62"/>
    <w:rsid w:val="00D51570"/>
    <w:rsid w:val="00D552BD"/>
    <w:rsid w:val="00D556AD"/>
    <w:rsid w:val="00D60381"/>
    <w:rsid w:val="00D616DE"/>
    <w:rsid w:val="00D62201"/>
    <w:rsid w:val="00D636CF"/>
    <w:rsid w:val="00D65146"/>
    <w:rsid w:val="00D651D1"/>
    <w:rsid w:val="00D65BA5"/>
    <w:rsid w:val="00D717BB"/>
    <w:rsid w:val="00D7226B"/>
    <w:rsid w:val="00D72707"/>
    <w:rsid w:val="00D75A9C"/>
    <w:rsid w:val="00D764FA"/>
    <w:rsid w:val="00D829C8"/>
    <w:rsid w:val="00D8524E"/>
    <w:rsid w:val="00D90385"/>
    <w:rsid w:val="00D90871"/>
    <w:rsid w:val="00D90C33"/>
    <w:rsid w:val="00D90C45"/>
    <w:rsid w:val="00D9155F"/>
    <w:rsid w:val="00D9403F"/>
    <w:rsid w:val="00D959B4"/>
    <w:rsid w:val="00DA0CC4"/>
    <w:rsid w:val="00DA0E34"/>
    <w:rsid w:val="00DA334C"/>
    <w:rsid w:val="00DA44DE"/>
    <w:rsid w:val="00DB620A"/>
    <w:rsid w:val="00DB6BB5"/>
    <w:rsid w:val="00DC0D69"/>
    <w:rsid w:val="00DC218D"/>
    <w:rsid w:val="00DC3832"/>
    <w:rsid w:val="00DC7A51"/>
    <w:rsid w:val="00DD3B1E"/>
    <w:rsid w:val="00DD43E6"/>
    <w:rsid w:val="00DD4758"/>
    <w:rsid w:val="00DE2FBA"/>
    <w:rsid w:val="00DE576A"/>
    <w:rsid w:val="00DE5B5F"/>
    <w:rsid w:val="00DF2480"/>
    <w:rsid w:val="00DF409D"/>
    <w:rsid w:val="00DF614E"/>
    <w:rsid w:val="00DF78A0"/>
    <w:rsid w:val="00E00696"/>
    <w:rsid w:val="00E00DB8"/>
    <w:rsid w:val="00E0129B"/>
    <w:rsid w:val="00E03651"/>
    <w:rsid w:val="00E03745"/>
    <w:rsid w:val="00E03808"/>
    <w:rsid w:val="00E03FD0"/>
    <w:rsid w:val="00E060C2"/>
    <w:rsid w:val="00E06324"/>
    <w:rsid w:val="00E07B81"/>
    <w:rsid w:val="00E10AFD"/>
    <w:rsid w:val="00E11189"/>
    <w:rsid w:val="00E12B11"/>
    <w:rsid w:val="00E12FB0"/>
    <w:rsid w:val="00E14317"/>
    <w:rsid w:val="00E14814"/>
    <w:rsid w:val="00E14BD8"/>
    <w:rsid w:val="00E1582C"/>
    <w:rsid w:val="00E1591B"/>
    <w:rsid w:val="00E16A50"/>
    <w:rsid w:val="00E249D5"/>
    <w:rsid w:val="00E25017"/>
    <w:rsid w:val="00E26AB7"/>
    <w:rsid w:val="00E26F73"/>
    <w:rsid w:val="00E27B93"/>
    <w:rsid w:val="00E30A34"/>
    <w:rsid w:val="00E335E1"/>
    <w:rsid w:val="00E33C68"/>
    <w:rsid w:val="00E34EEB"/>
    <w:rsid w:val="00E3687C"/>
    <w:rsid w:val="00E36BF7"/>
    <w:rsid w:val="00E37062"/>
    <w:rsid w:val="00E37E53"/>
    <w:rsid w:val="00E44997"/>
    <w:rsid w:val="00E44EB9"/>
    <w:rsid w:val="00E45BDC"/>
    <w:rsid w:val="00E46358"/>
    <w:rsid w:val="00E471DC"/>
    <w:rsid w:val="00E50EB4"/>
    <w:rsid w:val="00E532FC"/>
    <w:rsid w:val="00E54EF7"/>
    <w:rsid w:val="00E559B4"/>
    <w:rsid w:val="00E55BB0"/>
    <w:rsid w:val="00E568CE"/>
    <w:rsid w:val="00E609E5"/>
    <w:rsid w:val="00E60F27"/>
    <w:rsid w:val="00E64D93"/>
    <w:rsid w:val="00E65EDB"/>
    <w:rsid w:val="00E66927"/>
    <w:rsid w:val="00E677B8"/>
    <w:rsid w:val="00E67FA1"/>
    <w:rsid w:val="00E7387D"/>
    <w:rsid w:val="00E73D53"/>
    <w:rsid w:val="00E75111"/>
    <w:rsid w:val="00E75334"/>
    <w:rsid w:val="00E77296"/>
    <w:rsid w:val="00E860A4"/>
    <w:rsid w:val="00E87527"/>
    <w:rsid w:val="00E87EF7"/>
    <w:rsid w:val="00E92B63"/>
    <w:rsid w:val="00E93763"/>
    <w:rsid w:val="00E937F5"/>
    <w:rsid w:val="00E96C4C"/>
    <w:rsid w:val="00E97646"/>
    <w:rsid w:val="00EA1819"/>
    <w:rsid w:val="00EA2AAE"/>
    <w:rsid w:val="00EA2EC0"/>
    <w:rsid w:val="00EA427A"/>
    <w:rsid w:val="00EA723B"/>
    <w:rsid w:val="00EB628D"/>
    <w:rsid w:val="00EB6350"/>
    <w:rsid w:val="00EB661B"/>
    <w:rsid w:val="00EB687A"/>
    <w:rsid w:val="00EB72EB"/>
    <w:rsid w:val="00EB738B"/>
    <w:rsid w:val="00EC191D"/>
    <w:rsid w:val="00EC2DBC"/>
    <w:rsid w:val="00EC2F62"/>
    <w:rsid w:val="00EC62EB"/>
    <w:rsid w:val="00EC6E9F"/>
    <w:rsid w:val="00ED44F0"/>
    <w:rsid w:val="00ED47E5"/>
    <w:rsid w:val="00ED4B33"/>
    <w:rsid w:val="00ED5993"/>
    <w:rsid w:val="00ED7DD6"/>
    <w:rsid w:val="00EE060B"/>
    <w:rsid w:val="00EE15A1"/>
    <w:rsid w:val="00EE1902"/>
    <w:rsid w:val="00EE21AE"/>
    <w:rsid w:val="00EE2A7C"/>
    <w:rsid w:val="00EE2C42"/>
    <w:rsid w:val="00EE3206"/>
    <w:rsid w:val="00EE341B"/>
    <w:rsid w:val="00EE4453"/>
    <w:rsid w:val="00EE5FCE"/>
    <w:rsid w:val="00EE60E7"/>
    <w:rsid w:val="00EE6BBD"/>
    <w:rsid w:val="00EE6C4F"/>
    <w:rsid w:val="00EE6E1E"/>
    <w:rsid w:val="00EE705F"/>
    <w:rsid w:val="00EF1462"/>
    <w:rsid w:val="00EF37E2"/>
    <w:rsid w:val="00EF428D"/>
    <w:rsid w:val="00EF54FD"/>
    <w:rsid w:val="00EF5B33"/>
    <w:rsid w:val="00EF615D"/>
    <w:rsid w:val="00F044DB"/>
    <w:rsid w:val="00F07856"/>
    <w:rsid w:val="00F07F0D"/>
    <w:rsid w:val="00F12988"/>
    <w:rsid w:val="00F13112"/>
    <w:rsid w:val="00F133B9"/>
    <w:rsid w:val="00F15233"/>
    <w:rsid w:val="00F16FE6"/>
    <w:rsid w:val="00F21D76"/>
    <w:rsid w:val="00F238BD"/>
    <w:rsid w:val="00F24992"/>
    <w:rsid w:val="00F256EA"/>
    <w:rsid w:val="00F27134"/>
    <w:rsid w:val="00F31ED3"/>
    <w:rsid w:val="00F32F2F"/>
    <w:rsid w:val="00F33F3F"/>
    <w:rsid w:val="00F35BDD"/>
    <w:rsid w:val="00F35CF4"/>
    <w:rsid w:val="00F35EF0"/>
    <w:rsid w:val="00F3781F"/>
    <w:rsid w:val="00F403FD"/>
    <w:rsid w:val="00F40D58"/>
    <w:rsid w:val="00F40E54"/>
    <w:rsid w:val="00F41E72"/>
    <w:rsid w:val="00F45BDF"/>
    <w:rsid w:val="00F45F07"/>
    <w:rsid w:val="00F50300"/>
    <w:rsid w:val="00F5414B"/>
    <w:rsid w:val="00F56E39"/>
    <w:rsid w:val="00F623E9"/>
    <w:rsid w:val="00F63951"/>
    <w:rsid w:val="00F63C86"/>
    <w:rsid w:val="00F722C2"/>
    <w:rsid w:val="00F72D3B"/>
    <w:rsid w:val="00F75D6F"/>
    <w:rsid w:val="00F766BE"/>
    <w:rsid w:val="00F77EB9"/>
    <w:rsid w:val="00F80635"/>
    <w:rsid w:val="00F8115F"/>
    <w:rsid w:val="00F815D1"/>
    <w:rsid w:val="00F81E7E"/>
    <w:rsid w:val="00F81F0F"/>
    <w:rsid w:val="00F825F4"/>
    <w:rsid w:val="00F87847"/>
    <w:rsid w:val="00F90075"/>
    <w:rsid w:val="00F90F2C"/>
    <w:rsid w:val="00F92107"/>
    <w:rsid w:val="00F92AA1"/>
    <w:rsid w:val="00F932DE"/>
    <w:rsid w:val="00F963DD"/>
    <w:rsid w:val="00F9641A"/>
    <w:rsid w:val="00F97004"/>
    <w:rsid w:val="00FA2045"/>
    <w:rsid w:val="00FA3064"/>
    <w:rsid w:val="00FA3CC4"/>
    <w:rsid w:val="00FA684C"/>
    <w:rsid w:val="00FA7685"/>
    <w:rsid w:val="00FA7A66"/>
    <w:rsid w:val="00FB1AA9"/>
    <w:rsid w:val="00FB396B"/>
    <w:rsid w:val="00FB4B5A"/>
    <w:rsid w:val="00FB5963"/>
    <w:rsid w:val="00FB5DAA"/>
    <w:rsid w:val="00FB63FF"/>
    <w:rsid w:val="00FC04B9"/>
    <w:rsid w:val="00FC161A"/>
    <w:rsid w:val="00FC23D5"/>
    <w:rsid w:val="00FC34A0"/>
    <w:rsid w:val="00FC4337"/>
    <w:rsid w:val="00FC4C1A"/>
    <w:rsid w:val="00FC4DE8"/>
    <w:rsid w:val="00FC628F"/>
    <w:rsid w:val="00FC6468"/>
    <w:rsid w:val="00FC6D49"/>
    <w:rsid w:val="00FD2A32"/>
    <w:rsid w:val="00FD4922"/>
    <w:rsid w:val="00FD4EC1"/>
    <w:rsid w:val="00FD59F2"/>
    <w:rsid w:val="00FD6461"/>
    <w:rsid w:val="00FE0281"/>
    <w:rsid w:val="00FE3218"/>
    <w:rsid w:val="00FE7083"/>
    <w:rsid w:val="00FF019F"/>
    <w:rsid w:val="00FF06AF"/>
    <w:rsid w:val="00FF092F"/>
    <w:rsid w:val="00FF1B2A"/>
    <w:rsid w:val="00FF2160"/>
    <w:rsid w:val="00FF2C95"/>
    <w:rsid w:val="00FF30DE"/>
    <w:rsid w:val="00FF42D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0304548-A74B-45A8-86DD-B8DBECF7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FootnoteTextChar1">
    <w:name w:val="Footnote Text Char1"/>
    <w:aliases w:val="Schriftart: 9 pt Char,Schriftart: 10 pt Char,Schriftart: 8 pt Char,WB-Fußnotentext Char,fn Char,Footnotes Char,Footnote ak Char,FoodNote Char,ft Char,Footnote Char,Footnote Text Char1 Char Char Char,Footnote Text Char1 Char Char1"/>
    <w:link w:val="FootnoteText"/>
    <w:semiHidden/>
    <w:locked/>
    <w:rsid w:val="008E057F"/>
    <w:rPr>
      <w:lang w:val="en-GB" w:eastAsia="en-GB"/>
    </w:rPr>
  </w:style>
  <w:style w:type="paragraph" w:styleId="FootnoteText">
    <w:name w:val="footnote text"/>
    <w:aliases w:val="Schriftart: 9 pt,Schriftart: 10 pt,Schriftart: 8 pt,WB-Fußnotentext,fn,Footnotes,Footnote ak,FoodNote,ft,Footnote,Footnote Text Char1 Char Char,Footnote Text Char1 Char,Reference,Fußnote,f"/>
    <w:basedOn w:val="Normal"/>
    <w:link w:val="FootnoteTextChar1"/>
    <w:semiHidden/>
    <w:unhideWhenUsed/>
    <w:rsid w:val="008E057F"/>
    <w:pPr>
      <w:widowControl/>
      <w:autoSpaceDE/>
      <w:autoSpaceDN/>
      <w:adjustRightInd/>
    </w:pPr>
    <w:rPr>
      <w:rFonts w:ascii="Times New Roman" w:hAnsi="Times New Roman" w:cs="Times New Roman"/>
      <w:color w:val="auto"/>
      <w:sz w:val="20"/>
      <w:szCs w:val="20"/>
      <w:lang w:val="en-GB" w:eastAsia="en-GB"/>
    </w:rPr>
  </w:style>
  <w:style w:type="character" w:customStyle="1" w:styleId="FootnoteTextChar">
    <w:name w:val="Footnote Text Char"/>
    <w:basedOn w:val="DefaultParagraphFont"/>
    <w:uiPriority w:val="99"/>
    <w:semiHidden/>
    <w:rsid w:val="008E057F"/>
    <w:rPr>
      <w:rFonts w:ascii="Calibri" w:hAnsi="Calibri" w:cs="Calibri"/>
      <w:color w:val="000000"/>
    </w:rPr>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ootnote number,f1"/>
    <w:basedOn w:val="DefaultParagraphFont"/>
    <w:uiPriority w:val="99"/>
    <w:unhideWhenUsed/>
    <w:rsid w:val="008E057F"/>
    <w:rPr>
      <w:vertAlign w:val="superscript"/>
    </w:rPr>
  </w:style>
  <w:style w:type="paragraph" w:customStyle="1" w:styleId="EndNoteBibliographyTitle">
    <w:name w:val="EndNote Bibliography Title"/>
    <w:basedOn w:val="Normal"/>
    <w:link w:val="EndNoteBibliographyTitleChar"/>
    <w:rsid w:val="00F40E54"/>
    <w:pPr>
      <w:jc w:val="center"/>
    </w:pPr>
    <w:rPr>
      <w:noProof/>
    </w:rPr>
  </w:style>
  <w:style w:type="character" w:customStyle="1" w:styleId="EndNoteBibliographyTitleChar">
    <w:name w:val="EndNote Bibliography Title Char"/>
    <w:basedOn w:val="DefaultParagraphFont"/>
    <w:link w:val="EndNoteBibliographyTitle"/>
    <w:rsid w:val="00F40E54"/>
    <w:rPr>
      <w:rFonts w:ascii="Calibri" w:hAnsi="Calibri" w:cs="Calibri"/>
      <w:noProof/>
      <w:color w:val="000000"/>
      <w:sz w:val="24"/>
      <w:szCs w:val="24"/>
    </w:rPr>
  </w:style>
  <w:style w:type="paragraph" w:customStyle="1" w:styleId="EndNoteBibliography">
    <w:name w:val="EndNote Bibliography"/>
    <w:basedOn w:val="Normal"/>
    <w:link w:val="EndNoteBibliographyChar"/>
    <w:rsid w:val="00F40E54"/>
    <w:rPr>
      <w:noProof/>
    </w:rPr>
  </w:style>
  <w:style w:type="character" w:customStyle="1" w:styleId="EndNoteBibliographyChar">
    <w:name w:val="EndNote Bibliography Char"/>
    <w:basedOn w:val="DefaultParagraphFont"/>
    <w:link w:val="EndNoteBibliography"/>
    <w:rsid w:val="00F40E54"/>
    <w:rPr>
      <w:rFonts w:ascii="Calibri" w:hAnsi="Calibri" w:cs="Calibri"/>
      <w:noProof/>
      <w:color w:val="000000"/>
      <w:sz w:val="24"/>
      <w:szCs w:val="24"/>
    </w:rPr>
  </w:style>
  <w:style w:type="paragraph" w:customStyle="1" w:styleId="Figurereference">
    <w:name w:val="Figure reference"/>
    <w:basedOn w:val="Normal"/>
    <w:link w:val="FigurereferenceChar"/>
    <w:qFormat/>
    <w:rsid w:val="0040008B"/>
    <w:rPr>
      <w:rFonts w:asciiTheme="minorHAnsi" w:hAnsiTheme="minorHAnsi" w:cstheme="minorHAnsi"/>
      <w:color w:val="FF0000"/>
    </w:rPr>
  </w:style>
  <w:style w:type="character" w:customStyle="1" w:styleId="FigurereferenceChar">
    <w:name w:val="Figure reference Char"/>
    <w:basedOn w:val="DefaultParagraphFont"/>
    <w:link w:val="Figurereference"/>
    <w:rsid w:val="0040008B"/>
    <w:rPr>
      <w:rFonts w:asciiTheme="minorHAnsi" w:hAnsiTheme="minorHAnsi" w:cstheme="minorHAnsi"/>
      <w:color w:val="FF0000"/>
      <w:sz w:val="24"/>
      <w:szCs w:val="24"/>
    </w:rPr>
  </w:style>
  <w:style w:type="paragraph" w:styleId="Subtitle">
    <w:name w:val="Subtitle"/>
    <w:basedOn w:val="Normal"/>
    <w:next w:val="Normal"/>
    <w:link w:val="SubtitleChar"/>
    <w:autoRedefine/>
    <w:uiPriority w:val="11"/>
    <w:qFormat/>
    <w:rsid w:val="005F3AC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3ACB"/>
    <w:rPr>
      <w:rFonts w:ascii="Calibri" w:eastAsiaTheme="minorEastAsia" w:hAnsi="Calibri" w:cs="Calibri"/>
      <w:color w:val="5A5A5A" w:themeColor="text1" w:themeTint="A5"/>
      <w:spacing w:val="15"/>
      <w:sz w:val="24"/>
      <w:szCs w:val="24"/>
    </w:rPr>
  </w:style>
  <w:style w:type="character" w:styleId="PlaceholderText">
    <w:name w:val="Placeholder Text"/>
    <w:basedOn w:val="DefaultParagraphFont"/>
    <w:uiPriority w:val="99"/>
    <w:semiHidden/>
    <w:rsid w:val="00936A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259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9204062">
      <w:bodyDiv w:val="1"/>
      <w:marLeft w:val="0"/>
      <w:marRight w:val="0"/>
      <w:marTop w:val="0"/>
      <w:marBottom w:val="0"/>
      <w:divBdr>
        <w:top w:val="none" w:sz="0" w:space="0" w:color="auto"/>
        <w:left w:val="none" w:sz="0" w:space="0" w:color="auto"/>
        <w:bottom w:val="none" w:sz="0" w:space="0" w:color="auto"/>
        <w:right w:val="none" w:sz="0" w:space="0" w:color="auto"/>
      </w:divBdr>
    </w:div>
    <w:div w:id="515652959">
      <w:bodyDiv w:val="1"/>
      <w:marLeft w:val="0"/>
      <w:marRight w:val="0"/>
      <w:marTop w:val="0"/>
      <w:marBottom w:val="0"/>
      <w:divBdr>
        <w:top w:val="none" w:sz="0" w:space="0" w:color="auto"/>
        <w:left w:val="none" w:sz="0" w:space="0" w:color="auto"/>
        <w:bottom w:val="none" w:sz="0" w:space="0" w:color="auto"/>
        <w:right w:val="none" w:sz="0" w:space="0" w:color="auto"/>
      </w:divBdr>
    </w:div>
    <w:div w:id="609706777">
      <w:bodyDiv w:val="1"/>
      <w:marLeft w:val="0"/>
      <w:marRight w:val="0"/>
      <w:marTop w:val="0"/>
      <w:marBottom w:val="0"/>
      <w:divBdr>
        <w:top w:val="none" w:sz="0" w:space="0" w:color="auto"/>
        <w:left w:val="none" w:sz="0" w:space="0" w:color="auto"/>
        <w:bottom w:val="none" w:sz="0" w:space="0" w:color="auto"/>
        <w:right w:val="none" w:sz="0" w:space="0" w:color="auto"/>
      </w:divBdr>
    </w:div>
    <w:div w:id="628367071">
      <w:bodyDiv w:val="1"/>
      <w:marLeft w:val="0"/>
      <w:marRight w:val="0"/>
      <w:marTop w:val="0"/>
      <w:marBottom w:val="0"/>
      <w:divBdr>
        <w:top w:val="none" w:sz="0" w:space="0" w:color="auto"/>
        <w:left w:val="none" w:sz="0" w:space="0" w:color="auto"/>
        <w:bottom w:val="none" w:sz="0" w:space="0" w:color="auto"/>
        <w:right w:val="none" w:sz="0" w:space="0" w:color="auto"/>
      </w:divBdr>
    </w:div>
    <w:div w:id="6669775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6613">
      <w:bodyDiv w:val="1"/>
      <w:marLeft w:val="0"/>
      <w:marRight w:val="0"/>
      <w:marTop w:val="0"/>
      <w:marBottom w:val="0"/>
      <w:divBdr>
        <w:top w:val="none" w:sz="0" w:space="0" w:color="auto"/>
        <w:left w:val="none" w:sz="0" w:space="0" w:color="auto"/>
        <w:bottom w:val="none" w:sz="0" w:space="0" w:color="auto"/>
        <w:right w:val="none" w:sz="0" w:space="0" w:color="auto"/>
      </w:divBdr>
    </w:div>
    <w:div w:id="11185975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5976892">
      <w:bodyDiv w:val="1"/>
      <w:marLeft w:val="0"/>
      <w:marRight w:val="0"/>
      <w:marTop w:val="0"/>
      <w:marBottom w:val="0"/>
      <w:divBdr>
        <w:top w:val="none" w:sz="0" w:space="0" w:color="auto"/>
        <w:left w:val="none" w:sz="0" w:space="0" w:color="auto"/>
        <w:bottom w:val="none" w:sz="0" w:space="0" w:color="auto"/>
        <w:right w:val="none" w:sz="0" w:space="0" w:color="auto"/>
      </w:divBdr>
    </w:div>
    <w:div w:id="1176962819">
      <w:bodyDiv w:val="1"/>
      <w:marLeft w:val="0"/>
      <w:marRight w:val="0"/>
      <w:marTop w:val="0"/>
      <w:marBottom w:val="0"/>
      <w:divBdr>
        <w:top w:val="none" w:sz="0" w:space="0" w:color="auto"/>
        <w:left w:val="none" w:sz="0" w:space="0" w:color="auto"/>
        <w:bottom w:val="none" w:sz="0" w:space="0" w:color="auto"/>
        <w:right w:val="none" w:sz="0" w:space="0" w:color="auto"/>
      </w:divBdr>
    </w:div>
    <w:div w:id="1350064154">
      <w:bodyDiv w:val="1"/>
      <w:marLeft w:val="0"/>
      <w:marRight w:val="0"/>
      <w:marTop w:val="0"/>
      <w:marBottom w:val="0"/>
      <w:divBdr>
        <w:top w:val="none" w:sz="0" w:space="0" w:color="auto"/>
        <w:left w:val="none" w:sz="0" w:space="0" w:color="auto"/>
        <w:bottom w:val="none" w:sz="0" w:space="0" w:color="auto"/>
        <w:right w:val="none" w:sz="0" w:space="0" w:color="auto"/>
      </w:divBdr>
    </w:div>
    <w:div w:id="1484078239">
      <w:bodyDiv w:val="1"/>
      <w:marLeft w:val="0"/>
      <w:marRight w:val="0"/>
      <w:marTop w:val="0"/>
      <w:marBottom w:val="0"/>
      <w:divBdr>
        <w:top w:val="none" w:sz="0" w:space="0" w:color="auto"/>
        <w:left w:val="none" w:sz="0" w:space="0" w:color="auto"/>
        <w:bottom w:val="none" w:sz="0" w:space="0" w:color="auto"/>
        <w:right w:val="none" w:sz="0" w:space="0" w:color="auto"/>
      </w:divBdr>
    </w:div>
    <w:div w:id="1661613120">
      <w:bodyDiv w:val="1"/>
      <w:marLeft w:val="0"/>
      <w:marRight w:val="0"/>
      <w:marTop w:val="0"/>
      <w:marBottom w:val="0"/>
      <w:divBdr>
        <w:top w:val="none" w:sz="0" w:space="0" w:color="auto"/>
        <w:left w:val="none" w:sz="0" w:space="0" w:color="auto"/>
        <w:bottom w:val="none" w:sz="0" w:space="0" w:color="auto"/>
        <w:right w:val="none" w:sz="0" w:space="0" w:color="auto"/>
      </w:divBdr>
    </w:div>
    <w:div w:id="1690912461">
      <w:bodyDiv w:val="1"/>
      <w:marLeft w:val="0"/>
      <w:marRight w:val="0"/>
      <w:marTop w:val="0"/>
      <w:marBottom w:val="0"/>
      <w:divBdr>
        <w:top w:val="none" w:sz="0" w:space="0" w:color="auto"/>
        <w:left w:val="none" w:sz="0" w:space="0" w:color="auto"/>
        <w:bottom w:val="none" w:sz="0" w:space="0" w:color="auto"/>
        <w:right w:val="none" w:sz="0" w:space="0" w:color="auto"/>
      </w:divBdr>
    </w:div>
    <w:div w:id="175959465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975214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627698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flygare@med.lu.se" TargetMode="External"/><Relationship Id="rId13" Type="http://schemas.openxmlformats.org/officeDocument/2006/relationships/hyperlink" Target="mailto:nat12aj2@student.lu.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shori.dhulipala@med.lu.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capellera_garcia@med.lu.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lissa.ilsley@med.lu.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46%2046%20222%2006%20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07032-666E-4A1D-AB02-5AB8F020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5156</Words>
  <Characters>29393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34481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Alisha Dsouza</cp:lastModifiedBy>
  <cp:revision>3</cp:revision>
  <cp:lastPrinted>2018-07-23T17:40:00Z</cp:lastPrinted>
  <dcterms:created xsi:type="dcterms:W3CDTF">2018-07-25T13:42:00Z</dcterms:created>
  <dcterms:modified xsi:type="dcterms:W3CDTF">2018-07-25T19:05:00Z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