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4CF" w:rsidRPr="002F44CF" w:rsidRDefault="007B2441" w:rsidP="002F44CF">
      <w:pPr>
        <w:spacing w:after="0" w:line="240" w:lineRule="auto"/>
        <w:jc w:val="both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SUPPLEMENTAL MATERIAL</w:t>
      </w:r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b/>
          <w:sz w:val="24"/>
          <w:szCs w:val="24"/>
          <w:lang w:val="en-US"/>
        </w:rPr>
      </w:pPr>
    </w:p>
    <w:p w:rsidR="002F44CF" w:rsidRPr="002F44CF" w:rsidRDefault="002F44CF" w:rsidP="002F44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 w:val="24"/>
          <w:szCs w:val="24"/>
          <w:lang w:val="en-US"/>
        </w:rPr>
      </w:pPr>
      <w:r w:rsidRPr="002F44CF">
        <w:rPr>
          <w:lang w:val="en"/>
        </w:rPr>
        <w:t>Evaluation of TMA, TMAO and indoxyl sulfide concentration using liquid chromatography coupled with triple-quadrupole mass spectrometry.</w:t>
      </w:r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b/>
          <w:lang w:val="en-US"/>
        </w:rPr>
      </w:pPr>
    </w:p>
    <w:p w:rsidR="002F44CF" w:rsidRDefault="002F44CF" w:rsidP="002F44CF">
      <w:pPr>
        <w:spacing w:after="0" w:line="240" w:lineRule="auto"/>
        <w:jc w:val="both"/>
        <w:rPr>
          <w:rFonts w:cs="Times New Roman"/>
          <w:b/>
          <w:lang w:val="en-US"/>
        </w:rPr>
      </w:pPr>
      <w:r w:rsidRPr="002F44CF">
        <w:rPr>
          <w:rFonts w:cs="Times New Roman"/>
          <w:b/>
          <w:lang w:val="en-US"/>
        </w:rPr>
        <w:t xml:space="preserve">Chemicals </w:t>
      </w:r>
    </w:p>
    <w:p w:rsidR="002F44CF" w:rsidRDefault="002F44CF" w:rsidP="002F44CF">
      <w:pPr>
        <w:spacing w:after="0" w:line="240" w:lineRule="auto"/>
        <w:jc w:val="both"/>
        <w:rPr>
          <w:rFonts w:cs="Times New Roman"/>
          <w:lang w:val="en-US"/>
        </w:rPr>
      </w:pPr>
      <w:r w:rsidRPr="002F44CF">
        <w:rPr>
          <w:rFonts w:cs="Times New Roman"/>
          <w:lang w:val="en-US"/>
        </w:rPr>
        <w:t>Following chemicals were used: LC-MS grade - acetonitrile, 25% ammonium hydroxide and formic acid, HPLC gradient grade Acetone</w:t>
      </w:r>
      <w:r w:rsidR="00B074E8">
        <w:rPr>
          <w:rFonts w:cs="Times New Roman"/>
          <w:lang w:val="en-US"/>
        </w:rPr>
        <w:t>, t</w:t>
      </w:r>
      <w:r w:rsidRPr="002F44CF">
        <w:rPr>
          <w:rFonts w:cs="Times New Roman"/>
          <w:lang w:val="en-US"/>
        </w:rPr>
        <w:t xml:space="preserve">rimethylamine N-oxide dihydrate (TMAO), trimethylamine hydrochloride (TMA), </w:t>
      </w:r>
      <w:bookmarkStart w:id="0" w:name="OLE_LINK15"/>
      <w:bookmarkStart w:id="1" w:name="OLE_LINK16"/>
      <w:r w:rsidRPr="002F44CF">
        <w:rPr>
          <w:rFonts w:cs="Times New Roman"/>
          <w:lang w:val="en-US"/>
        </w:rPr>
        <w:t xml:space="preserve">indoxyl sulfate </w:t>
      </w:r>
      <w:bookmarkEnd w:id="0"/>
      <w:bookmarkEnd w:id="1"/>
      <w:r w:rsidRPr="002F44CF">
        <w:rPr>
          <w:rFonts w:cs="Times New Roman"/>
          <w:lang w:val="en-US"/>
        </w:rPr>
        <w:t>potassium salt, trimethylamine-</w:t>
      </w:r>
      <w:r w:rsidRPr="002F44CF">
        <w:rPr>
          <w:rFonts w:cs="Times New Roman"/>
          <w:vertAlign w:val="superscript"/>
          <w:lang w:val="en-US"/>
        </w:rPr>
        <w:t>13</w:t>
      </w:r>
      <w:r w:rsidRPr="002F44CF">
        <w:rPr>
          <w:rFonts w:cs="Times New Roman"/>
          <w:lang w:val="en-US"/>
        </w:rPr>
        <w:t>C</w:t>
      </w:r>
      <w:r w:rsidRPr="002F44CF">
        <w:rPr>
          <w:rFonts w:cs="Times New Roman"/>
          <w:vertAlign w:val="subscript"/>
          <w:lang w:val="en-US"/>
        </w:rPr>
        <w:t>3</w:t>
      </w:r>
      <w:r w:rsidRPr="002F44CF">
        <w:rPr>
          <w:rFonts w:cs="Times New Roman"/>
          <w:lang w:val="en-US"/>
        </w:rPr>
        <w:t xml:space="preserve">, </w:t>
      </w:r>
      <w:r w:rsidRPr="002F44CF">
        <w:rPr>
          <w:rFonts w:cs="Times New Roman"/>
          <w:vertAlign w:val="superscript"/>
          <w:lang w:val="en-US"/>
        </w:rPr>
        <w:t>15</w:t>
      </w:r>
      <w:r w:rsidRPr="002F44CF">
        <w:rPr>
          <w:rFonts w:cs="Times New Roman"/>
          <w:lang w:val="en-US"/>
        </w:rPr>
        <w:t>N hydrochloride (TMA-</w:t>
      </w:r>
      <w:r w:rsidRPr="002F44CF">
        <w:rPr>
          <w:rFonts w:cs="Times New Roman"/>
          <w:vertAlign w:val="superscript"/>
          <w:lang w:val="en-US"/>
        </w:rPr>
        <w:t>13</w:t>
      </w:r>
      <w:r w:rsidRPr="002F44CF">
        <w:rPr>
          <w:rFonts w:cs="Times New Roman"/>
          <w:lang w:val="en-US"/>
        </w:rPr>
        <w:t>C</w:t>
      </w:r>
      <w:r w:rsidRPr="002F44CF">
        <w:rPr>
          <w:rFonts w:cs="Times New Roman"/>
          <w:vertAlign w:val="subscript"/>
          <w:lang w:val="en-US"/>
        </w:rPr>
        <w:t>3</w:t>
      </w:r>
      <w:r w:rsidRPr="002F44CF">
        <w:rPr>
          <w:rFonts w:cs="Times New Roman"/>
          <w:lang w:val="en-US"/>
        </w:rPr>
        <w:t xml:space="preserve">, </w:t>
      </w:r>
      <w:r w:rsidRPr="002F44CF">
        <w:rPr>
          <w:rFonts w:cs="Times New Roman"/>
          <w:vertAlign w:val="superscript"/>
          <w:lang w:val="en-US"/>
        </w:rPr>
        <w:t>15</w:t>
      </w:r>
      <w:r w:rsidRPr="002F44CF">
        <w:rPr>
          <w:rFonts w:cs="Times New Roman"/>
          <w:lang w:val="en-US"/>
        </w:rPr>
        <w:t>N IS for TMA), indoxyl-4,5,6,7-D</w:t>
      </w:r>
      <w:r w:rsidRPr="002F44CF">
        <w:rPr>
          <w:rFonts w:cs="Times New Roman"/>
          <w:vertAlign w:val="subscript"/>
          <w:lang w:val="en-US"/>
        </w:rPr>
        <w:t>4</w:t>
      </w:r>
      <w:r w:rsidRPr="002F44CF">
        <w:rPr>
          <w:rFonts w:cs="Times New Roman"/>
          <w:lang w:val="en-US"/>
        </w:rPr>
        <w:t xml:space="preserve"> </w:t>
      </w:r>
      <w:r w:rsidR="007E430E" w:rsidRPr="002F44CF">
        <w:rPr>
          <w:rFonts w:cs="Times New Roman"/>
          <w:lang w:val="en-US"/>
        </w:rPr>
        <w:t>sulfate</w:t>
      </w:r>
      <w:r w:rsidRPr="002F44CF">
        <w:rPr>
          <w:rFonts w:cs="Times New Roman"/>
          <w:lang w:val="en-US"/>
        </w:rPr>
        <w:t xml:space="preserve"> potassium salt (IS for indoxyl sulfate).</w:t>
      </w:r>
      <w:r w:rsidRPr="002F44CF">
        <w:rPr>
          <w:rFonts w:cs="Times New Roman"/>
          <w:b/>
          <w:lang w:val="en-US"/>
        </w:rPr>
        <w:t xml:space="preserve"> </w:t>
      </w:r>
      <w:r w:rsidRPr="002F44CF">
        <w:rPr>
          <w:rFonts w:cs="Times New Roman"/>
          <w:lang w:val="en-US"/>
        </w:rPr>
        <w:t>Trimethylamine N-oxide D</w:t>
      </w:r>
      <w:r w:rsidRPr="002F44CF">
        <w:rPr>
          <w:rFonts w:cs="Times New Roman"/>
          <w:vertAlign w:val="subscript"/>
          <w:lang w:val="en-US"/>
        </w:rPr>
        <w:t>9</w:t>
      </w:r>
      <w:r w:rsidRPr="002F44CF">
        <w:rPr>
          <w:rFonts w:cs="Times New Roman"/>
          <w:lang w:val="en-US"/>
        </w:rPr>
        <w:t xml:space="preserve"> (TMAO-D</w:t>
      </w:r>
      <w:r w:rsidRPr="002F44CF">
        <w:rPr>
          <w:rFonts w:cs="Times New Roman"/>
          <w:vertAlign w:val="subscript"/>
          <w:lang w:val="en-US"/>
        </w:rPr>
        <w:t>9</w:t>
      </w:r>
      <w:r w:rsidRPr="002F44CF">
        <w:rPr>
          <w:rFonts w:cs="Times New Roman"/>
          <w:lang w:val="en-US"/>
        </w:rPr>
        <w:t xml:space="preserve"> IS for TMAO) solution w</w:t>
      </w:r>
      <w:r w:rsidR="007E430E">
        <w:rPr>
          <w:rFonts w:cs="Times New Roman"/>
          <w:lang w:val="en-US"/>
        </w:rPr>
        <w:t>as</w:t>
      </w:r>
      <w:r w:rsidRPr="002F44CF">
        <w:rPr>
          <w:rFonts w:cs="Times New Roman"/>
          <w:lang w:val="en-US"/>
        </w:rPr>
        <w:t xml:space="preserve"> prepared in methanol and stored at -20</w:t>
      </w:r>
      <w:r w:rsidRPr="002F44CF">
        <w:rPr>
          <w:rFonts w:cs="Times New Roman"/>
          <w:vertAlign w:val="superscript"/>
          <w:lang w:val="en-US"/>
        </w:rPr>
        <w:t xml:space="preserve">o </w:t>
      </w:r>
      <w:r w:rsidRPr="002F44CF">
        <w:rPr>
          <w:rFonts w:cs="Times New Roman"/>
          <w:lang w:val="en-US"/>
        </w:rPr>
        <w:t>C.</w:t>
      </w:r>
      <w:r w:rsidR="00B074E8" w:rsidRPr="00B074E8">
        <w:rPr>
          <w:rFonts w:cs="Times New Roman"/>
          <w:lang w:val="en-US"/>
        </w:rPr>
        <w:t xml:space="preserve"> </w:t>
      </w:r>
      <w:r w:rsidR="00B074E8" w:rsidRPr="002F44CF">
        <w:rPr>
          <w:rFonts w:cs="Times New Roman"/>
          <w:lang w:val="en-US"/>
        </w:rPr>
        <w:t>Ultra-pure water was obtained from water purification system.</w:t>
      </w:r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lang w:val="en-US"/>
        </w:rPr>
      </w:pPr>
    </w:p>
    <w:p w:rsidR="002F44CF" w:rsidRDefault="002F44CF" w:rsidP="002F44CF">
      <w:pPr>
        <w:spacing w:after="0" w:line="240" w:lineRule="auto"/>
        <w:jc w:val="both"/>
        <w:rPr>
          <w:rFonts w:cs="Times New Roman"/>
          <w:lang w:val="en-US"/>
        </w:rPr>
      </w:pPr>
      <w:r w:rsidRPr="002F44CF">
        <w:rPr>
          <w:rFonts w:cs="Times New Roman"/>
          <w:b/>
          <w:lang w:val="en-US"/>
        </w:rPr>
        <w:t xml:space="preserve">Sample </w:t>
      </w:r>
      <w:proofErr w:type="spellStart"/>
      <w:r w:rsidRPr="002F44CF">
        <w:rPr>
          <w:rFonts w:cs="Times New Roman"/>
          <w:b/>
          <w:lang w:val="en-US"/>
        </w:rPr>
        <w:t>praparation</w:t>
      </w:r>
      <w:proofErr w:type="spellEnd"/>
      <w:r w:rsidRPr="002F44CF">
        <w:rPr>
          <w:rFonts w:cs="Times New Roman"/>
          <w:b/>
          <w:lang w:val="en-US"/>
        </w:rPr>
        <w:t xml:space="preserve"> </w:t>
      </w:r>
      <w:r w:rsidRPr="002F44CF">
        <w:rPr>
          <w:rFonts w:cs="Times New Roman"/>
          <w:lang w:val="en-US"/>
        </w:rPr>
        <w:t xml:space="preserve"> </w:t>
      </w:r>
    </w:p>
    <w:p w:rsidR="002F44CF" w:rsidRDefault="002F44CF" w:rsidP="002F44CF">
      <w:pPr>
        <w:spacing w:after="0" w:line="240" w:lineRule="auto"/>
        <w:jc w:val="both"/>
        <w:rPr>
          <w:rFonts w:cs="Times New Roman"/>
          <w:lang w:val="en-US"/>
        </w:rPr>
      </w:pPr>
      <w:r w:rsidRPr="002F44CF">
        <w:rPr>
          <w:rFonts w:cs="Times New Roman"/>
          <w:lang w:val="en-US"/>
        </w:rPr>
        <w:t>Sample preparation was performed as follows: 10</w:t>
      </w:r>
      <w:bookmarkStart w:id="2" w:name="OLE_LINK27"/>
      <w:bookmarkStart w:id="3" w:name="OLE_LINK28"/>
      <w:bookmarkStart w:id="4" w:name="OLE_LINK29"/>
      <w:r w:rsidR="00B074E8">
        <w:rPr>
          <w:rFonts w:cs="Times New Roman"/>
          <w:lang w:val="en-US"/>
        </w:rPr>
        <w:t xml:space="preserve"> </w:t>
      </w:r>
      <w:proofErr w:type="spellStart"/>
      <w:r w:rsidRPr="002F44CF">
        <w:rPr>
          <w:rFonts w:cs="Times New Roman"/>
          <w:lang w:val="en-US"/>
        </w:rPr>
        <w:t>μL</w:t>
      </w:r>
      <w:bookmarkEnd w:id="2"/>
      <w:bookmarkEnd w:id="3"/>
      <w:bookmarkEnd w:id="4"/>
      <w:proofErr w:type="spellEnd"/>
      <w:r w:rsidRPr="002F44CF">
        <w:rPr>
          <w:rFonts w:cs="Times New Roman"/>
          <w:lang w:val="en-US"/>
        </w:rPr>
        <w:t xml:space="preserve"> of sample (plasma, urine, stool extract, calibrators) was transferred into 1.5mL test tube, then 100</w:t>
      </w:r>
      <w:r w:rsidR="00B074E8">
        <w:rPr>
          <w:rFonts w:cs="Times New Roman"/>
          <w:lang w:val="en-US"/>
        </w:rPr>
        <w:t xml:space="preserve"> </w:t>
      </w:r>
      <w:proofErr w:type="spellStart"/>
      <w:r w:rsidRPr="002F44CF">
        <w:rPr>
          <w:rFonts w:cs="Times New Roman"/>
          <w:lang w:val="en-US"/>
        </w:rPr>
        <w:t>μL</w:t>
      </w:r>
      <w:proofErr w:type="spellEnd"/>
      <w:r w:rsidRPr="002F44CF">
        <w:rPr>
          <w:rFonts w:cs="Times New Roman"/>
          <w:lang w:val="en-US"/>
        </w:rPr>
        <w:t xml:space="preserve"> of acetone containing internal standards was added for protein precipitation and analytes extraction. After the mixture was vortexed and centrifuged. A 10</w:t>
      </w:r>
      <w:r w:rsidR="00B074E8">
        <w:rPr>
          <w:rFonts w:cs="Times New Roman"/>
          <w:lang w:val="en-US"/>
        </w:rPr>
        <w:t xml:space="preserve"> </w:t>
      </w:r>
      <w:proofErr w:type="spellStart"/>
      <w:r w:rsidRPr="002F44CF">
        <w:rPr>
          <w:rFonts w:cs="Times New Roman"/>
          <w:lang w:val="en-US"/>
        </w:rPr>
        <w:t>μL</w:t>
      </w:r>
      <w:proofErr w:type="spellEnd"/>
      <w:r w:rsidRPr="002F44CF">
        <w:rPr>
          <w:rFonts w:cs="Times New Roman"/>
          <w:lang w:val="en-US"/>
        </w:rPr>
        <w:t xml:space="preserve"> of aliquot was injected into apparatus.</w:t>
      </w:r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lang w:val="en-US"/>
        </w:rPr>
      </w:pPr>
    </w:p>
    <w:p w:rsidR="002F44CF" w:rsidRDefault="002F44CF" w:rsidP="002F44CF">
      <w:pPr>
        <w:spacing w:after="0" w:line="240" w:lineRule="auto"/>
        <w:jc w:val="both"/>
        <w:rPr>
          <w:rFonts w:cs="Times New Roman"/>
          <w:b/>
          <w:noProof/>
          <w:lang w:val="en-US"/>
        </w:rPr>
      </w:pPr>
      <w:bookmarkStart w:id="5" w:name="OLE_LINK48"/>
      <w:bookmarkStart w:id="6" w:name="OLE_LINK47"/>
      <w:bookmarkStart w:id="7" w:name="OLE_LINK46"/>
      <w:bookmarkStart w:id="8" w:name="OLE_LINK52"/>
      <w:bookmarkStart w:id="9" w:name="OLE_LINK53"/>
      <w:r w:rsidRPr="002F44CF">
        <w:rPr>
          <w:rFonts w:cs="Times New Roman"/>
          <w:b/>
          <w:noProof/>
          <w:lang w:val="en-US"/>
        </w:rPr>
        <w:t>Analyzes</w:t>
      </w:r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b/>
          <w:lang w:val="en-US"/>
        </w:rPr>
      </w:pPr>
      <w:bookmarkStart w:id="10" w:name="OLE_LINK2"/>
      <w:bookmarkStart w:id="11" w:name="OLE_LINK1"/>
      <w:r w:rsidRPr="002F44CF">
        <w:rPr>
          <w:rFonts w:cs="Times New Roman"/>
          <w:noProof/>
          <w:lang w:val="en-US"/>
        </w:rPr>
        <w:t>The instrumentation consisted of</w:t>
      </w:r>
      <w:r w:rsidRPr="002F44CF">
        <w:rPr>
          <w:rFonts w:cs="Times New Roman"/>
          <w:b/>
          <w:noProof/>
          <w:lang w:val="en-US"/>
        </w:rPr>
        <w:t xml:space="preserve"> </w:t>
      </w:r>
      <w:r w:rsidRPr="002F44CF">
        <w:rPr>
          <w:rFonts w:cs="Times New Roman"/>
          <w:noProof/>
          <w:lang w:val="en-US"/>
        </w:rPr>
        <w:t xml:space="preserve">a </w:t>
      </w:r>
      <w:r w:rsidRPr="002F44CF">
        <w:rPr>
          <w:rFonts w:cs="Times New Roman"/>
          <w:lang w:val="en-GB"/>
        </w:rPr>
        <w:t xml:space="preserve">Waters </w:t>
      </w:r>
      <w:proofErr w:type="spellStart"/>
      <w:r w:rsidRPr="002F44CF">
        <w:rPr>
          <w:rFonts w:cs="Times New Roman"/>
          <w:lang w:val="en-GB"/>
        </w:rPr>
        <w:t>Acquity</w:t>
      </w:r>
      <w:proofErr w:type="spellEnd"/>
      <w:r w:rsidRPr="002F44CF">
        <w:rPr>
          <w:rFonts w:cs="Times New Roman"/>
          <w:lang w:val="en-GB"/>
        </w:rPr>
        <w:t xml:space="preserve"> Ultra Performance Liquid Chromatograph coupled with Waters TQ-S triple-quadrupole mass spectrometer.</w:t>
      </w:r>
      <w:r w:rsidRPr="002F44CF">
        <w:rPr>
          <w:rFonts w:cs="Times New Roman"/>
          <w:noProof/>
          <w:lang w:val="en-US"/>
        </w:rPr>
        <w:t xml:space="preserve"> </w:t>
      </w:r>
      <w:r w:rsidRPr="002F44CF">
        <w:rPr>
          <w:rFonts w:cs="Times New Roman"/>
          <w:lang w:val="en-US"/>
        </w:rPr>
        <w:t xml:space="preserve">For the instrument control and data acquisition Waters </w:t>
      </w:r>
      <w:proofErr w:type="spellStart"/>
      <w:r w:rsidRPr="002F44CF">
        <w:rPr>
          <w:rFonts w:cs="Times New Roman"/>
          <w:lang w:val="en-US"/>
        </w:rPr>
        <w:t>MassLynx</w:t>
      </w:r>
      <w:proofErr w:type="spellEnd"/>
      <w:r w:rsidRPr="002F44CF">
        <w:rPr>
          <w:rFonts w:cs="Times New Roman"/>
          <w:lang w:val="en-US"/>
        </w:rPr>
        <w:t xml:space="preserve"> software was used. Waters </w:t>
      </w:r>
      <w:proofErr w:type="spellStart"/>
      <w:r w:rsidRPr="002F44CF">
        <w:rPr>
          <w:rFonts w:cs="Times New Roman"/>
          <w:lang w:val="en-US"/>
        </w:rPr>
        <w:t>TargetLynx</w:t>
      </w:r>
      <w:proofErr w:type="spellEnd"/>
      <w:r w:rsidRPr="002F44CF">
        <w:rPr>
          <w:rFonts w:cs="Times New Roman"/>
          <w:lang w:val="en-US"/>
        </w:rPr>
        <w:t xml:space="preserve"> was used to processed data. </w:t>
      </w:r>
    </w:p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 w:rsidRPr="002F44CF">
        <w:rPr>
          <w:rFonts w:cs="Times New Roman"/>
          <w:lang w:val="en-GB"/>
        </w:rPr>
        <w:t>Chromatographic separation was performed using a Waters HILIC column (1.7</w:t>
      </w:r>
      <w:r w:rsidR="00B074E8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GB"/>
        </w:rPr>
        <w:t>µm, 2.1</w:t>
      </w:r>
      <w:r w:rsidR="00B074E8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GB"/>
        </w:rPr>
        <w:t xml:space="preserve">mm x 50 mm) </w:t>
      </w:r>
      <w:proofErr w:type="spellStart"/>
      <w:r w:rsidRPr="002F44CF">
        <w:rPr>
          <w:rFonts w:cs="Times New Roman"/>
          <w:lang w:val="en-GB"/>
        </w:rPr>
        <w:t>thermostatted</w:t>
      </w:r>
      <w:proofErr w:type="spellEnd"/>
      <w:r w:rsidRPr="002F44CF">
        <w:rPr>
          <w:rFonts w:cs="Times New Roman"/>
          <w:lang w:val="en-GB"/>
        </w:rPr>
        <w:t xml:space="preserve"> at 70</w:t>
      </w:r>
      <w:r w:rsidR="00B074E8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GB"/>
        </w:rPr>
        <w:t>⁰C.</w:t>
      </w:r>
      <w:r w:rsidRPr="002F44CF">
        <w:rPr>
          <w:rFonts w:cs="Times New Roman"/>
          <w:lang w:val="en-US"/>
        </w:rPr>
        <w:t xml:space="preserve"> Mobile phase A was </w:t>
      </w:r>
      <w:proofErr w:type="spellStart"/>
      <w:r w:rsidRPr="002F44CF">
        <w:rPr>
          <w:rFonts w:cs="Times New Roman"/>
          <w:lang w:val="en-US"/>
        </w:rPr>
        <w:t>Mili</w:t>
      </w:r>
      <w:proofErr w:type="spellEnd"/>
      <w:r w:rsidRPr="002F44CF">
        <w:rPr>
          <w:rFonts w:cs="Times New Roman"/>
          <w:lang w:val="en-US"/>
        </w:rPr>
        <w:t>-Q water with addition of 1 mL of 25% NH</w:t>
      </w:r>
      <w:r w:rsidRPr="002F44CF">
        <w:rPr>
          <w:rFonts w:cs="Times New Roman"/>
          <w:vertAlign w:val="subscript"/>
          <w:lang w:val="en-US"/>
        </w:rPr>
        <w:t>4</w:t>
      </w:r>
      <w:r w:rsidRPr="002F44CF">
        <w:rPr>
          <w:rFonts w:cs="Times New Roman"/>
          <w:lang w:val="en-US"/>
        </w:rPr>
        <w:t xml:space="preserve">OH per 1000 mL of water, and mobile phase B was pure acetonitrile. The flow rate of mobile phase was set at 0.5 mL/min. The gradient scheme is presented in </w:t>
      </w:r>
      <w:r>
        <w:rPr>
          <w:rFonts w:cs="Times New Roman"/>
          <w:lang w:val="en-US"/>
        </w:rPr>
        <w:t>Supplemental T</w:t>
      </w:r>
      <w:r w:rsidRPr="002F44CF">
        <w:rPr>
          <w:rFonts w:cs="Times New Roman"/>
          <w:lang w:val="en-US"/>
        </w:rPr>
        <w:t>able 1. The total time of separation was 1.7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>min. The injection volume was 10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>µL. The chromatogram is presented in</w:t>
      </w:r>
      <w:r>
        <w:rPr>
          <w:rFonts w:cs="Times New Roman"/>
          <w:lang w:val="en-US"/>
        </w:rPr>
        <w:t xml:space="preserve"> Supplemental</w:t>
      </w:r>
      <w:r w:rsidRPr="002F44CF">
        <w:rPr>
          <w:rFonts w:cs="Times New Roman"/>
          <w:lang w:val="en-US"/>
        </w:rPr>
        <w:t xml:space="preserve"> Fig</w:t>
      </w:r>
      <w:r>
        <w:rPr>
          <w:rFonts w:cs="Times New Roman"/>
          <w:lang w:val="en-US"/>
        </w:rPr>
        <w:t>ure</w:t>
      </w:r>
      <w:r w:rsidRPr="002F44CF">
        <w:rPr>
          <w:rFonts w:cs="Times New Roman"/>
          <w:lang w:val="en-US"/>
        </w:rPr>
        <w:t xml:space="preserve"> 1.</w:t>
      </w:r>
    </w:p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Supplemental </w:t>
      </w:r>
      <w:r w:rsidRPr="002F44CF">
        <w:rPr>
          <w:rFonts w:cs="Times New Roman"/>
          <w:lang w:val="en-US"/>
        </w:rPr>
        <w:t>Table 1. LC gradient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992"/>
        <w:gridCol w:w="992"/>
      </w:tblGrid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Time [min]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Flow [mL/min]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%A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%B</w:t>
            </w:r>
          </w:p>
        </w:tc>
      </w:tr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bookmarkStart w:id="12" w:name="_Hlk511289032"/>
            <w:r w:rsidRPr="002F44CF">
              <w:rPr>
                <w:rFonts w:cs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0.5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5.0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95.0</w:t>
            </w:r>
          </w:p>
        </w:tc>
      </w:tr>
      <w:bookmarkEnd w:id="12"/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1.2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0.5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98.0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2.0</w:t>
            </w:r>
          </w:p>
        </w:tc>
      </w:tr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1.3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0.5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5.0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95.0</w:t>
            </w:r>
          </w:p>
        </w:tc>
      </w:tr>
    </w:tbl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:rsidR="002F44CF" w:rsidRPr="002F44CF" w:rsidRDefault="002F44CF" w:rsidP="002F44CF">
      <w:pPr>
        <w:spacing w:after="0"/>
        <w:jc w:val="both"/>
        <w:rPr>
          <w:rFonts w:cs="Times New Roman"/>
          <w:lang w:val="en-US"/>
        </w:rPr>
      </w:pPr>
      <w:r w:rsidRPr="002F44CF">
        <w:rPr>
          <w:rFonts w:cs="Times New Roman"/>
          <w:noProof/>
          <w:lang w:eastAsia="pl-PL"/>
        </w:rPr>
        <w:lastRenderedPageBreak/>
        <w:drawing>
          <wp:inline distT="0" distB="0" distL="0" distR="0">
            <wp:extent cx="5057775" cy="2790825"/>
            <wp:effectExtent l="0" t="0" r="9525" b="9525"/>
            <wp:docPr id="1" name="Obraz 1" descr="tm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ma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CF" w:rsidRPr="002F44CF" w:rsidRDefault="002F44CF" w:rsidP="002F44CF">
      <w:pPr>
        <w:spacing w:after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Supplemental </w:t>
      </w:r>
      <w:r w:rsidRPr="002F44CF">
        <w:rPr>
          <w:rFonts w:cs="Times New Roman"/>
          <w:lang w:val="en-US"/>
        </w:rPr>
        <w:t>Fig</w:t>
      </w:r>
      <w:r>
        <w:rPr>
          <w:rFonts w:cs="Times New Roman"/>
          <w:lang w:val="en-US"/>
        </w:rPr>
        <w:t>ure</w:t>
      </w:r>
      <w:r w:rsidRPr="002F44CF">
        <w:rPr>
          <w:rFonts w:cs="Times New Roman"/>
          <w:lang w:val="en-US"/>
        </w:rPr>
        <w:t xml:space="preserve"> 1. Chromatograms of TMA, TMAO, indoxyl sulfate and corresponding internal standards</w:t>
      </w:r>
    </w:p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lang w:val="en-US"/>
        </w:rPr>
      </w:pPr>
      <w:r w:rsidRPr="002F44CF">
        <w:rPr>
          <w:rFonts w:eastAsia="Calibri" w:cs="Times New Roman"/>
          <w:lang w:val="en-GB"/>
        </w:rPr>
        <w:t xml:space="preserve">The mass spectrometer operated in </w:t>
      </w:r>
      <w:bookmarkStart w:id="13" w:name="OLE_LINK64"/>
      <w:bookmarkStart w:id="14" w:name="OLE_LINK65"/>
      <w:bookmarkStart w:id="15" w:name="OLE_LINK66"/>
      <w:r w:rsidRPr="002F44CF">
        <w:rPr>
          <w:rFonts w:eastAsia="Calibri" w:cs="Times New Roman"/>
          <w:lang w:val="en-GB"/>
        </w:rPr>
        <w:t>multiple-reaction monitoring (MRM)- negative electrospray ionization (ESI) mode</w:t>
      </w:r>
      <w:bookmarkEnd w:id="13"/>
      <w:bookmarkEnd w:id="14"/>
      <w:bookmarkEnd w:id="15"/>
      <w:r w:rsidRPr="002F44CF">
        <w:rPr>
          <w:rFonts w:eastAsia="Calibri" w:cs="Times New Roman"/>
          <w:lang w:val="en-GB"/>
        </w:rPr>
        <w:t xml:space="preserve"> for indoxyl </w:t>
      </w:r>
      <w:proofErr w:type="spellStart"/>
      <w:r w:rsidRPr="002F44CF">
        <w:rPr>
          <w:rFonts w:eastAsia="Calibri" w:cs="Times New Roman"/>
          <w:lang w:val="en-GB"/>
        </w:rPr>
        <w:t>sulfate</w:t>
      </w:r>
      <w:proofErr w:type="spellEnd"/>
      <w:r w:rsidRPr="002F44CF">
        <w:rPr>
          <w:rFonts w:eastAsia="Calibri" w:cs="Times New Roman"/>
          <w:lang w:val="en-GB"/>
        </w:rPr>
        <w:t xml:space="preserve"> and in multiple-reaction monitoring (MRM)- positive electrospray ionization (ESI) mode.</w:t>
      </w:r>
      <w:r w:rsidRPr="002F44CF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US"/>
        </w:rPr>
        <w:t xml:space="preserve">Mass spectrometer optimized settings are presented in </w:t>
      </w:r>
      <w:r>
        <w:rPr>
          <w:rFonts w:cs="Times New Roman"/>
          <w:lang w:val="en-US"/>
        </w:rPr>
        <w:t>Supplemental</w:t>
      </w:r>
      <w:r w:rsidRPr="002F44CF">
        <w:rPr>
          <w:rFonts w:cs="Times New Roman"/>
          <w:lang w:val="en-US"/>
        </w:rPr>
        <w:t xml:space="preserve"> Table 2. MRM transitions, cone voltages, collision energies and retention times used in described methods are presented in </w:t>
      </w:r>
      <w:r>
        <w:rPr>
          <w:rFonts w:cs="Times New Roman"/>
          <w:lang w:val="en-US"/>
        </w:rPr>
        <w:t>Supplemental</w:t>
      </w:r>
      <w:r w:rsidRPr="002F44CF">
        <w:rPr>
          <w:rFonts w:cs="Times New Roman"/>
          <w:lang w:val="en-US"/>
        </w:rPr>
        <w:t xml:space="preserve"> Table 3. The first MRM transition of each compound served as a quantitative transition, the second as a confirmation transition.</w:t>
      </w:r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lang w:val="en-US"/>
        </w:rPr>
      </w:pPr>
      <w:r w:rsidRPr="002F44CF">
        <w:rPr>
          <w:rFonts w:cs="Times New Roman"/>
          <w:lang w:val="en-US"/>
        </w:rPr>
        <w:t xml:space="preserve">The </w:t>
      </w:r>
      <w:bookmarkStart w:id="16" w:name="OLE_LINK14"/>
      <w:bookmarkStart w:id="17" w:name="OLE_LINK12"/>
      <w:bookmarkStart w:id="18" w:name="OLE_LINK11"/>
      <w:bookmarkStart w:id="19" w:name="OLE_LINK13"/>
      <w:r w:rsidRPr="002F44CF">
        <w:rPr>
          <w:rFonts w:cs="Times New Roman"/>
          <w:lang w:val="en-GB"/>
        </w:rPr>
        <w:t>calibration curve ranges were 0.02-20</w:t>
      </w:r>
      <w:r w:rsidR="00B074E8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GB"/>
        </w:rPr>
        <w:t>µg/mL for TMAO, 0.1-120</w:t>
      </w:r>
      <w:bookmarkStart w:id="20" w:name="OLE_LINK18"/>
      <w:bookmarkStart w:id="21" w:name="OLE_LINK19"/>
      <w:bookmarkStart w:id="22" w:name="OLE_LINK20"/>
      <w:r w:rsidR="00B074E8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GB"/>
        </w:rPr>
        <w:t xml:space="preserve">µg/mL </w:t>
      </w:r>
      <w:bookmarkEnd w:id="20"/>
      <w:bookmarkEnd w:id="21"/>
      <w:bookmarkEnd w:id="22"/>
      <w:r w:rsidRPr="002F44CF">
        <w:rPr>
          <w:rFonts w:cs="Times New Roman"/>
          <w:lang w:val="en-GB"/>
        </w:rPr>
        <w:t>for TMA and 0.1- 50</w:t>
      </w:r>
      <w:r w:rsidR="00B074E8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GB"/>
        </w:rPr>
        <w:t xml:space="preserve">µg/mL for indoxyl </w:t>
      </w:r>
      <w:proofErr w:type="spellStart"/>
      <w:r w:rsidRPr="002F44CF">
        <w:rPr>
          <w:rFonts w:cs="Times New Roman"/>
          <w:lang w:val="en-GB"/>
        </w:rPr>
        <w:t>sulfate</w:t>
      </w:r>
      <w:proofErr w:type="spellEnd"/>
      <w:r w:rsidRPr="002F44CF">
        <w:rPr>
          <w:rFonts w:cs="Times New Roman"/>
          <w:lang w:val="en-GB"/>
        </w:rPr>
        <w:t xml:space="preserve">. </w:t>
      </w:r>
      <w:r w:rsidRPr="002F44CF">
        <w:rPr>
          <w:rFonts w:cs="Times New Roman"/>
          <w:lang w:val="en-US"/>
        </w:rPr>
        <w:t xml:space="preserve"> Mean R2 coefficients of a </w:t>
      </w:r>
      <w:r w:rsidRPr="002F44CF">
        <w:rPr>
          <w:rFonts w:cs="Times New Roman"/>
          <w:noProof/>
          <w:lang w:val="en-US"/>
        </w:rPr>
        <w:t>calibration</w:t>
      </w:r>
      <w:r w:rsidRPr="002F44CF">
        <w:rPr>
          <w:rFonts w:cs="Times New Roman"/>
          <w:lang w:val="en-US"/>
        </w:rPr>
        <w:t xml:space="preserve"> curves from 6 calibrators was not lower than 0.99.</w:t>
      </w:r>
      <w:bookmarkEnd w:id="16"/>
      <w:bookmarkEnd w:id="17"/>
      <w:bookmarkEnd w:id="18"/>
      <w:bookmarkEnd w:id="19"/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lang w:val="en-US"/>
        </w:rPr>
      </w:pPr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Supplemental</w:t>
      </w:r>
      <w:r w:rsidRPr="002F44CF">
        <w:rPr>
          <w:rFonts w:cs="Times New Roman"/>
          <w:lang w:val="en-US"/>
        </w:rPr>
        <w:t xml:space="preserve"> Table 2. Mass spectrometer parameters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2F44CF" w:rsidRPr="002F44CF" w:rsidTr="007826BD">
        <w:tc>
          <w:tcPr>
            <w:tcW w:w="410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b/>
                <w:lang w:val="en-US"/>
              </w:rPr>
            </w:pPr>
            <w:r w:rsidRPr="002F44CF">
              <w:rPr>
                <w:rFonts w:cs="Times New Roman"/>
                <w:b/>
                <w:lang w:val="en-US"/>
              </w:rPr>
              <w:t>Parameter</w:t>
            </w:r>
          </w:p>
        </w:tc>
        <w:tc>
          <w:tcPr>
            <w:tcW w:w="255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b/>
                <w:lang w:val="en-US"/>
              </w:rPr>
            </w:pPr>
            <w:r w:rsidRPr="002F44CF">
              <w:rPr>
                <w:rFonts w:cs="Times New Roman"/>
                <w:b/>
                <w:lang w:val="en-US"/>
              </w:rPr>
              <w:t>ESI (-)</w:t>
            </w:r>
          </w:p>
        </w:tc>
        <w:tc>
          <w:tcPr>
            <w:tcW w:w="240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b/>
                <w:lang w:val="en-US"/>
              </w:rPr>
            </w:pPr>
            <w:r w:rsidRPr="002F44CF">
              <w:rPr>
                <w:rFonts w:cs="Times New Roman"/>
                <w:b/>
                <w:lang w:val="en-US"/>
              </w:rPr>
              <w:t>ESI (+)</w:t>
            </w:r>
          </w:p>
        </w:tc>
      </w:tr>
      <w:tr w:rsidR="002F44CF" w:rsidRPr="002F44CF" w:rsidTr="007826BD">
        <w:tc>
          <w:tcPr>
            <w:tcW w:w="410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Capillary voltage [kV]</w:t>
            </w:r>
          </w:p>
        </w:tc>
        <w:tc>
          <w:tcPr>
            <w:tcW w:w="255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1.5</w:t>
            </w:r>
          </w:p>
        </w:tc>
        <w:tc>
          <w:tcPr>
            <w:tcW w:w="240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2.5</w:t>
            </w:r>
          </w:p>
        </w:tc>
      </w:tr>
      <w:tr w:rsidR="002F44CF" w:rsidRPr="002F44CF" w:rsidTr="007826BD">
        <w:tc>
          <w:tcPr>
            <w:tcW w:w="410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Source temperature [⁰C]</w:t>
            </w:r>
          </w:p>
        </w:tc>
        <w:tc>
          <w:tcPr>
            <w:tcW w:w="255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150</w:t>
            </w:r>
          </w:p>
        </w:tc>
        <w:tc>
          <w:tcPr>
            <w:tcW w:w="240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150</w:t>
            </w:r>
          </w:p>
        </w:tc>
      </w:tr>
      <w:tr w:rsidR="002F44CF" w:rsidRPr="002F44CF" w:rsidTr="007826BD">
        <w:tc>
          <w:tcPr>
            <w:tcW w:w="410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proofErr w:type="spellStart"/>
            <w:r w:rsidRPr="002F44CF">
              <w:rPr>
                <w:rFonts w:cs="Times New Roman"/>
                <w:lang w:val="en-US"/>
              </w:rPr>
              <w:t>Desolvation</w:t>
            </w:r>
            <w:proofErr w:type="spellEnd"/>
            <w:r w:rsidRPr="002F44CF">
              <w:rPr>
                <w:rFonts w:cs="Times New Roman"/>
                <w:lang w:val="en-US"/>
              </w:rPr>
              <w:t xml:space="preserve"> temperature </w:t>
            </w:r>
            <w:bookmarkStart w:id="23" w:name="OLE_LINK123"/>
            <w:bookmarkStart w:id="24" w:name="OLE_LINK124"/>
            <w:bookmarkStart w:id="25" w:name="OLE_LINK125"/>
            <w:bookmarkStart w:id="26" w:name="OLE_LINK126"/>
            <w:r w:rsidRPr="002F44CF">
              <w:rPr>
                <w:rFonts w:cs="Times New Roman"/>
                <w:lang w:val="en-US"/>
              </w:rPr>
              <w:t>[⁰C]</w:t>
            </w:r>
            <w:bookmarkEnd w:id="23"/>
            <w:bookmarkEnd w:id="24"/>
            <w:bookmarkEnd w:id="25"/>
            <w:bookmarkEnd w:id="26"/>
          </w:p>
        </w:tc>
        <w:tc>
          <w:tcPr>
            <w:tcW w:w="255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380</w:t>
            </w:r>
          </w:p>
        </w:tc>
        <w:tc>
          <w:tcPr>
            <w:tcW w:w="240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380</w:t>
            </w:r>
          </w:p>
        </w:tc>
      </w:tr>
      <w:tr w:rsidR="002F44CF" w:rsidRPr="002F44CF" w:rsidTr="007826BD">
        <w:tc>
          <w:tcPr>
            <w:tcW w:w="410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Cone gas flow [l/h]</w:t>
            </w:r>
          </w:p>
        </w:tc>
        <w:tc>
          <w:tcPr>
            <w:tcW w:w="255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150</w:t>
            </w:r>
          </w:p>
        </w:tc>
        <w:tc>
          <w:tcPr>
            <w:tcW w:w="240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150</w:t>
            </w:r>
          </w:p>
        </w:tc>
      </w:tr>
      <w:tr w:rsidR="002F44CF" w:rsidRPr="002F44CF" w:rsidTr="007826BD">
        <w:tc>
          <w:tcPr>
            <w:tcW w:w="410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proofErr w:type="spellStart"/>
            <w:r w:rsidRPr="002F44CF">
              <w:rPr>
                <w:rFonts w:cs="Times New Roman"/>
                <w:lang w:val="en-US"/>
              </w:rPr>
              <w:t>Desolvation</w:t>
            </w:r>
            <w:proofErr w:type="spellEnd"/>
            <w:r w:rsidRPr="002F44CF">
              <w:rPr>
                <w:rFonts w:cs="Times New Roman"/>
                <w:lang w:val="en-US"/>
              </w:rPr>
              <w:t xml:space="preserve"> gas flow </w:t>
            </w:r>
            <w:bookmarkStart w:id="27" w:name="OLE_LINK119"/>
            <w:bookmarkStart w:id="28" w:name="OLE_LINK120"/>
            <w:bookmarkStart w:id="29" w:name="OLE_LINK121"/>
            <w:bookmarkStart w:id="30" w:name="OLE_LINK122"/>
            <w:r w:rsidRPr="002F44CF">
              <w:rPr>
                <w:rFonts w:cs="Times New Roman"/>
                <w:lang w:val="en-US"/>
              </w:rPr>
              <w:t>[l/h]</w:t>
            </w:r>
            <w:bookmarkEnd w:id="27"/>
            <w:bookmarkEnd w:id="28"/>
            <w:bookmarkEnd w:id="29"/>
            <w:bookmarkEnd w:id="30"/>
          </w:p>
        </w:tc>
        <w:tc>
          <w:tcPr>
            <w:tcW w:w="255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300</w:t>
            </w:r>
          </w:p>
        </w:tc>
        <w:tc>
          <w:tcPr>
            <w:tcW w:w="240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300</w:t>
            </w:r>
          </w:p>
        </w:tc>
      </w:tr>
      <w:tr w:rsidR="002F44CF" w:rsidRPr="002F44CF" w:rsidTr="007826BD">
        <w:tc>
          <w:tcPr>
            <w:tcW w:w="410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proofErr w:type="spellStart"/>
            <w:r w:rsidRPr="002F44CF">
              <w:rPr>
                <w:rFonts w:cs="Times New Roman"/>
                <w:lang w:val="en-US"/>
              </w:rPr>
              <w:t>Nebuliser</w:t>
            </w:r>
            <w:proofErr w:type="spellEnd"/>
            <w:r w:rsidRPr="002F44CF">
              <w:rPr>
                <w:rFonts w:cs="Times New Roman"/>
                <w:lang w:val="en-US"/>
              </w:rPr>
              <w:t xml:space="preserve"> gas pressure [Bar]</w:t>
            </w:r>
          </w:p>
        </w:tc>
        <w:tc>
          <w:tcPr>
            <w:tcW w:w="255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7.0</w:t>
            </w:r>
          </w:p>
        </w:tc>
        <w:tc>
          <w:tcPr>
            <w:tcW w:w="240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7.0</w:t>
            </w:r>
          </w:p>
        </w:tc>
      </w:tr>
      <w:bookmarkEnd w:id="5"/>
      <w:bookmarkEnd w:id="6"/>
      <w:bookmarkEnd w:id="7"/>
      <w:bookmarkEnd w:id="8"/>
      <w:bookmarkEnd w:id="9"/>
      <w:bookmarkEnd w:id="10"/>
      <w:bookmarkEnd w:id="11"/>
    </w:tbl>
    <w:p w:rsidR="002F44CF" w:rsidRDefault="002F44CF" w:rsidP="002F44CF">
      <w:pPr>
        <w:spacing w:after="0"/>
        <w:jc w:val="both"/>
        <w:rPr>
          <w:rFonts w:cs="Times New Roman"/>
          <w:lang w:val="en-US"/>
        </w:rPr>
      </w:pPr>
    </w:p>
    <w:p w:rsidR="002F44CF" w:rsidRPr="002F44CF" w:rsidRDefault="002F44CF" w:rsidP="002F44CF">
      <w:pPr>
        <w:spacing w:after="0"/>
        <w:jc w:val="both"/>
        <w:rPr>
          <w:rFonts w:cs="Times New Roman"/>
          <w:lang w:val="en-US"/>
        </w:rPr>
      </w:pPr>
    </w:p>
    <w:p w:rsidR="002F44CF" w:rsidRPr="002F44CF" w:rsidRDefault="002F44CF" w:rsidP="002F44CF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Supplemental</w:t>
      </w:r>
      <w:r w:rsidRPr="002F44CF">
        <w:rPr>
          <w:rFonts w:cs="Times New Roman"/>
          <w:lang w:val="en-US"/>
        </w:rPr>
        <w:t xml:space="preserve"> Table 3. Monitored transitions, cone voltages, collision energies, retention times of analyzed compounds</w:t>
      </w:r>
    </w:p>
    <w:tbl>
      <w:tblPr>
        <w:tblW w:w="69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132"/>
        <w:gridCol w:w="992"/>
        <w:gridCol w:w="1134"/>
        <w:gridCol w:w="1276"/>
      </w:tblGrid>
      <w:tr w:rsidR="002F44CF" w:rsidRPr="002F44CF" w:rsidTr="007826BD">
        <w:tc>
          <w:tcPr>
            <w:tcW w:w="1447" w:type="dxa"/>
            <w:vAlign w:val="center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bookmarkStart w:id="31" w:name="_Hlk511286610"/>
            <w:r w:rsidRPr="002F44CF">
              <w:rPr>
                <w:rFonts w:cs="Times New Roman"/>
                <w:lang w:val="en-US"/>
              </w:rPr>
              <w:t>Analyte</w:t>
            </w:r>
          </w:p>
        </w:tc>
        <w:tc>
          <w:tcPr>
            <w:tcW w:w="2132" w:type="dxa"/>
            <w:vAlign w:val="center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MRM transition</w:t>
            </w:r>
          </w:p>
        </w:tc>
        <w:tc>
          <w:tcPr>
            <w:tcW w:w="992" w:type="dxa"/>
            <w:vAlign w:val="center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Cone voltage</w:t>
            </w:r>
          </w:p>
        </w:tc>
        <w:tc>
          <w:tcPr>
            <w:tcW w:w="1134" w:type="dxa"/>
            <w:vAlign w:val="center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Collision energy</w:t>
            </w:r>
          </w:p>
        </w:tc>
        <w:tc>
          <w:tcPr>
            <w:tcW w:w="1276" w:type="dxa"/>
            <w:vAlign w:val="center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Retention</w:t>
            </w:r>
            <w:r w:rsidRPr="002F44CF">
              <w:rPr>
                <w:rFonts w:cs="Times New Roman"/>
                <w:lang w:val="en-US"/>
              </w:rPr>
              <w:br/>
              <w:t>time [min]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TMAO</w:t>
            </w:r>
          </w:p>
        </w:tc>
        <w:tc>
          <w:tcPr>
            <w:tcW w:w="213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bookmarkStart w:id="32" w:name="OLE_LINK105"/>
            <w:bookmarkStart w:id="33" w:name="OLE_LINK106"/>
            <w:bookmarkStart w:id="34" w:name="OLE_LINK107"/>
            <w:r w:rsidRPr="002F44CF">
              <w:rPr>
                <w:rFonts w:cs="Times New Roman"/>
                <w:lang w:val="en-US"/>
              </w:rPr>
              <w:t>76,076&gt;57,97 (*)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76,076&gt;41,95</w:t>
            </w:r>
            <w:bookmarkEnd w:id="32"/>
            <w:bookmarkEnd w:id="33"/>
            <w:bookmarkEnd w:id="34"/>
          </w:p>
        </w:tc>
        <w:tc>
          <w:tcPr>
            <w:tcW w:w="99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15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15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0.94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TMAO- D</w:t>
            </w:r>
            <w:r w:rsidRPr="002F44CF">
              <w:rPr>
                <w:rFonts w:cs="Times New Roman"/>
                <w:vertAlign w:val="subscript"/>
                <w:lang w:val="en-US"/>
              </w:rPr>
              <w:t>9</w:t>
            </w:r>
            <w:r w:rsidRPr="002F44CF">
              <w:rPr>
                <w:rFonts w:cs="Times New Roman"/>
                <w:lang w:val="en-US"/>
              </w:rPr>
              <w:t xml:space="preserve"> (IS)</w:t>
            </w:r>
          </w:p>
        </w:tc>
        <w:tc>
          <w:tcPr>
            <w:tcW w:w="213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bookmarkStart w:id="35" w:name="OLE_LINK108"/>
            <w:bookmarkStart w:id="36" w:name="OLE_LINK109"/>
            <w:r w:rsidRPr="002F44CF">
              <w:rPr>
                <w:rFonts w:cs="Times New Roman"/>
                <w:lang w:val="en-US"/>
              </w:rPr>
              <w:t xml:space="preserve">85,13&gt;68,2 </w:t>
            </w:r>
            <w:bookmarkEnd w:id="35"/>
            <w:bookmarkEnd w:id="36"/>
            <w:r w:rsidRPr="002F44CF">
              <w:rPr>
                <w:rFonts w:cs="Times New Roman"/>
                <w:lang w:val="en-US"/>
              </w:rPr>
              <w:t>(*)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lastRenderedPageBreak/>
              <w:t>85,13&gt;66,2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lastRenderedPageBreak/>
              <w:t>20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lastRenderedPageBreak/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lastRenderedPageBreak/>
              <w:t>10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lastRenderedPageBreak/>
              <w:t>14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lastRenderedPageBreak/>
              <w:t>0.93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TMA</w:t>
            </w:r>
          </w:p>
        </w:tc>
        <w:tc>
          <w:tcPr>
            <w:tcW w:w="213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60,08&gt;45,05 (*)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05760,08&gt;44,05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10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34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0.91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 xml:space="preserve">TMA- </w:t>
            </w:r>
            <w:r w:rsidRPr="002F44CF">
              <w:rPr>
                <w:rFonts w:cs="Times New Roman"/>
                <w:vertAlign w:val="superscript"/>
                <w:lang w:val="en-US"/>
              </w:rPr>
              <w:t>13</w:t>
            </w:r>
            <w:r w:rsidRPr="002F44CF">
              <w:rPr>
                <w:rFonts w:cs="Times New Roman"/>
                <w:lang w:val="en-US"/>
              </w:rPr>
              <w:t>C</w:t>
            </w:r>
            <w:r w:rsidRPr="002F44CF">
              <w:rPr>
                <w:rFonts w:cs="Times New Roman"/>
                <w:vertAlign w:val="subscript"/>
                <w:lang w:val="en-US"/>
              </w:rPr>
              <w:t>3</w:t>
            </w:r>
            <w:r w:rsidRPr="002F44CF">
              <w:rPr>
                <w:rFonts w:cs="Times New Roman"/>
                <w:lang w:val="en-US"/>
              </w:rPr>
              <w:t xml:space="preserve">, </w:t>
            </w:r>
            <w:r w:rsidRPr="002F44CF">
              <w:rPr>
                <w:rFonts w:cs="Times New Roman"/>
                <w:vertAlign w:val="superscript"/>
                <w:lang w:val="en-US"/>
              </w:rPr>
              <w:t>15</w:t>
            </w:r>
            <w:r w:rsidRPr="002F44CF">
              <w:rPr>
                <w:rFonts w:cs="Times New Roman"/>
                <w:lang w:val="en-US"/>
              </w:rPr>
              <w:t>N  (IS)</w:t>
            </w:r>
          </w:p>
        </w:tc>
        <w:tc>
          <w:tcPr>
            <w:tcW w:w="213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64,09&gt;48,04 (*)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64,09&gt;47,05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18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18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0.91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bookmarkStart w:id="37" w:name="_Hlk511039761"/>
            <w:r w:rsidRPr="002F44CF">
              <w:rPr>
                <w:rFonts w:cs="Times New Roman"/>
                <w:lang w:val="en-US"/>
              </w:rPr>
              <w:t>Indoxyl sulfate</w:t>
            </w:r>
          </w:p>
        </w:tc>
        <w:tc>
          <w:tcPr>
            <w:tcW w:w="213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212,0&gt;79,96 (*)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212,0&gt;132,04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30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0.23</w:t>
            </w:r>
          </w:p>
        </w:tc>
      </w:tr>
      <w:bookmarkEnd w:id="37"/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Indoxyl sulfate – D</w:t>
            </w:r>
            <w:r w:rsidRPr="002F44CF">
              <w:rPr>
                <w:rFonts w:cs="Times New Roman"/>
                <w:vertAlign w:val="subscript"/>
                <w:lang w:val="en-US"/>
              </w:rPr>
              <w:t>4</w:t>
            </w:r>
          </w:p>
        </w:tc>
        <w:tc>
          <w:tcPr>
            <w:tcW w:w="213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216,11&gt;135,76 (*)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0. 23</w:t>
            </w:r>
          </w:p>
        </w:tc>
      </w:tr>
      <w:bookmarkEnd w:id="31"/>
    </w:tbl>
    <w:p w:rsidR="002F44CF" w:rsidRDefault="002F44CF" w:rsidP="002F44CF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:rsidR="002F44CF" w:rsidRPr="002F44CF" w:rsidRDefault="002F44CF" w:rsidP="002F44CF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:rsidR="002F44CF" w:rsidRPr="002F44CF" w:rsidRDefault="002F44CF" w:rsidP="002F44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 w:val="24"/>
          <w:szCs w:val="24"/>
          <w:lang w:val="en-US"/>
        </w:rPr>
      </w:pPr>
      <w:r w:rsidRPr="002F44CF">
        <w:rPr>
          <w:lang w:val="en"/>
        </w:rPr>
        <w:t xml:space="preserve">Evaluation of </w:t>
      </w:r>
      <w:r>
        <w:rPr>
          <w:lang w:val="en"/>
        </w:rPr>
        <w:t>short chain fatty acids (SCFA)</w:t>
      </w:r>
      <w:r w:rsidRPr="002F44CF">
        <w:rPr>
          <w:lang w:val="en"/>
        </w:rPr>
        <w:t xml:space="preserve"> concentration using liquid chromatography coupled with triple-quadrupole mass spectrometry.</w:t>
      </w:r>
    </w:p>
    <w:p w:rsidR="00DB2F5F" w:rsidRPr="002F44CF" w:rsidRDefault="00DB2F5F">
      <w:pPr>
        <w:rPr>
          <w:lang w:val="en-US"/>
        </w:rPr>
      </w:pPr>
    </w:p>
    <w:p w:rsidR="002F44CF" w:rsidRDefault="002F44CF" w:rsidP="002F44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lang w:val="en-US"/>
        </w:rPr>
      </w:pPr>
      <w:r w:rsidRPr="002F44CF">
        <w:rPr>
          <w:rFonts w:cs="Times New Roman"/>
          <w:b/>
          <w:lang w:val="en-US"/>
        </w:rPr>
        <w:t xml:space="preserve">Chemicals </w:t>
      </w:r>
    </w:p>
    <w:p w:rsidR="002F44CF" w:rsidRDefault="00B074E8" w:rsidP="002F44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S</w:t>
      </w:r>
      <w:r w:rsidR="002F44CF" w:rsidRPr="002F44CF">
        <w:rPr>
          <w:rFonts w:cs="Times New Roman"/>
          <w:lang w:val="en-US"/>
        </w:rPr>
        <w:t xml:space="preserve">hort fatty acids standards (acetic acid-AA (C2), propionic acid- PA (C3), butyric acid-BA (C4), </w:t>
      </w:r>
      <w:proofErr w:type="spellStart"/>
      <w:r w:rsidR="002F44CF" w:rsidRPr="002F44CF">
        <w:rPr>
          <w:rFonts w:cs="Times New Roman"/>
          <w:lang w:val="en-US"/>
        </w:rPr>
        <w:t>isobutyric</w:t>
      </w:r>
      <w:proofErr w:type="spellEnd"/>
      <w:r w:rsidR="002F44CF" w:rsidRPr="002F44CF">
        <w:rPr>
          <w:rFonts w:cs="Times New Roman"/>
          <w:lang w:val="en-US"/>
        </w:rPr>
        <w:t xml:space="preserve"> acid-IBA (C4), valeric acid- VA (C5), </w:t>
      </w:r>
      <w:proofErr w:type="spellStart"/>
      <w:r w:rsidR="002F44CF" w:rsidRPr="002F44CF">
        <w:rPr>
          <w:rFonts w:cs="Times New Roman"/>
          <w:lang w:val="en-US"/>
        </w:rPr>
        <w:t>isovalareic</w:t>
      </w:r>
      <w:proofErr w:type="spellEnd"/>
      <w:r w:rsidR="002F44CF" w:rsidRPr="002F44CF">
        <w:rPr>
          <w:rFonts w:cs="Times New Roman"/>
          <w:lang w:val="en-US"/>
        </w:rPr>
        <w:t xml:space="preserve"> acid-IVA (C5), 2-methylbutyric acid- 2MBA (C5), </w:t>
      </w:r>
      <w:proofErr w:type="spellStart"/>
      <w:r w:rsidR="002F44CF" w:rsidRPr="002F44CF">
        <w:rPr>
          <w:rFonts w:cs="Times New Roman"/>
          <w:lang w:val="en-US"/>
        </w:rPr>
        <w:t>caproic</w:t>
      </w:r>
      <w:proofErr w:type="spellEnd"/>
      <w:r w:rsidR="002F44CF" w:rsidRPr="002F44CF">
        <w:rPr>
          <w:rFonts w:cs="Times New Roman"/>
          <w:lang w:val="en-US"/>
        </w:rPr>
        <w:t xml:space="preserve"> acid- CA (C6), 3-methylvaleric acid- 3MVA (C6), 4-methylvaleric acid- 4MVA (C6)), short fatty acids isotope-labeled standards (acetic acid-</w:t>
      </w:r>
      <w:bookmarkStart w:id="38" w:name="OLE_LINK7"/>
      <w:bookmarkStart w:id="39" w:name="OLE_LINK8"/>
      <w:bookmarkStart w:id="40" w:name="OLE_LINK9"/>
      <w:r w:rsidR="002F44CF" w:rsidRPr="002F44CF">
        <w:rPr>
          <w:rFonts w:cs="Times New Roman"/>
          <w:vertAlign w:val="superscript"/>
          <w:lang w:val="en-US"/>
        </w:rPr>
        <w:t>13</w:t>
      </w:r>
      <w:r w:rsidR="002F44CF" w:rsidRPr="002F44CF">
        <w:rPr>
          <w:rFonts w:cs="Times New Roman"/>
          <w:lang w:val="en-US"/>
        </w:rPr>
        <w:t>C</w:t>
      </w:r>
      <w:r w:rsidR="002F44CF" w:rsidRPr="002F44CF">
        <w:rPr>
          <w:rFonts w:cs="Times New Roman"/>
          <w:vertAlign w:val="subscript"/>
          <w:lang w:val="en-US"/>
        </w:rPr>
        <w:t>2</w:t>
      </w:r>
      <w:bookmarkEnd w:id="38"/>
      <w:bookmarkEnd w:id="39"/>
      <w:bookmarkEnd w:id="40"/>
      <w:r w:rsidR="002F44CF" w:rsidRPr="002F44CF">
        <w:rPr>
          <w:rFonts w:cs="Times New Roman"/>
          <w:lang w:val="en-US"/>
        </w:rPr>
        <w:t>, propionic acid-</w:t>
      </w:r>
      <w:bookmarkStart w:id="41" w:name="OLE_LINK10"/>
      <w:r w:rsidR="002F44CF" w:rsidRPr="002F44CF">
        <w:rPr>
          <w:rFonts w:cs="Times New Roman"/>
          <w:lang w:val="en-US"/>
        </w:rPr>
        <w:t>D</w:t>
      </w:r>
      <w:r w:rsidR="002F44CF" w:rsidRPr="002F44CF">
        <w:rPr>
          <w:rFonts w:cs="Times New Roman"/>
          <w:vertAlign w:val="subscript"/>
          <w:lang w:val="en-US"/>
        </w:rPr>
        <w:t>6</w:t>
      </w:r>
      <w:bookmarkEnd w:id="41"/>
      <w:r w:rsidR="002F44CF" w:rsidRPr="002F44CF">
        <w:rPr>
          <w:rFonts w:cs="Times New Roman"/>
          <w:lang w:val="en-US"/>
        </w:rPr>
        <w:t>, butyric acid-</w:t>
      </w:r>
      <w:bookmarkStart w:id="42" w:name="OLE_LINK17"/>
      <w:r w:rsidR="002F44CF" w:rsidRPr="002F44CF">
        <w:rPr>
          <w:rFonts w:cs="Times New Roman"/>
          <w:vertAlign w:val="superscript"/>
          <w:lang w:val="en-US"/>
        </w:rPr>
        <w:t>13</w:t>
      </w:r>
      <w:r w:rsidR="002F44CF" w:rsidRPr="002F44CF">
        <w:rPr>
          <w:rFonts w:cs="Times New Roman"/>
          <w:lang w:val="en-US"/>
        </w:rPr>
        <w:t>C</w:t>
      </w:r>
      <w:r w:rsidR="002F44CF" w:rsidRPr="002F44CF">
        <w:rPr>
          <w:rFonts w:cs="Times New Roman"/>
          <w:vertAlign w:val="subscript"/>
          <w:lang w:val="en-US"/>
        </w:rPr>
        <w:t>2</w:t>
      </w:r>
      <w:bookmarkEnd w:id="42"/>
      <w:r w:rsidR="002F44CF" w:rsidRPr="002F44CF">
        <w:rPr>
          <w:rFonts w:cs="Times New Roman"/>
          <w:lang w:val="en-US"/>
        </w:rPr>
        <w:t xml:space="preserve">, </w:t>
      </w:r>
      <w:proofErr w:type="spellStart"/>
      <w:r w:rsidR="002F44CF" w:rsidRPr="002F44CF">
        <w:rPr>
          <w:rFonts w:cs="Times New Roman"/>
          <w:lang w:val="en-US"/>
        </w:rPr>
        <w:t>isobutyric</w:t>
      </w:r>
      <w:proofErr w:type="spellEnd"/>
      <w:r w:rsidR="002F44CF" w:rsidRPr="002F44CF">
        <w:rPr>
          <w:rFonts w:cs="Times New Roman"/>
          <w:lang w:val="en-US"/>
        </w:rPr>
        <w:t xml:space="preserve"> acid-</w:t>
      </w:r>
      <w:bookmarkStart w:id="43" w:name="OLE_LINK21"/>
      <w:bookmarkStart w:id="44" w:name="OLE_LINK22"/>
      <w:r w:rsidR="002F44CF" w:rsidRPr="002F44CF">
        <w:rPr>
          <w:rFonts w:cs="Times New Roman"/>
          <w:lang w:val="en-US"/>
        </w:rPr>
        <w:t>D</w:t>
      </w:r>
      <w:r w:rsidR="002F44CF" w:rsidRPr="002F44CF">
        <w:rPr>
          <w:rFonts w:cs="Times New Roman"/>
          <w:vertAlign w:val="subscript"/>
          <w:lang w:val="en-US"/>
        </w:rPr>
        <w:t>7</w:t>
      </w:r>
      <w:bookmarkEnd w:id="43"/>
      <w:bookmarkEnd w:id="44"/>
      <w:r w:rsidR="002F44CF" w:rsidRPr="002F44CF">
        <w:rPr>
          <w:rFonts w:cs="Times New Roman"/>
          <w:lang w:val="en-US"/>
        </w:rPr>
        <w:t>, valeric acid-</w:t>
      </w:r>
      <w:bookmarkStart w:id="45" w:name="OLE_LINK23"/>
      <w:bookmarkStart w:id="46" w:name="OLE_LINK24"/>
      <w:r w:rsidR="002F44CF" w:rsidRPr="002F44CF">
        <w:rPr>
          <w:rFonts w:cs="Times New Roman"/>
          <w:lang w:val="en-US"/>
        </w:rPr>
        <w:t>D</w:t>
      </w:r>
      <w:r w:rsidR="002F44CF" w:rsidRPr="002F44CF">
        <w:rPr>
          <w:rFonts w:cs="Times New Roman"/>
          <w:vertAlign w:val="subscript"/>
          <w:lang w:val="en-US"/>
        </w:rPr>
        <w:t>9</w:t>
      </w:r>
      <w:bookmarkEnd w:id="45"/>
      <w:bookmarkEnd w:id="46"/>
      <w:r w:rsidR="002F44CF" w:rsidRPr="002F44CF">
        <w:rPr>
          <w:rFonts w:cs="Times New Roman"/>
          <w:lang w:val="en-US"/>
        </w:rPr>
        <w:t>), pyridine anhydrous, 2-nitrophenylhydrazine (</w:t>
      </w:r>
      <w:bookmarkStart w:id="47" w:name="OLE_LINK91"/>
      <w:bookmarkStart w:id="48" w:name="OLE_LINK92"/>
      <w:bookmarkStart w:id="49" w:name="OLE_LINK93"/>
      <w:bookmarkStart w:id="50" w:name="OLE_LINK94"/>
      <w:bookmarkStart w:id="51" w:name="OLE_LINK89"/>
      <w:bookmarkStart w:id="52" w:name="OLE_LINK90"/>
      <w:r w:rsidR="002F44CF" w:rsidRPr="002F44CF">
        <w:rPr>
          <w:rFonts w:cs="Times New Roman"/>
          <w:lang w:val="en-US"/>
        </w:rPr>
        <w:t>3NPH</w:t>
      </w:r>
      <w:bookmarkStart w:id="53" w:name="OLE_LINK102"/>
      <w:bookmarkStart w:id="54" w:name="OLE_LINK103"/>
      <w:bookmarkStart w:id="55" w:name="OLE_LINK104"/>
      <w:bookmarkEnd w:id="47"/>
      <w:bookmarkEnd w:id="48"/>
      <w:bookmarkEnd w:id="49"/>
      <w:bookmarkEnd w:id="50"/>
      <w:r w:rsidR="002F44CF" w:rsidRPr="002F44CF">
        <w:rPr>
          <w:rFonts w:ascii="MS Gothic" w:eastAsia="MS Gothic" w:hAnsi="MS Gothic" w:cs="MS Gothic" w:hint="eastAsia"/>
          <w:lang w:val="en-US"/>
        </w:rPr>
        <w:t>‧</w:t>
      </w:r>
      <w:r w:rsidR="002F44CF" w:rsidRPr="002F44CF">
        <w:rPr>
          <w:rFonts w:cs="Times New Roman"/>
          <w:lang w:val="en-US"/>
        </w:rPr>
        <w:t>HCl</w:t>
      </w:r>
      <w:bookmarkEnd w:id="51"/>
      <w:bookmarkEnd w:id="52"/>
      <w:bookmarkEnd w:id="53"/>
      <w:bookmarkEnd w:id="54"/>
      <w:bookmarkEnd w:id="55"/>
      <w:r w:rsidR="002F44CF" w:rsidRPr="002F44CF">
        <w:rPr>
          <w:rFonts w:cs="Times New Roman"/>
          <w:lang w:val="en-US"/>
        </w:rPr>
        <w:t>),  N-(3-dimethylaminopropyl)-N</w:t>
      </w:r>
      <w:r w:rsidR="002F44CF" w:rsidRPr="002F44CF">
        <w:rPr>
          <w:rFonts w:cs="Times New Roman"/>
          <w:vertAlign w:val="superscript"/>
          <w:lang w:val="en-US"/>
        </w:rPr>
        <w:t>′</w:t>
      </w:r>
      <w:r w:rsidR="002F44CF" w:rsidRPr="002F44CF">
        <w:rPr>
          <w:rFonts w:cs="Times New Roman"/>
          <w:lang w:val="en-US"/>
        </w:rPr>
        <w:t>-</w:t>
      </w:r>
      <w:proofErr w:type="spellStart"/>
      <w:r w:rsidR="002F44CF" w:rsidRPr="002F44CF">
        <w:rPr>
          <w:rFonts w:cs="Times New Roman"/>
          <w:lang w:val="en-US"/>
        </w:rPr>
        <w:t>ethylcarbodiimide</w:t>
      </w:r>
      <w:proofErr w:type="spellEnd"/>
      <w:r w:rsidR="002F44CF" w:rsidRPr="002F44CF">
        <w:rPr>
          <w:rFonts w:cs="Times New Roman"/>
          <w:lang w:val="en-US"/>
        </w:rPr>
        <w:t xml:space="preserve"> (</w:t>
      </w:r>
      <w:proofErr w:type="spellStart"/>
      <w:r w:rsidR="002F44CF" w:rsidRPr="002F44CF">
        <w:rPr>
          <w:rFonts w:cs="Times New Roman"/>
          <w:lang w:val="en-US"/>
        </w:rPr>
        <w:t>EDC</w:t>
      </w:r>
      <w:bookmarkStart w:id="56" w:name="OLE_LINK99"/>
      <w:bookmarkStart w:id="57" w:name="OLE_LINK100"/>
      <w:bookmarkStart w:id="58" w:name="OLE_LINK101"/>
      <w:r w:rsidR="002F44CF" w:rsidRPr="002F44CF">
        <w:rPr>
          <w:rFonts w:ascii="MS Gothic" w:eastAsia="MS Gothic" w:hAnsi="MS Gothic" w:cs="MS Gothic" w:hint="eastAsia"/>
          <w:lang w:val="en-US"/>
        </w:rPr>
        <w:t>‧</w:t>
      </w:r>
      <w:r w:rsidR="002F44CF" w:rsidRPr="002F44CF">
        <w:rPr>
          <w:rFonts w:cs="Times New Roman"/>
          <w:lang w:val="en-US"/>
        </w:rPr>
        <w:t>HCl</w:t>
      </w:r>
      <w:bookmarkEnd w:id="56"/>
      <w:bookmarkEnd w:id="57"/>
      <w:bookmarkEnd w:id="58"/>
      <w:proofErr w:type="spellEnd"/>
      <w:r w:rsidR="002F44CF" w:rsidRPr="002F44CF">
        <w:rPr>
          <w:rFonts w:cs="Times New Roman"/>
          <w:lang w:val="en-US"/>
        </w:rPr>
        <w:t>). All SCFAs stock solutions were prepared in 50% acetonitrile and stored in -20</w:t>
      </w:r>
      <w:r w:rsidR="002F44CF" w:rsidRPr="002F44CF">
        <w:rPr>
          <w:rFonts w:cs="Times New Roman"/>
          <w:vertAlign w:val="superscript"/>
          <w:lang w:val="en-US"/>
        </w:rPr>
        <w:t xml:space="preserve"> </w:t>
      </w:r>
      <w:proofErr w:type="spellStart"/>
      <w:r w:rsidR="002F44CF" w:rsidRPr="002F44CF">
        <w:rPr>
          <w:rFonts w:cs="Times New Roman"/>
          <w:vertAlign w:val="superscript"/>
          <w:lang w:val="en-US"/>
        </w:rPr>
        <w:t>o</w:t>
      </w:r>
      <w:r w:rsidR="002F44CF" w:rsidRPr="002F44CF">
        <w:rPr>
          <w:rFonts w:cs="Times New Roman"/>
          <w:lang w:val="en-US"/>
        </w:rPr>
        <w:t>C.</w:t>
      </w:r>
      <w:proofErr w:type="spellEnd"/>
      <w:r w:rsidR="002F44CF" w:rsidRPr="002F44CF">
        <w:rPr>
          <w:rFonts w:cs="Times New Roman"/>
          <w:lang w:val="en-US"/>
        </w:rPr>
        <w:t xml:space="preserve"> LC-MS grade acetonitrile, HPLC grade acetonitrile, HPLC grade methanol, and formic acid. Ultra-pure water was produced by a water purification system</w:t>
      </w:r>
      <w:r>
        <w:rPr>
          <w:rFonts w:cs="Times New Roman"/>
          <w:lang w:val="en-US"/>
        </w:rPr>
        <w:t>.</w:t>
      </w:r>
    </w:p>
    <w:p w:rsidR="00B074E8" w:rsidRPr="002F44CF" w:rsidRDefault="00B074E8" w:rsidP="002F44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lang w:val="en-US"/>
        </w:rPr>
      </w:pPr>
    </w:p>
    <w:p w:rsidR="002F44CF" w:rsidRDefault="002F44CF" w:rsidP="002F44CF">
      <w:pPr>
        <w:spacing w:after="0"/>
        <w:jc w:val="both"/>
        <w:rPr>
          <w:rFonts w:cs="Times New Roman"/>
          <w:lang w:val="en-US"/>
        </w:rPr>
      </w:pPr>
      <w:r w:rsidRPr="002F44CF">
        <w:rPr>
          <w:rFonts w:cs="Times New Roman"/>
          <w:b/>
          <w:lang w:val="en-US"/>
        </w:rPr>
        <w:t xml:space="preserve">Sample </w:t>
      </w:r>
      <w:proofErr w:type="spellStart"/>
      <w:r w:rsidRPr="002F44CF">
        <w:rPr>
          <w:rFonts w:cs="Times New Roman"/>
          <w:b/>
          <w:lang w:val="en-US"/>
        </w:rPr>
        <w:t>praparation</w:t>
      </w:r>
      <w:proofErr w:type="spellEnd"/>
      <w:r w:rsidRPr="002F44CF">
        <w:rPr>
          <w:rFonts w:cs="Times New Roman"/>
          <w:b/>
          <w:lang w:val="en-US"/>
        </w:rPr>
        <w:t xml:space="preserve"> </w:t>
      </w:r>
      <w:r w:rsidRPr="002F44CF">
        <w:rPr>
          <w:rFonts w:cs="Times New Roman"/>
          <w:lang w:val="en-US"/>
        </w:rPr>
        <w:t xml:space="preserve"> </w:t>
      </w:r>
    </w:p>
    <w:p w:rsidR="002F44CF" w:rsidRDefault="002F44CF" w:rsidP="002F44CF">
      <w:pPr>
        <w:spacing w:after="0"/>
        <w:jc w:val="both"/>
        <w:rPr>
          <w:rFonts w:cs="Times New Roman"/>
          <w:lang w:val="en-US"/>
        </w:rPr>
      </w:pPr>
      <w:r w:rsidRPr="002F44CF">
        <w:rPr>
          <w:rFonts w:cs="Times New Roman"/>
          <w:lang w:val="en-US"/>
        </w:rPr>
        <w:t>Solutions of 400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>mM 3NPH and 240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>mM EDC-6% pyridine were freshly prepared in 50% aqueous acetonitrile. Derivatization procedure was as follows: 40</w:t>
      </w:r>
      <w:bookmarkStart w:id="59" w:name="OLE_LINK85"/>
      <w:bookmarkStart w:id="60" w:name="OLE_LINK86"/>
      <w:bookmarkStart w:id="61" w:name="OLE_LINK87"/>
      <w:bookmarkStart w:id="62" w:name="OLE_LINK88"/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>µL</w:t>
      </w:r>
      <w:bookmarkEnd w:id="59"/>
      <w:bookmarkEnd w:id="60"/>
      <w:bookmarkEnd w:id="61"/>
      <w:bookmarkEnd w:id="62"/>
      <w:r w:rsidRPr="002F44CF">
        <w:rPr>
          <w:rFonts w:cs="Times New Roman"/>
          <w:lang w:val="en-US"/>
        </w:rPr>
        <w:t xml:space="preserve"> of plasma, stool extract and calibration samples were mixed with 80 µL methanol (containing internal standards) on 96-well 2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>mL sample plate. After, 20</w:t>
      </w:r>
      <w:bookmarkStart w:id="63" w:name="OLE_LINK95"/>
      <w:bookmarkStart w:id="64" w:name="OLE_LINK96"/>
      <w:r w:rsidRPr="002F44CF">
        <w:rPr>
          <w:rFonts w:cs="Times New Roman"/>
          <w:lang w:val="en-US"/>
        </w:rPr>
        <w:t xml:space="preserve"> µL </w:t>
      </w:r>
      <w:bookmarkEnd w:id="63"/>
      <w:bookmarkEnd w:id="64"/>
      <w:r w:rsidRPr="002F44CF">
        <w:rPr>
          <w:rFonts w:cs="Times New Roman"/>
          <w:lang w:val="en-US"/>
        </w:rPr>
        <w:t xml:space="preserve">of 3NPH solution and  </w:t>
      </w:r>
      <w:proofErr w:type="spellStart"/>
      <w:r w:rsidRPr="002F44CF">
        <w:rPr>
          <w:rFonts w:cs="Times New Roman"/>
          <w:lang w:val="en-US"/>
        </w:rPr>
        <w:t>and</w:t>
      </w:r>
      <w:proofErr w:type="spellEnd"/>
      <w:r w:rsidRPr="002F44CF">
        <w:rPr>
          <w:rFonts w:cs="Times New Roman"/>
          <w:lang w:val="en-US"/>
        </w:rPr>
        <w:t xml:space="preserve"> 20 µL of EDC- pyridine solution were added. The mixture was incubated in room temperature for 30 min. Next, solution was diluted to 1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>mL with 15% aqueous acetonitrile, centrifuged and aliquot was injected into apparatus.</w:t>
      </w:r>
    </w:p>
    <w:p w:rsidR="002F44CF" w:rsidRPr="002F44CF" w:rsidRDefault="002F44CF" w:rsidP="002F44CF">
      <w:pPr>
        <w:spacing w:after="0"/>
        <w:jc w:val="both"/>
        <w:rPr>
          <w:rFonts w:cs="Times New Roman"/>
          <w:color w:val="002060"/>
          <w:lang w:val="en-US"/>
        </w:rPr>
      </w:pPr>
    </w:p>
    <w:p w:rsidR="002F44CF" w:rsidRDefault="002F44CF" w:rsidP="002F44CF">
      <w:pPr>
        <w:spacing w:after="0" w:line="240" w:lineRule="auto"/>
        <w:jc w:val="both"/>
        <w:rPr>
          <w:rFonts w:cs="Times New Roman"/>
          <w:b/>
          <w:noProof/>
          <w:lang w:val="en-US"/>
        </w:rPr>
      </w:pPr>
      <w:r w:rsidRPr="002F44CF">
        <w:rPr>
          <w:rFonts w:cs="Times New Roman"/>
          <w:b/>
          <w:noProof/>
          <w:lang w:val="en-US"/>
        </w:rPr>
        <w:t xml:space="preserve">Analyzes </w:t>
      </w:r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b/>
          <w:lang w:val="en-US"/>
        </w:rPr>
      </w:pPr>
      <w:r w:rsidRPr="002F44CF">
        <w:rPr>
          <w:rFonts w:cs="Times New Roman"/>
          <w:noProof/>
          <w:lang w:val="en-US"/>
        </w:rPr>
        <w:t>The instrumentation consisted of</w:t>
      </w:r>
      <w:r w:rsidRPr="002F44CF">
        <w:rPr>
          <w:rFonts w:cs="Times New Roman"/>
          <w:b/>
          <w:noProof/>
          <w:lang w:val="en-US"/>
        </w:rPr>
        <w:t xml:space="preserve"> </w:t>
      </w:r>
      <w:r w:rsidRPr="002F44CF">
        <w:rPr>
          <w:rFonts w:cs="Times New Roman"/>
          <w:noProof/>
          <w:lang w:val="en-US"/>
        </w:rPr>
        <w:t xml:space="preserve">a </w:t>
      </w:r>
      <w:r w:rsidRPr="002F44CF">
        <w:rPr>
          <w:rFonts w:cs="Times New Roman"/>
          <w:lang w:val="en-GB"/>
        </w:rPr>
        <w:t xml:space="preserve">Waters </w:t>
      </w:r>
      <w:proofErr w:type="spellStart"/>
      <w:r w:rsidRPr="002F44CF">
        <w:rPr>
          <w:rFonts w:cs="Times New Roman"/>
          <w:lang w:val="en-GB"/>
        </w:rPr>
        <w:t>Acquity</w:t>
      </w:r>
      <w:proofErr w:type="spellEnd"/>
      <w:r w:rsidRPr="002F44CF">
        <w:rPr>
          <w:rFonts w:cs="Times New Roman"/>
          <w:lang w:val="en-GB"/>
        </w:rPr>
        <w:t xml:space="preserve"> Ultra Performance Liquid Chromatograph coupled with Waters TQ-S triple-quadrupole mass spectrometer.</w:t>
      </w:r>
      <w:r w:rsidRPr="002F44CF">
        <w:rPr>
          <w:rFonts w:cs="Times New Roman"/>
          <w:noProof/>
          <w:lang w:val="en-US"/>
        </w:rPr>
        <w:t xml:space="preserve"> </w:t>
      </w:r>
      <w:r w:rsidRPr="002F44CF">
        <w:rPr>
          <w:rFonts w:cs="Times New Roman"/>
          <w:lang w:val="en-US"/>
        </w:rPr>
        <w:t xml:space="preserve">For the instrument control and data acquisition Waters </w:t>
      </w:r>
      <w:proofErr w:type="spellStart"/>
      <w:r w:rsidRPr="002F44CF">
        <w:rPr>
          <w:rFonts w:cs="Times New Roman"/>
          <w:lang w:val="en-US"/>
        </w:rPr>
        <w:t>MassLynx</w:t>
      </w:r>
      <w:proofErr w:type="spellEnd"/>
      <w:r w:rsidRPr="002F44CF">
        <w:rPr>
          <w:rFonts w:cs="Times New Roman"/>
          <w:lang w:val="en-US"/>
        </w:rPr>
        <w:t xml:space="preserve"> software was used. Waters </w:t>
      </w:r>
      <w:proofErr w:type="spellStart"/>
      <w:r w:rsidRPr="002F44CF">
        <w:rPr>
          <w:rFonts w:cs="Times New Roman"/>
          <w:lang w:val="en-US"/>
        </w:rPr>
        <w:t>TargetLynx</w:t>
      </w:r>
      <w:proofErr w:type="spellEnd"/>
      <w:r w:rsidRPr="002F44CF">
        <w:rPr>
          <w:rFonts w:cs="Times New Roman"/>
          <w:lang w:val="en-US"/>
        </w:rPr>
        <w:t xml:space="preserve"> was used to processed data. </w:t>
      </w:r>
    </w:p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 w:rsidRPr="002F44CF">
        <w:rPr>
          <w:rFonts w:cs="Times New Roman"/>
          <w:lang w:val="en-GB"/>
        </w:rPr>
        <w:t>The analytes separation were performed using a Waters BEH C18 column (1.7</w:t>
      </w:r>
      <w:r w:rsidR="00B074E8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GB"/>
        </w:rPr>
        <w:t>µm, 2.1</w:t>
      </w:r>
      <w:r w:rsidR="00B074E8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GB"/>
        </w:rPr>
        <w:t>mm x 50 mm) and Waters BEH C18 guard column (1.7</w:t>
      </w:r>
      <w:r w:rsidR="00B074E8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GB"/>
        </w:rPr>
        <w:t>µm, 2.1</w:t>
      </w:r>
      <w:r w:rsidR="00B074E8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GB"/>
        </w:rPr>
        <w:t>mm x 5 mm).</w:t>
      </w:r>
      <w:r w:rsidRPr="002F44CF">
        <w:rPr>
          <w:rFonts w:cs="Times New Roman"/>
          <w:lang w:val="en-US"/>
        </w:rPr>
        <w:t xml:space="preserve"> Mobile phase A consisted of 1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>mL of formic acid in 1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 xml:space="preserve">L </w:t>
      </w:r>
      <w:r w:rsidR="00B074E8">
        <w:rPr>
          <w:rFonts w:cs="Times New Roman"/>
          <w:lang w:val="en-US"/>
        </w:rPr>
        <w:t xml:space="preserve"> of </w:t>
      </w:r>
      <w:r w:rsidRPr="002F44CF">
        <w:rPr>
          <w:rFonts w:cs="Times New Roman"/>
          <w:lang w:val="en-US"/>
        </w:rPr>
        <w:t>water, and mobile phase B consisted of 1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>mL of formic acid in acetonitrile. The flow rate of mobile phase was set at 0.6 mL/min. The column temperature was 60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>⁰C, the autosampler was kept at 5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 xml:space="preserve">⁰C. The gradient scheme is presented in </w:t>
      </w:r>
      <w:r>
        <w:rPr>
          <w:rFonts w:cs="Times New Roman"/>
          <w:lang w:val="en-US"/>
        </w:rPr>
        <w:t>Supplemental</w:t>
      </w:r>
      <w:r w:rsidRPr="002F44CF">
        <w:rPr>
          <w:rFonts w:cs="Times New Roman"/>
          <w:lang w:val="en-US"/>
        </w:rPr>
        <w:t xml:space="preserve"> Table </w:t>
      </w:r>
      <w:r>
        <w:rPr>
          <w:rFonts w:cs="Times New Roman"/>
          <w:lang w:val="en-US"/>
        </w:rPr>
        <w:t>4</w:t>
      </w:r>
      <w:r w:rsidRPr="002F44CF">
        <w:rPr>
          <w:rFonts w:cs="Times New Roman"/>
          <w:lang w:val="en-US"/>
        </w:rPr>
        <w:t>. The injection volume was 10</w:t>
      </w:r>
      <w:r w:rsidR="00B074E8">
        <w:rPr>
          <w:rFonts w:cs="Times New Roman"/>
          <w:lang w:val="en-US"/>
        </w:rPr>
        <w:t xml:space="preserve"> </w:t>
      </w:r>
      <w:r w:rsidRPr="002F44CF">
        <w:rPr>
          <w:rFonts w:cs="Times New Roman"/>
          <w:lang w:val="en-US"/>
        </w:rPr>
        <w:t xml:space="preserve">µL. The chromatogram is presented in </w:t>
      </w:r>
      <w:r>
        <w:rPr>
          <w:rFonts w:cs="Times New Roman"/>
          <w:lang w:val="en-US"/>
        </w:rPr>
        <w:t>Supplemental</w:t>
      </w:r>
      <w:r w:rsidRPr="002F44CF">
        <w:rPr>
          <w:rFonts w:cs="Times New Roman"/>
          <w:lang w:val="en-US"/>
        </w:rPr>
        <w:t xml:space="preserve"> Fig</w:t>
      </w:r>
      <w:r>
        <w:rPr>
          <w:rFonts w:cs="Times New Roman"/>
          <w:lang w:val="en-US"/>
        </w:rPr>
        <w:t>ure</w:t>
      </w:r>
      <w:r w:rsidRPr="002F44C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2</w:t>
      </w:r>
      <w:r w:rsidRPr="002F44CF">
        <w:rPr>
          <w:rFonts w:cs="Times New Roman"/>
          <w:lang w:val="en-US"/>
        </w:rPr>
        <w:t>.</w:t>
      </w:r>
    </w:p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>Supplemental</w:t>
      </w:r>
      <w:r w:rsidRPr="002F44CF">
        <w:rPr>
          <w:rFonts w:cs="Times New Roman"/>
          <w:lang w:val="en-US"/>
        </w:rPr>
        <w:t xml:space="preserve"> Table </w:t>
      </w:r>
      <w:r>
        <w:rPr>
          <w:rFonts w:cs="Times New Roman"/>
          <w:lang w:val="en-US"/>
        </w:rPr>
        <w:t>4</w:t>
      </w:r>
      <w:r w:rsidRPr="002F44CF">
        <w:rPr>
          <w:rFonts w:cs="Times New Roman"/>
          <w:lang w:val="en-US"/>
        </w:rPr>
        <w:t>. LC gradient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992"/>
        <w:gridCol w:w="992"/>
      </w:tblGrid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lastRenderedPageBreak/>
              <w:t>Time [min]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Flow [mL/min]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%A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%B</w:t>
            </w:r>
          </w:p>
        </w:tc>
      </w:tr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0.6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85.0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15.0</w:t>
            </w:r>
          </w:p>
        </w:tc>
      </w:tr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2.0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0.6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80.0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20.0</w:t>
            </w:r>
          </w:p>
        </w:tc>
      </w:tr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7.0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0.6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60.0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40.0</w:t>
            </w:r>
          </w:p>
        </w:tc>
      </w:tr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7.5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0.6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0.0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100.0</w:t>
            </w:r>
          </w:p>
        </w:tc>
      </w:tr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8.0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0.6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0.0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100.0</w:t>
            </w:r>
          </w:p>
        </w:tc>
      </w:tr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8.5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0.6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80.0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20.0</w:t>
            </w:r>
          </w:p>
        </w:tc>
      </w:tr>
      <w:tr w:rsidR="002F44CF" w:rsidRPr="002F44CF" w:rsidTr="007826BD">
        <w:tc>
          <w:tcPr>
            <w:tcW w:w="141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9.5</w:t>
            </w:r>
          </w:p>
        </w:tc>
        <w:tc>
          <w:tcPr>
            <w:tcW w:w="1843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0.6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85.0</w:t>
            </w:r>
          </w:p>
        </w:tc>
        <w:tc>
          <w:tcPr>
            <w:tcW w:w="992" w:type="dxa"/>
          </w:tcPr>
          <w:p w:rsidR="002F44CF" w:rsidRPr="002F44CF" w:rsidRDefault="002F44CF" w:rsidP="007826B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15.0</w:t>
            </w:r>
          </w:p>
        </w:tc>
      </w:tr>
    </w:tbl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:rsidR="002F44CF" w:rsidRPr="002F44CF" w:rsidRDefault="002F44CF" w:rsidP="002F44CF">
      <w:pPr>
        <w:spacing w:after="0"/>
        <w:jc w:val="both"/>
        <w:rPr>
          <w:rFonts w:cs="Times New Roman"/>
          <w:lang w:val="en-US"/>
        </w:rPr>
      </w:pPr>
      <w:r w:rsidRPr="002F44CF">
        <w:rPr>
          <w:rFonts w:cs="Times New Roman"/>
          <w:b/>
          <w:noProof/>
          <w:lang w:eastAsia="pl-PL"/>
        </w:rPr>
        <w:drawing>
          <wp:inline distT="0" distB="0" distL="0" distR="0" wp14:anchorId="418CFBC1" wp14:editId="58A2F327">
            <wp:extent cx="5752465" cy="1036955"/>
            <wp:effectExtent l="0" t="0" r="635" b="0"/>
            <wp:docPr id="3" name="Obraz 3" descr="C:\Users\User\AppData\Local\Microsoft\Windows\INetCache\Content.Word\sc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scf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4CF" w:rsidRPr="002F44CF" w:rsidRDefault="002F44CF" w:rsidP="002F44CF">
      <w:pPr>
        <w:spacing w:after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Supplemental</w:t>
      </w:r>
      <w:r w:rsidRPr="002F44CF">
        <w:rPr>
          <w:rFonts w:cs="Times New Roman"/>
          <w:lang w:val="en-US"/>
        </w:rPr>
        <w:t xml:space="preserve"> Fig</w:t>
      </w:r>
      <w:r>
        <w:rPr>
          <w:rFonts w:cs="Times New Roman"/>
          <w:lang w:val="en-US"/>
        </w:rPr>
        <w:t>ure</w:t>
      </w:r>
      <w:r w:rsidRPr="002F44CF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2</w:t>
      </w:r>
      <w:r w:rsidRPr="002F44CF">
        <w:rPr>
          <w:rFonts w:cs="Times New Roman"/>
          <w:lang w:val="en-US"/>
        </w:rPr>
        <w:t>. Chromatograms of ten SCFAs: 1- AA, 2- PA, 3- IBA, 4- BA, 5- 2MBA, 6- IVA, 7- VA, 8- 3MVA, 9- 4MVA, 10-CA</w:t>
      </w:r>
    </w:p>
    <w:p w:rsidR="002F44CF" w:rsidRPr="002F44CF" w:rsidRDefault="002F44CF" w:rsidP="002F44CF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lang w:val="en-US"/>
        </w:rPr>
      </w:pPr>
      <w:r w:rsidRPr="002F44CF">
        <w:rPr>
          <w:rFonts w:eastAsia="Calibri" w:cs="Times New Roman"/>
          <w:lang w:val="en-GB"/>
        </w:rPr>
        <w:t>The mass spectrometer operated in multiple-reaction monitoring (MRM)</w:t>
      </w:r>
      <w:r w:rsidR="00B074E8">
        <w:rPr>
          <w:rFonts w:eastAsia="Calibri" w:cs="Times New Roman"/>
          <w:lang w:val="en-GB"/>
        </w:rPr>
        <w:t xml:space="preserve"> </w:t>
      </w:r>
      <w:r w:rsidRPr="002F44CF">
        <w:rPr>
          <w:rFonts w:eastAsia="Calibri" w:cs="Times New Roman"/>
          <w:lang w:val="en-GB"/>
        </w:rPr>
        <w:t>- negative electrospray ionization (ESI) mode.</w:t>
      </w:r>
      <w:r w:rsidRPr="002F44CF">
        <w:rPr>
          <w:rFonts w:cs="Times New Roman"/>
          <w:lang w:val="en-GB"/>
        </w:rPr>
        <w:t xml:space="preserve"> </w:t>
      </w:r>
      <w:r w:rsidRPr="002F44CF">
        <w:rPr>
          <w:rFonts w:cs="Times New Roman"/>
          <w:lang w:val="en-US"/>
        </w:rPr>
        <w:t xml:space="preserve">For all analyzed compounds mass spectrometer optimized settings were as follows: capillary voltage = 2.25 kV, </w:t>
      </w:r>
      <w:proofErr w:type="spellStart"/>
      <w:r w:rsidRPr="002F44CF">
        <w:rPr>
          <w:rFonts w:cs="Times New Roman"/>
          <w:lang w:val="en-US"/>
        </w:rPr>
        <w:t>desolvation</w:t>
      </w:r>
      <w:proofErr w:type="spellEnd"/>
      <w:r w:rsidRPr="002F44CF">
        <w:rPr>
          <w:rFonts w:cs="Times New Roman"/>
          <w:lang w:val="en-US"/>
        </w:rPr>
        <w:t xml:space="preserve"> temperature = 550 </w:t>
      </w:r>
      <w:r w:rsidR="00B074E8" w:rsidRPr="002F44CF">
        <w:rPr>
          <w:rFonts w:cs="Times New Roman"/>
          <w:lang w:val="en-US"/>
        </w:rPr>
        <w:t>°</w:t>
      </w:r>
      <w:r w:rsidRPr="002F44CF">
        <w:rPr>
          <w:rFonts w:cs="Times New Roman"/>
          <w:lang w:val="en-US"/>
        </w:rPr>
        <w:t xml:space="preserve">C, </w:t>
      </w:r>
      <w:proofErr w:type="spellStart"/>
      <w:r w:rsidRPr="002F44CF">
        <w:rPr>
          <w:rFonts w:cs="Times New Roman"/>
          <w:lang w:val="en-US"/>
        </w:rPr>
        <w:t>desolvation</w:t>
      </w:r>
      <w:proofErr w:type="spellEnd"/>
      <w:r w:rsidRPr="002F44CF">
        <w:rPr>
          <w:rFonts w:cs="Times New Roman"/>
          <w:lang w:val="en-US"/>
        </w:rPr>
        <w:t xml:space="preserve"> gas flow = 550 L/h, cone gas flow = 150 L/h, </w:t>
      </w:r>
      <w:proofErr w:type="spellStart"/>
      <w:r w:rsidRPr="002F44CF">
        <w:rPr>
          <w:rFonts w:cs="Times New Roman"/>
          <w:lang w:val="en-US"/>
        </w:rPr>
        <w:t>nebuliser</w:t>
      </w:r>
      <w:proofErr w:type="spellEnd"/>
      <w:r w:rsidRPr="002F44CF">
        <w:rPr>
          <w:rFonts w:cs="Times New Roman"/>
          <w:lang w:val="en-US"/>
        </w:rPr>
        <w:t xml:space="preserve"> gas pressure = 7.0 bar, source temperature = 150 °C. MRM transitions, cone voltages, collision energies and retention times used in described methods are presented in</w:t>
      </w:r>
      <w:r>
        <w:rPr>
          <w:rFonts w:cs="Times New Roman"/>
          <w:lang w:val="en-US"/>
        </w:rPr>
        <w:t xml:space="preserve"> Supplemental </w:t>
      </w:r>
      <w:r w:rsidRPr="002F44CF">
        <w:rPr>
          <w:rFonts w:cs="Times New Roman"/>
          <w:lang w:val="en-US"/>
        </w:rPr>
        <w:t xml:space="preserve">Table </w:t>
      </w:r>
      <w:r>
        <w:rPr>
          <w:rFonts w:cs="Times New Roman"/>
          <w:lang w:val="en-US"/>
        </w:rPr>
        <w:t>5</w:t>
      </w:r>
      <w:r w:rsidRPr="002F44CF">
        <w:rPr>
          <w:rFonts w:cs="Times New Roman"/>
          <w:lang w:val="en-US"/>
        </w:rPr>
        <w:t>. The first MRM transition of each compound served as a quantitative transition, the second as a confirmation transition.</w:t>
      </w:r>
    </w:p>
    <w:p w:rsidR="002F44CF" w:rsidRPr="002F44CF" w:rsidRDefault="002F44CF" w:rsidP="002F44CF">
      <w:pPr>
        <w:spacing w:after="0"/>
        <w:jc w:val="both"/>
        <w:rPr>
          <w:rFonts w:cs="Times New Roman"/>
          <w:lang w:val="en-US"/>
        </w:rPr>
      </w:pPr>
    </w:p>
    <w:p w:rsidR="002F44CF" w:rsidRPr="002F44CF" w:rsidRDefault="002F44CF" w:rsidP="002F44CF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Supplemental</w:t>
      </w:r>
      <w:r w:rsidRPr="002F44CF">
        <w:rPr>
          <w:rFonts w:cs="Times New Roman"/>
          <w:lang w:val="en-US"/>
        </w:rPr>
        <w:t xml:space="preserve"> Table </w:t>
      </w:r>
      <w:r>
        <w:rPr>
          <w:rFonts w:cs="Times New Roman"/>
          <w:lang w:val="en-US"/>
        </w:rPr>
        <w:t>5</w:t>
      </w:r>
      <w:r w:rsidRPr="002F44CF">
        <w:rPr>
          <w:rFonts w:cs="Times New Roman"/>
          <w:lang w:val="en-US"/>
        </w:rPr>
        <w:t>. Monitored transitions for SCFAs derivatives, cone voltages, collision energies, retention times of analyzed compounds</w:t>
      </w:r>
      <w:bookmarkStart w:id="65" w:name="_GoBack"/>
      <w:bookmarkEnd w:id="65"/>
    </w:p>
    <w:tbl>
      <w:tblPr>
        <w:tblW w:w="6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842"/>
        <w:gridCol w:w="1134"/>
        <w:gridCol w:w="1134"/>
        <w:gridCol w:w="1276"/>
      </w:tblGrid>
      <w:tr w:rsidR="002F44CF" w:rsidRPr="002F44CF" w:rsidTr="007826BD">
        <w:tc>
          <w:tcPr>
            <w:tcW w:w="1447" w:type="dxa"/>
            <w:vAlign w:val="center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Analyte</w:t>
            </w:r>
          </w:p>
        </w:tc>
        <w:tc>
          <w:tcPr>
            <w:tcW w:w="1842" w:type="dxa"/>
            <w:vAlign w:val="center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MRM transition</w:t>
            </w:r>
          </w:p>
        </w:tc>
        <w:tc>
          <w:tcPr>
            <w:tcW w:w="1134" w:type="dxa"/>
            <w:vAlign w:val="center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Cone voltage</w:t>
            </w:r>
          </w:p>
        </w:tc>
        <w:tc>
          <w:tcPr>
            <w:tcW w:w="1134" w:type="dxa"/>
            <w:vAlign w:val="center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Collision energy</w:t>
            </w:r>
          </w:p>
        </w:tc>
        <w:tc>
          <w:tcPr>
            <w:tcW w:w="1276" w:type="dxa"/>
            <w:vAlign w:val="center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Retention</w:t>
            </w:r>
            <w:r w:rsidRPr="002F44CF">
              <w:rPr>
                <w:rFonts w:cs="Times New Roman"/>
                <w:lang w:val="en-US"/>
              </w:rPr>
              <w:br/>
              <w:t>time [min]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AA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bookmarkStart w:id="66" w:name="OLE_LINK25"/>
            <w:bookmarkStart w:id="67" w:name="OLE_LINK26"/>
            <w:r w:rsidRPr="002F44CF">
              <w:rPr>
                <w:rFonts w:cs="Times New Roman"/>
                <w:lang w:val="en-US"/>
              </w:rPr>
              <w:t xml:space="preserve">194.1&gt;137.1 </w:t>
            </w:r>
            <w:bookmarkStart w:id="68" w:name="OLE_LINK63"/>
            <w:bookmarkStart w:id="69" w:name="OLE_LINK67"/>
            <w:bookmarkStart w:id="70" w:name="OLE_LINK68"/>
            <w:bookmarkStart w:id="71" w:name="OLE_LINK69"/>
            <w:bookmarkStart w:id="72" w:name="OLE_LINK70"/>
            <w:bookmarkStart w:id="73" w:name="OLE_LINK71"/>
            <w:bookmarkStart w:id="74" w:name="OLE_LINK72"/>
            <w:bookmarkStart w:id="75" w:name="OLE_LINK73"/>
            <w:bookmarkStart w:id="76" w:name="OLE_LINK74"/>
            <w:bookmarkStart w:id="77" w:name="OLE_LINK75"/>
            <w:bookmarkStart w:id="78" w:name="OLE_LINK76"/>
            <w:bookmarkStart w:id="79" w:name="OLE_LINK77"/>
            <w:bookmarkStart w:id="80" w:name="OLE_LINK78"/>
            <w:bookmarkStart w:id="81" w:name="OLE_LINK79"/>
            <w:bookmarkStart w:id="82" w:name="OLE_LINK80"/>
            <w:bookmarkStart w:id="83" w:name="OLE_LINK81"/>
            <w:r w:rsidRPr="002F44CF">
              <w:rPr>
                <w:rFonts w:cs="Times New Roman"/>
                <w:lang w:val="en-US"/>
              </w:rPr>
              <w:t>(qt)</w:t>
            </w:r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</w:p>
          <w:bookmarkEnd w:id="66"/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194.1&gt;152.1</w:t>
            </w:r>
            <w:bookmarkEnd w:id="67"/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1.49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AA-</w:t>
            </w:r>
            <w:r w:rsidRPr="002F44CF">
              <w:rPr>
                <w:rFonts w:cs="Times New Roman"/>
                <w:vertAlign w:val="superscript"/>
                <w:lang w:val="en-US"/>
              </w:rPr>
              <w:t>13</w:t>
            </w:r>
            <w:r w:rsidRPr="002F44CF">
              <w:rPr>
                <w:rFonts w:cs="Times New Roman"/>
                <w:lang w:val="en-US"/>
              </w:rPr>
              <w:t>C</w:t>
            </w:r>
            <w:r w:rsidRPr="002F44CF">
              <w:rPr>
                <w:rFonts w:cs="Times New Roman"/>
                <w:vertAlign w:val="subscript"/>
                <w:lang w:val="en-US"/>
              </w:rPr>
              <w:t>2</w:t>
            </w:r>
            <w:r w:rsidRPr="002F44CF">
              <w:rPr>
                <w:rFonts w:cs="Times New Roman"/>
                <w:lang w:val="en-US"/>
              </w:rPr>
              <w:t xml:space="preserve"> (IS for AA)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196.1&gt;137.1 (qt)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196.1&gt;152.1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1.49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PA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bookmarkStart w:id="84" w:name="OLE_LINK30"/>
            <w:bookmarkStart w:id="85" w:name="OLE_LINK31"/>
            <w:r w:rsidRPr="002F44CF">
              <w:rPr>
                <w:rFonts w:cs="Times New Roman"/>
                <w:lang w:val="en-US"/>
              </w:rPr>
              <w:t>208.1&gt;137.1 (qt)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208.1&gt;165.1</w:t>
            </w:r>
            <w:bookmarkEnd w:id="84"/>
            <w:bookmarkEnd w:id="85"/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15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2.29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PA- D</w:t>
            </w:r>
            <w:r w:rsidRPr="002F44CF">
              <w:rPr>
                <w:rFonts w:cs="Times New Roman"/>
                <w:vertAlign w:val="subscript"/>
                <w:lang w:val="en-US"/>
              </w:rPr>
              <w:t xml:space="preserve">6 </w:t>
            </w:r>
            <w:r w:rsidRPr="002F44CF">
              <w:rPr>
                <w:rFonts w:cs="Times New Roman"/>
                <w:lang w:val="en-US"/>
              </w:rPr>
              <w:t>(IS for PA)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bookmarkStart w:id="86" w:name="OLE_LINK32"/>
            <w:bookmarkStart w:id="87" w:name="OLE_LINK33"/>
            <w:r w:rsidRPr="002F44CF">
              <w:rPr>
                <w:rFonts w:cs="Times New Roman"/>
                <w:lang w:val="en-US"/>
              </w:rPr>
              <w:t>212.1&gt;137.1 (qt)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212.1&gt;165.1</w:t>
            </w:r>
            <w:bookmarkEnd w:id="86"/>
            <w:bookmarkEnd w:id="87"/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15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2.26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BA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bookmarkStart w:id="88" w:name="OLE_LINK36"/>
            <w:bookmarkStart w:id="89" w:name="OLE_LINK37"/>
            <w:r w:rsidRPr="002F44CF">
              <w:rPr>
                <w:rFonts w:cs="Times New Roman"/>
                <w:lang w:val="en-US"/>
              </w:rPr>
              <w:t>222.1&gt;137 (qt)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222.1&gt;152.1</w:t>
            </w:r>
            <w:bookmarkEnd w:id="88"/>
            <w:bookmarkEnd w:id="89"/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3.54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lastRenderedPageBreak/>
              <w:t>BA-</w:t>
            </w:r>
            <w:r w:rsidRPr="002F44CF">
              <w:rPr>
                <w:rFonts w:cs="Times New Roman"/>
                <w:vertAlign w:val="superscript"/>
                <w:lang w:val="en-US"/>
              </w:rPr>
              <w:t>13</w:t>
            </w:r>
            <w:r w:rsidRPr="002F44CF">
              <w:rPr>
                <w:rFonts w:cs="Times New Roman"/>
                <w:lang w:val="en-US"/>
              </w:rPr>
              <w:t>C</w:t>
            </w:r>
            <w:r w:rsidRPr="002F44CF">
              <w:rPr>
                <w:rFonts w:cs="Times New Roman"/>
                <w:vertAlign w:val="subscript"/>
                <w:lang w:val="en-US"/>
              </w:rPr>
              <w:t>2</w:t>
            </w:r>
            <w:r w:rsidRPr="002F44CF">
              <w:rPr>
                <w:rFonts w:cs="Times New Roman"/>
                <w:lang w:val="en-US"/>
              </w:rPr>
              <w:t xml:space="preserve"> (IS for BA)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bookmarkStart w:id="90" w:name="OLE_LINK38"/>
            <w:bookmarkStart w:id="91" w:name="OLE_LINK39"/>
            <w:bookmarkStart w:id="92" w:name="OLE_LINK40"/>
            <w:bookmarkStart w:id="93" w:name="OLE_LINK41"/>
            <w:bookmarkStart w:id="94" w:name="OLE_LINK42"/>
            <w:r w:rsidRPr="002F44CF">
              <w:rPr>
                <w:rFonts w:cs="Times New Roman"/>
                <w:lang w:val="en-US"/>
              </w:rPr>
              <w:t>224.1&gt;137.1 (qt)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224.1&gt;152.1</w:t>
            </w:r>
            <w:bookmarkEnd w:id="90"/>
            <w:bookmarkEnd w:id="91"/>
            <w:bookmarkEnd w:id="92"/>
            <w:bookmarkEnd w:id="93"/>
            <w:bookmarkEnd w:id="94"/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3.53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IBA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222.1&gt;137 (qt)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222.1&gt;152.1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3.31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IBA- D</w:t>
            </w:r>
            <w:r w:rsidRPr="002F44CF">
              <w:rPr>
                <w:rFonts w:cs="Times New Roman"/>
                <w:vertAlign w:val="subscript"/>
                <w:lang w:val="en-US"/>
              </w:rPr>
              <w:t>7</w:t>
            </w:r>
            <w:r w:rsidRPr="002F44CF">
              <w:rPr>
                <w:rFonts w:cs="Times New Roman"/>
                <w:lang w:val="en-US"/>
              </w:rPr>
              <w:t xml:space="preserve"> (IS for IBA)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</w:rPr>
            </w:pPr>
            <w:r w:rsidRPr="002F44CF">
              <w:rPr>
                <w:rFonts w:cs="Times New Roman"/>
                <w:lang w:val="en-US"/>
              </w:rPr>
              <w:t>229.1&gt;137.1 (qt)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229.1&gt;152.1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3.24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bookmarkStart w:id="95" w:name="_Hlk511039852"/>
            <w:r w:rsidRPr="002F44CF">
              <w:rPr>
                <w:rFonts w:cs="Times New Roman"/>
                <w:lang w:val="en-US"/>
              </w:rPr>
              <w:t>2MBA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IVA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VA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bookmarkStart w:id="96" w:name="OLE_LINK43"/>
            <w:r w:rsidRPr="002F44CF">
              <w:rPr>
                <w:rFonts w:cs="Times New Roman"/>
                <w:lang w:val="en-US"/>
              </w:rPr>
              <w:t>236.2&gt;137.1 (qt)</w:t>
            </w:r>
          </w:p>
          <w:bookmarkEnd w:id="96"/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236.2&gt;152.1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ind w:left="708" w:hanging="708"/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4.88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5.18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5.54</w:t>
            </w:r>
          </w:p>
        </w:tc>
      </w:tr>
      <w:bookmarkEnd w:id="95"/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VA- D</w:t>
            </w:r>
            <w:r w:rsidRPr="002F44CF">
              <w:rPr>
                <w:rFonts w:cs="Times New Roman"/>
                <w:vertAlign w:val="subscript"/>
                <w:lang w:val="en-US"/>
              </w:rPr>
              <w:t>9</w:t>
            </w:r>
            <w:r w:rsidRPr="002F44CF">
              <w:rPr>
                <w:rFonts w:cs="Times New Roman"/>
                <w:lang w:val="en-US"/>
              </w:rPr>
              <w:t xml:space="preserve"> (IS for VA, CA, 3MVA and 4MVA)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244.2&gt;137.1 (qt)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244.2&gt;152.1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5.45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IVA-D</w:t>
            </w:r>
            <w:r w:rsidRPr="002F44CF">
              <w:rPr>
                <w:rFonts w:cs="Times New Roman"/>
                <w:vertAlign w:val="subscript"/>
                <w:lang w:val="en-US"/>
              </w:rPr>
              <w:t xml:space="preserve">9 </w:t>
            </w:r>
            <w:r w:rsidRPr="002F44CF">
              <w:rPr>
                <w:rFonts w:cs="Times New Roman"/>
                <w:lang w:val="en-US"/>
              </w:rPr>
              <w:t>(IS for IVA and 2 MBA)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245.2&gt;137.1 (qt)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245.2&gt;152.1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5.08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3MVA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4MVA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CA</w:t>
            </w:r>
          </w:p>
        </w:tc>
        <w:tc>
          <w:tcPr>
            <w:tcW w:w="1842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bookmarkStart w:id="97" w:name="OLE_LINK59"/>
            <w:bookmarkStart w:id="98" w:name="OLE_LINK60"/>
            <w:bookmarkStart w:id="99" w:name="OLE_LINK61"/>
            <w:bookmarkStart w:id="100" w:name="OLE_LINK62"/>
            <w:r w:rsidRPr="002F44CF">
              <w:rPr>
                <w:rFonts w:cs="Times New Roman"/>
                <w:lang w:val="en-US"/>
              </w:rPr>
              <w:t>252.2&gt;152.1 (qt)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 xml:space="preserve">252.2&gt;137 </w:t>
            </w:r>
            <w:bookmarkEnd w:id="97"/>
            <w:bookmarkEnd w:id="98"/>
            <w:bookmarkEnd w:id="99"/>
            <w:bookmarkEnd w:id="100"/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134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20</w:t>
            </w:r>
          </w:p>
        </w:tc>
        <w:tc>
          <w:tcPr>
            <w:tcW w:w="127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6.7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6.89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7.06</w:t>
            </w:r>
          </w:p>
        </w:tc>
      </w:tr>
    </w:tbl>
    <w:p w:rsidR="002F44CF" w:rsidRPr="002F44CF" w:rsidRDefault="002F44CF" w:rsidP="002F44CF">
      <w:pPr>
        <w:spacing w:after="0"/>
        <w:jc w:val="both"/>
        <w:rPr>
          <w:rFonts w:cs="Times New Roman"/>
          <w:lang w:val="en-US"/>
        </w:rPr>
      </w:pPr>
    </w:p>
    <w:p w:rsidR="002F44CF" w:rsidRPr="002F44CF" w:rsidRDefault="002F44CF" w:rsidP="002F44CF">
      <w:pPr>
        <w:spacing w:after="0" w:line="240" w:lineRule="auto"/>
        <w:jc w:val="both"/>
        <w:rPr>
          <w:rFonts w:cs="Times New Roman"/>
          <w:lang w:val="en-US"/>
        </w:rPr>
      </w:pPr>
      <w:r w:rsidRPr="002F44CF">
        <w:rPr>
          <w:rFonts w:cs="Times New Roman"/>
          <w:lang w:val="en-US"/>
        </w:rPr>
        <w:t xml:space="preserve">The concentration of short fatty acids was calculated using calibration standard mix derived from a series of calibrator samples by spiking standard stock solutions into water. Calibration curves for SCFAs were generated by compared a ratio of the peak area of the analyzed compound to the peak of the internal standard against known analyte concentrations. Stool extract samples and plasma samples were compared with a obtained calibration curve. Mean R2 coefficients of a </w:t>
      </w:r>
      <w:r w:rsidRPr="002F44CF">
        <w:rPr>
          <w:rFonts w:cs="Times New Roman"/>
          <w:noProof/>
          <w:lang w:val="en-US"/>
        </w:rPr>
        <w:t>calibration</w:t>
      </w:r>
      <w:r w:rsidRPr="002F44CF">
        <w:rPr>
          <w:rFonts w:cs="Times New Roman"/>
          <w:lang w:val="en-US"/>
        </w:rPr>
        <w:t xml:space="preserve"> curves from 6 calibrators was not lower than 0.99. The linear ranges are presented in </w:t>
      </w:r>
      <w:r>
        <w:rPr>
          <w:rFonts w:cs="Times New Roman"/>
          <w:lang w:val="en-US"/>
        </w:rPr>
        <w:t>Supplemental</w:t>
      </w:r>
      <w:r w:rsidRPr="002F44CF">
        <w:rPr>
          <w:rFonts w:cs="Times New Roman"/>
          <w:lang w:val="en-US"/>
        </w:rPr>
        <w:t xml:space="preserve"> Table </w:t>
      </w:r>
      <w:r>
        <w:rPr>
          <w:rFonts w:cs="Times New Roman"/>
          <w:lang w:val="en-US"/>
        </w:rPr>
        <w:t>6</w:t>
      </w:r>
      <w:r w:rsidRPr="002F44CF">
        <w:rPr>
          <w:rFonts w:cs="Times New Roman"/>
          <w:lang w:val="en-US"/>
        </w:rPr>
        <w:t xml:space="preserve">. The method showed a good intra- and </w:t>
      </w:r>
      <w:proofErr w:type="spellStart"/>
      <w:r w:rsidRPr="002F44CF">
        <w:rPr>
          <w:rFonts w:cs="Times New Roman"/>
          <w:lang w:val="en-US"/>
        </w:rPr>
        <w:t>interassay</w:t>
      </w:r>
      <w:proofErr w:type="spellEnd"/>
      <w:r w:rsidRPr="002F44CF">
        <w:rPr>
          <w:rFonts w:cs="Times New Roman"/>
          <w:lang w:val="en-US"/>
        </w:rPr>
        <w:t xml:space="preserve"> precision below 10%.</w:t>
      </w:r>
    </w:p>
    <w:p w:rsidR="002F44CF" w:rsidRPr="002F44CF" w:rsidRDefault="002F44CF" w:rsidP="002F44CF">
      <w:pPr>
        <w:rPr>
          <w:rFonts w:cs="Times New Roman"/>
          <w:lang w:val="en-US"/>
        </w:rPr>
      </w:pPr>
    </w:p>
    <w:p w:rsidR="002F44CF" w:rsidRPr="002F44CF" w:rsidRDefault="007B2441" w:rsidP="002F44CF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Supplemental</w:t>
      </w:r>
      <w:r w:rsidRPr="002F44CF">
        <w:rPr>
          <w:rFonts w:cs="Times New Roman"/>
          <w:lang w:val="en-US"/>
        </w:rPr>
        <w:t xml:space="preserve"> </w:t>
      </w:r>
      <w:r w:rsidR="002F44CF" w:rsidRPr="002F44CF">
        <w:rPr>
          <w:rFonts w:cs="Times New Roman"/>
          <w:lang w:val="en-US"/>
        </w:rPr>
        <w:t xml:space="preserve">Table </w:t>
      </w:r>
      <w:r>
        <w:rPr>
          <w:rFonts w:cs="Times New Roman"/>
          <w:lang w:val="en-US"/>
        </w:rPr>
        <w:t>6</w:t>
      </w:r>
      <w:r w:rsidR="002F44CF" w:rsidRPr="002F44CF">
        <w:rPr>
          <w:rFonts w:cs="Times New Roman"/>
          <w:lang w:val="en-US"/>
        </w:rPr>
        <w:t>. Linearity for stool (S) and plasma (P) samples</w:t>
      </w:r>
    </w:p>
    <w:tbl>
      <w:tblPr>
        <w:tblW w:w="3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126"/>
      </w:tblGrid>
      <w:tr w:rsidR="002F44CF" w:rsidRPr="002F44CF" w:rsidTr="007826BD">
        <w:tc>
          <w:tcPr>
            <w:tcW w:w="1447" w:type="dxa"/>
            <w:vAlign w:val="center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Analyte</w:t>
            </w:r>
          </w:p>
        </w:tc>
        <w:tc>
          <w:tcPr>
            <w:tcW w:w="212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Linear range [</w:t>
            </w:r>
            <w:proofErr w:type="spellStart"/>
            <w:r w:rsidRPr="002F44CF">
              <w:rPr>
                <w:rFonts w:cs="Times New Roman"/>
                <w:lang w:val="en-US"/>
              </w:rPr>
              <w:t>uM</w:t>
            </w:r>
            <w:proofErr w:type="spellEnd"/>
            <w:r w:rsidRPr="002F44CF">
              <w:rPr>
                <w:rFonts w:cs="Times New Roman"/>
                <w:lang w:val="en-US"/>
              </w:rPr>
              <w:t>]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AA</w:t>
            </w:r>
          </w:p>
        </w:tc>
        <w:tc>
          <w:tcPr>
            <w:tcW w:w="212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P: 10-1000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S: 250-5000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PA</w:t>
            </w:r>
          </w:p>
        </w:tc>
        <w:tc>
          <w:tcPr>
            <w:tcW w:w="212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P: 1-250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S: 125-4000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BA</w:t>
            </w:r>
          </w:p>
        </w:tc>
        <w:tc>
          <w:tcPr>
            <w:tcW w:w="212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P: 1-250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S: 50-4000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lastRenderedPageBreak/>
              <w:t>IBA</w:t>
            </w:r>
          </w:p>
        </w:tc>
        <w:tc>
          <w:tcPr>
            <w:tcW w:w="212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bookmarkStart w:id="101" w:name="OLE_LINK44"/>
            <w:bookmarkStart w:id="102" w:name="OLE_LINK45"/>
            <w:bookmarkStart w:id="103" w:name="OLE_LINK49"/>
            <w:bookmarkStart w:id="104" w:name="OLE_LINK50"/>
            <w:bookmarkStart w:id="105" w:name="OLE_LINK51"/>
            <w:bookmarkStart w:id="106" w:name="OLE_LINK54"/>
            <w:bookmarkStart w:id="107" w:name="OLE_LINK55"/>
            <w:bookmarkStart w:id="108" w:name="OLE_LINK56"/>
            <w:r w:rsidRPr="002F44CF">
              <w:rPr>
                <w:rFonts w:cs="Times New Roman"/>
                <w:lang w:val="en-US"/>
              </w:rPr>
              <w:t>P: 0.1-10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S:</w:t>
            </w:r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r w:rsidRPr="002F44CF">
              <w:rPr>
                <w:rFonts w:cs="Times New Roman"/>
                <w:lang w:val="en-US"/>
              </w:rPr>
              <w:t xml:space="preserve"> 5-1000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2MBA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212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P: 0.1-50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S: 1-250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IVA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212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P: 0.1-10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S: 5-500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VA</w:t>
            </w:r>
          </w:p>
        </w:tc>
        <w:tc>
          <w:tcPr>
            <w:tcW w:w="212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P: 0.1-50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S: 5-1000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3MVA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212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P: 0.1-50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S: 0.2-50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4MVA</w:t>
            </w:r>
          </w:p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212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P: 0.1-50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S: 0.2-1000</w:t>
            </w:r>
          </w:p>
        </w:tc>
      </w:tr>
      <w:tr w:rsidR="002F44CF" w:rsidRPr="002F44CF" w:rsidTr="007826BD">
        <w:tc>
          <w:tcPr>
            <w:tcW w:w="1447" w:type="dxa"/>
          </w:tcPr>
          <w:p w:rsidR="002F44CF" w:rsidRPr="002F44CF" w:rsidRDefault="002F44CF" w:rsidP="007826BD">
            <w:pPr>
              <w:jc w:val="both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CA</w:t>
            </w:r>
          </w:p>
        </w:tc>
        <w:tc>
          <w:tcPr>
            <w:tcW w:w="2126" w:type="dxa"/>
          </w:tcPr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P: 0.1-50</w:t>
            </w:r>
          </w:p>
          <w:p w:rsidR="002F44CF" w:rsidRPr="002F44CF" w:rsidRDefault="002F44CF" w:rsidP="007826BD">
            <w:pPr>
              <w:jc w:val="center"/>
              <w:rPr>
                <w:rFonts w:cs="Times New Roman"/>
                <w:lang w:val="en-US"/>
              </w:rPr>
            </w:pPr>
            <w:r w:rsidRPr="002F44CF">
              <w:rPr>
                <w:rFonts w:cs="Times New Roman"/>
                <w:lang w:val="en-US"/>
              </w:rPr>
              <w:t>S: 0.2-1000</w:t>
            </w:r>
          </w:p>
        </w:tc>
      </w:tr>
    </w:tbl>
    <w:p w:rsidR="002F44CF" w:rsidRPr="00703B0F" w:rsidRDefault="002F44CF" w:rsidP="002F44CF">
      <w:pPr>
        <w:rPr>
          <w:rFonts w:ascii="Times New Roman" w:hAnsi="Times New Roman" w:cs="Times New Roman"/>
          <w:sz w:val="24"/>
          <w:szCs w:val="24"/>
        </w:rPr>
      </w:pPr>
    </w:p>
    <w:p w:rsidR="002F44CF" w:rsidRPr="002F44CF" w:rsidRDefault="002F44CF">
      <w:pPr>
        <w:rPr>
          <w:lang w:val="en-US"/>
        </w:rPr>
      </w:pPr>
    </w:p>
    <w:sectPr w:rsidR="002F44CF" w:rsidRPr="002F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3408B"/>
    <w:multiLevelType w:val="hybridMultilevel"/>
    <w:tmpl w:val="77DEEA8E"/>
    <w:lvl w:ilvl="0" w:tplc="611CC8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CF"/>
    <w:rsid w:val="002F44CF"/>
    <w:rsid w:val="007B2441"/>
    <w:rsid w:val="007E430E"/>
    <w:rsid w:val="00B074E8"/>
    <w:rsid w:val="00D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0FCD"/>
  <w15:chartTrackingRefBased/>
  <w15:docId w15:val="{EF2E56C5-BE52-434C-9C3A-FC279808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4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4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4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1285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Pham</dc:creator>
  <cp:keywords/>
  <dc:description/>
  <cp:lastModifiedBy>Kinga Pham</cp:lastModifiedBy>
  <cp:revision>3</cp:revision>
  <dcterms:created xsi:type="dcterms:W3CDTF">2018-07-25T11:43:00Z</dcterms:created>
  <dcterms:modified xsi:type="dcterms:W3CDTF">2018-07-25T11:52:00Z</dcterms:modified>
</cp:coreProperties>
</file>