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970FD" w14:textId="77777777" w:rsidR="00277E15" w:rsidRPr="008C1032" w:rsidRDefault="00277E15" w:rsidP="00277E15">
      <w:pPr>
        <w:pStyle w:val="Heading1"/>
        <w:spacing w:before="0" w:after="0"/>
        <w:rPr>
          <w:rFonts w:asciiTheme="majorHAnsi" w:hAnsiTheme="majorHAnsi" w:cstheme="majorHAnsi"/>
          <w:sz w:val="24"/>
          <w:szCs w:val="24"/>
        </w:rPr>
      </w:pPr>
      <w:r w:rsidRPr="00B93BC6">
        <w:rPr>
          <w:rFonts w:asciiTheme="majorHAnsi" w:hAnsiTheme="majorHAnsi" w:cstheme="majorHAnsi"/>
          <w:sz w:val="24"/>
          <w:szCs w:val="24"/>
        </w:rPr>
        <w:t>TITLE:</w:t>
      </w:r>
    </w:p>
    <w:p w14:paraId="44807732" w14:textId="77777777" w:rsidR="00277E15" w:rsidRPr="00B93BC6" w:rsidRDefault="00277E15" w:rsidP="00277E15">
      <w:pPr>
        <w:pStyle w:val="NormalWeb"/>
        <w:spacing w:before="0" w:beforeAutospacing="0" w:after="0" w:afterAutospacing="0"/>
        <w:rPr>
          <w:rFonts w:asciiTheme="majorHAnsi" w:hAnsiTheme="majorHAnsi" w:cstheme="majorHAnsi"/>
        </w:rPr>
      </w:pPr>
      <w:r w:rsidRPr="00B93BC6">
        <w:rPr>
          <w:rFonts w:asciiTheme="majorHAnsi" w:hAnsiTheme="majorHAnsi" w:cstheme="majorHAnsi"/>
        </w:rPr>
        <w:t>Isolation</w:t>
      </w:r>
      <w:r>
        <w:rPr>
          <w:rFonts w:asciiTheme="majorHAnsi" w:hAnsiTheme="majorHAnsi" w:cstheme="majorHAnsi"/>
        </w:rPr>
        <w:t xml:space="preserve"> of</w:t>
      </w:r>
      <w:r w:rsidRPr="00B93BC6">
        <w:rPr>
          <w:rFonts w:asciiTheme="majorHAnsi" w:hAnsiTheme="majorHAnsi" w:cstheme="majorHAnsi"/>
        </w:rPr>
        <w:t xml:space="preserve"> </w:t>
      </w:r>
      <w:r>
        <w:rPr>
          <w:rFonts w:asciiTheme="majorHAnsi" w:hAnsiTheme="majorHAnsi" w:cstheme="majorHAnsi"/>
        </w:rPr>
        <w:t>CD4</w:t>
      </w:r>
      <w:r w:rsidRPr="006D51B2">
        <w:rPr>
          <w:rFonts w:asciiTheme="majorHAnsi" w:hAnsiTheme="majorHAnsi" w:cstheme="majorHAnsi"/>
          <w:vertAlign w:val="superscript"/>
        </w:rPr>
        <w:t>+</w:t>
      </w:r>
      <w:r>
        <w:rPr>
          <w:rFonts w:asciiTheme="majorHAnsi" w:hAnsiTheme="majorHAnsi" w:cstheme="majorHAnsi"/>
        </w:rPr>
        <w:t xml:space="preserve"> T-cells </w:t>
      </w:r>
      <w:r w:rsidRPr="00B93BC6">
        <w:rPr>
          <w:rFonts w:asciiTheme="majorHAnsi" w:hAnsiTheme="majorHAnsi" w:cstheme="majorHAnsi"/>
        </w:rPr>
        <w:t xml:space="preserve">and </w:t>
      </w:r>
      <w:r>
        <w:rPr>
          <w:rFonts w:asciiTheme="majorHAnsi" w:hAnsiTheme="majorHAnsi" w:cstheme="majorHAnsi"/>
        </w:rPr>
        <w:t>A</w:t>
      </w:r>
      <w:r w:rsidRPr="00B93BC6">
        <w:rPr>
          <w:rFonts w:asciiTheme="majorHAnsi" w:hAnsiTheme="majorHAnsi" w:cstheme="majorHAnsi"/>
        </w:rPr>
        <w:t xml:space="preserve">nalysis of </w:t>
      </w:r>
      <w:r>
        <w:rPr>
          <w:rFonts w:asciiTheme="majorHAnsi" w:hAnsiTheme="majorHAnsi" w:cstheme="majorHAnsi"/>
        </w:rPr>
        <w:t>C</w:t>
      </w:r>
      <w:r w:rsidRPr="00B93BC6">
        <w:rPr>
          <w:rFonts w:asciiTheme="majorHAnsi" w:hAnsiTheme="majorHAnsi" w:cstheme="majorHAnsi"/>
        </w:rPr>
        <w:t>irculating T-follicular Helper (</w:t>
      </w:r>
      <w:proofErr w:type="spellStart"/>
      <w:r w:rsidRPr="00B93BC6">
        <w:rPr>
          <w:rFonts w:asciiTheme="majorHAnsi" w:hAnsiTheme="majorHAnsi" w:cstheme="majorHAnsi"/>
        </w:rPr>
        <w:t>cTfh</w:t>
      </w:r>
      <w:proofErr w:type="spellEnd"/>
      <w:r w:rsidRPr="00B93BC6">
        <w:rPr>
          <w:rFonts w:asciiTheme="majorHAnsi" w:hAnsiTheme="majorHAnsi" w:cstheme="majorHAnsi"/>
        </w:rPr>
        <w:t>) Cell Subsets from Peripheral Blood Using 6-colour Flow Cytometry</w:t>
      </w:r>
    </w:p>
    <w:p w14:paraId="0F69987A" w14:textId="77777777" w:rsidR="00277E15" w:rsidRPr="00B93BC6" w:rsidRDefault="00277E15" w:rsidP="00277E15">
      <w:pPr>
        <w:pStyle w:val="NormalWeb"/>
        <w:spacing w:before="0" w:beforeAutospacing="0" w:after="0" w:afterAutospacing="0"/>
        <w:rPr>
          <w:rFonts w:asciiTheme="majorHAnsi" w:hAnsiTheme="majorHAnsi" w:cstheme="majorHAnsi"/>
        </w:rPr>
      </w:pPr>
    </w:p>
    <w:p w14:paraId="610B3598" w14:textId="77777777" w:rsidR="00277E15" w:rsidRPr="00B93BC6" w:rsidRDefault="00277E15" w:rsidP="00277E15">
      <w:pPr>
        <w:pStyle w:val="NormalWeb"/>
        <w:spacing w:before="0" w:beforeAutospacing="0" w:after="0" w:afterAutospacing="0"/>
        <w:rPr>
          <w:rFonts w:asciiTheme="majorHAnsi" w:hAnsiTheme="majorHAnsi" w:cstheme="majorHAnsi"/>
          <w:b/>
        </w:rPr>
      </w:pPr>
      <w:r w:rsidRPr="00B93BC6">
        <w:rPr>
          <w:rFonts w:asciiTheme="majorHAnsi" w:hAnsiTheme="majorHAnsi" w:cstheme="majorHAnsi"/>
          <w:b/>
        </w:rPr>
        <w:t>AUTHORS AND AFFILIATIONS:</w:t>
      </w:r>
    </w:p>
    <w:p w14:paraId="0613E7AE" w14:textId="39ECA468" w:rsidR="00277E15" w:rsidRPr="00B93BC6" w:rsidRDefault="00277E15" w:rsidP="00277E15">
      <w:pPr>
        <w:pStyle w:val="NormalWeb"/>
        <w:spacing w:before="0" w:beforeAutospacing="0" w:after="0" w:afterAutospacing="0"/>
        <w:rPr>
          <w:rFonts w:asciiTheme="majorHAnsi" w:hAnsiTheme="majorHAnsi" w:cstheme="majorHAnsi"/>
        </w:rPr>
      </w:pPr>
      <w:r w:rsidRPr="00B93BC6">
        <w:rPr>
          <w:rFonts w:asciiTheme="majorHAnsi" w:hAnsiTheme="majorHAnsi" w:cstheme="majorHAnsi"/>
        </w:rPr>
        <w:t>Elliot Byford</w:t>
      </w:r>
      <w:r w:rsidR="006773BF" w:rsidRPr="00670FCA">
        <w:rPr>
          <w:rFonts w:asciiTheme="majorHAnsi" w:hAnsiTheme="majorHAnsi" w:cstheme="majorHAnsi"/>
          <w:vertAlign w:val="superscript"/>
          <w:lang w:val="en-GB"/>
        </w:rPr>
        <w:t>1</w:t>
      </w:r>
      <w:r w:rsidRPr="00B93BC6">
        <w:rPr>
          <w:rFonts w:asciiTheme="majorHAnsi" w:hAnsiTheme="majorHAnsi" w:cstheme="majorHAnsi"/>
        </w:rPr>
        <w:t>, Matthew Carr</w:t>
      </w:r>
      <w:r w:rsidR="006773BF" w:rsidRPr="00670FCA">
        <w:rPr>
          <w:rFonts w:asciiTheme="majorHAnsi" w:hAnsiTheme="majorHAnsi" w:cstheme="majorHAnsi"/>
          <w:vertAlign w:val="superscript"/>
          <w:lang w:val="en-GB"/>
        </w:rPr>
        <w:t>1</w:t>
      </w:r>
      <w:r w:rsidRPr="00B93BC6">
        <w:rPr>
          <w:rFonts w:asciiTheme="majorHAnsi" w:hAnsiTheme="majorHAnsi" w:cstheme="majorHAnsi"/>
        </w:rPr>
        <w:t xml:space="preserve">, </w:t>
      </w:r>
      <w:r w:rsidR="00670FCA">
        <w:rPr>
          <w:rFonts w:asciiTheme="majorHAnsi" w:hAnsiTheme="majorHAnsi" w:cstheme="majorHAnsi"/>
        </w:rPr>
        <w:t>Lucia Piñon</w:t>
      </w:r>
      <w:r w:rsidR="006773BF">
        <w:rPr>
          <w:rFonts w:asciiTheme="majorHAnsi" w:hAnsiTheme="majorHAnsi" w:cstheme="majorHAnsi"/>
          <w:vertAlign w:val="superscript"/>
          <w:lang w:val="en-GB"/>
        </w:rPr>
        <w:t>2</w:t>
      </w:r>
      <w:r w:rsidR="00670FCA">
        <w:rPr>
          <w:rFonts w:asciiTheme="majorHAnsi" w:hAnsiTheme="majorHAnsi" w:cstheme="majorHAnsi"/>
        </w:rPr>
        <w:t xml:space="preserve">, </w:t>
      </w:r>
      <w:r w:rsidRPr="00B93BC6">
        <w:rPr>
          <w:rFonts w:asciiTheme="majorHAnsi" w:hAnsiTheme="majorHAnsi" w:cstheme="majorHAnsi"/>
        </w:rPr>
        <w:t>Matthew J. Ahearne</w:t>
      </w:r>
      <w:r w:rsidR="006773BF" w:rsidRPr="00670FCA">
        <w:rPr>
          <w:rFonts w:asciiTheme="majorHAnsi" w:hAnsiTheme="majorHAnsi" w:cstheme="majorHAnsi"/>
          <w:vertAlign w:val="superscript"/>
          <w:lang w:val="en-GB"/>
        </w:rPr>
        <w:t>1</w:t>
      </w:r>
      <w:r w:rsidRPr="00B93BC6">
        <w:rPr>
          <w:rFonts w:asciiTheme="majorHAnsi" w:hAnsiTheme="majorHAnsi" w:cstheme="majorHAnsi"/>
        </w:rPr>
        <w:t>, Simon D. Wagner</w:t>
      </w:r>
      <w:r w:rsidR="006773BF" w:rsidRPr="00670FCA">
        <w:rPr>
          <w:rFonts w:asciiTheme="majorHAnsi" w:hAnsiTheme="majorHAnsi" w:cstheme="majorHAnsi"/>
          <w:vertAlign w:val="superscript"/>
          <w:lang w:val="en-GB"/>
        </w:rPr>
        <w:t>1</w:t>
      </w:r>
    </w:p>
    <w:p w14:paraId="44ABC16C" w14:textId="77777777" w:rsidR="00277E15" w:rsidRDefault="00670FCA" w:rsidP="00277E15">
      <w:pPr>
        <w:pStyle w:val="NormalWeb"/>
        <w:spacing w:before="0" w:beforeAutospacing="0" w:after="0" w:afterAutospacing="0"/>
        <w:rPr>
          <w:rFonts w:asciiTheme="majorHAnsi" w:hAnsiTheme="majorHAnsi" w:cstheme="majorHAnsi"/>
          <w:lang w:val="en-GB"/>
        </w:rPr>
      </w:pPr>
      <w:r w:rsidRPr="00670FCA">
        <w:rPr>
          <w:rFonts w:asciiTheme="majorHAnsi" w:hAnsiTheme="majorHAnsi" w:cstheme="majorHAnsi"/>
          <w:vertAlign w:val="superscript"/>
          <w:lang w:val="en-GB"/>
        </w:rPr>
        <w:t>1</w:t>
      </w:r>
      <w:r w:rsidR="00277E15" w:rsidRPr="00B93BC6">
        <w:rPr>
          <w:rFonts w:asciiTheme="majorHAnsi" w:hAnsiTheme="majorHAnsi" w:cstheme="majorHAnsi"/>
          <w:lang w:val="en-GB"/>
        </w:rPr>
        <w:t>Leicester Cancer Research Centre and Ernest and Helen Scott Haematology Research Institute, University of Leicester, Leicester</w:t>
      </w:r>
      <w:r w:rsidR="00277E15">
        <w:rPr>
          <w:rFonts w:asciiTheme="majorHAnsi" w:hAnsiTheme="majorHAnsi" w:cstheme="majorHAnsi"/>
          <w:lang w:val="en-GB"/>
        </w:rPr>
        <w:t>,</w:t>
      </w:r>
      <w:r w:rsidR="00277E15" w:rsidRPr="00B93BC6">
        <w:rPr>
          <w:rFonts w:asciiTheme="majorHAnsi" w:hAnsiTheme="majorHAnsi" w:cstheme="majorHAnsi"/>
          <w:lang w:val="en-GB"/>
        </w:rPr>
        <w:t xml:space="preserve"> UK</w:t>
      </w:r>
    </w:p>
    <w:p w14:paraId="0C282374" w14:textId="0A6D5DB1" w:rsidR="00670FCA" w:rsidRPr="00B93BC6" w:rsidRDefault="00670FCA" w:rsidP="00277E15">
      <w:pPr>
        <w:pStyle w:val="NormalWeb"/>
        <w:spacing w:before="0" w:beforeAutospacing="0" w:after="0" w:afterAutospacing="0"/>
        <w:rPr>
          <w:rFonts w:asciiTheme="majorHAnsi" w:hAnsiTheme="majorHAnsi" w:cstheme="majorHAnsi"/>
          <w:lang w:val="en-GB"/>
        </w:rPr>
      </w:pPr>
      <w:r w:rsidRPr="00561DC3">
        <w:rPr>
          <w:rFonts w:asciiTheme="majorHAnsi" w:hAnsiTheme="majorHAnsi" w:cstheme="majorHAnsi"/>
          <w:vertAlign w:val="superscript"/>
          <w:lang w:val="en-GB"/>
        </w:rPr>
        <w:t>2</w:t>
      </w:r>
      <w:r w:rsidR="00561DC3">
        <w:rPr>
          <w:rFonts w:asciiTheme="majorHAnsi" w:hAnsiTheme="majorHAnsi" w:cstheme="majorHAnsi"/>
          <w:lang w:val="en-GB"/>
        </w:rPr>
        <w:t xml:space="preserve">MRC Toxicology Unit, </w:t>
      </w:r>
      <w:r w:rsidR="00561DC3" w:rsidRPr="00B93BC6">
        <w:rPr>
          <w:rFonts w:asciiTheme="majorHAnsi" w:hAnsiTheme="majorHAnsi" w:cstheme="majorHAnsi"/>
          <w:lang w:val="en-GB"/>
        </w:rPr>
        <w:t>University of Leicester, Leicester</w:t>
      </w:r>
      <w:r w:rsidR="00561DC3">
        <w:rPr>
          <w:rFonts w:asciiTheme="majorHAnsi" w:hAnsiTheme="majorHAnsi" w:cstheme="majorHAnsi"/>
          <w:lang w:val="en-GB"/>
        </w:rPr>
        <w:t>,</w:t>
      </w:r>
      <w:r w:rsidR="00561DC3" w:rsidRPr="00B93BC6">
        <w:rPr>
          <w:rFonts w:asciiTheme="majorHAnsi" w:hAnsiTheme="majorHAnsi" w:cstheme="majorHAnsi"/>
          <w:lang w:val="en-GB"/>
        </w:rPr>
        <w:t xml:space="preserve"> UK</w:t>
      </w:r>
    </w:p>
    <w:p w14:paraId="7AE4DD19" w14:textId="77777777" w:rsidR="00277E15" w:rsidRPr="008C1032" w:rsidRDefault="00277E15" w:rsidP="00277E15">
      <w:pPr>
        <w:pStyle w:val="NormalWeb"/>
        <w:spacing w:before="0" w:beforeAutospacing="0" w:after="0" w:afterAutospacing="0"/>
        <w:rPr>
          <w:rFonts w:asciiTheme="majorHAnsi" w:hAnsiTheme="majorHAnsi" w:cstheme="majorHAnsi"/>
          <w:b/>
          <w:lang w:val="en-GB"/>
        </w:rPr>
      </w:pPr>
    </w:p>
    <w:p w14:paraId="3902FE9F" w14:textId="77777777" w:rsidR="00277E15" w:rsidRPr="008C1032" w:rsidRDefault="00277E15" w:rsidP="00277E15">
      <w:pPr>
        <w:pStyle w:val="NormalWeb"/>
        <w:spacing w:before="0" w:beforeAutospacing="0" w:after="0" w:afterAutospacing="0"/>
        <w:rPr>
          <w:rFonts w:asciiTheme="majorHAnsi" w:hAnsiTheme="majorHAnsi" w:cstheme="majorHAnsi"/>
          <w:b/>
          <w:lang w:val="en-GB"/>
        </w:rPr>
      </w:pPr>
      <w:r w:rsidRPr="008C1032">
        <w:rPr>
          <w:rFonts w:asciiTheme="majorHAnsi" w:hAnsiTheme="majorHAnsi" w:cstheme="majorHAnsi"/>
          <w:b/>
          <w:lang w:val="en-GB"/>
        </w:rPr>
        <w:t>Corresponding Author:</w:t>
      </w:r>
    </w:p>
    <w:p w14:paraId="42EEDB06" w14:textId="77777777" w:rsidR="00277E15" w:rsidRPr="00B93BC6" w:rsidRDefault="00277E15" w:rsidP="00277E15">
      <w:pPr>
        <w:pStyle w:val="NormalWeb"/>
        <w:spacing w:before="0" w:beforeAutospacing="0" w:after="0" w:afterAutospacing="0"/>
        <w:rPr>
          <w:rFonts w:asciiTheme="majorHAnsi" w:hAnsiTheme="majorHAnsi" w:cstheme="majorHAnsi"/>
          <w:lang w:val="en-GB"/>
        </w:rPr>
      </w:pPr>
      <w:r w:rsidRPr="00B93BC6">
        <w:rPr>
          <w:rFonts w:asciiTheme="majorHAnsi" w:hAnsiTheme="majorHAnsi" w:cstheme="majorHAnsi"/>
          <w:lang w:val="en-GB"/>
        </w:rPr>
        <w:t>Simon D. Wagner</w:t>
      </w:r>
    </w:p>
    <w:p w14:paraId="60555709" w14:textId="77777777" w:rsidR="00277E15" w:rsidRPr="00B93BC6" w:rsidRDefault="00277E15" w:rsidP="00277E15">
      <w:pPr>
        <w:pStyle w:val="NormalWeb"/>
        <w:spacing w:before="0" w:beforeAutospacing="0" w:after="0" w:afterAutospacing="0"/>
        <w:rPr>
          <w:rFonts w:asciiTheme="majorHAnsi" w:hAnsiTheme="majorHAnsi" w:cstheme="majorHAnsi"/>
          <w:lang w:val="en-GB"/>
        </w:rPr>
      </w:pPr>
      <w:r w:rsidRPr="00B93BC6">
        <w:rPr>
          <w:rFonts w:asciiTheme="majorHAnsi" w:hAnsiTheme="majorHAnsi" w:cstheme="majorHAnsi"/>
          <w:lang w:val="en-GB"/>
        </w:rPr>
        <w:t>sw227@le.ac.uk</w:t>
      </w:r>
    </w:p>
    <w:p w14:paraId="44F8D6A7" w14:textId="77777777" w:rsidR="00277E15" w:rsidRPr="00B93BC6" w:rsidRDefault="00277E15" w:rsidP="00277E15">
      <w:pPr>
        <w:pStyle w:val="NormalWeb"/>
        <w:spacing w:before="0" w:beforeAutospacing="0" w:after="0" w:afterAutospacing="0"/>
        <w:rPr>
          <w:rFonts w:asciiTheme="majorHAnsi" w:hAnsiTheme="majorHAnsi" w:cstheme="majorHAnsi"/>
          <w:lang w:val="en-GB"/>
        </w:rPr>
      </w:pPr>
      <w:r w:rsidRPr="00B93BC6">
        <w:rPr>
          <w:rFonts w:asciiTheme="majorHAnsi" w:hAnsiTheme="majorHAnsi" w:cstheme="majorHAnsi"/>
          <w:lang w:val="en-GB"/>
        </w:rPr>
        <w:t>Tel: (+44) 1162523414</w:t>
      </w:r>
    </w:p>
    <w:p w14:paraId="194F8B1A" w14:textId="77777777" w:rsidR="00277E15" w:rsidRPr="008C1032" w:rsidRDefault="00277E15" w:rsidP="00277E15">
      <w:pPr>
        <w:pStyle w:val="NormalWeb"/>
        <w:spacing w:before="0" w:beforeAutospacing="0" w:after="0" w:afterAutospacing="0"/>
        <w:rPr>
          <w:rFonts w:asciiTheme="majorHAnsi" w:hAnsiTheme="majorHAnsi" w:cstheme="majorHAnsi"/>
          <w:b/>
          <w:lang w:val="en-GB"/>
        </w:rPr>
      </w:pPr>
    </w:p>
    <w:p w14:paraId="1B983465" w14:textId="77777777" w:rsidR="00277E15" w:rsidRPr="008C1032" w:rsidRDefault="00277E15" w:rsidP="00277E15">
      <w:pPr>
        <w:pStyle w:val="NormalWeb"/>
        <w:spacing w:before="0" w:beforeAutospacing="0" w:after="0" w:afterAutospacing="0"/>
        <w:rPr>
          <w:rFonts w:asciiTheme="majorHAnsi" w:hAnsiTheme="majorHAnsi" w:cstheme="majorHAnsi"/>
          <w:b/>
          <w:lang w:val="en-GB"/>
        </w:rPr>
      </w:pPr>
      <w:r w:rsidRPr="008C1032">
        <w:rPr>
          <w:rFonts w:asciiTheme="majorHAnsi" w:hAnsiTheme="majorHAnsi" w:cstheme="majorHAnsi"/>
          <w:b/>
          <w:lang w:val="en-GB"/>
        </w:rPr>
        <w:t>Email Addresses of Co-authors:</w:t>
      </w:r>
    </w:p>
    <w:p w14:paraId="391ED943" w14:textId="77777777" w:rsidR="00277E15" w:rsidRPr="00B93BC6" w:rsidRDefault="00277E15" w:rsidP="00277E15">
      <w:pPr>
        <w:pStyle w:val="NormalWeb"/>
        <w:spacing w:before="0" w:beforeAutospacing="0" w:after="0" w:afterAutospacing="0"/>
        <w:rPr>
          <w:rFonts w:asciiTheme="majorHAnsi" w:hAnsiTheme="majorHAnsi" w:cstheme="majorHAnsi"/>
          <w:lang w:val="en-GB"/>
        </w:rPr>
      </w:pPr>
      <w:r w:rsidRPr="00B93BC6">
        <w:rPr>
          <w:rFonts w:asciiTheme="majorHAnsi" w:hAnsiTheme="majorHAnsi" w:cstheme="majorHAnsi"/>
          <w:lang w:val="en-GB"/>
        </w:rPr>
        <w:t>Elliot Byford (</w:t>
      </w:r>
      <w:r w:rsidRPr="00B05C42">
        <w:rPr>
          <w:rFonts w:asciiTheme="majorHAnsi" w:hAnsiTheme="majorHAnsi" w:cstheme="majorHAnsi"/>
          <w:lang w:val="en-GB"/>
        </w:rPr>
        <w:t>Elliot.Byford@Doctors.org.uk</w:t>
      </w:r>
      <w:r w:rsidRPr="00B93BC6">
        <w:rPr>
          <w:rFonts w:asciiTheme="majorHAnsi" w:hAnsiTheme="majorHAnsi" w:cstheme="majorHAnsi"/>
          <w:lang w:val="en-GB"/>
        </w:rPr>
        <w:t>)</w:t>
      </w:r>
    </w:p>
    <w:p w14:paraId="6F81BF9F" w14:textId="0B7439BF" w:rsidR="00277E15" w:rsidRDefault="00277E15" w:rsidP="00277E15">
      <w:pPr>
        <w:pStyle w:val="NormalWeb"/>
        <w:spacing w:before="0" w:beforeAutospacing="0" w:after="0" w:afterAutospacing="0"/>
        <w:rPr>
          <w:rFonts w:asciiTheme="majorHAnsi" w:hAnsiTheme="majorHAnsi" w:cstheme="majorHAnsi"/>
          <w:lang w:val="en-GB"/>
        </w:rPr>
      </w:pPr>
      <w:r w:rsidRPr="00B93BC6">
        <w:rPr>
          <w:rFonts w:asciiTheme="majorHAnsi" w:hAnsiTheme="majorHAnsi" w:cstheme="majorHAnsi"/>
          <w:lang w:val="en-GB"/>
        </w:rPr>
        <w:t>Matthew Carr (</w:t>
      </w:r>
      <w:hyperlink r:id="rId7" w:history="1">
        <w:r w:rsidR="009E1187" w:rsidRPr="009308A4">
          <w:rPr>
            <w:rStyle w:val="Hyperlink"/>
            <w:rFonts w:asciiTheme="majorHAnsi" w:hAnsiTheme="majorHAnsi" w:cstheme="majorHAnsi"/>
            <w:lang w:val="en-GB"/>
          </w:rPr>
          <w:t>mc513@le.ac.uk</w:t>
        </w:r>
      </w:hyperlink>
      <w:r w:rsidRPr="00B93BC6">
        <w:rPr>
          <w:rFonts w:asciiTheme="majorHAnsi" w:hAnsiTheme="majorHAnsi" w:cstheme="majorHAnsi"/>
          <w:lang w:val="en-GB"/>
        </w:rPr>
        <w:t>)</w:t>
      </w:r>
    </w:p>
    <w:p w14:paraId="76A5A443" w14:textId="0F0B6E88" w:rsidR="009E1187" w:rsidRPr="00B93BC6" w:rsidRDefault="009E1187" w:rsidP="00277E15">
      <w:pPr>
        <w:pStyle w:val="NormalWeb"/>
        <w:spacing w:before="0" w:beforeAutospacing="0" w:after="0" w:afterAutospacing="0"/>
        <w:rPr>
          <w:rFonts w:asciiTheme="majorHAnsi" w:hAnsiTheme="majorHAnsi" w:cstheme="majorHAnsi"/>
          <w:lang w:val="en-GB"/>
        </w:rPr>
      </w:pPr>
      <w:r>
        <w:rPr>
          <w:rFonts w:asciiTheme="majorHAnsi" w:hAnsiTheme="majorHAnsi" w:cstheme="majorHAnsi"/>
          <w:lang w:val="en-GB"/>
        </w:rPr>
        <w:t xml:space="preserve">Lucia </w:t>
      </w:r>
      <w:r>
        <w:rPr>
          <w:rFonts w:asciiTheme="majorHAnsi" w:hAnsiTheme="majorHAnsi" w:cstheme="majorHAnsi"/>
        </w:rPr>
        <w:t>Piñon</w:t>
      </w:r>
      <w:r>
        <w:rPr>
          <w:rFonts w:asciiTheme="majorHAnsi" w:hAnsiTheme="majorHAnsi" w:cstheme="majorHAnsi"/>
        </w:rPr>
        <w:t xml:space="preserve"> (lpp29@mrc-tox.cam.ac.uk)</w:t>
      </w:r>
      <w:bookmarkStart w:id="0" w:name="_GoBack"/>
      <w:bookmarkEnd w:id="0"/>
    </w:p>
    <w:p w14:paraId="5FA12042" w14:textId="77777777" w:rsidR="00277E15" w:rsidRPr="00B93BC6" w:rsidRDefault="00277E15" w:rsidP="00277E15">
      <w:pPr>
        <w:pStyle w:val="NormalWeb"/>
        <w:spacing w:before="0" w:beforeAutospacing="0" w:after="0" w:afterAutospacing="0"/>
        <w:rPr>
          <w:rFonts w:asciiTheme="majorHAnsi" w:hAnsiTheme="majorHAnsi" w:cstheme="majorHAnsi"/>
          <w:lang w:val="en-GB"/>
        </w:rPr>
      </w:pPr>
      <w:r w:rsidRPr="00B93BC6">
        <w:rPr>
          <w:rFonts w:asciiTheme="majorHAnsi" w:hAnsiTheme="majorHAnsi" w:cstheme="majorHAnsi"/>
          <w:lang w:val="en-GB"/>
        </w:rPr>
        <w:t>Matthew J. Ahearne (mja40@le.ac.uk)</w:t>
      </w:r>
    </w:p>
    <w:p w14:paraId="435F7A97" w14:textId="77777777" w:rsidR="00277E15" w:rsidRPr="00B93BC6" w:rsidRDefault="00277E15" w:rsidP="00277E15">
      <w:pPr>
        <w:pStyle w:val="NormalWeb"/>
        <w:spacing w:before="0" w:beforeAutospacing="0" w:after="0" w:afterAutospacing="0"/>
        <w:rPr>
          <w:rFonts w:asciiTheme="majorHAnsi" w:hAnsiTheme="majorHAnsi" w:cstheme="majorHAnsi"/>
          <w:b/>
        </w:rPr>
      </w:pPr>
    </w:p>
    <w:p w14:paraId="40EEBAF0" w14:textId="77777777" w:rsidR="00277E15" w:rsidRPr="00B93BC6" w:rsidRDefault="00277E15" w:rsidP="00277E15">
      <w:pPr>
        <w:pStyle w:val="NormalWeb"/>
        <w:spacing w:before="0" w:beforeAutospacing="0" w:after="0" w:afterAutospacing="0"/>
        <w:rPr>
          <w:rFonts w:asciiTheme="majorHAnsi" w:hAnsiTheme="majorHAnsi" w:cstheme="majorHAnsi"/>
          <w:b/>
        </w:rPr>
      </w:pPr>
      <w:r w:rsidRPr="00B93BC6">
        <w:rPr>
          <w:rFonts w:asciiTheme="majorHAnsi" w:hAnsiTheme="majorHAnsi" w:cstheme="majorHAnsi"/>
          <w:b/>
        </w:rPr>
        <w:t>KEYWORDS:</w:t>
      </w:r>
    </w:p>
    <w:p w14:paraId="218658FD" w14:textId="77777777" w:rsidR="00277E15" w:rsidRPr="00B93BC6" w:rsidRDefault="00277E15" w:rsidP="00277E15">
      <w:pPr>
        <w:pStyle w:val="NormalWeb"/>
        <w:spacing w:before="0" w:beforeAutospacing="0" w:after="0" w:afterAutospacing="0"/>
        <w:rPr>
          <w:rFonts w:asciiTheme="majorHAnsi" w:hAnsiTheme="majorHAnsi" w:cstheme="majorHAnsi"/>
        </w:rPr>
      </w:pPr>
      <w:r w:rsidRPr="00B93BC6">
        <w:rPr>
          <w:rFonts w:asciiTheme="majorHAnsi" w:hAnsiTheme="majorHAnsi" w:cstheme="majorHAnsi"/>
        </w:rPr>
        <w:t>CD4 T-cell</w:t>
      </w:r>
      <w:r>
        <w:rPr>
          <w:rFonts w:asciiTheme="majorHAnsi" w:hAnsiTheme="majorHAnsi" w:cstheme="majorHAnsi"/>
        </w:rPr>
        <w:t>,</w:t>
      </w:r>
      <w:r w:rsidRPr="00B93BC6">
        <w:rPr>
          <w:rFonts w:asciiTheme="majorHAnsi" w:hAnsiTheme="majorHAnsi" w:cstheme="majorHAnsi"/>
        </w:rPr>
        <w:t xml:space="preserve"> flow cytometry</w:t>
      </w:r>
      <w:r>
        <w:rPr>
          <w:rFonts w:asciiTheme="majorHAnsi" w:hAnsiTheme="majorHAnsi" w:cstheme="majorHAnsi"/>
        </w:rPr>
        <w:t>,</w:t>
      </w:r>
      <w:r w:rsidRPr="00B93BC6">
        <w:rPr>
          <w:rFonts w:asciiTheme="majorHAnsi" w:hAnsiTheme="majorHAnsi" w:cstheme="majorHAnsi"/>
        </w:rPr>
        <w:t xml:space="preserve"> peripheral blood</w:t>
      </w:r>
      <w:r>
        <w:rPr>
          <w:rFonts w:asciiTheme="majorHAnsi" w:hAnsiTheme="majorHAnsi" w:cstheme="majorHAnsi"/>
        </w:rPr>
        <w:t>,</w:t>
      </w:r>
      <w:r w:rsidRPr="00B93BC6">
        <w:rPr>
          <w:rFonts w:asciiTheme="majorHAnsi" w:hAnsiTheme="majorHAnsi" w:cstheme="majorHAnsi"/>
        </w:rPr>
        <w:t xml:space="preserve"> T-follicular helper cell</w:t>
      </w:r>
      <w:r>
        <w:rPr>
          <w:rFonts w:asciiTheme="majorHAnsi" w:hAnsiTheme="majorHAnsi" w:cstheme="majorHAnsi"/>
        </w:rPr>
        <w:t>,</w:t>
      </w:r>
      <w:r w:rsidRPr="00B93BC6">
        <w:rPr>
          <w:rFonts w:asciiTheme="majorHAnsi" w:hAnsiTheme="majorHAnsi" w:cstheme="majorHAnsi"/>
        </w:rPr>
        <w:t xml:space="preserve"> circulating T-follicular helper cel</w:t>
      </w:r>
      <w:r>
        <w:rPr>
          <w:rFonts w:asciiTheme="majorHAnsi" w:hAnsiTheme="majorHAnsi" w:cstheme="majorHAnsi"/>
        </w:rPr>
        <w:t xml:space="preserve">l, </w:t>
      </w:r>
      <w:r w:rsidRPr="00B93BC6">
        <w:rPr>
          <w:rFonts w:asciiTheme="majorHAnsi" w:hAnsiTheme="majorHAnsi" w:cstheme="majorHAnsi"/>
        </w:rPr>
        <w:t>cell subsets</w:t>
      </w:r>
    </w:p>
    <w:p w14:paraId="3A10A68C" w14:textId="77777777" w:rsidR="00277E15" w:rsidRPr="00B93BC6" w:rsidRDefault="00277E15" w:rsidP="00277E15">
      <w:pPr>
        <w:pStyle w:val="NormalWeb"/>
        <w:spacing w:before="0" w:beforeAutospacing="0" w:after="0" w:afterAutospacing="0"/>
        <w:rPr>
          <w:rFonts w:asciiTheme="majorHAnsi" w:hAnsiTheme="majorHAnsi" w:cstheme="majorHAnsi"/>
        </w:rPr>
      </w:pPr>
    </w:p>
    <w:p w14:paraId="2BD20B06" w14:textId="77777777" w:rsidR="00277E15" w:rsidRPr="008C1032" w:rsidRDefault="00277E15" w:rsidP="00277E15">
      <w:pPr>
        <w:pStyle w:val="Heading1"/>
        <w:spacing w:before="0" w:after="0"/>
        <w:rPr>
          <w:rFonts w:asciiTheme="majorHAnsi" w:hAnsiTheme="majorHAnsi" w:cstheme="majorHAnsi"/>
          <w:sz w:val="24"/>
          <w:szCs w:val="24"/>
        </w:rPr>
      </w:pPr>
      <w:r w:rsidRPr="00B93BC6">
        <w:rPr>
          <w:rFonts w:asciiTheme="majorHAnsi" w:hAnsiTheme="majorHAnsi" w:cstheme="majorHAnsi"/>
          <w:sz w:val="24"/>
          <w:szCs w:val="24"/>
        </w:rPr>
        <w:t>SHORT ABSTRACT:</w:t>
      </w:r>
    </w:p>
    <w:p w14:paraId="33FDA791" w14:textId="77777777" w:rsidR="00277E15" w:rsidRPr="00B93BC6" w:rsidRDefault="00277E15" w:rsidP="00277E15">
      <w:pPr>
        <w:rPr>
          <w:rFonts w:asciiTheme="majorHAnsi" w:hAnsiTheme="majorHAnsi" w:cstheme="majorHAnsi"/>
        </w:rPr>
      </w:pPr>
      <w:r w:rsidRPr="00B93BC6">
        <w:t xml:space="preserve">Here, a protocol </w:t>
      </w:r>
      <w:r w:rsidRPr="00B93BC6">
        <w:rPr>
          <w:rFonts w:asciiTheme="majorHAnsi" w:hAnsiTheme="majorHAnsi" w:cstheme="majorHAnsi"/>
        </w:rPr>
        <w:t>for the isolation and characteri</w:t>
      </w:r>
      <w:r>
        <w:rPr>
          <w:rFonts w:asciiTheme="majorHAnsi" w:hAnsiTheme="majorHAnsi" w:cstheme="majorHAnsi"/>
        </w:rPr>
        <w:t>z</w:t>
      </w:r>
      <w:r w:rsidRPr="00B93BC6">
        <w:rPr>
          <w:rFonts w:asciiTheme="majorHAnsi" w:hAnsiTheme="majorHAnsi" w:cstheme="majorHAnsi"/>
        </w:rPr>
        <w:t>ation of CD4</w:t>
      </w:r>
      <w:r w:rsidRPr="00B93BC6">
        <w:rPr>
          <w:rFonts w:asciiTheme="majorHAnsi" w:hAnsiTheme="majorHAnsi" w:cstheme="majorHAnsi"/>
          <w:vertAlign w:val="superscript"/>
        </w:rPr>
        <w:t>+</w:t>
      </w:r>
      <w:r w:rsidRPr="00B93BC6">
        <w:rPr>
          <w:rFonts w:asciiTheme="majorHAnsi" w:hAnsiTheme="majorHAnsi" w:cstheme="majorHAnsi"/>
        </w:rPr>
        <w:t xml:space="preserve"> T-cell subsets from human peripheral blood</w:t>
      </w:r>
      <w:r>
        <w:rPr>
          <w:rFonts w:asciiTheme="majorHAnsi" w:hAnsiTheme="majorHAnsi" w:cstheme="majorHAnsi"/>
        </w:rPr>
        <w:t xml:space="preserve"> is described</w:t>
      </w:r>
      <w:r w:rsidRPr="00B93BC6">
        <w:rPr>
          <w:rFonts w:asciiTheme="majorHAnsi" w:hAnsiTheme="majorHAnsi" w:cstheme="majorHAnsi"/>
        </w:rPr>
        <w:t>. Purified CD4</w:t>
      </w:r>
      <w:r w:rsidRPr="00B93BC6">
        <w:rPr>
          <w:rFonts w:asciiTheme="majorHAnsi" w:hAnsiTheme="majorHAnsi" w:cstheme="majorHAnsi"/>
          <w:vertAlign w:val="superscript"/>
        </w:rPr>
        <w:t>+</w:t>
      </w:r>
      <w:r w:rsidRPr="00B93BC6">
        <w:rPr>
          <w:rFonts w:asciiTheme="majorHAnsi" w:hAnsiTheme="majorHAnsi" w:cstheme="majorHAnsi"/>
        </w:rPr>
        <w:t xml:space="preserve"> T-cells are analy</w:t>
      </w:r>
      <w:r>
        <w:rPr>
          <w:rFonts w:asciiTheme="majorHAnsi" w:hAnsiTheme="majorHAnsi" w:cstheme="majorHAnsi"/>
        </w:rPr>
        <w:t>z</w:t>
      </w:r>
      <w:r w:rsidRPr="00B93BC6">
        <w:rPr>
          <w:rFonts w:asciiTheme="majorHAnsi" w:hAnsiTheme="majorHAnsi" w:cstheme="majorHAnsi"/>
        </w:rPr>
        <w:t xml:space="preserve">ed by flow cytometry to determine proportions of </w:t>
      </w:r>
      <w:r>
        <w:rPr>
          <w:rFonts w:asciiTheme="majorHAnsi" w:hAnsiTheme="majorHAnsi" w:cstheme="majorHAnsi"/>
        </w:rPr>
        <w:t>T-</w:t>
      </w:r>
      <w:r w:rsidRPr="00B93BC6">
        <w:rPr>
          <w:rFonts w:asciiTheme="majorHAnsi" w:hAnsiTheme="majorHAnsi" w:cstheme="majorHAnsi"/>
        </w:rPr>
        <w:t xml:space="preserve">follicular helper cell subsets. </w:t>
      </w:r>
    </w:p>
    <w:p w14:paraId="25123CF8" w14:textId="77777777" w:rsidR="00277E15" w:rsidRPr="00B93BC6" w:rsidRDefault="00277E15" w:rsidP="00277E15">
      <w:pPr>
        <w:rPr>
          <w:rFonts w:asciiTheme="majorHAnsi" w:hAnsiTheme="majorHAnsi" w:cstheme="majorHAnsi"/>
        </w:rPr>
      </w:pPr>
    </w:p>
    <w:p w14:paraId="47B9C106" w14:textId="77777777" w:rsidR="00277E15" w:rsidRPr="008C1032" w:rsidRDefault="00277E15" w:rsidP="00277E15">
      <w:pPr>
        <w:pStyle w:val="Heading1"/>
        <w:spacing w:before="0" w:after="0"/>
        <w:rPr>
          <w:rFonts w:asciiTheme="majorHAnsi" w:hAnsiTheme="majorHAnsi" w:cstheme="majorHAnsi"/>
          <w:sz w:val="24"/>
          <w:szCs w:val="24"/>
        </w:rPr>
      </w:pPr>
      <w:r w:rsidRPr="00B93BC6">
        <w:rPr>
          <w:rFonts w:asciiTheme="majorHAnsi" w:hAnsiTheme="majorHAnsi" w:cstheme="majorHAnsi"/>
          <w:sz w:val="24"/>
          <w:szCs w:val="24"/>
        </w:rPr>
        <w:t>LONG ABSTRACT:</w:t>
      </w:r>
    </w:p>
    <w:p w14:paraId="3C2ECF3C" w14:textId="77777777" w:rsidR="00277E15" w:rsidRPr="00B93BC6" w:rsidRDefault="00277E15" w:rsidP="00277E15">
      <w:pPr>
        <w:rPr>
          <w:rFonts w:asciiTheme="majorHAnsi" w:hAnsiTheme="majorHAnsi" w:cstheme="majorHAnsi"/>
        </w:rPr>
      </w:pPr>
      <w:r w:rsidRPr="00B93BC6">
        <w:rPr>
          <w:rFonts w:asciiTheme="majorHAnsi" w:hAnsiTheme="majorHAnsi" w:cstheme="majorHAnsi"/>
          <w:color w:val="auto"/>
        </w:rPr>
        <w:t>Aberrant T-follicular helper (</w:t>
      </w:r>
      <w:proofErr w:type="spellStart"/>
      <w:r w:rsidRPr="00B93BC6">
        <w:rPr>
          <w:rFonts w:asciiTheme="majorHAnsi" w:hAnsiTheme="majorHAnsi" w:cstheme="majorHAnsi"/>
          <w:color w:val="auto"/>
        </w:rPr>
        <w:t>Tfh</w:t>
      </w:r>
      <w:proofErr w:type="spellEnd"/>
      <w:r w:rsidRPr="00B93BC6">
        <w:rPr>
          <w:rFonts w:asciiTheme="majorHAnsi" w:hAnsiTheme="majorHAnsi" w:cstheme="majorHAnsi"/>
          <w:color w:val="auto"/>
        </w:rPr>
        <w:t>) cell activity is detectable in autoimmune conditions and their presence is associated with clinical outcomes when the lymph node microenvironment in B-cell non-Hodgkin's lymphoma is analy</w:t>
      </w:r>
      <w:r>
        <w:rPr>
          <w:rFonts w:asciiTheme="majorHAnsi" w:hAnsiTheme="majorHAnsi" w:cstheme="majorHAnsi"/>
          <w:color w:val="auto"/>
        </w:rPr>
        <w:t>z</w:t>
      </w:r>
      <w:r w:rsidRPr="00B93BC6">
        <w:rPr>
          <w:rFonts w:asciiTheme="majorHAnsi" w:hAnsiTheme="majorHAnsi" w:cstheme="majorHAnsi"/>
          <w:color w:val="auto"/>
        </w:rPr>
        <w:t>ed. Subsets of circulating T-follicular helper cells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w:t>
      </w:r>
      <w:r>
        <w:rPr>
          <w:rFonts w:asciiTheme="majorHAnsi" w:hAnsiTheme="majorHAnsi" w:cstheme="majorHAnsi"/>
          <w:color w:val="auto"/>
        </w:rPr>
        <w:t xml:space="preserve">, the circulating memory compartment of </w:t>
      </w:r>
      <w:proofErr w:type="spellStart"/>
      <w:r>
        <w:rPr>
          <w:rFonts w:asciiTheme="majorHAnsi" w:hAnsiTheme="majorHAnsi" w:cstheme="majorHAnsi"/>
          <w:color w:val="auto"/>
        </w:rPr>
        <w:t>Tfh</w:t>
      </w:r>
      <w:proofErr w:type="spellEnd"/>
      <w:r>
        <w:rPr>
          <w:rFonts w:asciiTheme="majorHAnsi" w:hAnsiTheme="majorHAnsi" w:cstheme="majorHAnsi"/>
          <w:color w:val="auto"/>
        </w:rPr>
        <w:t xml:space="preserve"> cells in the blood,</w:t>
      </w:r>
      <w:r w:rsidRPr="00B93BC6">
        <w:rPr>
          <w:rFonts w:asciiTheme="majorHAnsi" w:hAnsiTheme="majorHAnsi" w:cstheme="majorHAnsi"/>
          <w:color w:val="auto"/>
        </w:rPr>
        <w:t xml:space="preserve"> are</w:t>
      </w:r>
      <w:r>
        <w:rPr>
          <w:rFonts w:asciiTheme="majorHAnsi" w:hAnsiTheme="majorHAnsi" w:cstheme="majorHAnsi"/>
          <w:color w:val="auto"/>
        </w:rPr>
        <w:t xml:space="preserve"> also</w:t>
      </w:r>
      <w:r w:rsidRPr="00B93BC6">
        <w:rPr>
          <w:rFonts w:asciiTheme="majorHAnsi" w:hAnsiTheme="majorHAnsi" w:cstheme="majorHAnsi"/>
          <w:color w:val="auto"/>
        </w:rPr>
        <w:t xml:space="preserve"> perturbed in disease and therefore represent potential novel predictive biomarkers. Peripheral blood-based testing is advantageous because it is relatively non-invasive and allows simple serial monitoring.</w:t>
      </w:r>
      <w:r w:rsidRPr="00B93BC6">
        <w:rPr>
          <w:rFonts w:asciiTheme="majorHAnsi" w:hAnsiTheme="majorHAnsi" w:cstheme="majorHAnsi"/>
          <w:color w:val="808080"/>
        </w:rPr>
        <w:t xml:space="preserve"> </w:t>
      </w:r>
      <w:r w:rsidRPr="00B93BC6">
        <w:rPr>
          <w:rFonts w:asciiTheme="majorHAnsi" w:hAnsiTheme="majorHAnsi" w:cstheme="majorHAnsi"/>
        </w:rPr>
        <w:t>This article describes a method for isolating CD4</w:t>
      </w:r>
      <w:r w:rsidRPr="00B93BC6">
        <w:rPr>
          <w:rFonts w:asciiTheme="majorHAnsi" w:hAnsiTheme="majorHAnsi" w:cstheme="majorHAnsi"/>
          <w:vertAlign w:val="superscript"/>
        </w:rPr>
        <w:t>+</w:t>
      </w:r>
      <w:r w:rsidRPr="00B93BC6">
        <w:rPr>
          <w:rFonts w:asciiTheme="majorHAnsi" w:hAnsiTheme="majorHAnsi" w:cstheme="majorHAnsi"/>
        </w:rPr>
        <w:t xml:space="preserve"> T-cells from human blood, and further analysis by flow-cytometry to enumerate </w:t>
      </w:r>
      <w:proofErr w:type="spellStart"/>
      <w:r>
        <w:rPr>
          <w:rFonts w:asciiTheme="majorHAnsi" w:hAnsiTheme="majorHAnsi" w:cstheme="majorHAnsi"/>
        </w:rPr>
        <w:t>cTfh</w:t>
      </w:r>
      <w:proofErr w:type="spellEnd"/>
      <w:r>
        <w:rPr>
          <w:rFonts w:asciiTheme="majorHAnsi" w:hAnsiTheme="majorHAnsi" w:cstheme="majorHAnsi"/>
        </w:rPr>
        <w:t xml:space="preserve"> cells</w:t>
      </w:r>
      <w:r w:rsidRPr="00B93BC6">
        <w:rPr>
          <w:rFonts w:asciiTheme="majorHAnsi" w:hAnsiTheme="majorHAnsi" w:cstheme="majorHAnsi"/>
        </w:rPr>
        <w:t xml:space="preserve"> and the proportions of the</w:t>
      </w:r>
      <w:r>
        <w:rPr>
          <w:rFonts w:asciiTheme="majorHAnsi" w:hAnsiTheme="majorHAnsi" w:cstheme="majorHAnsi"/>
        </w:rPr>
        <w:t>ir</w:t>
      </w:r>
      <w:r w:rsidRPr="00B93BC6">
        <w:rPr>
          <w:rFonts w:asciiTheme="majorHAnsi" w:hAnsiTheme="majorHAnsi" w:cstheme="majorHAnsi"/>
        </w:rPr>
        <w:t xml:space="preserve"> various subsets</w:t>
      </w:r>
      <w:r>
        <w:rPr>
          <w:rFonts w:asciiTheme="majorHAnsi" w:hAnsiTheme="majorHAnsi" w:cstheme="majorHAnsi"/>
        </w:rPr>
        <w:t xml:space="preserve"> </w:t>
      </w:r>
      <w:r w:rsidRPr="00B93BC6">
        <w:rPr>
          <w:rFonts w:asciiTheme="majorHAnsi" w:hAnsiTheme="majorHAnsi" w:cstheme="majorHAnsi"/>
        </w:rPr>
        <w:t>(cTfhPD-1</w:t>
      </w:r>
      <w:r w:rsidRPr="00B93BC6">
        <w:rPr>
          <w:rFonts w:asciiTheme="majorHAnsi" w:hAnsiTheme="majorHAnsi" w:cstheme="majorHAnsi"/>
          <w:vertAlign w:val="superscript"/>
        </w:rPr>
        <w:t>-/+/hi</w:t>
      </w:r>
      <w:r w:rsidRPr="00B93BC6">
        <w:rPr>
          <w:rFonts w:asciiTheme="majorHAnsi" w:hAnsiTheme="majorHAnsi" w:cstheme="majorHAnsi"/>
        </w:rPr>
        <w:t xml:space="preserve">, cTfh1,2,17 and cTfh1/17). The level of these subsets was then compared between </w:t>
      </w:r>
      <w:r>
        <w:rPr>
          <w:rFonts w:asciiTheme="majorHAnsi" w:hAnsiTheme="majorHAnsi" w:cstheme="majorHAnsi"/>
        </w:rPr>
        <w:t>normal subjects</w:t>
      </w:r>
      <w:r w:rsidRPr="00B93BC6">
        <w:rPr>
          <w:rFonts w:asciiTheme="majorHAnsi" w:hAnsiTheme="majorHAnsi" w:cstheme="majorHAnsi"/>
        </w:rPr>
        <w:t xml:space="preserve"> and patients with lymphoma. We found that the method was robust enough to obtain reliable results from routinely collected patient material. The technique we describe for </w:t>
      </w:r>
      <w:r>
        <w:rPr>
          <w:rFonts w:asciiTheme="majorHAnsi" w:hAnsiTheme="majorHAnsi" w:cstheme="majorHAnsi"/>
        </w:rPr>
        <w:t xml:space="preserve">the </w:t>
      </w:r>
      <w:r w:rsidRPr="00B93BC6">
        <w:rPr>
          <w:rFonts w:asciiTheme="majorHAnsi" w:hAnsiTheme="majorHAnsi" w:cstheme="majorHAnsi"/>
        </w:rPr>
        <w:t>analysis can be easily adapted to cell sorting and downstream applications such as RT-PCR.</w:t>
      </w:r>
    </w:p>
    <w:p w14:paraId="6AD0F248" w14:textId="77777777" w:rsidR="00277E15" w:rsidRPr="00B93BC6" w:rsidRDefault="00277E15" w:rsidP="00277E15">
      <w:pPr>
        <w:rPr>
          <w:rFonts w:asciiTheme="majorHAnsi" w:hAnsiTheme="majorHAnsi" w:cstheme="majorHAnsi"/>
        </w:rPr>
      </w:pPr>
    </w:p>
    <w:p w14:paraId="6CEBAAEA" w14:textId="77777777" w:rsidR="00277E15" w:rsidRPr="008C1032" w:rsidRDefault="00277E15" w:rsidP="00277E15">
      <w:pPr>
        <w:pStyle w:val="Heading1"/>
        <w:spacing w:before="0" w:after="0"/>
        <w:rPr>
          <w:rFonts w:asciiTheme="majorHAnsi" w:hAnsiTheme="majorHAnsi" w:cstheme="majorHAnsi"/>
          <w:sz w:val="24"/>
          <w:szCs w:val="24"/>
        </w:rPr>
      </w:pPr>
      <w:r w:rsidRPr="00B93BC6">
        <w:rPr>
          <w:rFonts w:asciiTheme="majorHAnsi" w:hAnsiTheme="majorHAnsi" w:cstheme="majorHAnsi"/>
          <w:sz w:val="24"/>
          <w:szCs w:val="24"/>
        </w:rPr>
        <w:t>INTRODUCTION:</w:t>
      </w:r>
    </w:p>
    <w:p w14:paraId="2808CF77" w14:textId="77777777" w:rsidR="00277E15" w:rsidRPr="00B93BC6" w:rsidRDefault="00277E15" w:rsidP="00277E15">
      <w:pPr>
        <w:rPr>
          <w:rFonts w:asciiTheme="majorHAnsi" w:hAnsiTheme="majorHAnsi" w:cstheme="majorHAnsi"/>
        </w:rPr>
      </w:pPr>
      <w:r w:rsidRPr="00B93BC6">
        <w:rPr>
          <w:rFonts w:asciiTheme="majorHAnsi" w:hAnsiTheme="majorHAnsi" w:cstheme="majorHAnsi"/>
        </w:rPr>
        <w:t>T-follicular helper cells (</w:t>
      </w:r>
      <w:proofErr w:type="spellStart"/>
      <w:r w:rsidRPr="00B93BC6">
        <w:rPr>
          <w:rFonts w:asciiTheme="majorHAnsi" w:hAnsiTheme="majorHAnsi" w:cstheme="majorHAnsi"/>
        </w:rPr>
        <w:t>Tfh</w:t>
      </w:r>
      <w:proofErr w:type="spellEnd"/>
      <w:r w:rsidRPr="00B93BC6">
        <w:rPr>
          <w:rFonts w:asciiTheme="majorHAnsi" w:hAnsiTheme="majorHAnsi" w:cstheme="majorHAnsi"/>
        </w:rPr>
        <w:t>) are a CD4</w:t>
      </w:r>
      <w:r w:rsidRPr="00B93BC6">
        <w:rPr>
          <w:rFonts w:asciiTheme="majorHAnsi" w:hAnsiTheme="majorHAnsi" w:cstheme="majorHAnsi"/>
          <w:vertAlign w:val="superscript"/>
        </w:rPr>
        <w:t>+</w:t>
      </w:r>
      <w:r w:rsidRPr="00B93BC6">
        <w:rPr>
          <w:rFonts w:asciiTheme="majorHAnsi" w:hAnsiTheme="majorHAnsi" w:cstheme="majorHAnsi"/>
        </w:rPr>
        <w:t xml:space="preserve"> T-cell subset that was initially characteri</w:t>
      </w:r>
      <w:r>
        <w:rPr>
          <w:rFonts w:asciiTheme="majorHAnsi" w:hAnsiTheme="majorHAnsi" w:cstheme="majorHAnsi"/>
        </w:rPr>
        <w:t>z</w:t>
      </w:r>
      <w:r w:rsidRPr="00B93BC6">
        <w:rPr>
          <w:rFonts w:asciiTheme="majorHAnsi" w:hAnsiTheme="majorHAnsi" w:cstheme="majorHAnsi"/>
        </w:rPr>
        <w:t xml:space="preserve">ed in </w:t>
      </w:r>
      <w:r w:rsidRPr="00B93BC6">
        <w:rPr>
          <w:rFonts w:asciiTheme="majorHAnsi" w:hAnsiTheme="majorHAnsi" w:cstheme="majorHAnsi"/>
        </w:rPr>
        <w:lastRenderedPageBreak/>
        <w:t>lymphoid tissues</w:t>
      </w:r>
      <w:r w:rsidRPr="00B93BC6">
        <w:rPr>
          <w:rFonts w:asciiTheme="majorHAnsi" w:hAnsiTheme="majorHAnsi" w:cstheme="majorHAnsi"/>
        </w:rPr>
        <w:fldChar w:fldCharType="begin"/>
      </w:r>
      <w:r w:rsidRPr="00B93BC6">
        <w:rPr>
          <w:rFonts w:asciiTheme="majorHAnsi" w:hAnsiTheme="majorHAnsi" w:cstheme="majorHAnsi"/>
        </w:rPr>
        <w:instrText xml:space="preserve"> ADDIN ZOTERO_ITEM CSL_CITATION {"citationID":"Y2byhDxn","properties":{"formattedCitation":"\\super 1\\nosupersub{}","plainCitation":"1","noteIndex":0},"citationItems":[{"id":22,"uris":["http://zotero.org/users/4841313/items/YAJDRPAK"],"uri":["http://zotero.org/users/4841313/items/YAJDRPAK"],"itemData":{"id":22,"type":"article-journal","title":"Follicular Helper T Cells","container-title":"Annual Review of Immunology","page":"335-368","volume":"34","issue":"1","source":"CrossRef","abstract":"Although T cell help for B cells was described several decades ago, it was the identiﬁcation of CXCR5 expression by B follicular helper T (Tfh) cells and the subsequent discovery of their dependence on BCL6 that led to the recognition of Tfh cells as an independent helper subset and accelerated the pace of discovery. More than 20 transcription factors, together with RNAbinding proteins and microRNAs, control the expression of chemotactic receptors and molecules important for the function and homeostasis of Tfh cells. Tfh cells prime B cells to initiate extrafollicular and germinal center antibody responses and are crucial for afﬁnity maturation and maintenance of humoral memory. In addition to the roles that Tfh cells have in antimicrobial defense, in cancer, and as HIV reservoirs, regulation of these cells is critical to prevent autoimmunity. The realization that follicular T cells are heterogeneous, comprising helper and regulatory subsets, has raised questions regarding a possible division of labor in germinal center B cell selection and elimination.","DOI":"10.1146/annurev-immunol-041015-055605","ISSN":"0732-0582, 1545-3278","language":"en","author":[{"family":"Vinuesa","given":"Carola G."},{"family":"Linterman","given":"Michelle A."},{"family":"Yu","given":"Di"},{"family":"MacLennan","given":"Ian C.M."}],"issued":{"date-parts":[["2016",5,20]]}}}],"schema":"https://github.com/citation-style-language/schema/raw/master/csl-citation.json"} </w:instrText>
      </w:r>
      <w:r w:rsidRPr="00B93BC6">
        <w:rPr>
          <w:rFonts w:asciiTheme="majorHAnsi" w:hAnsiTheme="majorHAnsi" w:cstheme="majorHAnsi"/>
        </w:rPr>
        <w:fldChar w:fldCharType="separate"/>
      </w:r>
      <w:r w:rsidRPr="00B93BC6">
        <w:rPr>
          <w:rFonts w:asciiTheme="majorHAnsi" w:hAnsiTheme="majorHAnsi" w:cstheme="majorHAnsi"/>
          <w:vertAlign w:val="superscript"/>
        </w:rPr>
        <w:t>1</w:t>
      </w:r>
      <w:r w:rsidRPr="00B93BC6">
        <w:rPr>
          <w:rFonts w:asciiTheme="majorHAnsi" w:hAnsiTheme="majorHAnsi" w:cstheme="majorHAnsi"/>
        </w:rPr>
        <w:fldChar w:fldCharType="end"/>
      </w:r>
      <w:r w:rsidRPr="00B93BC6">
        <w:rPr>
          <w:rFonts w:asciiTheme="majorHAnsi" w:hAnsiTheme="majorHAnsi" w:cstheme="majorHAnsi"/>
        </w:rPr>
        <w:t>. These cells express PD-1 and CXCR5 surface receptors, secrete IL-21 and IL-4 and show nuclear expression of the transcription factor, BCL-6</w:t>
      </w:r>
      <w:r w:rsidRPr="00B93BC6">
        <w:rPr>
          <w:rFonts w:asciiTheme="majorHAnsi" w:hAnsiTheme="majorHAnsi" w:cstheme="majorHAnsi"/>
        </w:rPr>
        <w:fldChar w:fldCharType="begin"/>
      </w:r>
      <w:r w:rsidRPr="00B93BC6">
        <w:rPr>
          <w:rFonts w:asciiTheme="majorHAnsi" w:hAnsiTheme="majorHAnsi" w:cstheme="majorHAnsi"/>
        </w:rPr>
        <w:instrText xml:space="preserve"> ADDIN ZOTERO_ITEM CSL_CITATION {"citationID":"lv3aqzgE","properties":{"formattedCitation":"\\super 2, 3\\nosupersub{}","plainCitation":"2, 3","noteIndex":0},"citationItems":[{"id":86,"uris":["http://zotero.org/users/4841313/items/RS9Z6MTK"],"uri":["http://zotero.org/users/4841313/items/RS9Z6MTK"],"itemData":{"id":86,"type":"article-journal","title":"Bcl6 Mediates the Development of T Follicular Helper Cells","container-title":"Science (New York, N.Y.)","page":"1001-1005","volume":"325","issue":"5943","source":"PubMed Central","abstract":"A fundamental function of CD4+ helper T (TH) cells is the regulation of B cell–mediated humoral immunity. Development of T follicular helper (TFH) cells that provide help to B cells is mediated by the cytokines interleukin-6 and interleukin-21 but is independent of TH1, TH2, and TH17 effector cell lineages. Here, we characterize the function of Bcl6, a transcription factor selectively expressed in TFH cells. Bcl6 expression is regulated by interleukin-6 and interleukin-21. Bcl6 overexpression induced TFH-related gene expression and inhibited other TH lineage cell differentiation in a DNA binding–dependent manner. Moreover, Bcl6 deficiency in T cells resulted in impaired TFH cell development and germinal center reactions, and altered production of other effector T cell subsets. Our data thus illustrate that Bcl6 is required for programming of TFH cell generation.","DOI":"10.1126/science.1176676","ISSN":"0036-8075","note":"PMID: 19628815\nPMCID: PMC2857334","journalAbbreviation":"Science","author":[{"family":"Nurieva","given":"Roza I."},{"family":"Chung","given":"Yeonseok"},{"family":"Martinez","given":"Gustavo J."},{"family":"Yang","given":"Xuexian O."},{"family":"Tanaka","given":"Shinya"},{"family":"Matskevitch","given":"Tatyana D."},{"family":"Wang","given":"Yi-Hong"},{"family":"Dong","given":"Chen"}],"issued":{"date-parts":[["2009",8,21]]}}},{"id":83,"uris":["http://zotero.org/users/4841313/items/BK4QVU7W"],"uri":["http://zotero.org/users/4841313/items/BK4QVU7W"],"itemData":{"id":83,"type":"article-journal","title":"Follicular B Helper T Cells Express Cxc Chemokine Receptor 5, Localize to B Cell Follicles, and Support Immunoglobulin Production","container-title":"The Journal of Experimental Medicine","page":"1545-1552","volume":"192","issue":"11","source":"PubMed Central","abstract":"Chemokines and their receptors have been identified as major regulators controlling the functional organization of secondary lymphoid organs. Here we show that expression of CXC chemokine receptor 5 (CXCR5), a chemokine receptor required for B cell homing to B cell follicles, defines a novel subpopulation of B helper T cells localizing to follicles. In peripheral blood these cells coexpress CD45RO and the T cell homing CC chemokine receptor 7 (CCR7). In secondary lymphoid organs, CD4+CXCR5+ cells lose expression of CCR7, which allows them to localize to B cell follicles and germinal centers where they express high levels of CD40 ligand (CD40L), a costimulatory molecule required for B cell activation and inducible costimulator (ICOS), a recently identified costimulatory molecule of the CD28 family. Thus, when compared with CD4+CD45RO+CXCR5− cells, CD4+CD45RO+CXCR5+ tonsillar T cells efficiently support the production of immunoglobulin (Ig)A and IgG. In contrast, analysis of the memory response revealed that long-lasting memory cells are found within the CD4+CD45RO+CXCR5− population, suggesting that CXCR5+CD4 cells represent recently activated effector cells. Based on the characteristic localization within secondary lymphoid organs, we suggest to term these cells “follicular B helper T cells” (TFH).","ISSN":"0022-1007","note":"PMID: 11104797\nPMCID: PMC2193094","journalAbbreviation":"J Exp Med","author":[{"family":"Breitfeld","given":"Dagmar"},{"family":"Ohl","given":"Lars"},{"family":"Kremmer","given":"Elisabeth"},{"family":"Ellwart","given":"Joachim"},{"family":"Sallusto","given":"Federica"},{"family":"Lipp","given":"Martin"},{"family":"Förster","given":"Reinhold"}],"issued":{"date-parts":[["2000",12,4]]}}}],"schema":"https://github.com/citation-style-language/schema/raw/master/csl-citation.json"} </w:instrText>
      </w:r>
      <w:r w:rsidRPr="00B93BC6">
        <w:rPr>
          <w:rFonts w:asciiTheme="majorHAnsi" w:hAnsiTheme="majorHAnsi" w:cstheme="majorHAnsi"/>
        </w:rPr>
        <w:fldChar w:fldCharType="separate"/>
      </w:r>
      <w:r w:rsidRPr="00B93BC6">
        <w:rPr>
          <w:rFonts w:asciiTheme="majorHAnsi" w:hAnsiTheme="majorHAnsi" w:cstheme="majorHAnsi"/>
          <w:vertAlign w:val="superscript"/>
        </w:rPr>
        <w:t>2,3</w:t>
      </w:r>
      <w:r w:rsidRPr="00B93BC6">
        <w:rPr>
          <w:rFonts w:asciiTheme="majorHAnsi" w:hAnsiTheme="majorHAnsi" w:cstheme="majorHAnsi"/>
        </w:rPr>
        <w:fldChar w:fldCharType="end"/>
      </w:r>
      <w:r w:rsidRPr="00B93BC6">
        <w:rPr>
          <w:rFonts w:asciiTheme="majorHAnsi" w:hAnsiTheme="majorHAnsi" w:cstheme="majorHAnsi"/>
        </w:rPr>
        <w:t>.</w:t>
      </w:r>
      <w:r>
        <w:rPr>
          <w:rFonts w:asciiTheme="majorHAnsi" w:hAnsiTheme="majorHAnsi" w:cstheme="majorHAnsi"/>
        </w:rPr>
        <w:t xml:space="preserve"> </w:t>
      </w:r>
      <w:r w:rsidRPr="00B93BC6">
        <w:rPr>
          <w:rFonts w:asciiTheme="majorHAnsi" w:hAnsiTheme="majorHAnsi" w:cstheme="majorHAnsi"/>
        </w:rPr>
        <w:t>As their name suggests</w:t>
      </w:r>
      <w:r>
        <w:rPr>
          <w:rFonts w:asciiTheme="majorHAnsi" w:hAnsiTheme="majorHAnsi" w:cstheme="majorHAnsi"/>
        </w:rPr>
        <w:t>,</w:t>
      </w:r>
      <w:r w:rsidRPr="00B93BC6">
        <w:rPr>
          <w:rFonts w:asciiTheme="majorHAnsi" w:hAnsiTheme="majorHAnsi" w:cstheme="majorHAnsi"/>
        </w:rPr>
        <w:t xml:space="preserve"> they are found in germinal centers and are essential for high affinity antibody production</w:t>
      </w:r>
      <w:r w:rsidRPr="00B93BC6">
        <w:rPr>
          <w:rFonts w:asciiTheme="majorHAnsi" w:hAnsiTheme="majorHAnsi" w:cstheme="majorHAnsi"/>
        </w:rPr>
        <w:fldChar w:fldCharType="begin"/>
      </w:r>
      <w:r w:rsidRPr="00B93BC6">
        <w:rPr>
          <w:rFonts w:asciiTheme="majorHAnsi" w:hAnsiTheme="majorHAnsi" w:cstheme="majorHAnsi"/>
        </w:rPr>
        <w:instrText xml:space="preserve"> ADDIN ZOTERO_ITEM CSL_CITATION {"citationID":"U7WyLyQD","properties":{"formattedCitation":"\\super 1\\nosupersub{}","plainCitation":"1","noteIndex":0},"citationItems":[{"id":22,"uris":["http://zotero.org/users/4841313/items/YAJDRPAK"],"uri":["http://zotero.org/users/4841313/items/YAJDRPAK"],"itemData":{"id":22,"type":"article-journal","title":"Follicular Helper T Cells","container-title":"Annual Review of Immunology","page":"335-368","volume":"34","issue":"1","source":"CrossRef","abstract":"Although T cell help for B cells was described several decades ago, it was the identiﬁcation of CXCR5 expression by B follicular helper T (Tfh) cells and the subsequent discovery of their dependence on BCL6 that led to the recognition of Tfh cells as an independent helper subset and accelerated the pace of discovery. More than 20 transcription factors, together with RNAbinding proteins and microRNAs, control the expression of chemotactic receptors and molecules important for the function and homeostasis of Tfh cells. Tfh cells prime B cells to initiate extrafollicular and germinal center antibody responses and are crucial for afﬁnity maturation and maintenance of humoral memory. In addition to the roles that Tfh cells have in antimicrobial defense, in cancer, and as HIV reservoirs, regulation of these cells is critical to prevent autoimmunity. The realization that follicular T cells are heterogeneous, comprising helper and regulatory subsets, has raised questions regarding a possible division of labor in germinal center B cell selection and elimination.","DOI":"10.1146/annurev-immunol-041015-055605","ISSN":"0732-0582, 1545-3278","language":"en","author":[{"family":"Vinuesa","given":"Carola G."},{"family":"Linterman","given":"Michelle A."},{"family":"Yu","given":"Di"},{"family":"MacLennan","given":"Ian C.M."}],"issued":{"date-parts":[["2016",5,20]]}}}],"schema":"https://github.com/citation-style-language/schema/raw/master/csl-citation.json"} </w:instrText>
      </w:r>
      <w:r w:rsidRPr="00B93BC6">
        <w:rPr>
          <w:rFonts w:asciiTheme="majorHAnsi" w:hAnsiTheme="majorHAnsi" w:cstheme="majorHAnsi"/>
        </w:rPr>
        <w:fldChar w:fldCharType="separate"/>
      </w:r>
      <w:r w:rsidRPr="00B93BC6">
        <w:rPr>
          <w:rFonts w:asciiTheme="majorHAnsi" w:hAnsiTheme="majorHAnsi" w:cstheme="majorHAnsi"/>
          <w:vertAlign w:val="superscript"/>
        </w:rPr>
        <w:t>1</w:t>
      </w:r>
      <w:r w:rsidRPr="00B93BC6">
        <w:rPr>
          <w:rFonts w:asciiTheme="majorHAnsi" w:hAnsiTheme="majorHAnsi" w:cstheme="majorHAnsi"/>
        </w:rPr>
        <w:fldChar w:fldCharType="end"/>
      </w:r>
      <w:r w:rsidRPr="00B93BC6">
        <w:rPr>
          <w:rFonts w:asciiTheme="majorHAnsi" w:hAnsiTheme="majorHAnsi" w:cstheme="majorHAnsi"/>
        </w:rPr>
        <w:t>.</w:t>
      </w:r>
    </w:p>
    <w:p w14:paraId="750BD6D4" w14:textId="77777777" w:rsidR="00277E15" w:rsidRPr="00B93BC6" w:rsidRDefault="00277E15" w:rsidP="00277E15">
      <w:pPr>
        <w:rPr>
          <w:rFonts w:asciiTheme="majorHAnsi" w:hAnsiTheme="majorHAnsi" w:cstheme="majorHAnsi"/>
        </w:rPr>
      </w:pPr>
    </w:p>
    <w:p w14:paraId="623D719C" w14:textId="77777777" w:rsidR="00277E15" w:rsidRPr="00B93BC6" w:rsidRDefault="00277E15" w:rsidP="00277E15">
      <w:pPr>
        <w:rPr>
          <w:rFonts w:asciiTheme="majorHAnsi" w:hAnsiTheme="majorHAnsi" w:cstheme="majorHAnsi"/>
        </w:rPr>
      </w:pPr>
      <w:r w:rsidRPr="00B93BC6">
        <w:rPr>
          <w:rFonts w:asciiTheme="majorHAnsi" w:hAnsiTheme="majorHAnsi" w:cstheme="majorHAnsi"/>
        </w:rPr>
        <w:t xml:space="preserve">Dysregulated </w:t>
      </w:r>
      <w:proofErr w:type="spellStart"/>
      <w:r w:rsidRPr="00B93BC6">
        <w:rPr>
          <w:rFonts w:asciiTheme="majorHAnsi" w:hAnsiTheme="majorHAnsi" w:cstheme="majorHAnsi"/>
        </w:rPr>
        <w:t>Tfh</w:t>
      </w:r>
      <w:proofErr w:type="spellEnd"/>
      <w:r w:rsidRPr="00B93BC6">
        <w:rPr>
          <w:rFonts w:asciiTheme="majorHAnsi" w:hAnsiTheme="majorHAnsi" w:cstheme="majorHAnsi"/>
        </w:rPr>
        <w:t xml:space="preserve"> responses have been implicated in disease pathogenesis, most notably autoimmune disease, where they promote the expansion of autoreactive B cells</w:t>
      </w:r>
      <w:r w:rsidRPr="00B93BC6">
        <w:rPr>
          <w:rFonts w:asciiTheme="majorHAnsi" w:hAnsiTheme="majorHAnsi" w:cstheme="majorHAnsi"/>
        </w:rPr>
        <w:fldChar w:fldCharType="begin"/>
      </w:r>
      <w:r w:rsidRPr="00B93BC6">
        <w:rPr>
          <w:rFonts w:asciiTheme="majorHAnsi" w:hAnsiTheme="majorHAnsi" w:cstheme="majorHAnsi"/>
        </w:rPr>
        <w:instrText xml:space="preserve"> ADDIN ZOTERO_ITEM CSL_CITATION {"citationID":"OrECfUae","properties":{"formattedCitation":"\\super 4\\nosupersub{}","plainCitation":"4","noteIndex":0},"citationItems":[{"id":89,"uris":["http://zotero.org/users/4841313/items/GNTHNEEV"],"uri":["http://zotero.org/users/4841313/items/GNTHNEEV"],"itemData":{"id":89,"type":"article-journal","title":"Follicular helper T cells are required for systemic autoimmunity","container-title":"The Journal of Experimental Medicine","page":"561-576","volume":"206","issue":"3","source":"PubMed Central","abstract":"Production of high-affinity pathogenic autoantibodies appears to be central to the pathogenesis of lupus. Because normal high-affinity antibodies arise from germinal centers (GCs), aberrant selection of GC B cells, caused by either failure of negative selection or enhanced positive selection by follicular helper T (TFH) cells, is a plausible explanation for these autoantibodies. Mice homozygous for the san allele of Roquin, which encodes a RING-type ubiquitin ligase, develop GCs in the absence of foreign antigen, excessive TFH cell numbers, and features of lupus. We postulated a positive selection defect in GCs to account for autoantibodies. We first demonstrate that autoimmunity in Roquinsan/san (sanroque) mice is GC dependent: deletion of one allele of Bcl6 specifically reduces the number of GC cells, ameliorating pathology. We show that Roquinsan acts autonomously to cause accumulation of TFH cells. Introduction of a null allele of the signaling lymphocyte activation molecule family adaptor Sap into the sanroque background resulted in a substantial and selective reduction in sanroque TFH cells, and abrogated formation of GCs, autoantibody formation, and renal pathology. In contrast, adoptive transfer of sanroque TFH cells led to spontaneous GC formation. These findings identify TFH dysfunction within GCs and aberrant positive selection as a pathway to systemic autoimmunity.","DOI":"10.1084/jem.20081886","ISSN":"0022-1007","note":"PMID: 19221396\nPMCID: PMC2699132","journalAbbreviation":"J Exp Med","author":[{"family":"Linterman","given":"Michelle A."},{"family":"Rigby","given":"Robert J."},{"family":"Wong","given":"Raphael. K."},{"family":"Yu","given":"Di"},{"family":"Brink","given":"Robert"},{"family":"Cannons","given":"Jennifer L."},{"family":"Schwartzberg","given":"Pamela L."},{"family":"Cook","given":"Matthew C."},{"family":"Walters","given":"Giles D."},{"family":"Vinuesa","given":"Carola G."}],"issued":{"date-parts":[["2009",3,16]]}}}],"schema":"https://github.com/citation-style-language/schema/raw/master/csl-citation.json"} </w:instrText>
      </w:r>
      <w:r w:rsidRPr="00B93BC6">
        <w:rPr>
          <w:rFonts w:asciiTheme="majorHAnsi" w:hAnsiTheme="majorHAnsi" w:cstheme="majorHAnsi"/>
        </w:rPr>
        <w:fldChar w:fldCharType="separate"/>
      </w:r>
      <w:r w:rsidRPr="00B93BC6">
        <w:rPr>
          <w:rFonts w:asciiTheme="majorHAnsi" w:hAnsiTheme="majorHAnsi" w:cstheme="majorHAnsi"/>
          <w:vertAlign w:val="superscript"/>
        </w:rPr>
        <w:t>4</w:t>
      </w:r>
      <w:r w:rsidRPr="00B93BC6">
        <w:rPr>
          <w:rFonts w:asciiTheme="majorHAnsi" w:hAnsiTheme="majorHAnsi" w:cstheme="majorHAnsi"/>
        </w:rPr>
        <w:fldChar w:fldCharType="end"/>
      </w:r>
      <w:r w:rsidRPr="00B93BC6">
        <w:rPr>
          <w:rFonts w:asciiTheme="majorHAnsi" w:hAnsiTheme="majorHAnsi" w:cstheme="majorHAnsi"/>
        </w:rPr>
        <w:t xml:space="preserve">. </w:t>
      </w:r>
      <w:r w:rsidRPr="00B93BC6">
        <w:rPr>
          <w:rFonts w:asciiTheme="majorHAnsi" w:hAnsiTheme="majorHAnsi" w:cstheme="majorHAnsi"/>
          <w:color w:val="auto"/>
        </w:rPr>
        <w:t xml:space="preserve">They also play a role in the </w:t>
      </w:r>
      <w:r w:rsidRPr="00DD0376">
        <w:rPr>
          <w:rFonts w:asciiTheme="majorHAnsi" w:hAnsiTheme="majorHAnsi" w:cstheme="majorHAnsi"/>
          <w:color w:val="auto"/>
        </w:rPr>
        <w:t>tumor</w:t>
      </w:r>
      <w:r w:rsidRPr="00B93BC6">
        <w:rPr>
          <w:rFonts w:asciiTheme="majorHAnsi" w:hAnsiTheme="majorHAnsi" w:cstheme="majorHAnsi"/>
          <w:color w:val="auto"/>
        </w:rPr>
        <w:t xml:space="preserve"> microenvironment of both solid</w:t>
      </w:r>
      <w:r w:rsidRPr="00B93BC6">
        <w:rPr>
          <w:rFonts w:asciiTheme="majorHAnsi" w:hAnsiTheme="majorHAnsi" w:cstheme="majorHAnsi"/>
          <w:color w:val="auto"/>
        </w:rPr>
        <w:fldChar w:fldCharType="begin"/>
      </w:r>
      <w:r w:rsidRPr="00B93BC6">
        <w:rPr>
          <w:rFonts w:asciiTheme="majorHAnsi" w:hAnsiTheme="majorHAnsi" w:cstheme="majorHAnsi"/>
          <w:color w:val="auto"/>
        </w:rPr>
        <w:instrText xml:space="preserve"> ADDIN ZOTERO_ITEM CSL_CITATION {"citationID":"z0f6a8iD","properties":{"formattedCitation":"\\super 5, 6\\nosupersub{}","plainCitation":"5, 6","noteIndex":0},"citationItems":[{"id":96,"uris":["http://zotero.org/users/4841313/items/V5S4A2JH"],"uri":["http://zotero.org/users/4841313/items/V5S4A2JH"],"itemData":{"id":96,"type":"article-journal","title":"Spatiotemporal Dynamics of Intratumoral Immune Cells Reveal the Immune Landscape in Human Cancer","container-title":"Immunity","page":"782-795","volume":"39","issue":"4","source":"ScienceDirect","abstract":"Summary\nThe complex interactions between tumors and their microenvironment remain to be elucidated. Combining large-scale approaches, we examined the spatio-temporal dynamics of 28 different immune cell types (immunome) infiltrating tumors. We found that the immune infiltrate composition changed at each tumor stage and that particular cells had a major impact on survival. Densities of T follicular helper (Tfh) cells and innate cells increased, whereas most T cell densities decreased along with tumor progression. The number of B cells, which are key players in the core immune network and are associated with prolonged survival, increased at a late stage and showed a dual effect on recurrence and tumor progression. The immune control relevance was demonstrated in three endoscopic orthotopic colon-cancer mouse models. Genomic instability of the chemokine CXCL13 was a mechanism associated with Tfh and B cell infiltration. CXCL13 and IL21 were pivotal factors for the Tfh/B cell axis correlating with survival. This integrative study reveals the immune landscape in human colorectal cancer and the major hallmarks of the microenvironment associated with tumor progression and recurrence.","DOI":"10.1016/j.immuni.2013.10.003","ISSN":"1074-7613","journalAbbreviation":"Immunity","author":[{"family":"Bindea","given":"Gabriela"},{"family":"Mlecnik","given":"Bernhard"},{"family":"Tosolini","given":"Marie"},{"family":"Kirilovsky","given":"Amos"},{"family":"Waldner","given":"Maximilian"},{"family":"Obenauf","given":"Anna C."},{"family":"Angell","given":"Helen"},{"family":"Fredriksen","given":"Tessa"},{"family":"Lafontaine","given":"Lucie"},{"family":"Berger","given":"Anne"},{"family":"Bruneval","given":"Patrick"},{"family":"Fridman","given":"Wolf Herman"},{"family":"Becker","given":"Christoph"},{"family":"Pagès","given":"Franck"},{"family":"Speicher","given":"Michael R."},{"family":"Trajanoski","given":"Zlatko"},{"family":"Galon","given":"Jérôme"}],"issued":{"date-parts":[["2013",10,17]]}}},{"id":92,"uris":["http://zotero.org/users/4841313/items/P8PVGNP8"],"uri":["http://zotero.org/users/4841313/items/P8PVGNP8"],"itemData":{"id":92,"type":"article-journal","title":"CD4+ follicular helper T cell infiltration predicts breast cancer survival","container-title":"The Journal of Clinical Investigation","page":"2873-2892","volume":"123","issue":"7","source":"www.jci.org","DOI":"10.1172/JCI67428","ISSN":"0021-9738","note":"PMID: 0","journalAbbreviation":"J Clin Invest","language":"en","author":[{"family":"Gu-Trantien","given":"Chunyan"},{"family":"Loi","given":"Sherene"},{"family":"Garaud","given":"Soizic"},{"family":"Equeter","given":"Carole"},{"family":"Libin","given":"Myriam"},{"family":"Wind","given":"Alexandre","dropping-particle":"de"},{"family":"Ravoet","given":"Marie"},{"family":"Buanec","given":"Hélène Le"},{"family":"Sibille","given":"Catherine"},{"family":"Manfouo-Foutsop","given":"Germain"},{"family":"Veys","given":"Isabelle"},{"family":"Haibe-Kains","given":"Benjamin"},{"family":"Singhal","given":"Sandeep K."},{"family":"Michiels","given":"Stefan"},{"family":"Rothé","given":"Françoise"},{"family":"Salgado","given":"Roberto"},{"family":"Duvillier","given":"Hugues"},{"family":"Ignatiadis","given":"Michail"},{"family":"Desmedt","given":"Christine"},{"family":"Bron","given":"Dominique"},{"family":"Larsimont","given":"Denis"},{"family":"Piccart","given":"Martine"},{"family":"Sotiriou","given":"Christos"},{"family":"Willard-Gallo","given":"Karen"}],"issued":{"date-parts":[["2013",7,1]]}}}],"schema":"https://github.com/citation-style-language/schema/raw/master/csl-citation.json"} </w:instrText>
      </w:r>
      <w:r w:rsidRPr="00B93BC6">
        <w:rPr>
          <w:rFonts w:asciiTheme="majorHAnsi" w:hAnsiTheme="majorHAnsi" w:cstheme="majorHAnsi"/>
          <w:color w:val="auto"/>
        </w:rPr>
        <w:fldChar w:fldCharType="separate"/>
      </w:r>
      <w:r w:rsidRPr="00B93BC6">
        <w:rPr>
          <w:rFonts w:asciiTheme="majorHAnsi" w:hAnsiTheme="majorHAnsi" w:cstheme="majorHAnsi"/>
          <w:color w:val="auto"/>
          <w:vertAlign w:val="superscript"/>
        </w:rPr>
        <w:t>5,6</w:t>
      </w:r>
      <w:r w:rsidRPr="00B93BC6">
        <w:rPr>
          <w:rFonts w:asciiTheme="majorHAnsi" w:hAnsiTheme="majorHAnsi" w:cstheme="majorHAnsi"/>
          <w:color w:val="auto"/>
        </w:rPr>
        <w:fldChar w:fldCharType="end"/>
      </w:r>
      <w:r w:rsidRPr="00B93BC6">
        <w:rPr>
          <w:rFonts w:asciiTheme="majorHAnsi" w:hAnsiTheme="majorHAnsi" w:cstheme="majorHAnsi"/>
          <w:color w:val="auto"/>
        </w:rPr>
        <w:t xml:space="preserve"> and lymphoid cancers</w:t>
      </w:r>
      <w:r w:rsidRPr="00B93BC6">
        <w:rPr>
          <w:rFonts w:asciiTheme="majorHAnsi" w:hAnsiTheme="majorHAnsi" w:cstheme="majorHAnsi"/>
          <w:color w:val="auto"/>
        </w:rPr>
        <w:fldChar w:fldCharType="begin"/>
      </w:r>
      <w:r w:rsidRPr="00B93BC6">
        <w:rPr>
          <w:rFonts w:asciiTheme="majorHAnsi" w:hAnsiTheme="majorHAnsi" w:cstheme="majorHAnsi"/>
          <w:color w:val="auto"/>
        </w:rPr>
        <w:instrText xml:space="preserve"> ADDIN ZOTERO_ITEM CSL_CITATION {"citationID":"gL2uJL8I","properties":{"formattedCitation":"\\super 7\\nosupersub{}","plainCitation":"7","noteIndex":0},"citationItems":[{"id":99,"uris":["http://zotero.org/users/4841313/items/RH4RNZNA"],"uri":["http://zotero.org/users/4841313/items/RH4RNZNA"],"itemData":{"id":99,"type":"article-journal","title":"Characterization of intratumoral follicular helper T cells in follicular lymphoma: role in the survival of malignant B cells","container-title":"Leukemia","page":"1053-1063","volume":"26","issue":"5","source":"PubMed Central","abstract":"Accumulating evidences indicate that the cellular and molecular microenvironment of follicular lymphoma (FL) plays a key role in both lymphomagenesis and patient outcome. Malignant FL B cells are found admixed to specific stromal and immune cell subsets, in particular CD4pos T cells displaying phenotypic features of follicular helper T cells (TFH). The goal of our study was to functionally characterize intratumoral CD4pos T cells. We showed that CXCR5hiICOShiCD4pos T cells sorted from FL biopsies comprise at least two separate cell populations with distinct genetic and functional features: i) CD25pos follicular regulatory T cells (TFR), and ii) CD25neg TFH displaying a FL-B cell supportive activity without regulatory functions. Furthermore, despite their strong similarities with tonsil-derived TFH, purified FL-derived TFH displayed a specific gene expression profile including an overexpression of several genes potentially involved directly or indirectly in lymphomagenesis, in particular TNF, LTA, IL4, or CD40LG. Interestingly, we further demonstrated that these two last signals efficiently rescued malignant B cells from spontaneous and Rituximab-induced apoptosis. Altogether, our study demonstrates that tumor-infiltrating CD4pos T cells are more heterogeneous than previously presumed, and underlines for the first time the crucial role of TFH in the complex set of cellular interactions within FL microenvironment.","DOI":"10.1038/leu.2011.301","ISSN":"0887-6924","note":"PMID: 22015774\nPMCID: PMC3428269","shortTitle":"Characterization of intratumoral follicular helper T cells in follicular lymphoma","journalAbbreviation":"Leukemia","author":[{"family":"Amé-Thomas","given":"Patricia"},{"family":"Le Priol","given":"Jérôme"},{"family":"Yssel","given":"Hans"},{"family":"Caron","given":"Gersende"},{"family":"Pangault","given":"Céline"},{"family":"Jean","given":"Rachel"},{"family":"Martin","given":"Nadine"},{"family":"Marafioti","given":"Teresa"},{"family":"Gaulard","given":"Philippe"},{"family":"Lamy","given":"Thierry"},{"family":"Fest","given":"Thierry"},{"family":"Semana","given":"Gilbert"},{"family":"Tarte","given":"Karin"}],"issued":{"date-parts":[["2012",5]]}}}],"schema":"https://github.com/citation-style-language/schema/raw/master/csl-citation.json"} </w:instrText>
      </w:r>
      <w:r w:rsidRPr="00B93BC6">
        <w:rPr>
          <w:rFonts w:asciiTheme="majorHAnsi" w:hAnsiTheme="majorHAnsi" w:cstheme="majorHAnsi"/>
          <w:color w:val="auto"/>
        </w:rPr>
        <w:fldChar w:fldCharType="separate"/>
      </w:r>
      <w:r w:rsidRPr="00B93BC6">
        <w:rPr>
          <w:rFonts w:asciiTheme="majorHAnsi" w:hAnsiTheme="majorHAnsi" w:cstheme="majorHAnsi"/>
          <w:color w:val="auto"/>
          <w:vertAlign w:val="superscript"/>
        </w:rPr>
        <w:t>7</w:t>
      </w:r>
      <w:r w:rsidRPr="00B93BC6">
        <w:rPr>
          <w:rFonts w:asciiTheme="majorHAnsi" w:hAnsiTheme="majorHAnsi" w:cstheme="majorHAnsi"/>
          <w:color w:val="auto"/>
        </w:rPr>
        <w:fldChar w:fldCharType="end"/>
      </w:r>
      <w:r w:rsidRPr="00B93BC6">
        <w:rPr>
          <w:rFonts w:asciiTheme="majorHAnsi" w:hAnsiTheme="majorHAnsi" w:cstheme="majorHAnsi"/>
          <w:color w:val="auto"/>
        </w:rPr>
        <w:t xml:space="preserve">. Conversely, genetic defects of surface proteins essential for </w:t>
      </w:r>
      <w:proofErr w:type="spellStart"/>
      <w:r w:rsidRPr="00B93BC6">
        <w:rPr>
          <w:rFonts w:asciiTheme="majorHAnsi" w:hAnsiTheme="majorHAnsi" w:cstheme="majorHAnsi"/>
          <w:color w:val="auto"/>
        </w:rPr>
        <w:t>Tfh</w:t>
      </w:r>
      <w:proofErr w:type="spellEnd"/>
      <w:r w:rsidRPr="00B93BC6">
        <w:rPr>
          <w:rFonts w:asciiTheme="majorHAnsi" w:hAnsiTheme="majorHAnsi" w:cstheme="majorHAnsi"/>
          <w:color w:val="auto"/>
        </w:rPr>
        <w:t xml:space="preserve"> function such as inducible T-cell </w:t>
      </w:r>
      <w:proofErr w:type="spellStart"/>
      <w:r w:rsidRPr="00B93BC6">
        <w:rPr>
          <w:rFonts w:asciiTheme="majorHAnsi" w:hAnsiTheme="majorHAnsi" w:cstheme="majorHAnsi"/>
          <w:color w:val="auto"/>
        </w:rPr>
        <w:t>costimulator</w:t>
      </w:r>
      <w:proofErr w:type="spellEnd"/>
      <w:r w:rsidRPr="00B93BC6">
        <w:rPr>
          <w:rFonts w:asciiTheme="majorHAnsi" w:hAnsiTheme="majorHAnsi" w:cstheme="majorHAnsi"/>
          <w:color w:val="auto"/>
        </w:rPr>
        <w:t xml:space="preserve"> (ICOS) result in human immunodeficiency syndromes</w:t>
      </w:r>
      <w:r w:rsidRPr="00B93BC6">
        <w:rPr>
          <w:rFonts w:asciiTheme="majorHAnsi" w:hAnsiTheme="majorHAnsi" w:cstheme="majorHAnsi"/>
          <w:color w:val="auto"/>
        </w:rPr>
        <w:fldChar w:fldCharType="begin"/>
      </w:r>
      <w:r w:rsidRPr="00B93BC6">
        <w:rPr>
          <w:rFonts w:asciiTheme="majorHAnsi" w:hAnsiTheme="majorHAnsi" w:cstheme="majorHAnsi"/>
          <w:color w:val="auto"/>
        </w:rPr>
        <w:instrText xml:space="preserve"> ADDIN ZOTERO_ITEM CSL_CITATION {"citationID":"bWTUVzgP","properties":{"formattedCitation":"\\super 8\\nosupersub{}","plainCitation":"8","noteIndex":0},"citationItems":[{"id":101,"uris":["http://zotero.org/users/4841313/items/DMRSI28U"],"uri":["http://zotero.org/users/4841313/items/DMRSI28U"],"itemData":{"id":101,"type":"article-journal","title":"ICOS Deficiency Is Associated with a Severe Reduction of CXCR5+CD4 Germinal Center Th Cells","container-title":"The Journal of Immunology","page":"4927-4932","volume":"177","issue":"7","source":"www.jimmunol.org","abstract":"ICOS is expressed on activated T cells and particularly on CXCR5+ follicular Th cells in germinal centers (GC). Its deletion leads to a profound deficiency in memory B cell formation and switched Ab response in humans. Here, we show that in ICOS-deficient patients the generation of GCs is severely disturbed, and the numbers of circulating CXCR5+CD45RO+ memory CD4 T cells are significantly reduced, indicating an essential role of ICOS in the differentiation of CXCR5+CD4 T cells. The GC-specific CD57+CXCR5+ subpopulation is virtually absent. In ICOS−/− mice, the decrease of circulating CXCR5+CD4 T cells reflects the reduction of CXCR5+ follicular Th cells in lymph nodes and spleen. Therefore, in concurrence with the absence of CXCR5+ T cells in the blood of CD40L-deficient patients, these data support the hypothesis that circulating CD57+CXCR5+ T cells are GC derived and thus may serve as a surrogate marker for the presence of functional GCs in humans.","DOI":"10.4049/jimmunol.177.7.4927","ISSN":"0022-1767, 1550-6606","note":"PMID: 16982935","language":"en","author":[{"family":"Bossaller","given":"Lukas"},{"family":"Burger","given":"Jan"},{"family":"Draeger","given":"Ruth"},{"family":"Grimbacher","given":"Bodo"},{"family":"Knoth","given":"Rolf"},{"family":"Plebani","given":"Alessandro"},{"family":"Durandy","given":"Anne"},{"family":"Baumann","given":"Ulrich"},{"family":"Schlesier","given":"Michael"},{"family":"Welcher","given":"Andrew A."},{"family":"Peter","given":"Hans Hartmut"},{"family":"Warnatz","given":"Klaus"}],"issued":{"date-parts":[["2006",10,1]]}}}],"schema":"https://github.com/citation-style-language/schema/raw/master/csl-citation.json"} </w:instrText>
      </w:r>
      <w:r w:rsidRPr="00B93BC6">
        <w:rPr>
          <w:rFonts w:asciiTheme="majorHAnsi" w:hAnsiTheme="majorHAnsi" w:cstheme="majorHAnsi"/>
          <w:color w:val="auto"/>
        </w:rPr>
        <w:fldChar w:fldCharType="separate"/>
      </w:r>
      <w:r w:rsidRPr="00B93BC6">
        <w:rPr>
          <w:rFonts w:asciiTheme="majorHAnsi" w:hAnsiTheme="majorHAnsi" w:cstheme="majorHAnsi"/>
          <w:color w:val="auto"/>
          <w:vertAlign w:val="superscript"/>
        </w:rPr>
        <w:t>8</w:t>
      </w:r>
      <w:r w:rsidRPr="00B93BC6">
        <w:rPr>
          <w:rFonts w:asciiTheme="majorHAnsi" w:hAnsiTheme="majorHAnsi" w:cstheme="majorHAnsi"/>
          <w:color w:val="auto"/>
        </w:rPr>
        <w:fldChar w:fldCharType="end"/>
      </w:r>
      <w:r w:rsidRPr="00B93BC6">
        <w:rPr>
          <w:rFonts w:asciiTheme="majorHAnsi" w:hAnsiTheme="majorHAnsi" w:cstheme="majorHAnsi"/>
          <w:color w:val="auto"/>
        </w:rPr>
        <w:t xml:space="preserve">. </w:t>
      </w:r>
      <w:r w:rsidRPr="00B93BC6">
        <w:rPr>
          <w:rFonts w:asciiTheme="majorHAnsi" w:hAnsiTheme="majorHAnsi" w:cstheme="majorHAnsi"/>
        </w:rPr>
        <w:t>CD4</w:t>
      </w:r>
      <w:r w:rsidRPr="00B93BC6">
        <w:rPr>
          <w:rFonts w:asciiTheme="majorHAnsi" w:hAnsiTheme="majorHAnsi" w:cstheme="majorHAnsi"/>
          <w:vertAlign w:val="superscript"/>
        </w:rPr>
        <w:t>+</w:t>
      </w:r>
      <w:r w:rsidRPr="00B93BC6">
        <w:rPr>
          <w:rFonts w:asciiTheme="majorHAnsi" w:hAnsiTheme="majorHAnsi" w:cstheme="majorHAnsi"/>
        </w:rPr>
        <w:t xml:space="preserve"> CXCR5</w:t>
      </w:r>
      <w:r w:rsidRPr="00B93BC6">
        <w:rPr>
          <w:rFonts w:asciiTheme="majorHAnsi" w:hAnsiTheme="majorHAnsi" w:cstheme="majorHAnsi"/>
          <w:vertAlign w:val="superscript"/>
        </w:rPr>
        <w:t>+</w:t>
      </w:r>
      <w:r w:rsidRPr="00B93BC6">
        <w:rPr>
          <w:rFonts w:asciiTheme="majorHAnsi" w:hAnsiTheme="majorHAnsi" w:cstheme="majorHAnsi"/>
        </w:rPr>
        <w:t xml:space="preserve"> cells in human peripheral blood are termed circulating T-follicular helper cells (</w:t>
      </w:r>
      <w:proofErr w:type="spellStart"/>
      <w:r w:rsidRPr="00B93BC6">
        <w:rPr>
          <w:rFonts w:asciiTheme="majorHAnsi" w:hAnsiTheme="majorHAnsi" w:cstheme="majorHAnsi"/>
        </w:rPr>
        <w:t>cTfh</w:t>
      </w:r>
      <w:proofErr w:type="spellEnd"/>
      <w:r w:rsidRPr="00B93BC6">
        <w:rPr>
          <w:rFonts w:asciiTheme="majorHAnsi" w:hAnsiTheme="majorHAnsi" w:cstheme="majorHAnsi"/>
        </w:rPr>
        <w:t xml:space="preserve">) and are believed to be the memory compartment of </w:t>
      </w:r>
      <w:proofErr w:type="spellStart"/>
      <w:r w:rsidRPr="00B93BC6">
        <w:rPr>
          <w:rFonts w:asciiTheme="majorHAnsi" w:hAnsiTheme="majorHAnsi" w:cstheme="majorHAnsi"/>
        </w:rPr>
        <w:t>Tfh</w:t>
      </w:r>
      <w:proofErr w:type="spellEnd"/>
      <w:r w:rsidRPr="00B93BC6">
        <w:rPr>
          <w:rFonts w:asciiTheme="majorHAnsi" w:hAnsiTheme="majorHAnsi" w:cstheme="majorHAnsi"/>
        </w:rPr>
        <w:t xml:space="preserve"> cells in tissues</w:t>
      </w:r>
      <w:r w:rsidRPr="00B93BC6">
        <w:rPr>
          <w:rFonts w:asciiTheme="majorHAnsi" w:hAnsiTheme="majorHAnsi" w:cstheme="majorHAnsi"/>
        </w:rPr>
        <w:fldChar w:fldCharType="begin"/>
      </w:r>
      <w:r w:rsidRPr="00B93BC6">
        <w:rPr>
          <w:rFonts w:asciiTheme="majorHAnsi" w:hAnsiTheme="majorHAnsi" w:cstheme="majorHAnsi"/>
        </w:rPr>
        <w:instrText xml:space="preserve"> ADDIN ZOTERO_ITEM CSL_CITATION {"citationID":"DmUoz7EJ","properties":{"formattedCitation":"\\super 9\\nosupersub{}","plainCitation":"9","noteIndex":0},"citationItems":[{"id":105,"uris":["http://zotero.org/users/4841313/items/PKRCX2ZX"],"uri":["http://zotero.org/users/4841313/items/PKRCX2ZX"],"itemData":{"id":105,"type":"article-journal","title":"Human Blood CXCR5+CD4+ T Cells Are Counterparts of T Follicular Cells and Contain Specific Subsets that Differentially Support Antibody Secretion","container-title":"Immunity","page":"108-121","volume":"34","issue":"1","source":"ScienceDirect","abstract":"Summary\nAlthough a fraction of human blood memory CD4+ T cells expresses chemokine (C-X-C motif) receptor 5 (CXCR5), their relationship to T follicular helper (Tfh) cells is not well established. Here we show that human blood CXCR5+CD4+ T cells share functional properties with Tfh cells and appear to represent their circulating memory compartment. Blood CXCR5+CD4+ T cells comprised three subsets: T helper 1 (Th1), Th2, and Th17 cells. Th2 and Th17 cells within CXCR5+, but not within CXCR5−, compartment efficiently induced naive B cells to produce immunoglobulins via interleukin-21 (IL-21). In contrast, Th1 cells from both CXCR5+ and CXCR5− compartments lacked the capacity to help B cells. Patients with juvenile dermatomyositis, a systemic autoimmune disease, displayed a profound skewing of blood CXCR5+ Th cell subsets toward Th2 and Th17 cells. Importantly, the skewing of subsets correlated with disease activity and frequency of blood plasmablasts. Collectively, our study suggests that an altered balance of Tfh cell subsets contributes to human autoimmunity.","DOI":"10.1016/j.immuni.2010.12.012","ISSN":"1074-7613","journalAbbreviation":"Immunity","author":[{"family":"Morita","given":"Rimpei"},{"family":"Schmitt","given":"Nathalie"},{"family":"Bentebibel","given":"Salah-Eddine"},{"family":"Ranganathan","given":"Rajaram"},{"family":"Bourdery","given":"Laure"},{"family":"Zurawski","given":"Gerard"},{"family":"Foucat","given":"Emile"},{"family":"Dullaers","given":"Melissa"},{"family":"Oh","given":"SangKon"},{"family":"Sabzghabaei","given":"Natalie"},{"family":"Lavecchio","given":"Elizabeth M."},{"family":"Punaro","given":"Marilynn"},{"family":"Pascual","given":"Virginia"},{"family":"Banchereau","given":"Jacques"},{"family":"Ueno","given":"Hideki"}],"issued":{"date-parts":[["2011",1,28]]}}}],"schema":"https://github.com/citation-style-language/schema/raw/master/csl-citation.json"} </w:instrText>
      </w:r>
      <w:r w:rsidRPr="00B93BC6">
        <w:rPr>
          <w:rFonts w:asciiTheme="majorHAnsi" w:hAnsiTheme="majorHAnsi" w:cstheme="majorHAnsi"/>
        </w:rPr>
        <w:fldChar w:fldCharType="separate"/>
      </w:r>
      <w:r w:rsidRPr="00B93BC6">
        <w:rPr>
          <w:rFonts w:asciiTheme="majorHAnsi" w:hAnsiTheme="majorHAnsi" w:cstheme="majorHAnsi"/>
          <w:vertAlign w:val="superscript"/>
        </w:rPr>
        <w:t>9</w:t>
      </w:r>
      <w:r w:rsidRPr="00B93BC6">
        <w:rPr>
          <w:rFonts w:asciiTheme="majorHAnsi" w:hAnsiTheme="majorHAnsi" w:cstheme="majorHAnsi"/>
        </w:rPr>
        <w:fldChar w:fldCharType="end"/>
      </w:r>
      <w:r w:rsidRPr="00B93BC6">
        <w:rPr>
          <w:rFonts w:asciiTheme="majorHAnsi" w:hAnsiTheme="majorHAnsi" w:cstheme="majorHAnsi"/>
        </w:rPr>
        <w:t xml:space="preserve">. The purpose of the method described here is the analysis of </w:t>
      </w:r>
      <w:proofErr w:type="spellStart"/>
      <w:r w:rsidRPr="00B93BC6">
        <w:rPr>
          <w:rFonts w:asciiTheme="majorHAnsi" w:hAnsiTheme="majorHAnsi" w:cstheme="majorHAnsi"/>
        </w:rPr>
        <w:t>cTfh</w:t>
      </w:r>
      <w:proofErr w:type="spellEnd"/>
      <w:r w:rsidRPr="00B93BC6">
        <w:rPr>
          <w:rFonts w:asciiTheme="majorHAnsi" w:hAnsiTheme="majorHAnsi" w:cstheme="majorHAnsi"/>
        </w:rPr>
        <w:t xml:space="preserve"> subsets</w:t>
      </w:r>
      <w:r>
        <w:rPr>
          <w:rFonts w:asciiTheme="majorHAnsi" w:hAnsiTheme="majorHAnsi" w:cstheme="majorHAnsi"/>
        </w:rPr>
        <w:t xml:space="preserve"> following CD4</w:t>
      </w:r>
      <w:r w:rsidRPr="006D51B2">
        <w:rPr>
          <w:rFonts w:asciiTheme="majorHAnsi" w:hAnsiTheme="majorHAnsi" w:cstheme="majorHAnsi"/>
          <w:vertAlign w:val="superscript"/>
        </w:rPr>
        <w:t>+</w:t>
      </w:r>
      <w:r>
        <w:rPr>
          <w:rFonts w:asciiTheme="majorHAnsi" w:hAnsiTheme="majorHAnsi" w:cstheme="majorHAnsi"/>
        </w:rPr>
        <w:t xml:space="preserve"> cell isolation from peripheral blood samples</w:t>
      </w:r>
      <w:r w:rsidRPr="00B93BC6">
        <w:rPr>
          <w:rFonts w:asciiTheme="majorHAnsi" w:hAnsiTheme="majorHAnsi" w:cstheme="majorHAnsi"/>
        </w:rPr>
        <w:t xml:space="preserve">. </w:t>
      </w:r>
    </w:p>
    <w:p w14:paraId="6A3C4B68" w14:textId="77777777" w:rsidR="00277E15" w:rsidRPr="00B93BC6" w:rsidRDefault="00277E15" w:rsidP="00277E15">
      <w:pPr>
        <w:rPr>
          <w:rFonts w:asciiTheme="majorHAnsi" w:hAnsiTheme="majorHAnsi" w:cstheme="majorHAnsi"/>
        </w:rPr>
      </w:pPr>
    </w:p>
    <w:p w14:paraId="2625B78A" w14:textId="77777777" w:rsidR="00277E15" w:rsidRPr="00B93BC6" w:rsidRDefault="00277E15" w:rsidP="00277E15">
      <w:pPr>
        <w:rPr>
          <w:rFonts w:asciiTheme="majorHAnsi" w:hAnsiTheme="majorHAnsi" w:cstheme="majorHAnsi"/>
        </w:rPr>
      </w:pPr>
      <w:r w:rsidRPr="00B93BC6">
        <w:rPr>
          <w:rFonts w:asciiTheme="majorHAnsi" w:hAnsiTheme="majorHAnsi" w:cstheme="majorHAnsi"/>
        </w:rPr>
        <w:t xml:space="preserve">Several </w:t>
      </w:r>
      <w:proofErr w:type="spellStart"/>
      <w:r w:rsidRPr="00B93BC6">
        <w:rPr>
          <w:rFonts w:asciiTheme="majorHAnsi" w:hAnsiTheme="majorHAnsi" w:cstheme="majorHAnsi"/>
        </w:rPr>
        <w:t>cTfh</w:t>
      </w:r>
      <w:proofErr w:type="spellEnd"/>
      <w:r w:rsidRPr="00B93BC6">
        <w:rPr>
          <w:rFonts w:asciiTheme="majorHAnsi" w:hAnsiTheme="majorHAnsi" w:cstheme="majorHAnsi"/>
        </w:rPr>
        <w:t xml:space="preserve"> subsets have been defined and the efficiency with which they provide B-cell help differs from one subset to another</w:t>
      </w:r>
      <w:r w:rsidRPr="00B93BC6">
        <w:rPr>
          <w:rFonts w:asciiTheme="majorHAnsi" w:hAnsiTheme="majorHAnsi" w:cstheme="majorHAnsi"/>
        </w:rPr>
        <w:fldChar w:fldCharType="begin"/>
      </w:r>
      <w:r w:rsidRPr="00B93BC6">
        <w:rPr>
          <w:rFonts w:asciiTheme="majorHAnsi" w:hAnsiTheme="majorHAnsi" w:cstheme="majorHAnsi"/>
        </w:rPr>
        <w:instrText xml:space="preserve"> ADDIN ZOTERO_ITEM CSL_CITATION {"citationID":"d9iSUxGo","properties":{"formattedCitation":"\\super 9\\uc0\\u8211{}12\\nosupersub{}","plainCitation":"9–12","noteIndex":0},"citationItems":[{"id":105,"uris":["http://zotero.org/users/4841313/items/PKRCX2ZX"],"uri":["http://zotero.org/users/4841313/items/PKRCX2ZX"],"itemData":{"id":105,"type":"article-journal","title":"Human Blood CXCR5+CD4+ T Cells Are Counterparts of T Follicular Cells and Contain Specific Subsets that Differentially Support Antibody Secretion","container-title":"Immunity","page":"108-121","volume":"34","issue":"1","source":"ScienceDirect","abstract":"Summary\nAlthough a fraction of human blood memory CD4+ T cells expresses chemokine (C-X-C motif) receptor 5 (CXCR5), their relationship to T follicular helper (Tfh) cells is not well established. Here we show that human blood CXCR5+CD4+ T cells share functional properties with Tfh cells and appear to represent their circulating memory compartment. Blood CXCR5+CD4+ T cells comprised three subsets: T helper 1 (Th1), Th2, and Th17 cells. Th2 and Th17 cells within CXCR5+, but not within CXCR5−, compartment efficiently induced naive B cells to produce immunoglobulins via interleukin-21 (IL-21). In contrast, Th1 cells from both CXCR5+ and CXCR5− compartments lacked the capacity to help B cells. Patients with juvenile dermatomyositis, a systemic autoimmune disease, displayed a profound skewing of blood CXCR5+ Th cell subsets toward Th2 and Th17 cells. Importantly, the skewing of subsets correlated with disease activity and frequency of blood plasmablasts. Collectively, our study suggests that an altered balance of Tfh cell subsets contributes to human autoimmunity.","DOI":"10.1016/j.immuni.2010.12.012","ISSN":"1074-7613","journalAbbreviation":"Immunity","author":[{"family":"Morita","given":"Rimpei"},{"family":"Schmitt","given":"Nathalie"},{"family":"Bentebibel","given":"Salah-Eddine"},{"family":"Ranganathan","given":"Rajaram"},{"family":"Bourdery","given":"Laure"},{"family":"Zurawski","given":"Gerard"},{"family":"Foucat","given":"Emile"},{"family":"Dullaers","given":"Melissa"},{"family":"Oh","given":"SangKon"},{"family":"Sabzghabaei","given":"Natalie"},{"family":"Lavecchio","given":"Elizabeth M."},{"family":"Punaro","given":"Marilynn"},{"family":"Pascual","given":"Virginia"},{"family":"Banchereau","given":"Jacques"},{"family":"Ueno","given":"Hideki"}],"issued":{"date-parts":[["2011",1,28]]}}},{"id":108,"uris":["http://zotero.org/users/4841313/items/FVHTBVLP"],"uri":["http://zotero.org/users/4841313/items/FVHTBVLP"],"itemData":{"id":108,"type":"article-journal","title":"Human circulating PD-1+CXCR3-CXCR5+ memory Tfh cells are highly functional and correlate with broadly neutralizing HIV antibody responses","container-title":"Immunity","page":"758-769","volume":"39","issue":"4","source":"PubMed","abstract":"The vast majority of currently licensed human vaccines work on the basis of long-term protective antibody responses. It is now conceivable that an antibody-dependent HIV vaccine might be possible, given the discovery of HIV broadly neutralizing antibodies (bnAbs) in some HIV-infected individuals. However, these antibodies are difficult to develop and have characteristics indicative of a high degree of affinity maturation in germinal centers (GCs). CD4⁺ T follicular helper (Tfh) cells are specialized for B cell help and necessary for GCs. Therefore, the development of HIV bnAbs might depend on Tfh cells. Here, we identified in normal individuals a subpopulation of circulating memory PD-1⁺CXCR5⁺CD4⁺ T cells that are resting memory cells most related to bona fide GC Tfh cells by gene expression profile, cytokine profile, and functional properties. Importantly, the frequency of these cells correlated with the development of bnAbs against HIV in a large cohort of HIV⁺ individuals.","DOI":"10.1016/j.immuni.2013.08.031","ISSN":"1097-4180","note":"PMID: 24035365\nPMCID: PMC3996844","journalAbbreviation":"Immunity","language":"eng","author":[{"family":"Locci","given":"Michela"},{"family":"Havenar-Daughton","given":"Colin"},{"family":"Landais","given":"Elise"},{"family":"Wu","given":"Jennifer"},{"family":"Kroenke","given":"Mark A."},{"family":"Arlehamn","given":"Cecilia L."},{"family":"Su","given":"Laura F."},{"family":"Cubas","given":"Rafael"},{"family":"Davis","given":"Mark M."},{"family":"Sette","given":"Alessandro"},{"family":"Haddad","given":"Elias K."},{"literal":"International AIDS Vaccine Initiative Protocol C Principal Investigators"},{"family":"Poignard","given":"Pascal"},{"family":"Crotty","given":"Shane"}],"issued":{"date-parts":[["2013",10,17]]}}},{"id":114,"uris":["http://zotero.org/users/4841313/items/Z3FQZLY4"],"uri":["http://zotero.org/users/4841313/items/Z3FQZLY4"],"itemData":{"id":114,"type":"article-journal","title":"Circulating Precursor CCR7loPD-1hi CXCR5+ CD4+ T Cells Indicate Tfh Cell Activity and Promote Antibody Responses upon Antigen Reexposure","container-title":"Immunity","page":"770-781","volume":"39","issue":"4","source":"Crossref","DOI":"10.1016/j.immuni.2013.09.007","ISSN":"10747613","language":"en","author":[{"family":"He","given":"Jing"},{"family":"Tsai","given":"Louis M."},{"family":"Leong","given":"Yew Ann"},{"family":"Hu","given":"Xin"},{"family":"Ma","given":"Cindy S."},{"family":"Chevalier","given":"Nina"},{"family":"Sun","given":"Xiaolin"},{"family":"Vandenberg","given":"Kirsten"},{"family":"Rockman","given":"Steve"},{"family":"Ding","given":"Yan"},{"family":"Zhu","given":"Lei"},{"family":"Wei","given":"Wei"},{"family":"Wang","given":"Changqi"},{"family":"Karnowski","given":"Alexander"},{"family":"Belz","given":"Gabrielle T."},{"family":"Ghali","given":"Joanna R."},{"family":"Cook","given":"Matthew C."},{"family":"Riminton","given":"D. Sean"},{"family":"Veillette","given":"André"},{"family":"Schwartzberg","given":"Pamela L."},{"family":"Mackay","given":"Fabienne"},{"family":"Brink","given":"Robert"},{"family":"Tangye","given":"Stuart G."},{"family":"Vinuesa","given":"Carola G."},{"family":"Mackay","given":"Charles R."},{"family":"Li","given":"Zhanguo"},{"family":"Yu","given":"Di"}],"issued":{"date-parts":[["2013",10]]}}},{"id":24,"uris":["http://zotero.org/users/4841313/items/F9JJQ66J"],"uri":["http://zotero.org/users/4841313/items/F9JJQ66J"],"itemData":{"id":24,"type":"article-journal","title":"Phenotype and functions of memory Tfh cells in human blood","container-title":"Trends in Immunology","page":"436-442","volume":"35","issue":"9","source":"CrossRef","DOI":"10.1016/j.it.2014.06.002","ISSN":"14714906","language":"en","author":[{"family":"Schmitt","given":"Nathalie"},{"family":"Bentebibel","given":"Salah-Eddine"},{"family":"Ueno","given":"Hideki"}],"issued":{"date-parts":[["2014",9]]}}}],"schema":"https://github.com/citation-style-language/schema/raw/master/csl-citation.json"} </w:instrText>
      </w:r>
      <w:r w:rsidRPr="00B93BC6">
        <w:rPr>
          <w:rFonts w:asciiTheme="majorHAnsi" w:hAnsiTheme="majorHAnsi" w:cstheme="majorHAnsi"/>
        </w:rPr>
        <w:fldChar w:fldCharType="separate"/>
      </w:r>
      <w:r w:rsidRPr="00B93BC6">
        <w:rPr>
          <w:rFonts w:asciiTheme="majorHAnsi" w:hAnsiTheme="majorHAnsi" w:cstheme="majorHAnsi"/>
          <w:vertAlign w:val="superscript"/>
        </w:rPr>
        <w:t>9–12</w:t>
      </w:r>
      <w:r w:rsidRPr="00B93BC6">
        <w:rPr>
          <w:rFonts w:asciiTheme="majorHAnsi" w:hAnsiTheme="majorHAnsi" w:cstheme="majorHAnsi"/>
        </w:rPr>
        <w:fldChar w:fldCharType="end"/>
      </w:r>
      <w:r w:rsidRPr="00B93BC6">
        <w:rPr>
          <w:rFonts w:asciiTheme="majorHAnsi" w:hAnsiTheme="majorHAnsi" w:cstheme="majorHAnsi"/>
        </w:rPr>
        <w:t>. The relative proportions of these subsets are altered in a number of diseases, most prominently autoimmune disease in which there is almost always a relative increase in the more functional PD-1</w:t>
      </w:r>
      <w:r w:rsidRPr="00B93BC6">
        <w:rPr>
          <w:rFonts w:asciiTheme="majorHAnsi" w:hAnsiTheme="majorHAnsi" w:cstheme="majorHAnsi"/>
          <w:vertAlign w:val="superscript"/>
        </w:rPr>
        <w:t>+/hi</w:t>
      </w:r>
      <w:r w:rsidRPr="00B93BC6">
        <w:rPr>
          <w:rFonts w:asciiTheme="majorHAnsi" w:hAnsiTheme="majorHAnsi" w:cstheme="majorHAnsi"/>
        </w:rPr>
        <w:t xml:space="preserve"> and/or cTfh2 or cTfh17 subsets in comparison to the less functional PD-1</w:t>
      </w:r>
      <w:r w:rsidRPr="00B93BC6">
        <w:rPr>
          <w:rFonts w:asciiTheme="majorHAnsi" w:hAnsiTheme="majorHAnsi" w:cstheme="majorHAnsi"/>
          <w:vertAlign w:val="superscript"/>
        </w:rPr>
        <w:t>-</w:t>
      </w:r>
      <w:r w:rsidRPr="00B93BC6">
        <w:rPr>
          <w:rFonts w:asciiTheme="majorHAnsi" w:hAnsiTheme="majorHAnsi" w:cstheme="majorHAnsi"/>
        </w:rPr>
        <w:t xml:space="preserve"> and/or cTfh1 subsets</w:t>
      </w:r>
      <w:r w:rsidRPr="00B93BC6">
        <w:rPr>
          <w:rFonts w:asciiTheme="majorHAnsi" w:hAnsiTheme="majorHAnsi" w:cstheme="majorHAnsi"/>
        </w:rPr>
        <w:fldChar w:fldCharType="begin"/>
      </w:r>
      <w:r w:rsidRPr="00B93BC6">
        <w:rPr>
          <w:rFonts w:asciiTheme="majorHAnsi" w:hAnsiTheme="majorHAnsi" w:cstheme="majorHAnsi"/>
        </w:rPr>
        <w:instrText xml:space="preserve"> ADDIN ZOTERO_ITEM CSL_CITATION {"citationID":"7j6DOfEK","properties":{"formattedCitation":"\\super 12\\nosupersub{}","plainCitation":"12","noteIndex":0},"citationItems":[{"id":24,"uris":["http://zotero.org/users/4841313/items/F9JJQ66J"],"uri":["http://zotero.org/users/4841313/items/F9JJQ66J"],"itemData":{"id":24,"type":"article-journal","title":"Phenotype and functions of memory Tfh cells in human blood","container-title":"Trends in Immunology","page":"436-442","volume":"35","issue":"9","source":"CrossRef","DOI":"10.1016/j.it.2014.06.002","ISSN":"14714906","language":"en","author":[{"family":"Schmitt","given":"Nathalie"},{"family":"Bentebibel","given":"Salah-Eddine"},{"family":"Ueno","given":"Hideki"}],"issued":{"date-parts":[["2014",9]]}}}],"schema":"https://github.com/citation-style-language/schema/raw/master/csl-citation.json"} </w:instrText>
      </w:r>
      <w:r w:rsidRPr="00B93BC6">
        <w:rPr>
          <w:rFonts w:asciiTheme="majorHAnsi" w:hAnsiTheme="majorHAnsi" w:cstheme="majorHAnsi"/>
        </w:rPr>
        <w:fldChar w:fldCharType="separate"/>
      </w:r>
      <w:r w:rsidRPr="00B93BC6">
        <w:rPr>
          <w:rFonts w:asciiTheme="majorHAnsi" w:hAnsiTheme="majorHAnsi" w:cstheme="majorHAnsi"/>
          <w:vertAlign w:val="superscript"/>
        </w:rPr>
        <w:t>12</w:t>
      </w:r>
      <w:r w:rsidRPr="00B93BC6">
        <w:rPr>
          <w:rFonts w:asciiTheme="majorHAnsi" w:hAnsiTheme="majorHAnsi" w:cstheme="majorHAnsi"/>
        </w:rPr>
        <w:fldChar w:fldCharType="end"/>
      </w:r>
      <w:r w:rsidRPr="00B93BC6">
        <w:rPr>
          <w:rFonts w:asciiTheme="majorHAnsi" w:hAnsiTheme="majorHAnsi" w:cstheme="majorHAnsi"/>
        </w:rPr>
        <w:t xml:space="preserve">. The extent of these changes frequently associate with clinical parameters including disease activity and autoantibody titers, indicating a </w:t>
      </w:r>
      <w:r w:rsidRPr="00B93BC6">
        <w:rPr>
          <w:rFonts w:asciiTheme="majorHAnsi" w:eastAsiaTheme="minorEastAsia" w:hAnsiTheme="majorHAnsi" w:cstheme="majorHAnsi"/>
        </w:rPr>
        <w:t xml:space="preserve">potential role of </w:t>
      </w:r>
      <w:proofErr w:type="spellStart"/>
      <w:r w:rsidRPr="00B93BC6">
        <w:rPr>
          <w:rFonts w:asciiTheme="majorHAnsi" w:eastAsiaTheme="minorEastAsia" w:hAnsiTheme="majorHAnsi" w:cstheme="majorHAnsi"/>
        </w:rPr>
        <w:t>cTfh</w:t>
      </w:r>
      <w:proofErr w:type="spellEnd"/>
      <w:r w:rsidRPr="00B93BC6">
        <w:rPr>
          <w:rFonts w:asciiTheme="majorHAnsi" w:eastAsiaTheme="minorEastAsia" w:hAnsiTheme="majorHAnsi" w:cstheme="majorHAnsi"/>
        </w:rPr>
        <w:t xml:space="preserve"> subset distribution as a prognostic biomarker in disease, which may reflect the activity of </w:t>
      </w:r>
      <w:proofErr w:type="spellStart"/>
      <w:r w:rsidRPr="00B93BC6">
        <w:rPr>
          <w:rFonts w:asciiTheme="majorHAnsi" w:eastAsiaTheme="minorEastAsia" w:hAnsiTheme="majorHAnsi" w:cstheme="majorHAnsi"/>
        </w:rPr>
        <w:t>Tfh</w:t>
      </w:r>
      <w:proofErr w:type="spellEnd"/>
      <w:r w:rsidRPr="00B93BC6">
        <w:rPr>
          <w:rFonts w:asciiTheme="majorHAnsi" w:eastAsiaTheme="minorEastAsia" w:hAnsiTheme="majorHAnsi" w:cstheme="majorHAnsi"/>
        </w:rPr>
        <w:t xml:space="preserve"> in lymphoid tissues</w:t>
      </w:r>
      <w:r w:rsidRPr="00B93BC6">
        <w:rPr>
          <w:rFonts w:asciiTheme="majorHAnsi" w:eastAsiaTheme="minorEastAsia" w:hAnsiTheme="majorHAnsi" w:cstheme="majorHAnsi"/>
        </w:rPr>
        <w:fldChar w:fldCharType="begin"/>
      </w:r>
      <w:r w:rsidRPr="00B93BC6">
        <w:rPr>
          <w:rFonts w:asciiTheme="majorHAnsi" w:eastAsiaTheme="minorEastAsia" w:hAnsiTheme="majorHAnsi" w:cstheme="majorHAnsi"/>
        </w:rPr>
        <w:instrText xml:space="preserve"> ADDIN ZOTERO_ITEM CSL_CITATION {"citationID":"6cGqFgRl","properties":{"formattedCitation":"\\super 9, 12\\uc0\\u8211{}14\\nosupersub{}","plainCitation":"9, 12–14","noteIndex":0},"citationItems":[{"id":105,"uris":["http://zotero.org/users/4841313/items/PKRCX2ZX"],"uri":["http://zotero.org/users/4841313/items/PKRCX2ZX"],"itemData":{"id":105,"type":"article-journal","title":"Human Blood CXCR5+CD4+ T Cells Are Counterparts of T Follicular Cells and Contain Specific Subsets that Differentially Support Antibody Secretion","container-title":"Immunity","page":"108-121","volume":"34","issue":"1","source":"ScienceDirect","abstract":"Summary\nAlthough a fraction of human blood memory CD4+ T cells expresses chemokine (C-X-C motif) receptor 5 (CXCR5), their relationship to T follicular helper (Tfh) cells is not well established. Here we show that human blood CXCR5+CD4+ T cells share functional properties with Tfh cells and appear to represent their circulating memory compartment. Blood CXCR5+CD4+ T cells comprised three subsets: T helper 1 (Th1), Th2, and Th17 cells. Th2 and Th17 cells within CXCR5+, but not within CXCR5−, compartment efficiently induced naive B cells to produce immunoglobulins via interleukin-21 (IL-21). In contrast, Th1 cells from both CXCR5+ and CXCR5− compartments lacked the capacity to help B cells. Patients with juvenile dermatomyositis, a systemic autoimmune disease, displayed a profound skewing of blood CXCR5+ Th cell subsets toward Th2 and Th17 cells. Importantly, the skewing of subsets correlated with disease activity and frequency of blood plasmablasts. Collectively, our study suggests that an altered balance of Tfh cell subsets contributes to human autoimmunity.","DOI":"10.1016/j.immuni.2010.12.012","ISSN":"1074-7613","journalAbbreviation":"Immunity","author":[{"family":"Morita","given":"Rimpei"},{"family":"Schmitt","given":"Nathalie"},{"family":"Bentebibel","given":"Salah-Eddine"},{"family":"Ranganathan","given":"Rajaram"},{"family":"Bourdery","given":"Laure"},{"family":"Zurawski","given":"Gerard"},{"family":"Foucat","given":"Emile"},{"family":"Dullaers","given":"Melissa"},{"family":"Oh","given":"SangKon"},{"family":"Sabzghabaei","given":"Natalie"},{"family":"Lavecchio","given":"Elizabeth M."},{"family":"Punaro","given":"Marilynn"},{"family":"Pascual","given":"Virginia"},{"family":"Banchereau","given":"Jacques"},{"family":"Ueno","given":"Hideki"}],"issued":{"date-parts":[["2011",1,28]]}}},{"id":24,"uris":["http://zotero.org/users/4841313/items/F9JJQ66J"],"uri":["http://zotero.org/users/4841313/items/F9JJQ66J"],"itemData":{"id":24,"type":"article-journal","title":"Phenotype and functions of memory Tfh cells in human blood","container-title":"Trends in Immunology","page":"436-442","volume":"35","issue":"9","source":"CrossRef","DOI":"10.1016/j.it.2014.06.002","ISSN":"14714906","language":"en","author":[{"family":"Schmitt","given":"Nathalie"},{"family":"Bentebibel","given":"Salah-Eddine"},{"family":"Ueno","given":"Hideki"}],"issued":{"date-parts":[["2014",9]]}}},{"id":115,"uris":["http://zotero.org/users/4841313/items/YT7ZAJFA"],"uri":["http://zotero.org/users/4841313/items/YT7ZAJFA"],"itemData":{"id":115,"type":"article-journal","title":"Expansion of circulating T cells resembling follicular helper T cells is a fixed phenotype that identifies a subset of severe systemic lupus erythematosus","container-title":"Arthritis and Rheumatism","page":"234-244","volume":"62","issue":"1","source":"PubMed","abstract":"OBJECTIVE: In the sanroque mouse model of lupus, pathologic germinal centers (GCs) arise due to increased numbers of follicular helper T (Tfh) cells, resulting in high-affinity anti-double-stranded DNA antibodies that cause end-organ inflammation, such as glomerulonephritis. The purpose of this study was to examine the hypothesis that this pathway could account for a subset of patients with systemic lupus erythematosus (SLE).\nMETHODS: An expansion of Tfh cells is a causal, and therefore consistent, component of the sanroque mouse phenotype. We validated the enumeration of circulating T cells resembling Tfh cells as a biomarker of this expansion in sanroque mice, and we performed a comprehensive comparison of the surface phenotype of circulating and tonsillar Tfh cells in humans. This circulating biomarker was enumerated in SLE patients (n = 46), Sjögren's syndrome patients (n = 17), and healthy controls (n = 48) and was correlated with disease activity and end-organ involvement.\nRESULTS: In sanroque mice, circulating Tfh cells increased in proportion to their GC counterparts, making circulating Tfh cells a feasible human biomarker of this novel mechanism of breakdown in GC tolerance. In a subset of SLE patients (14 of 46), but in none of the controls, the levels of circulating Tfh cells (defined as circulating CXCR5+CD4+ cells with high expression of Tfh-associated molecules, such as inducible T cell costimulator or programmed death 1) were increased. This cellular phenotype did not vary with time, disease activity, or treatment, but it did correlate with the diversity and titers of autoantibodies and with the severity of end-organ involvement.\nCONCLUSION: These findings in SLE patients are consistent with the autoimmune mechanism in sanroque mice and identify Tfh effector molecules as possible therapeutic targets in a recognizable subset of patients with SLE.","DOI":"10.1002/art.25032","ISSN":"0004-3591","note":"PMID: 20039395","journalAbbreviation":"Arthritis Rheum.","language":"eng","author":[{"family":"Simpson","given":"Nicholas"},{"family":"Gatenby","given":"Paul A."},{"family":"Wilson","given":"Anastasia"},{"family":"Malik","given":"Shreya"},{"family":"Fulcher","given":"David A."},{"family":"Tangye","given":"Stuart G."},{"family":"Manku","given":"Harinder"},{"family":"Vyse","given":"Timothy J."},{"family":"Roncador","given":"Giovanna"},{"family":"Huttley","given":"Gavin A."},{"family":"Goodnow","given":"Christopher C."},{"family":"Vinuesa","given":"Carola G."},{"family":"Cook","given":"Matthew C."}],"issued":{"date-parts":[["2010",1]]}}},{"id":117,"uris":["http://zotero.org/users/4841313/items/NQQJVQ8B"],"uri":["http://zotero.org/users/4841313/items/NQQJVQ8B"],"itemData":{"id":117,"type":"article-journal","title":"High frequencies of activated B cells and T follicular helper cells are correlated with disease activity in patients with new-onset rheumatoid arthritis","container-title":"Clinical and Experimental Immunology","page":"212-220","volume":"174","issue":"2","source":"PubMed Central","abstract":"This study aimed to examine the frequency of different subsets of circulating B and T follicular helper (Tfh) cells in patients with new-onset rheumatoid arthritis (RA) and following standard therapies. Twenty-five RA patients and 15 healthy controls (HC) were recruited for characterizing the frequency of CD27+, immunoglobulin (Ig)D+, CD86+, CD95+, Toll-like receptor (TLR)-9+ B cells and inducible T cell co-stimulator (ICOS) and programmed death 1 (PD-1)-positive Tfh cells and the level of serum interleukin (IL)-21. The potential correlation between the frequency of different subsets of B and Tfh cells and the values of clinical measures in RA patients was analysed. In comparison with HC, significantly higher percentages of circulating IgD+CD27−CD19+ naive B, CD86+CD19+ and CD95+CD19+ activated B, CD3+CD4+CXCR5+, CD3+CD4+CXCR5+ICOS+, CD3+CD4+CXCR5+PD-1+ and CD3+CD4+CXCR5+ICOS+PD-1+ Tfh cells but lower IgD+CD27+CD19+ preswitch memory B cells were detected, accompanied by significantly higher levels of serum IL-21 in the RA patients. Furthermore, the percentages of CD95+ B cells were correlated positively with the frequency of PD-1+ Tfh cells, but negatively with ICOS+ Tfh cells. The percentages of CD86+ B cells and ICOS+ Tfh cells were correlated positively with the values of disease activity score 28 (DAS28). Following the drug therapies for 1 month, the percentages of CD86+ B and PD-1+ Tfh cells were reduced significantly in the drug-responding patients. Our data suggest that activated B and Tfh cells may contribute to the pathogenesis of RA and the frequency of activated B and Tfh cells may be used as biomarkers for evaluating the therapeutic responses of individual patients with RA.","DOI":"10.1111/cei.12162","ISSN":"0009-9104","note":"PMID: 23786438\nPMCID: PMC3828824","journalAbbreviation":"Clin Exp Immunol","author":[{"family":"Wang","given":"J"},{"family":"Shan","given":"Y"},{"family":"Jiang","given":"Z"},{"family":"Feng","given":"J"},{"family":"Li","given":"C"},{"family":"Ma","given":"L"},{"family":"Jiang","given":"Y"}],"issued":{"date-parts":[["2013",11]]}}}],"schema":"https://github.com/citation-style-language/schema/raw/master/csl-citation.json"} </w:instrText>
      </w:r>
      <w:r w:rsidRPr="00B93BC6">
        <w:rPr>
          <w:rFonts w:asciiTheme="majorHAnsi" w:eastAsiaTheme="minorEastAsia" w:hAnsiTheme="majorHAnsi" w:cstheme="majorHAnsi"/>
        </w:rPr>
        <w:fldChar w:fldCharType="separate"/>
      </w:r>
      <w:r w:rsidRPr="00B93BC6">
        <w:rPr>
          <w:rFonts w:asciiTheme="majorHAnsi" w:hAnsiTheme="majorHAnsi" w:cstheme="majorHAnsi"/>
          <w:vertAlign w:val="superscript"/>
        </w:rPr>
        <w:t>9,12–14</w:t>
      </w:r>
      <w:r w:rsidRPr="00B93BC6">
        <w:rPr>
          <w:rFonts w:asciiTheme="majorHAnsi" w:eastAsiaTheme="minorEastAsia" w:hAnsiTheme="majorHAnsi" w:cstheme="majorHAnsi"/>
        </w:rPr>
        <w:fldChar w:fldCharType="end"/>
      </w:r>
      <w:r w:rsidRPr="00B93BC6">
        <w:rPr>
          <w:rFonts w:asciiTheme="majorHAnsi" w:eastAsiaTheme="minorEastAsia" w:hAnsiTheme="majorHAnsi" w:cstheme="majorHAnsi"/>
        </w:rPr>
        <w:t>. Additionally, taking blood samples from participants is</w:t>
      </w:r>
      <w:r w:rsidRPr="00B93BC6">
        <w:rPr>
          <w:rFonts w:asciiTheme="majorHAnsi" w:hAnsiTheme="majorHAnsi" w:cstheme="majorHAnsi"/>
        </w:rPr>
        <w:t xml:space="preserve"> quick, safe and acceptable, and so allows serial monitoring for the analysis of disease progression or response to therapy.</w:t>
      </w:r>
    </w:p>
    <w:p w14:paraId="0FFEEC0C" w14:textId="77777777" w:rsidR="00277E15" w:rsidRPr="00B93BC6" w:rsidRDefault="00277E15" w:rsidP="00277E15">
      <w:pPr>
        <w:rPr>
          <w:rFonts w:asciiTheme="majorHAnsi" w:hAnsiTheme="majorHAnsi" w:cstheme="majorHAnsi"/>
        </w:rPr>
      </w:pPr>
    </w:p>
    <w:p w14:paraId="41B243B4" w14:textId="77777777" w:rsidR="00277E15" w:rsidRPr="00B93BC6" w:rsidRDefault="00277E15" w:rsidP="00277E15">
      <w:pPr>
        <w:rPr>
          <w:rFonts w:asciiTheme="majorHAnsi" w:hAnsiTheme="majorHAnsi" w:cstheme="majorHAnsi"/>
        </w:rPr>
      </w:pPr>
      <w:r w:rsidRPr="00B93BC6">
        <w:rPr>
          <w:rFonts w:asciiTheme="majorHAnsi" w:hAnsiTheme="majorHAnsi" w:cstheme="majorHAnsi"/>
        </w:rPr>
        <w:t>The use of isolated CD4</w:t>
      </w:r>
      <w:r w:rsidRPr="00B93BC6">
        <w:rPr>
          <w:rFonts w:asciiTheme="majorHAnsi" w:hAnsiTheme="majorHAnsi" w:cstheme="majorHAnsi"/>
          <w:vertAlign w:val="superscript"/>
        </w:rPr>
        <w:t>+</w:t>
      </w:r>
      <w:r w:rsidRPr="00B93BC6">
        <w:rPr>
          <w:rFonts w:asciiTheme="majorHAnsi" w:hAnsiTheme="majorHAnsi" w:cstheme="majorHAnsi"/>
        </w:rPr>
        <w:t xml:space="preserve"> T-cells over traditional peripheral blood mononuclear cell (PBMNC)</w:t>
      </w:r>
      <w:r>
        <w:rPr>
          <w:rFonts w:asciiTheme="majorHAnsi" w:hAnsiTheme="majorHAnsi" w:cstheme="majorHAnsi"/>
        </w:rPr>
        <w:t xml:space="preserve"> suspensions</w:t>
      </w:r>
      <w:r w:rsidRPr="00B93BC6">
        <w:rPr>
          <w:rFonts w:asciiTheme="majorHAnsi" w:hAnsiTheme="majorHAnsi" w:cstheme="majorHAnsi"/>
        </w:rPr>
        <w:t xml:space="preserve"> enables higher throughput flow cytometry experiments by reducing the time required to acquire a substantial number of </w:t>
      </w:r>
      <w:proofErr w:type="spellStart"/>
      <w:r w:rsidRPr="00B93BC6">
        <w:rPr>
          <w:rFonts w:asciiTheme="majorHAnsi" w:hAnsiTheme="majorHAnsi" w:cstheme="majorHAnsi"/>
        </w:rPr>
        <w:t>cTfh</w:t>
      </w:r>
      <w:proofErr w:type="spellEnd"/>
      <w:r w:rsidRPr="00B93BC6">
        <w:rPr>
          <w:rFonts w:asciiTheme="majorHAnsi" w:hAnsiTheme="majorHAnsi" w:cstheme="majorHAnsi"/>
        </w:rPr>
        <w:t xml:space="preserve"> cells for analysis. This is particularly helpful when sorting cells from rare </w:t>
      </w:r>
      <w:proofErr w:type="spellStart"/>
      <w:r w:rsidRPr="00B93BC6">
        <w:rPr>
          <w:rFonts w:asciiTheme="majorHAnsi" w:hAnsiTheme="majorHAnsi" w:cstheme="majorHAnsi"/>
        </w:rPr>
        <w:t>cTfh</w:t>
      </w:r>
      <w:proofErr w:type="spellEnd"/>
      <w:r w:rsidRPr="00B93BC6">
        <w:rPr>
          <w:rFonts w:asciiTheme="majorHAnsi" w:hAnsiTheme="majorHAnsi" w:cstheme="majorHAnsi"/>
        </w:rPr>
        <w:t xml:space="preserve"> subsets using flow activated cell sorting (FACS). To aid </w:t>
      </w:r>
      <w:r>
        <w:rPr>
          <w:rFonts w:asciiTheme="majorHAnsi" w:hAnsiTheme="majorHAnsi" w:cstheme="majorHAnsi"/>
        </w:rPr>
        <w:t xml:space="preserve">the </w:t>
      </w:r>
      <w:r w:rsidRPr="00B93BC6">
        <w:rPr>
          <w:rFonts w:asciiTheme="majorHAnsi" w:hAnsiTheme="majorHAnsi" w:cstheme="majorHAnsi"/>
        </w:rPr>
        <w:t>efficiency, these suspensions can be cryopreserved to enable “batching” of samples to be used in the flow cytometry experiment. On testing, the CD4</w:t>
      </w:r>
      <w:r w:rsidRPr="00B93BC6">
        <w:rPr>
          <w:rFonts w:asciiTheme="majorHAnsi" w:hAnsiTheme="majorHAnsi" w:cstheme="majorHAnsi"/>
          <w:vertAlign w:val="superscript"/>
        </w:rPr>
        <w:t>+</w:t>
      </w:r>
      <w:r w:rsidRPr="00B93BC6">
        <w:rPr>
          <w:rFonts w:asciiTheme="majorHAnsi" w:hAnsiTheme="majorHAnsi" w:cstheme="majorHAnsi"/>
        </w:rPr>
        <w:t xml:space="preserve"> purity was not reduced by cryopreservation.</w:t>
      </w:r>
    </w:p>
    <w:p w14:paraId="6EDC24D5" w14:textId="77777777" w:rsidR="00277E15" w:rsidRPr="00B93BC6" w:rsidRDefault="00277E15" w:rsidP="00277E15">
      <w:pPr>
        <w:rPr>
          <w:rFonts w:asciiTheme="majorHAnsi" w:hAnsiTheme="majorHAnsi" w:cstheme="majorHAnsi"/>
        </w:rPr>
      </w:pPr>
    </w:p>
    <w:p w14:paraId="0E7DF46C" w14:textId="77777777" w:rsidR="00277E15" w:rsidRPr="00B93BC6" w:rsidRDefault="00277E15" w:rsidP="00277E15">
      <w:pPr>
        <w:rPr>
          <w:rFonts w:asciiTheme="majorHAnsi" w:hAnsiTheme="majorHAnsi" w:cstheme="majorHAnsi"/>
        </w:rPr>
      </w:pPr>
      <w:r w:rsidRPr="00B93BC6">
        <w:rPr>
          <w:rFonts w:asciiTheme="majorHAnsi" w:hAnsiTheme="majorHAnsi" w:cstheme="majorHAnsi"/>
        </w:rPr>
        <w:t>While different laboratories use</w:t>
      </w:r>
      <w:r>
        <w:rPr>
          <w:rFonts w:asciiTheme="majorHAnsi" w:hAnsiTheme="majorHAnsi" w:cstheme="majorHAnsi"/>
        </w:rPr>
        <w:t>d</w:t>
      </w:r>
      <w:r w:rsidRPr="00B93BC6">
        <w:rPr>
          <w:rFonts w:asciiTheme="majorHAnsi" w:hAnsiTheme="majorHAnsi" w:cstheme="majorHAnsi"/>
        </w:rPr>
        <w:t xml:space="preserve"> different markers to </w:t>
      </w:r>
      <w:proofErr w:type="spellStart"/>
      <w:r w:rsidRPr="00B93BC6">
        <w:rPr>
          <w:rFonts w:asciiTheme="majorHAnsi" w:hAnsiTheme="majorHAnsi" w:cstheme="majorHAnsi"/>
        </w:rPr>
        <w:t>categorise</w:t>
      </w:r>
      <w:proofErr w:type="spellEnd"/>
      <w:r w:rsidRPr="00B93BC6">
        <w:rPr>
          <w:rFonts w:asciiTheme="majorHAnsi" w:hAnsiTheme="majorHAnsi" w:cstheme="majorHAnsi"/>
        </w:rPr>
        <w:t xml:space="preserve"> </w:t>
      </w:r>
      <w:proofErr w:type="spellStart"/>
      <w:r w:rsidRPr="00B93BC6">
        <w:rPr>
          <w:rFonts w:asciiTheme="majorHAnsi" w:hAnsiTheme="majorHAnsi" w:cstheme="majorHAnsi"/>
        </w:rPr>
        <w:t>cTfh</w:t>
      </w:r>
      <w:proofErr w:type="spellEnd"/>
      <w:r w:rsidRPr="00B93BC6">
        <w:rPr>
          <w:rFonts w:asciiTheme="majorHAnsi" w:hAnsiTheme="majorHAnsi" w:cstheme="majorHAnsi"/>
        </w:rPr>
        <w:t xml:space="preserve"> cells in the early stages of their discovery, the method presented here makes use of a unified scheme of two groups of cell-surface markers as proposed by Schmidt </w:t>
      </w:r>
      <w:r w:rsidRPr="00B93BC6">
        <w:rPr>
          <w:rFonts w:asciiTheme="majorHAnsi" w:hAnsiTheme="majorHAnsi" w:cstheme="majorHAnsi"/>
          <w:i/>
        </w:rPr>
        <w:t>et al.</w:t>
      </w:r>
      <w:r w:rsidRPr="00B93BC6">
        <w:rPr>
          <w:rFonts w:asciiTheme="majorHAnsi" w:hAnsiTheme="majorHAnsi" w:cstheme="majorHAnsi"/>
        </w:rPr>
        <w:fldChar w:fldCharType="begin"/>
      </w:r>
      <w:r w:rsidRPr="00B93BC6">
        <w:rPr>
          <w:rFonts w:asciiTheme="majorHAnsi" w:hAnsiTheme="majorHAnsi" w:cstheme="majorHAnsi"/>
        </w:rPr>
        <w:instrText xml:space="preserve"> ADDIN ZOTERO_ITEM CSL_CITATION {"citationID":"6AlHlZ1g","properties":{"formattedCitation":"\\super 12, 15\\nosupersub{}","plainCitation":"12, 15","noteIndex":0},"citationItems":[{"id":24,"uris":["http://zotero.org/users/4841313/items/F9JJQ66J"],"uri":["http://zotero.org/users/4841313/items/F9JJQ66J"],"itemData":{"id":24,"type":"article-journal","title":"Phenotype and functions of memory Tfh cells in human blood","container-title":"Trends in Immunology","page":"436-442","volume":"35","issue":"9","source":"CrossRef","DOI":"10.1016/j.it.2014.06.002","ISSN":"14714906","language":"en","author":[{"family":"Schmitt","given":"Nathalie"},{"family":"Bentebibel","given":"Salah-Eddine"},{"family":"Ueno","given":"Hideki"}],"issued":{"date-parts":[["2014",9]]}}},{"id":20,"uris":["http://zotero.org/users/4841313/items/BYIA6WWK"],"uri":["http://zotero.org/users/4841313/items/BYIA6WWK"],"itemData":{"id":20,"type":"article-journal","title":"Human Circulating T Follicular Helper Cell Subsets in Health and Disease","container-title":"Journal of Clinical Immunology","page":"34-39","volume":"36","issue":"S1","source":"CrossRef","abstract":"T follicular helper (Tfh) cells are specialized to provide help to B cells and to induce durable antibody response. Our knowledge on the biology of Tfh cells and their contribution to disease has significantly increased in the past decade. In particular, recent discoveries of functionally distinct subsets within circulating Tfh (cTfh) cells in human blood have provided clues to assess the ongoing Tfh responses in healthy subjects after vaccinations and in patients with autoimmune diseases. The immune pathways associated with Tfh cell differentiation in humans are also getting revealed. In this review, I will first summarize the subsets within human cTfh cells, and discuss their alterations in patients with autoimmune diseases. Then I will discuss the mechanisms associated with the aberrant Tfh responses in human autoimmune diseases.","DOI":"10.1007/s10875-016-0268-3","ISSN":"0271-9142, 1573-2592","language":"en","author":[{"family":"Ueno","given":"Hideki"}],"issued":{"date-parts":[["2016",5]]}}}],"schema":"https://github.com/citation-style-language/schema/raw/master/csl-citation.json"} </w:instrText>
      </w:r>
      <w:r w:rsidRPr="00B93BC6">
        <w:rPr>
          <w:rFonts w:asciiTheme="majorHAnsi" w:hAnsiTheme="majorHAnsi" w:cstheme="majorHAnsi"/>
        </w:rPr>
        <w:fldChar w:fldCharType="separate"/>
      </w:r>
      <w:r w:rsidRPr="00B93BC6">
        <w:rPr>
          <w:rFonts w:asciiTheme="majorHAnsi" w:hAnsiTheme="majorHAnsi" w:cstheme="majorHAnsi"/>
          <w:vertAlign w:val="superscript"/>
        </w:rPr>
        <w:t>12, 15</w:t>
      </w:r>
      <w:r w:rsidRPr="00B93BC6">
        <w:rPr>
          <w:rFonts w:asciiTheme="majorHAnsi" w:hAnsiTheme="majorHAnsi" w:cstheme="majorHAnsi"/>
        </w:rPr>
        <w:fldChar w:fldCharType="end"/>
      </w:r>
      <w:r w:rsidRPr="00B93BC6">
        <w:rPr>
          <w:rFonts w:asciiTheme="majorHAnsi" w:hAnsiTheme="majorHAnsi" w:cstheme="majorHAnsi"/>
        </w:rPr>
        <w:t xml:space="preserve"> to enable the simultaneous </w:t>
      </w:r>
      <w:proofErr w:type="gramStart"/>
      <w:r w:rsidRPr="00B93BC6">
        <w:rPr>
          <w:rFonts w:asciiTheme="majorHAnsi" w:hAnsiTheme="majorHAnsi" w:cstheme="majorHAnsi"/>
        </w:rPr>
        <w:t>identification</w:t>
      </w:r>
      <w:proofErr w:type="gramEnd"/>
      <w:r w:rsidRPr="00B93BC6">
        <w:rPr>
          <w:rFonts w:asciiTheme="majorHAnsi" w:hAnsiTheme="majorHAnsi" w:cstheme="majorHAnsi"/>
        </w:rPr>
        <w:t xml:space="preserve"> of </w:t>
      </w:r>
      <w:proofErr w:type="spellStart"/>
      <w:r w:rsidRPr="00B93BC6">
        <w:rPr>
          <w:rFonts w:asciiTheme="majorHAnsi" w:hAnsiTheme="majorHAnsi" w:cstheme="majorHAnsi"/>
        </w:rPr>
        <w:t>cTfh</w:t>
      </w:r>
      <w:proofErr w:type="spellEnd"/>
      <w:r w:rsidRPr="00B93BC6">
        <w:rPr>
          <w:rFonts w:asciiTheme="majorHAnsi" w:hAnsiTheme="majorHAnsi" w:cstheme="majorHAnsi"/>
        </w:rPr>
        <w:t xml:space="preserve"> and their nine recogni</w:t>
      </w:r>
      <w:r>
        <w:rPr>
          <w:rFonts w:asciiTheme="majorHAnsi" w:hAnsiTheme="majorHAnsi" w:cstheme="majorHAnsi"/>
        </w:rPr>
        <w:t>z</w:t>
      </w:r>
      <w:r w:rsidRPr="00B93BC6">
        <w:rPr>
          <w:rFonts w:asciiTheme="majorHAnsi" w:hAnsiTheme="majorHAnsi" w:cstheme="majorHAnsi"/>
        </w:rPr>
        <w:t>ed subsets in a single flow cytometry experiment.</w:t>
      </w:r>
    </w:p>
    <w:p w14:paraId="11167C39" w14:textId="77777777" w:rsidR="00277E15" w:rsidRPr="00B93BC6" w:rsidRDefault="00277E15" w:rsidP="00277E15">
      <w:pPr>
        <w:rPr>
          <w:rFonts w:asciiTheme="majorHAnsi" w:hAnsiTheme="majorHAnsi" w:cstheme="majorHAnsi"/>
        </w:rPr>
      </w:pPr>
    </w:p>
    <w:p w14:paraId="26A857E6" w14:textId="77777777" w:rsidR="00277E15" w:rsidRPr="00B93BC6" w:rsidRDefault="00277E15" w:rsidP="00277E15">
      <w:pPr>
        <w:rPr>
          <w:rFonts w:asciiTheme="majorHAnsi" w:hAnsiTheme="majorHAnsi" w:cstheme="majorHAnsi"/>
          <w:color w:val="auto"/>
        </w:rPr>
      </w:pPr>
      <w:r w:rsidRPr="00B93BC6">
        <w:rPr>
          <w:rFonts w:asciiTheme="majorHAnsi" w:hAnsiTheme="majorHAnsi" w:cstheme="majorHAnsi"/>
          <w:color w:val="auto"/>
        </w:rPr>
        <w:t xml:space="preserve">As only cell surface markers are used, </w:t>
      </w:r>
      <w:r>
        <w:rPr>
          <w:rFonts w:asciiTheme="majorHAnsi" w:hAnsiTheme="majorHAnsi" w:cstheme="majorHAnsi"/>
          <w:color w:val="auto"/>
        </w:rPr>
        <w:t xml:space="preserve">the </w:t>
      </w:r>
      <w:r w:rsidRPr="00B93BC6">
        <w:rPr>
          <w:rFonts w:asciiTheme="majorHAnsi" w:hAnsiTheme="majorHAnsi" w:cstheme="majorHAnsi"/>
          <w:color w:val="auto"/>
        </w:rPr>
        <w:t xml:space="preserve">cells do not require fixation or </w:t>
      </w:r>
      <w:proofErr w:type="spellStart"/>
      <w:r w:rsidRPr="00B93BC6">
        <w:rPr>
          <w:rFonts w:asciiTheme="majorHAnsi" w:hAnsiTheme="majorHAnsi" w:cstheme="majorHAnsi"/>
          <w:color w:val="auto"/>
        </w:rPr>
        <w:t>permeabili</w:t>
      </w:r>
      <w:r>
        <w:rPr>
          <w:rFonts w:asciiTheme="majorHAnsi" w:hAnsiTheme="majorHAnsi" w:cstheme="majorHAnsi"/>
          <w:color w:val="auto"/>
        </w:rPr>
        <w:t>z</w:t>
      </w:r>
      <w:r w:rsidRPr="00B93BC6">
        <w:rPr>
          <w:rFonts w:asciiTheme="majorHAnsi" w:hAnsiTheme="majorHAnsi" w:cstheme="majorHAnsi"/>
          <w:color w:val="auto"/>
        </w:rPr>
        <w:t>ation</w:t>
      </w:r>
      <w:proofErr w:type="spellEnd"/>
      <w:r w:rsidRPr="00B93BC6">
        <w:rPr>
          <w:rFonts w:asciiTheme="majorHAnsi" w:hAnsiTheme="majorHAnsi" w:cstheme="majorHAnsi"/>
          <w:color w:val="auto"/>
        </w:rPr>
        <w:t xml:space="preserve">, and thus can remain alive for downstream functional studies. This could be facilitated by cell sorting using FACS with the same antibody panel. This panel could be expanded to include other markers, allowing for the restrictions of the flow cytometer being used. </w:t>
      </w:r>
    </w:p>
    <w:p w14:paraId="2340C715" w14:textId="77777777" w:rsidR="00277E15" w:rsidRPr="00B93BC6" w:rsidRDefault="00277E15" w:rsidP="00277E15">
      <w:pPr>
        <w:rPr>
          <w:rFonts w:asciiTheme="majorHAnsi" w:hAnsiTheme="majorHAnsi" w:cstheme="majorHAnsi"/>
        </w:rPr>
      </w:pPr>
    </w:p>
    <w:p w14:paraId="072230C5" w14:textId="77777777" w:rsidR="00277E15" w:rsidRPr="00B93BC6" w:rsidRDefault="00277E15" w:rsidP="00277E15">
      <w:pPr>
        <w:rPr>
          <w:rFonts w:asciiTheme="majorHAnsi" w:hAnsiTheme="majorHAnsi" w:cstheme="majorHAnsi"/>
          <w:color w:val="auto"/>
        </w:rPr>
      </w:pPr>
      <w:r w:rsidRPr="00B93BC6">
        <w:rPr>
          <w:rFonts w:asciiTheme="majorHAnsi" w:hAnsiTheme="majorHAnsi" w:cstheme="majorHAnsi"/>
          <w:color w:val="auto"/>
        </w:rPr>
        <w:t xml:space="preserve">The analysis of multi-color flow cytometry experiments can be challenging due to the inherently subjective nature of gating on 2-dimensional dot plots, especially when cell </w:t>
      </w:r>
      <w:r w:rsidRPr="00B93BC6">
        <w:rPr>
          <w:rFonts w:asciiTheme="majorHAnsi" w:hAnsiTheme="majorHAnsi" w:cstheme="majorHAnsi"/>
          <w:color w:val="auto"/>
        </w:rPr>
        <w:lastRenderedPageBreak/>
        <w:t xml:space="preserve">populations do not have a clear bi-modal distribution in marker fluorescence, as is the case for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cells and their subsets. For this reason, it is imperative to set up effective controls to reduce </w:t>
      </w:r>
      <w:r>
        <w:rPr>
          <w:rFonts w:asciiTheme="majorHAnsi" w:hAnsiTheme="majorHAnsi" w:cstheme="majorHAnsi"/>
          <w:color w:val="auto"/>
        </w:rPr>
        <w:t xml:space="preserve">the </w:t>
      </w:r>
      <w:r w:rsidRPr="00B93BC6">
        <w:rPr>
          <w:rFonts w:asciiTheme="majorHAnsi" w:hAnsiTheme="majorHAnsi" w:cstheme="majorHAnsi"/>
          <w:color w:val="auto"/>
        </w:rPr>
        <w:t>artefacts to enable better resolution of populations and to set gating strategies confidently. As such, antibody panel design and the set-up of basic controls for a flow cytometry experiment</w:t>
      </w:r>
      <w:r>
        <w:rPr>
          <w:rFonts w:asciiTheme="majorHAnsi" w:hAnsiTheme="majorHAnsi" w:cstheme="majorHAnsi"/>
          <w:color w:val="auto"/>
        </w:rPr>
        <w:t>,</w:t>
      </w:r>
      <w:r w:rsidRPr="00B93BC6">
        <w:rPr>
          <w:rFonts w:asciiTheme="majorHAnsi" w:hAnsiTheme="majorHAnsi" w:cstheme="majorHAnsi"/>
          <w:color w:val="auto"/>
        </w:rPr>
        <w:t xml:space="preserve"> </w:t>
      </w:r>
      <w:r w:rsidRPr="00ED23C1">
        <w:rPr>
          <w:rFonts w:asciiTheme="majorHAnsi" w:hAnsiTheme="majorHAnsi" w:cstheme="majorHAnsi"/>
          <w:i/>
          <w:color w:val="auto"/>
        </w:rPr>
        <w:t>i.e</w:t>
      </w:r>
      <w:r w:rsidRPr="00B93BC6">
        <w:rPr>
          <w:rFonts w:asciiTheme="majorHAnsi" w:hAnsiTheme="majorHAnsi" w:cstheme="majorHAnsi"/>
          <w:color w:val="auto"/>
        </w:rPr>
        <w:t>.</w:t>
      </w:r>
      <w:r>
        <w:rPr>
          <w:rFonts w:asciiTheme="majorHAnsi" w:hAnsiTheme="majorHAnsi" w:cstheme="majorHAnsi"/>
          <w:color w:val="auto"/>
        </w:rPr>
        <w:t>,</w:t>
      </w:r>
      <w:r w:rsidRPr="00B93BC6">
        <w:rPr>
          <w:rFonts w:asciiTheme="majorHAnsi" w:hAnsiTheme="majorHAnsi" w:cstheme="majorHAnsi"/>
          <w:color w:val="auto"/>
        </w:rPr>
        <w:t xml:space="preserve"> using compensation and FMO controls are outlined in </w:t>
      </w:r>
      <w:r>
        <w:rPr>
          <w:rFonts w:asciiTheme="majorHAnsi" w:hAnsiTheme="majorHAnsi" w:cstheme="majorHAnsi"/>
          <w:color w:val="auto"/>
        </w:rPr>
        <w:t>Step</w:t>
      </w:r>
      <w:r w:rsidRPr="00B93BC6">
        <w:rPr>
          <w:rFonts w:asciiTheme="majorHAnsi" w:hAnsiTheme="majorHAnsi" w:cstheme="majorHAnsi"/>
          <w:color w:val="auto"/>
        </w:rPr>
        <w:t xml:space="preserve"> 3.4.2 and 3.4.3</w:t>
      </w:r>
      <w:r>
        <w:rPr>
          <w:rFonts w:asciiTheme="majorHAnsi" w:hAnsiTheme="majorHAnsi" w:cstheme="majorHAnsi"/>
          <w:color w:val="auto"/>
        </w:rPr>
        <w:t>,</w:t>
      </w:r>
      <w:r w:rsidRPr="00B93BC6">
        <w:rPr>
          <w:rFonts w:asciiTheme="majorHAnsi" w:hAnsiTheme="majorHAnsi" w:cstheme="majorHAnsi"/>
          <w:color w:val="FF0000"/>
        </w:rPr>
        <w:t xml:space="preserve"> </w:t>
      </w:r>
      <w:r w:rsidRPr="00B93BC6">
        <w:rPr>
          <w:rFonts w:asciiTheme="majorHAnsi" w:hAnsiTheme="majorHAnsi" w:cstheme="majorHAnsi"/>
          <w:color w:val="auto"/>
        </w:rPr>
        <w:t>respectively.</w:t>
      </w:r>
    </w:p>
    <w:p w14:paraId="45B5BBA0" w14:textId="77777777" w:rsidR="00277E15" w:rsidRPr="00B93BC6" w:rsidRDefault="00277E15" w:rsidP="00277E15">
      <w:pPr>
        <w:rPr>
          <w:rFonts w:asciiTheme="majorHAnsi" w:hAnsiTheme="majorHAnsi" w:cstheme="majorHAnsi"/>
          <w:color w:val="auto"/>
        </w:rPr>
      </w:pPr>
    </w:p>
    <w:p w14:paraId="67EBBC98" w14:textId="77777777" w:rsidR="00277E15" w:rsidRPr="00B93BC6" w:rsidRDefault="00277E15" w:rsidP="00277E15">
      <w:pPr>
        <w:rPr>
          <w:rFonts w:asciiTheme="majorHAnsi" w:hAnsiTheme="majorHAnsi" w:cstheme="majorHAnsi"/>
          <w:color w:val="auto"/>
        </w:rPr>
      </w:pPr>
      <w:r w:rsidRPr="00B93BC6">
        <w:rPr>
          <w:rFonts w:asciiTheme="majorHAnsi" w:hAnsiTheme="majorHAnsi" w:cstheme="majorHAnsi"/>
          <w:color w:val="auto"/>
        </w:rPr>
        <w:t xml:space="preserve">All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cells are defined as CD4</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CXCR5</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CD45RA</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The level of expression of the characteristic </w:t>
      </w:r>
      <w:proofErr w:type="spellStart"/>
      <w:r w:rsidRPr="00B93BC6">
        <w:rPr>
          <w:rFonts w:asciiTheme="majorHAnsi" w:hAnsiTheme="majorHAnsi" w:cstheme="majorHAnsi"/>
          <w:color w:val="auto"/>
        </w:rPr>
        <w:t>Tfh</w:t>
      </w:r>
      <w:proofErr w:type="spellEnd"/>
      <w:r w:rsidRPr="00B93BC6">
        <w:rPr>
          <w:rFonts w:asciiTheme="majorHAnsi" w:hAnsiTheme="majorHAnsi" w:cstheme="majorHAnsi"/>
          <w:color w:val="auto"/>
        </w:rPr>
        <w:t xml:space="preserve"> activation marker PD-1 can then be determined to identify </w:t>
      </w:r>
      <w:r>
        <w:rPr>
          <w:rFonts w:asciiTheme="majorHAnsi" w:hAnsiTheme="majorHAnsi" w:cstheme="majorHAnsi"/>
          <w:color w:val="auto"/>
        </w:rPr>
        <w:t xml:space="preserve">the </w:t>
      </w:r>
      <w:r w:rsidRPr="00B93BC6">
        <w:rPr>
          <w:rFonts w:asciiTheme="majorHAnsi" w:hAnsiTheme="majorHAnsi" w:cstheme="majorHAnsi"/>
          <w:color w:val="auto"/>
        </w:rPr>
        <w:t>subsets of PD-1</w:t>
      </w:r>
      <w:r w:rsidRPr="00B93BC6">
        <w:rPr>
          <w:rFonts w:asciiTheme="majorHAnsi" w:hAnsiTheme="majorHAnsi" w:cstheme="majorHAnsi"/>
          <w:color w:val="auto"/>
          <w:vertAlign w:val="superscript"/>
        </w:rPr>
        <w:t>-</w:t>
      </w:r>
      <w:r w:rsidRPr="00B93BC6">
        <w:rPr>
          <w:rFonts w:asciiTheme="majorHAnsi" w:hAnsiTheme="majorHAnsi" w:cstheme="majorHAnsi"/>
          <w:color w:val="auto"/>
        </w:rPr>
        <w:t>, PD-1</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or PD-1</w:t>
      </w:r>
      <w:r w:rsidRPr="00B93BC6">
        <w:rPr>
          <w:rFonts w:asciiTheme="majorHAnsi" w:hAnsiTheme="majorHAnsi" w:cstheme="majorHAnsi"/>
          <w:color w:val="auto"/>
          <w:vertAlign w:val="superscript"/>
        </w:rPr>
        <w:t>hi</w:t>
      </w:r>
      <w:r w:rsidRPr="00B93BC6">
        <w:rPr>
          <w:rFonts w:asciiTheme="majorHAnsi" w:hAnsiTheme="majorHAnsi" w:cstheme="majorHAnsi"/>
          <w:color w:val="auto"/>
        </w:rPr>
        <w:t xml:space="preserve">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cells. Then, using a combination of the chemokine receptors CXCR3 and CCR6, which are differentially expressed by traditional Th1,2 or 17 cells,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can be characteri</w:t>
      </w:r>
      <w:r>
        <w:rPr>
          <w:rFonts w:asciiTheme="majorHAnsi" w:hAnsiTheme="majorHAnsi" w:cstheme="majorHAnsi"/>
          <w:color w:val="auto"/>
        </w:rPr>
        <w:t>z</w:t>
      </w:r>
      <w:r w:rsidRPr="00B93BC6">
        <w:rPr>
          <w:rFonts w:asciiTheme="majorHAnsi" w:hAnsiTheme="majorHAnsi" w:cstheme="majorHAnsi"/>
          <w:color w:val="auto"/>
        </w:rPr>
        <w:t>ed as cTfh1,2 or 17-like by a profile of CXCR3</w:t>
      </w:r>
      <w:r w:rsidRPr="00B93BC6">
        <w:rPr>
          <w:rFonts w:asciiTheme="majorHAnsi" w:hAnsiTheme="majorHAnsi" w:cstheme="majorHAnsi"/>
          <w:color w:val="auto"/>
          <w:vertAlign w:val="superscript"/>
        </w:rPr>
        <w:t xml:space="preserve">+ </w:t>
      </w:r>
      <w:r w:rsidRPr="00B93BC6">
        <w:rPr>
          <w:rFonts w:asciiTheme="majorHAnsi" w:hAnsiTheme="majorHAnsi" w:cstheme="majorHAnsi"/>
          <w:color w:val="auto"/>
        </w:rPr>
        <w:t>CCR6</w:t>
      </w:r>
      <w:r w:rsidRPr="00B93BC6">
        <w:rPr>
          <w:rFonts w:asciiTheme="majorHAnsi" w:hAnsiTheme="majorHAnsi" w:cstheme="majorHAnsi"/>
          <w:color w:val="auto"/>
          <w:vertAlign w:val="superscript"/>
        </w:rPr>
        <w:t>-</w:t>
      </w:r>
      <w:r w:rsidRPr="00B93BC6">
        <w:rPr>
          <w:rFonts w:asciiTheme="majorHAnsi" w:hAnsiTheme="majorHAnsi" w:cstheme="majorHAnsi"/>
          <w:color w:val="auto"/>
        </w:rPr>
        <w:t>, CXCR3</w:t>
      </w:r>
      <w:r w:rsidRPr="00B93BC6">
        <w:rPr>
          <w:rFonts w:asciiTheme="majorHAnsi" w:hAnsiTheme="majorHAnsi" w:cstheme="majorHAnsi"/>
          <w:color w:val="auto"/>
          <w:vertAlign w:val="superscript"/>
        </w:rPr>
        <w:t xml:space="preserve">- </w:t>
      </w:r>
      <w:r w:rsidRPr="00B93BC6">
        <w:rPr>
          <w:rFonts w:asciiTheme="majorHAnsi" w:hAnsiTheme="majorHAnsi" w:cstheme="majorHAnsi"/>
          <w:color w:val="auto"/>
        </w:rPr>
        <w:t>CCR6</w:t>
      </w:r>
      <w:r w:rsidRPr="00B93BC6">
        <w:rPr>
          <w:rFonts w:asciiTheme="majorHAnsi" w:hAnsiTheme="majorHAnsi" w:cstheme="majorHAnsi"/>
          <w:color w:val="auto"/>
          <w:vertAlign w:val="superscript"/>
        </w:rPr>
        <w:t>-</w:t>
      </w:r>
      <w:r w:rsidRPr="00B93BC6">
        <w:rPr>
          <w:rFonts w:asciiTheme="majorHAnsi" w:hAnsiTheme="majorHAnsi" w:cstheme="majorHAnsi"/>
          <w:color w:val="auto"/>
        </w:rPr>
        <w:t>, and CXCR3</w:t>
      </w:r>
      <w:r w:rsidRPr="00B93BC6">
        <w:rPr>
          <w:rFonts w:asciiTheme="majorHAnsi" w:hAnsiTheme="majorHAnsi" w:cstheme="majorHAnsi"/>
          <w:color w:val="auto"/>
          <w:vertAlign w:val="superscript"/>
        </w:rPr>
        <w:t>-</w:t>
      </w:r>
      <w:r>
        <w:rPr>
          <w:rFonts w:asciiTheme="majorHAnsi" w:hAnsiTheme="majorHAnsi" w:cstheme="majorHAnsi"/>
          <w:color w:val="auto"/>
          <w:vertAlign w:val="superscript"/>
        </w:rPr>
        <w:t xml:space="preserve"> </w:t>
      </w:r>
      <w:r w:rsidRPr="00B93BC6">
        <w:rPr>
          <w:rFonts w:asciiTheme="majorHAnsi" w:hAnsiTheme="majorHAnsi" w:cstheme="majorHAnsi"/>
          <w:color w:val="auto"/>
        </w:rPr>
        <w:t>CCR6</w:t>
      </w:r>
      <w:r w:rsidRPr="00B93BC6">
        <w:rPr>
          <w:rFonts w:asciiTheme="majorHAnsi" w:hAnsiTheme="majorHAnsi" w:cstheme="majorHAnsi"/>
          <w:color w:val="auto"/>
          <w:vertAlign w:val="superscript"/>
        </w:rPr>
        <w:t>+</w:t>
      </w:r>
      <w:r>
        <w:rPr>
          <w:rFonts w:asciiTheme="majorHAnsi" w:hAnsiTheme="majorHAnsi" w:cstheme="majorHAnsi"/>
          <w:color w:val="auto"/>
        </w:rPr>
        <w:t>,</w:t>
      </w:r>
      <w:r w:rsidRPr="00B93BC6">
        <w:rPr>
          <w:rFonts w:asciiTheme="majorHAnsi" w:hAnsiTheme="majorHAnsi" w:cstheme="majorHAnsi"/>
          <w:color w:val="auto"/>
        </w:rPr>
        <w:t xml:space="preserve"> respectively.</w:t>
      </w:r>
    </w:p>
    <w:p w14:paraId="59AEFA65" w14:textId="77777777" w:rsidR="00277E15" w:rsidRPr="00B93BC6" w:rsidRDefault="00277E15" w:rsidP="00277E15">
      <w:pPr>
        <w:rPr>
          <w:rFonts w:asciiTheme="majorHAnsi" w:hAnsiTheme="majorHAnsi" w:cstheme="majorHAnsi"/>
          <w:color w:val="auto"/>
        </w:rPr>
      </w:pPr>
    </w:p>
    <w:p w14:paraId="28C8D31A" w14:textId="77777777" w:rsidR="00277E15" w:rsidRPr="00B93BC6" w:rsidRDefault="00277E15" w:rsidP="00277E15">
      <w:pPr>
        <w:rPr>
          <w:rFonts w:asciiTheme="majorHAnsi" w:hAnsiTheme="majorHAnsi" w:cstheme="majorHAnsi"/>
          <w:color w:val="auto"/>
        </w:rPr>
      </w:pPr>
      <w:r w:rsidRPr="00B93BC6">
        <w:rPr>
          <w:rFonts w:asciiTheme="majorHAnsi" w:hAnsiTheme="majorHAnsi" w:cstheme="majorHAnsi"/>
          <w:color w:val="auto"/>
        </w:rPr>
        <w:t xml:space="preserve">The antibody panel used by our laboratory is displayed in </w:t>
      </w:r>
      <w:r w:rsidRPr="00ED23C1">
        <w:rPr>
          <w:rFonts w:asciiTheme="majorHAnsi" w:hAnsiTheme="majorHAnsi" w:cstheme="majorHAnsi"/>
          <w:b/>
          <w:color w:val="auto"/>
        </w:rPr>
        <w:t>Table 1</w:t>
      </w:r>
      <w:r w:rsidRPr="00B93BC6">
        <w:rPr>
          <w:rFonts w:asciiTheme="majorHAnsi" w:hAnsiTheme="majorHAnsi" w:cstheme="majorHAnsi"/>
          <w:color w:val="auto"/>
        </w:rPr>
        <w:t>. The user may have to adapt their fluorophore selection to account for the laser and light filter configuration available on their local flow cytometer.</w:t>
      </w:r>
      <w:r w:rsidRPr="00B93BC6" w:rsidDel="00C161E0">
        <w:rPr>
          <w:rFonts w:asciiTheme="majorHAnsi" w:hAnsiTheme="majorHAnsi" w:cstheme="majorHAnsi"/>
          <w:color w:val="auto"/>
        </w:rPr>
        <w:t xml:space="preserve"> </w:t>
      </w:r>
    </w:p>
    <w:p w14:paraId="3B576131" w14:textId="77777777" w:rsidR="00277E15" w:rsidRPr="00B93BC6" w:rsidRDefault="00277E15" w:rsidP="00277E15">
      <w:pPr>
        <w:rPr>
          <w:rFonts w:asciiTheme="majorHAnsi" w:hAnsiTheme="majorHAnsi" w:cstheme="majorHAnsi"/>
          <w:color w:val="auto"/>
        </w:rPr>
      </w:pPr>
    </w:p>
    <w:p w14:paraId="223858FD" w14:textId="77777777" w:rsidR="00277E15" w:rsidRPr="00ED23C1" w:rsidRDefault="00277E15" w:rsidP="00277E15">
      <w:pPr>
        <w:rPr>
          <w:rFonts w:asciiTheme="majorHAnsi" w:hAnsiTheme="majorHAnsi" w:cstheme="majorHAnsi"/>
          <w:color w:val="auto"/>
        </w:rPr>
      </w:pPr>
      <w:r w:rsidRPr="00B93BC6">
        <w:rPr>
          <w:rFonts w:asciiTheme="majorHAnsi" w:hAnsiTheme="majorHAnsi" w:cstheme="majorHAnsi"/>
          <w:color w:val="auto"/>
        </w:rPr>
        <w:t>The following considerations influence the choice of fluorophores</w:t>
      </w:r>
      <w:r>
        <w:rPr>
          <w:rFonts w:asciiTheme="majorHAnsi" w:hAnsiTheme="majorHAnsi" w:cstheme="majorHAnsi"/>
          <w:color w:val="auto"/>
        </w:rPr>
        <w:t xml:space="preserve">. </w:t>
      </w:r>
      <w:r w:rsidRPr="00B93BC6">
        <w:rPr>
          <w:rFonts w:asciiTheme="majorHAnsi" w:hAnsiTheme="majorHAnsi" w:cstheme="majorHAnsi"/>
          <w:color w:val="auto"/>
        </w:rPr>
        <w:t xml:space="preserve">Use bright fluorophores where possible. In particular, use the brightest available fluorophores on the dimmest (less highly expressed) markers. Dimmer markers include PD-1, CXCR3 and CCR6, and to a lesser extent, CXCR5. We specifically made use of the newer BB, BV and BUV fluorophores which provide excellent brightness and thus enable easier resolution of distinct populations of </w:t>
      </w:r>
      <w:r>
        <w:rPr>
          <w:rFonts w:asciiTheme="majorHAnsi" w:hAnsiTheme="majorHAnsi" w:cstheme="majorHAnsi"/>
          <w:color w:val="auto"/>
        </w:rPr>
        <w:t xml:space="preserve">the </w:t>
      </w:r>
      <w:r w:rsidRPr="00ED23C1">
        <w:rPr>
          <w:rFonts w:asciiTheme="majorHAnsi" w:hAnsiTheme="majorHAnsi" w:cstheme="majorHAnsi"/>
          <w:color w:val="auto"/>
        </w:rPr>
        <w:t>cells.</w:t>
      </w:r>
    </w:p>
    <w:p w14:paraId="66BAA0A0" w14:textId="77777777" w:rsidR="00277E15" w:rsidRPr="00ED23C1" w:rsidRDefault="00277E15" w:rsidP="00277E15">
      <w:pPr>
        <w:rPr>
          <w:rFonts w:asciiTheme="majorHAnsi" w:hAnsiTheme="majorHAnsi" w:cstheme="majorHAnsi"/>
          <w:color w:val="auto"/>
        </w:rPr>
      </w:pPr>
    </w:p>
    <w:p w14:paraId="20B0F53D" w14:textId="77777777" w:rsidR="00277E15" w:rsidRPr="00ED23C1" w:rsidRDefault="00277E15" w:rsidP="00277E15">
      <w:pPr>
        <w:rPr>
          <w:rFonts w:asciiTheme="majorHAnsi" w:hAnsiTheme="majorHAnsi" w:cstheme="majorHAnsi"/>
          <w:color w:val="auto"/>
        </w:rPr>
      </w:pPr>
      <w:r w:rsidRPr="00ED23C1">
        <w:rPr>
          <w:rFonts w:asciiTheme="majorHAnsi" w:hAnsiTheme="majorHAnsi" w:cstheme="majorHAnsi"/>
          <w:color w:val="auto"/>
        </w:rPr>
        <w:t xml:space="preserve">Spread the fluorophore selection across the emission spectra as much as possible to minimize spectral overlap and thus the level of compensation required. A free, online tool that can be used to assist designing a flow cytometry panel can be found here: </w:t>
      </w:r>
      <w:hyperlink r:id="rId8" w:history="1">
        <w:r w:rsidRPr="00ED23C1">
          <w:rPr>
            <w:rStyle w:val="Hyperlink"/>
            <w:rFonts w:asciiTheme="majorHAnsi" w:hAnsiTheme="majorHAnsi" w:cstheme="majorHAnsi"/>
            <w:color w:val="auto"/>
            <w:u w:val="none"/>
          </w:rPr>
          <w:t>http://www.bdbiosciences.com/us/s/spectrumviewer</w:t>
        </w:r>
      </w:hyperlink>
      <w:r w:rsidRPr="00ED23C1">
        <w:rPr>
          <w:rFonts w:asciiTheme="majorHAnsi" w:hAnsiTheme="majorHAnsi" w:cstheme="majorHAnsi"/>
          <w:color w:val="auto"/>
        </w:rPr>
        <w:t>.</w:t>
      </w:r>
      <w:r>
        <w:rPr>
          <w:rFonts w:asciiTheme="majorHAnsi" w:hAnsiTheme="majorHAnsi" w:cstheme="majorHAnsi"/>
          <w:color w:val="auto"/>
        </w:rPr>
        <w:t xml:space="preserve"> </w:t>
      </w:r>
      <w:r w:rsidRPr="00ED23C1">
        <w:rPr>
          <w:rFonts w:asciiTheme="majorHAnsi" w:hAnsiTheme="majorHAnsi" w:cstheme="majorHAnsi"/>
          <w:color w:val="auto"/>
        </w:rPr>
        <w:t>To save space on the emission spectrum, we employed a “dump channel” by using a viability dye with an emission wavelength that overlaps with that of APC-H7 (conjugated to CD45RA) to enable the detection (and exclusion) of both dead and/or CD45RA</w:t>
      </w:r>
      <w:r w:rsidRPr="00ED23C1">
        <w:rPr>
          <w:rFonts w:asciiTheme="majorHAnsi" w:hAnsiTheme="majorHAnsi" w:cstheme="majorHAnsi"/>
          <w:color w:val="auto"/>
          <w:vertAlign w:val="superscript"/>
        </w:rPr>
        <w:t>+</w:t>
      </w:r>
      <w:r w:rsidRPr="00ED23C1">
        <w:rPr>
          <w:rFonts w:asciiTheme="majorHAnsi" w:hAnsiTheme="majorHAnsi" w:cstheme="majorHAnsi"/>
          <w:color w:val="auto"/>
        </w:rPr>
        <w:t xml:space="preserve"> using a single detector.</w:t>
      </w:r>
    </w:p>
    <w:p w14:paraId="3FBCFA34" w14:textId="77777777" w:rsidR="00277E15" w:rsidRPr="00B93BC6" w:rsidRDefault="00277E15" w:rsidP="00277E15">
      <w:pPr>
        <w:rPr>
          <w:rFonts w:asciiTheme="majorHAnsi" w:hAnsiTheme="majorHAnsi" w:cstheme="majorHAnsi"/>
          <w:color w:val="auto"/>
        </w:rPr>
      </w:pPr>
    </w:p>
    <w:p w14:paraId="4FD77CF3" w14:textId="77777777" w:rsidR="00277E15" w:rsidRDefault="00277E15" w:rsidP="00277E15">
      <w:pPr>
        <w:rPr>
          <w:rFonts w:asciiTheme="majorHAnsi" w:hAnsiTheme="majorHAnsi" w:cstheme="majorHAnsi"/>
          <w:color w:val="auto"/>
        </w:rPr>
      </w:pPr>
      <w:r w:rsidRPr="00B93BC6">
        <w:rPr>
          <w:rFonts w:asciiTheme="majorHAnsi" w:hAnsiTheme="majorHAnsi" w:cstheme="majorHAnsi"/>
          <w:color w:val="auto"/>
        </w:rPr>
        <w:t>Here</w:t>
      </w:r>
      <w:r>
        <w:rPr>
          <w:rFonts w:asciiTheme="majorHAnsi" w:hAnsiTheme="majorHAnsi" w:cstheme="majorHAnsi"/>
          <w:color w:val="auto"/>
        </w:rPr>
        <w:t>,</w:t>
      </w:r>
      <w:r w:rsidRPr="00B93BC6">
        <w:rPr>
          <w:rFonts w:asciiTheme="majorHAnsi" w:hAnsiTheme="majorHAnsi" w:cstheme="majorHAnsi"/>
          <w:color w:val="auto"/>
        </w:rPr>
        <w:t xml:space="preserve"> a protocol is presented for the isolation of peripheral blood CD4</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T-cells and their subsequent analysis by flow cytometry to determine the proportions of the different and recently described circulating subsets. </w:t>
      </w:r>
    </w:p>
    <w:p w14:paraId="18E14AE0" w14:textId="77777777" w:rsidR="00277E15" w:rsidRPr="00B93BC6" w:rsidRDefault="00277E15" w:rsidP="00277E15">
      <w:pPr>
        <w:rPr>
          <w:rFonts w:asciiTheme="majorHAnsi" w:hAnsiTheme="majorHAnsi" w:cstheme="majorHAnsi"/>
          <w:color w:val="auto"/>
        </w:rPr>
      </w:pPr>
    </w:p>
    <w:p w14:paraId="160229A0" w14:textId="77777777" w:rsidR="00277E15" w:rsidRPr="00B93BC6" w:rsidRDefault="00277E15" w:rsidP="00277E15">
      <w:pPr>
        <w:pStyle w:val="Heading1"/>
        <w:spacing w:before="0" w:after="0"/>
        <w:rPr>
          <w:rFonts w:asciiTheme="majorHAnsi" w:hAnsiTheme="majorHAnsi" w:cstheme="majorHAnsi"/>
          <w:sz w:val="24"/>
          <w:szCs w:val="24"/>
        </w:rPr>
      </w:pPr>
      <w:r w:rsidRPr="00B93BC6">
        <w:rPr>
          <w:rFonts w:asciiTheme="majorHAnsi" w:hAnsiTheme="majorHAnsi" w:cstheme="majorHAnsi"/>
          <w:sz w:val="24"/>
          <w:szCs w:val="24"/>
        </w:rPr>
        <w:t>PROTOCOL:</w:t>
      </w:r>
    </w:p>
    <w:p w14:paraId="6C03A614" w14:textId="77777777" w:rsidR="00277E15" w:rsidRPr="00237CA1" w:rsidRDefault="00277E15" w:rsidP="00277E15">
      <w:pPr>
        <w:pStyle w:val="ListParagraph"/>
        <w:widowControl/>
        <w:autoSpaceDE/>
        <w:autoSpaceDN/>
        <w:adjustRightInd/>
        <w:ind w:left="0"/>
        <w:rPr>
          <w:rFonts w:asciiTheme="majorHAnsi" w:hAnsiTheme="majorHAnsi" w:cstheme="majorHAnsi"/>
        </w:rPr>
      </w:pPr>
      <w:r w:rsidRPr="00A6507E">
        <w:rPr>
          <w:rFonts w:asciiTheme="majorHAnsi" w:hAnsiTheme="majorHAnsi" w:cstheme="majorHAnsi"/>
        </w:rPr>
        <w:t>Blood samples were obtained from normal subjects (NS) (n</w:t>
      </w:r>
      <w:r>
        <w:rPr>
          <w:rFonts w:asciiTheme="majorHAnsi" w:hAnsiTheme="majorHAnsi" w:cstheme="majorHAnsi"/>
        </w:rPr>
        <w:t xml:space="preserve"> </w:t>
      </w:r>
      <w:r w:rsidRPr="00A6507E">
        <w:rPr>
          <w:rFonts w:asciiTheme="majorHAnsi" w:hAnsiTheme="majorHAnsi" w:cstheme="majorHAnsi"/>
        </w:rPr>
        <w:t>=</w:t>
      </w:r>
      <w:r>
        <w:rPr>
          <w:rFonts w:asciiTheme="majorHAnsi" w:hAnsiTheme="majorHAnsi" w:cstheme="majorHAnsi"/>
        </w:rPr>
        <w:t xml:space="preserve"> </w:t>
      </w:r>
      <w:r w:rsidRPr="00A6507E">
        <w:rPr>
          <w:rFonts w:asciiTheme="majorHAnsi" w:hAnsiTheme="majorHAnsi" w:cstheme="majorHAnsi"/>
        </w:rPr>
        <w:t xml:space="preserve">12) as well as patients with marginal zone lymphoma (MZL) (n=7) and other types of B-cell non-Hodgkin's lymphoma (BNHL) (6 FL patients, 2 </w:t>
      </w:r>
      <w:proofErr w:type="spellStart"/>
      <w:r w:rsidRPr="00A6507E">
        <w:rPr>
          <w:rFonts w:asciiTheme="majorHAnsi" w:hAnsiTheme="majorHAnsi" w:cstheme="majorHAnsi"/>
        </w:rPr>
        <w:t>lymphoplasmacytic</w:t>
      </w:r>
      <w:proofErr w:type="spellEnd"/>
      <w:r w:rsidRPr="00A6507E">
        <w:rPr>
          <w:rFonts w:asciiTheme="majorHAnsi" w:hAnsiTheme="majorHAnsi" w:cstheme="majorHAnsi"/>
        </w:rPr>
        <w:t xml:space="preserve"> lymphoma patients and 1 low-grade B-cell non-Hodgkin’s lymphoma no</w:t>
      </w:r>
      <w:r>
        <w:rPr>
          <w:rFonts w:asciiTheme="majorHAnsi" w:hAnsiTheme="majorHAnsi" w:cstheme="majorHAnsi"/>
        </w:rPr>
        <w:t xml:space="preserve">t otherwise specified patient). </w:t>
      </w:r>
      <w:r w:rsidRPr="008C1032">
        <w:rPr>
          <w:rFonts w:asciiTheme="majorHAnsi" w:hAnsiTheme="majorHAnsi" w:cstheme="majorHAnsi"/>
        </w:rPr>
        <w:t xml:space="preserve">Patients were recruited from the hematology clinics at Leicester Royal Infirmary after having given informed, written consent, with ethical approval in place for all studies. </w:t>
      </w:r>
      <w:r w:rsidRPr="008C1032">
        <w:rPr>
          <w:rFonts w:asciiTheme="majorHAnsi" w:hAnsiTheme="majorHAnsi" w:cstheme="majorHAnsi"/>
          <w:lang w:val="en-GB"/>
        </w:rPr>
        <w:t>Ethical approval was obtained by Leicestershire, Northamptonshire and Rutland Research Ethics Committee 1, reference 06/Q2501/122</w:t>
      </w:r>
      <w:r w:rsidRPr="008C1032">
        <w:rPr>
          <w:rFonts w:asciiTheme="majorHAnsi" w:hAnsiTheme="majorHAnsi" w:cstheme="majorHAnsi"/>
        </w:rPr>
        <w:t xml:space="preserve"> for patient samples and</w:t>
      </w:r>
      <w:r w:rsidRPr="008C1032">
        <w:rPr>
          <w:rFonts w:asciiTheme="majorHAnsi" w:hAnsiTheme="majorHAnsi" w:cstheme="majorHAnsi"/>
          <w:lang w:val="en-GB"/>
        </w:rPr>
        <w:t xml:space="preserve"> the Health Research Authority (HRA) NRES Committee East Midlands-Derby, reference 14/EM/1176 for normal subjects.</w:t>
      </w:r>
    </w:p>
    <w:p w14:paraId="63074DFE" w14:textId="77777777" w:rsidR="00277E15" w:rsidRPr="00B93BC6" w:rsidRDefault="00277E15" w:rsidP="00277E15">
      <w:pPr>
        <w:pStyle w:val="NormalWeb"/>
        <w:spacing w:before="0" w:beforeAutospacing="0" w:after="0" w:afterAutospacing="0"/>
        <w:rPr>
          <w:rFonts w:asciiTheme="majorHAnsi" w:hAnsiTheme="majorHAnsi" w:cstheme="majorHAnsi"/>
        </w:rPr>
      </w:pPr>
    </w:p>
    <w:p w14:paraId="2A47E583" w14:textId="77777777" w:rsidR="00277E15" w:rsidRPr="00FA319F" w:rsidRDefault="00277E15" w:rsidP="00277E15">
      <w:pPr>
        <w:pStyle w:val="NormalWeb"/>
        <w:numPr>
          <w:ilvl w:val="0"/>
          <w:numId w:val="1"/>
        </w:numPr>
        <w:spacing w:before="0" w:beforeAutospacing="0" w:after="0" w:afterAutospacing="0"/>
        <w:rPr>
          <w:rFonts w:asciiTheme="majorHAnsi" w:hAnsiTheme="majorHAnsi" w:cstheme="majorHAnsi"/>
          <w:b/>
          <w:highlight w:val="yellow"/>
        </w:rPr>
      </w:pPr>
      <w:bookmarkStart w:id="1" w:name="_Hlk518950945"/>
      <w:r w:rsidRPr="00FA319F">
        <w:rPr>
          <w:rFonts w:asciiTheme="majorHAnsi" w:hAnsiTheme="majorHAnsi" w:cstheme="majorHAnsi"/>
          <w:b/>
          <w:highlight w:val="yellow"/>
        </w:rPr>
        <w:t>Isolation of CD4</w:t>
      </w:r>
      <w:r w:rsidRPr="00FA319F">
        <w:rPr>
          <w:rFonts w:asciiTheme="majorHAnsi" w:hAnsiTheme="majorHAnsi" w:cstheme="majorHAnsi"/>
          <w:b/>
          <w:highlight w:val="yellow"/>
          <w:vertAlign w:val="superscript"/>
        </w:rPr>
        <w:t>+</w:t>
      </w:r>
      <w:r w:rsidRPr="00FA319F">
        <w:rPr>
          <w:rFonts w:asciiTheme="majorHAnsi" w:hAnsiTheme="majorHAnsi" w:cstheme="majorHAnsi"/>
          <w:b/>
          <w:highlight w:val="yellow"/>
        </w:rPr>
        <w:t xml:space="preserve"> T-cells from Whole Peripheral Blood</w:t>
      </w:r>
    </w:p>
    <w:p w14:paraId="233C9D12" w14:textId="77777777" w:rsidR="00277E15" w:rsidRPr="00B93BC6" w:rsidRDefault="00277E15" w:rsidP="00277E15">
      <w:pPr>
        <w:pStyle w:val="NormalWeb"/>
        <w:spacing w:before="0" w:beforeAutospacing="0" w:after="0" w:afterAutospacing="0"/>
        <w:rPr>
          <w:rFonts w:asciiTheme="majorHAnsi" w:hAnsiTheme="majorHAnsi" w:cstheme="majorHAnsi"/>
        </w:rPr>
      </w:pPr>
    </w:p>
    <w:p w14:paraId="67628424" w14:textId="77777777" w:rsidR="00277E15" w:rsidRPr="00FA319F" w:rsidRDefault="00277E15" w:rsidP="00277E15">
      <w:pPr>
        <w:pStyle w:val="Heading2"/>
        <w:numPr>
          <w:ilvl w:val="1"/>
          <w:numId w:val="1"/>
        </w:numPr>
        <w:rPr>
          <w:rFonts w:asciiTheme="majorHAnsi" w:hAnsiTheme="majorHAnsi" w:cstheme="majorHAnsi"/>
          <w:b w:val="0"/>
          <w:highlight w:val="yellow"/>
        </w:rPr>
      </w:pPr>
      <w:r w:rsidRPr="00FA319F">
        <w:rPr>
          <w:rFonts w:asciiTheme="majorHAnsi" w:hAnsiTheme="majorHAnsi" w:cstheme="majorHAnsi"/>
          <w:b w:val="0"/>
          <w:szCs w:val="24"/>
          <w:highlight w:val="yellow"/>
        </w:rPr>
        <w:t>Take fresh peripheral blood (2 to 15 mL) into K</w:t>
      </w:r>
      <w:r w:rsidRPr="00FA319F">
        <w:rPr>
          <w:rFonts w:asciiTheme="majorHAnsi" w:hAnsiTheme="majorHAnsi" w:cstheme="majorHAnsi"/>
          <w:b w:val="0"/>
          <w:szCs w:val="24"/>
          <w:highlight w:val="yellow"/>
          <w:vertAlign w:val="subscript"/>
        </w:rPr>
        <w:t>2</w:t>
      </w:r>
      <w:r w:rsidRPr="00FA319F">
        <w:rPr>
          <w:rFonts w:asciiTheme="majorHAnsi" w:hAnsiTheme="majorHAnsi" w:cstheme="majorHAnsi"/>
          <w:b w:val="0"/>
          <w:szCs w:val="24"/>
          <w:highlight w:val="yellow"/>
        </w:rPr>
        <w:t>EDTA tubes by standard venipuncture and process as soon as possible to maintain maximum viability.</w:t>
      </w:r>
    </w:p>
    <w:p w14:paraId="497459A8" w14:textId="77777777" w:rsidR="00277E15" w:rsidRDefault="00277E15" w:rsidP="00277E15"/>
    <w:p w14:paraId="0FA0502F" w14:textId="77777777" w:rsidR="00277E15" w:rsidRPr="00B93BC6" w:rsidRDefault="00277E15" w:rsidP="00277E15">
      <w:r w:rsidRPr="00B93BC6">
        <w:t xml:space="preserve">Note: Use standard laboratory personal protective equipment (coat, gloves, </w:t>
      </w:r>
      <w:proofErr w:type="gramStart"/>
      <w:r w:rsidRPr="00B93BC6">
        <w:t>glasses</w:t>
      </w:r>
      <w:proofErr w:type="gramEnd"/>
      <w:r w:rsidRPr="00B93BC6">
        <w:t>)</w:t>
      </w:r>
      <w:r>
        <w:t xml:space="preserve"> and carry out the work in a class II Biosafety Cabinet. </w:t>
      </w:r>
    </w:p>
    <w:p w14:paraId="1430DFDD" w14:textId="77777777" w:rsidR="00277E15" w:rsidRPr="00B93BC6" w:rsidRDefault="00277E15" w:rsidP="00277E15">
      <w:pPr>
        <w:rPr>
          <w:rFonts w:asciiTheme="majorHAnsi" w:hAnsiTheme="majorHAnsi" w:cstheme="majorHAnsi"/>
        </w:rPr>
      </w:pPr>
    </w:p>
    <w:p w14:paraId="3208CB05" w14:textId="77777777" w:rsidR="00277E15" w:rsidRPr="00FA319F" w:rsidRDefault="00277E15" w:rsidP="00277E15">
      <w:pPr>
        <w:pStyle w:val="NormalWeb"/>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Bring the blood and all necessary reagents (CD4</w:t>
      </w:r>
      <w:r w:rsidRPr="00FA319F">
        <w:rPr>
          <w:rFonts w:asciiTheme="majorHAnsi" w:hAnsiTheme="majorHAnsi" w:cstheme="majorHAnsi"/>
          <w:highlight w:val="yellow"/>
          <w:vertAlign w:val="superscript"/>
        </w:rPr>
        <w:t>+</w:t>
      </w:r>
      <w:r w:rsidRPr="00FA319F">
        <w:rPr>
          <w:rFonts w:asciiTheme="majorHAnsi" w:hAnsiTheme="majorHAnsi" w:cstheme="majorHAnsi"/>
          <w:highlight w:val="yellow"/>
        </w:rPr>
        <w:t xml:space="preserve"> enrichment cocktail, 2% fetal bovine serum/phosphate buffered saline (FBS/PBS), density gradient media, and freezing medium if cryopreserving cells) to room temperature.</w:t>
      </w:r>
    </w:p>
    <w:p w14:paraId="16615F54" w14:textId="77777777" w:rsidR="00277E15" w:rsidRPr="00FA319F" w:rsidRDefault="00277E15" w:rsidP="00277E15">
      <w:pPr>
        <w:pStyle w:val="NormalWeb"/>
        <w:spacing w:before="0" w:beforeAutospacing="0" w:after="0" w:afterAutospacing="0"/>
        <w:rPr>
          <w:rFonts w:asciiTheme="majorHAnsi" w:hAnsiTheme="majorHAnsi" w:cstheme="majorHAnsi"/>
          <w:highlight w:val="yellow"/>
        </w:rPr>
      </w:pPr>
    </w:p>
    <w:p w14:paraId="3092CB32" w14:textId="77777777" w:rsidR="00277E15" w:rsidRPr="00FA319F" w:rsidRDefault="00277E15" w:rsidP="00277E15">
      <w:pPr>
        <w:pStyle w:val="NormalWeb"/>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Mix the blood with a commercially available cocktail of antibodies for the enrichment of human CD4</w:t>
      </w:r>
      <w:r w:rsidRPr="00FA319F">
        <w:rPr>
          <w:rFonts w:asciiTheme="majorHAnsi" w:hAnsiTheme="majorHAnsi" w:cstheme="majorHAnsi"/>
          <w:highlight w:val="yellow"/>
          <w:vertAlign w:val="superscript"/>
        </w:rPr>
        <w:t>+</w:t>
      </w:r>
      <w:r w:rsidRPr="00FA319F">
        <w:rPr>
          <w:rFonts w:asciiTheme="majorHAnsi" w:hAnsiTheme="majorHAnsi" w:cstheme="majorHAnsi"/>
          <w:highlight w:val="yellow"/>
        </w:rPr>
        <w:t xml:space="preserve"> T Cells. Use 50 µL of the reagent for every 1 mL of blood. Use a 50 mL conical polypropylene tube for 5 to 15 mL of blood. </w:t>
      </w:r>
    </w:p>
    <w:p w14:paraId="0A8A010D" w14:textId="77777777" w:rsidR="00277E15" w:rsidRPr="003D2A94" w:rsidRDefault="00277E15" w:rsidP="00277E15">
      <w:pPr>
        <w:pStyle w:val="NormalWeb"/>
        <w:spacing w:before="0" w:beforeAutospacing="0" w:after="0" w:afterAutospacing="0"/>
        <w:rPr>
          <w:rFonts w:asciiTheme="majorHAnsi" w:hAnsiTheme="majorHAnsi" w:cstheme="majorHAnsi"/>
        </w:rPr>
      </w:pPr>
    </w:p>
    <w:p w14:paraId="6B5718ED" w14:textId="77777777" w:rsidR="00277E15" w:rsidRPr="003D2A94" w:rsidRDefault="00277E15" w:rsidP="00277E15">
      <w:pPr>
        <w:pStyle w:val="NormalWeb"/>
        <w:spacing w:before="0" w:beforeAutospacing="0" w:after="0" w:afterAutospacing="0"/>
        <w:rPr>
          <w:rFonts w:asciiTheme="majorHAnsi" w:hAnsiTheme="majorHAnsi" w:cstheme="majorHAnsi"/>
        </w:rPr>
      </w:pPr>
      <w:r w:rsidRPr="003D2A94">
        <w:rPr>
          <w:rFonts w:asciiTheme="majorHAnsi" w:hAnsiTheme="majorHAnsi" w:cstheme="majorHAnsi"/>
        </w:rPr>
        <w:t>Note: If using 2 to 4 mL of blood, perform this step in a 14 mL conical polypropylene tube.</w:t>
      </w:r>
    </w:p>
    <w:p w14:paraId="076427B3" w14:textId="77777777" w:rsidR="00277E15" w:rsidRPr="003D2A94" w:rsidRDefault="00277E15" w:rsidP="00277E15">
      <w:pPr>
        <w:pStyle w:val="NormalWeb"/>
        <w:spacing w:before="0" w:beforeAutospacing="0" w:after="0" w:afterAutospacing="0"/>
        <w:rPr>
          <w:rFonts w:asciiTheme="majorHAnsi" w:hAnsiTheme="majorHAnsi" w:cstheme="majorHAnsi"/>
        </w:rPr>
      </w:pPr>
      <w:r w:rsidRPr="003D2A94">
        <w:rPr>
          <w:rFonts w:asciiTheme="majorHAnsi" w:hAnsiTheme="majorHAnsi" w:cstheme="majorHAnsi"/>
        </w:rPr>
        <w:t xml:space="preserve"> </w:t>
      </w:r>
    </w:p>
    <w:p w14:paraId="2853AB36" w14:textId="77777777" w:rsidR="00277E15" w:rsidRPr="00FA319F" w:rsidRDefault="00277E15" w:rsidP="00277E15">
      <w:pPr>
        <w:pStyle w:val="NormalWeb"/>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Incubate the mixture at room temperature for 20 min.</w:t>
      </w:r>
    </w:p>
    <w:p w14:paraId="2CDBFE66" w14:textId="77777777" w:rsidR="00277E15" w:rsidRPr="00FA319F" w:rsidRDefault="00277E15" w:rsidP="00277E15">
      <w:pPr>
        <w:pStyle w:val="NormalWeb"/>
        <w:spacing w:before="0" w:beforeAutospacing="0" w:after="0" w:afterAutospacing="0"/>
        <w:rPr>
          <w:rFonts w:asciiTheme="majorHAnsi" w:hAnsiTheme="majorHAnsi" w:cstheme="majorHAnsi"/>
          <w:highlight w:val="yellow"/>
        </w:rPr>
      </w:pPr>
    </w:p>
    <w:p w14:paraId="0EBB6959" w14:textId="77777777" w:rsidR="00277E15" w:rsidRPr="00FA319F" w:rsidRDefault="00277E15" w:rsidP="00277E15">
      <w:pPr>
        <w:pStyle w:val="NormalWeb"/>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Dilute the mixture with an equal volume of 2% FBS/PBS</w:t>
      </w:r>
    </w:p>
    <w:p w14:paraId="46C52A16" w14:textId="77777777" w:rsidR="00277E15" w:rsidRPr="00FA319F" w:rsidRDefault="00277E15" w:rsidP="00277E15">
      <w:pPr>
        <w:pStyle w:val="NormalWeb"/>
        <w:spacing w:before="0" w:beforeAutospacing="0" w:after="0" w:afterAutospacing="0"/>
        <w:rPr>
          <w:rFonts w:asciiTheme="majorHAnsi" w:hAnsiTheme="majorHAnsi" w:cstheme="majorHAnsi"/>
          <w:highlight w:val="yellow"/>
        </w:rPr>
      </w:pPr>
    </w:p>
    <w:p w14:paraId="14EC7506" w14:textId="77777777" w:rsidR="00277E15" w:rsidRPr="00FA319F" w:rsidRDefault="00277E15" w:rsidP="00277E15">
      <w:pPr>
        <w:pStyle w:val="NormalWeb"/>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Layer this diluted mixture on top of the density gradient media slowly to avoid disturbing the interface and proceed to centrifugation immediately to avoid diffusion of the blood into the density gradient medium.</w:t>
      </w:r>
    </w:p>
    <w:p w14:paraId="4E52114A" w14:textId="77777777" w:rsidR="00277E15" w:rsidRPr="00FA319F" w:rsidRDefault="00277E15" w:rsidP="00277E15">
      <w:pPr>
        <w:pStyle w:val="NormalWeb"/>
        <w:spacing w:before="0" w:beforeAutospacing="0" w:after="0" w:afterAutospacing="0"/>
        <w:rPr>
          <w:rFonts w:asciiTheme="majorHAnsi" w:hAnsiTheme="majorHAnsi" w:cstheme="majorHAnsi"/>
          <w:highlight w:val="yellow"/>
        </w:rPr>
      </w:pPr>
    </w:p>
    <w:p w14:paraId="3D6E20DF" w14:textId="77777777" w:rsidR="00277E15" w:rsidRPr="00FA319F" w:rsidRDefault="00277E15" w:rsidP="00277E15">
      <w:pPr>
        <w:pStyle w:val="NormalWeb"/>
        <w:numPr>
          <w:ilvl w:val="2"/>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For 2 to 3 mL of blood, use 3 mL of density gradient medium in a 14 mL conical polypropylene tube, but for 4 mL of blood, use 4 mL of density gradient medium in a 14 mL conical polypropylene tube and for 5 to 15 mL blood, use 15 mL of density gradient medium in a 50 mL conical polypropylene tube.</w:t>
      </w:r>
    </w:p>
    <w:p w14:paraId="44EFCE72" w14:textId="77777777" w:rsidR="00277E15" w:rsidRPr="00FA319F" w:rsidRDefault="00277E15" w:rsidP="00277E15">
      <w:pPr>
        <w:pStyle w:val="NormalWeb"/>
        <w:spacing w:before="0" w:beforeAutospacing="0" w:after="0" w:afterAutospacing="0"/>
        <w:rPr>
          <w:rFonts w:asciiTheme="majorHAnsi" w:hAnsiTheme="majorHAnsi" w:cstheme="majorHAnsi"/>
          <w:highlight w:val="yellow"/>
        </w:rPr>
      </w:pPr>
    </w:p>
    <w:p w14:paraId="3ECFD789" w14:textId="77777777" w:rsidR="00277E15" w:rsidRPr="00FA319F" w:rsidRDefault="00277E15" w:rsidP="00277E15">
      <w:pPr>
        <w:pStyle w:val="NormalWeb"/>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 xml:space="preserve">Centrifuge the layered mixture for 20 min at 1200 x g with the brake off at 20 ˚C. </w:t>
      </w:r>
    </w:p>
    <w:p w14:paraId="468C80BB" w14:textId="77777777" w:rsidR="00277E15" w:rsidRPr="003D2A94" w:rsidRDefault="00277E15" w:rsidP="00277E15">
      <w:pPr>
        <w:pStyle w:val="NormalWeb"/>
        <w:spacing w:before="0" w:beforeAutospacing="0" w:after="0" w:afterAutospacing="0"/>
        <w:rPr>
          <w:rFonts w:asciiTheme="majorHAnsi" w:hAnsiTheme="majorHAnsi" w:cstheme="majorHAnsi"/>
        </w:rPr>
      </w:pPr>
    </w:p>
    <w:p w14:paraId="1733573C" w14:textId="77777777" w:rsidR="00277E15" w:rsidRPr="003D2A94" w:rsidRDefault="00277E15" w:rsidP="00277E15">
      <w:pPr>
        <w:pStyle w:val="NormalWeb"/>
        <w:spacing w:before="0" w:beforeAutospacing="0" w:after="0" w:afterAutospacing="0"/>
        <w:rPr>
          <w:rFonts w:asciiTheme="majorHAnsi" w:hAnsiTheme="majorHAnsi" w:cstheme="majorHAnsi"/>
        </w:rPr>
      </w:pPr>
      <w:r w:rsidRPr="003D2A94">
        <w:rPr>
          <w:rFonts w:asciiTheme="majorHAnsi" w:hAnsiTheme="majorHAnsi" w:cstheme="majorHAnsi"/>
        </w:rPr>
        <w:t xml:space="preserve">Note: A temperature below ambient may result in </w:t>
      </w:r>
      <w:r>
        <w:rPr>
          <w:rFonts w:asciiTheme="majorHAnsi" w:hAnsiTheme="majorHAnsi" w:cstheme="majorHAnsi"/>
        </w:rPr>
        <w:t xml:space="preserve">the </w:t>
      </w:r>
      <w:r w:rsidRPr="003D2A94">
        <w:rPr>
          <w:rFonts w:asciiTheme="majorHAnsi" w:hAnsiTheme="majorHAnsi" w:cstheme="majorHAnsi"/>
        </w:rPr>
        <w:t>contamination with red blood cells and granulocytes. A lower speed will cause the CD4</w:t>
      </w:r>
      <w:r w:rsidRPr="003D2A94">
        <w:rPr>
          <w:rFonts w:asciiTheme="majorHAnsi" w:hAnsiTheme="majorHAnsi" w:cstheme="majorHAnsi"/>
          <w:vertAlign w:val="superscript"/>
        </w:rPr>
        <w:t>+</w:t>
      </w:r>
      <w:r w:rsidRPr="003D2A94">
        <w:rPr>
          <w:rFonts w:asciiTheme="majorHAnsi" w:hAnsiTheme="majorHAnsi" w:cstheme="majorHAnsi"/>
        </w:rPr>
        <w:t xml:space="preserve"> isolation process to fail. Leaving the break engaged will decrease cell yield. Use a bench top centrifuge with rotors that can be closed to avoid aerosols.</w:t>
      </w:r>
    </w:p>
    <w:p w14:paraId="27A64F59" w14:textId="77777777" w:rsidR="00277E15" w:rsidRPr="003D2A94" w:rsidRDefault="00277E15" w:rsidP="00277E15">
      <w:pPr>
        <w:pStyle w:val="NormalWeb"/>
        <w:spacing w:before="0" w:beforeAutospacing="0" w:after="0" w:afterAutospacing="0"/>
        <w:rPr>
          <w:rFonts w:asciiTheme="majorHAnsi" w:hAnsiTheme="majorHAnsi" w:cstheme="majorHAnsi"/>
        </w:rPr>
      </w:pPr>
    </w:p>
    <w:p w14:paraId="323EC5CD" w14:textId="77777777" w:rsidR="00277E15" w:rsidRPr="00FA319F" w:rsidRDefault="00277E15" w:rsidP="00277E15">
      <w:pPr>
        <w:pStyle w:val="NormalWeb"/>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Remove the enriched CD4</w:t>
      </w:r>
      <w:r w:rsidRPr="00FA319F">
        <w:rPr>
          <w:rFonts w:asciiTheme="majorHAnsi" w:hAnsiTheme="majorHAnsi" w:cstheme="majorHAnsi"/>
          <w:highlight w:val="yellow"/>
          <w:vertAlign w:val="superscript"/>
        </w:rPr>
        <w:t>+</w:t>
      </w:r>
      <w:r w:rsidRPr="00FA319F">
        <w:rPr>
          <w:rFonts w:asciiTheme="majorHAnsi" w:hAnsiTheme="majorHAnsi" w:cstheme="majorHAnsi"/>
          <w:highlight w:val="yellow"/>
        </w:rPr>
        <w:t xml:space="preserve"> cell layer from the interface using a Pasteur pipette. </w:t>
      </w:r>
    </w:p>
    <w:p w14:paraId="2D37135A" w14:textId="77777777" w:rsidR="00277E15" w:rsidRPr="003D2A94" w:rsidRDefault="00277E15" w:rsidP="00277E15">
      <w:pPr>
        <w:pStyle w:val="NormalWeb"/>
        <w:spacing w:before="0" w:beforeAutospacing="0" w:after="0" w:afterAutospacing="0"/>
        <w:rPr>
          <w:rFonts w:asciiTheme="majorHAnsi" w:hAnsiTheme="majorHAnsi" w:cstheme="majorHAnsi"/>
        </w:rPr>
      </w:pPr>
    </w:p>
    <w:p w14:paraId="34EE4148" w14:textId="77777777" w:rsidR="00277E15" w:rsidRPr="003D2A94" w:rsidRDefault="00277E15" w:rsidP="00277E15">
      <w:pPr>
        <w:pStyle w:val="NormalWeb"/>
        <w:spacing w:before="0" w:beforeAutospacing="0" w:after="0" w:afterAutospacing="0"/>
        <w:rPr>
          <w:rFonts w:asciiTheme="majorHAnsi" w:hAnsiTheme="majorHAnsi" w:cstheme="majorHAnsi"/>
        </w:rPr>
      </w:pPr>
      <w:r w:rsidRPr="003D2A94">
        <w:rPr>
          <w:rFonts w:asciiTheme="majorHAnsi" w:hAnsiTheme="majorHAnsi" w:cstheme="majorHAnsi"/>
        </w:rPr>
        <w:t>Note: The enriched cell layer will resemble a standard “buffy coat” of white cloudy cells, but as only CD4</w:t>
      </w:r>
      <w:r w:rsidRPr="003D2A94">
        <w:rPr>
          <w:rFonts w:asciiTheme="majorHAnsi" w:hAnsiTheme="majorHAnsi" w:cstheme="majorHAnsi"/>
          <w:vertAlign w:val="superscript"/>
        </w:rPr>
        <w:t>+</w:t>
      </w:r>
      <w:r w:rsidRPr="003D2A94">
        <w:rPr>
          <w:rFonts w:asciiTheme="majorHAnsi" w:hAnsiTheme="majorHAnsi" w:cstheme="majorHAnsi"/>
        </w:rPr>
        <w:t xml:space="preserve"> cells are present, this will naturally be smaller and more difficult to see.</w:t>
      </w:r>
    </w:p>
    <w:p w14:paraId="334B3BFA" w14:textId="77777777" w:rsidR="00277E15" w:rsidRPr="003D2A94" w:rsidRDefault="00277E15" w:rsidP="00277E15">
      <w:pPr>
        <w:pStyle w:val="NormalWeb"/>
        <w:spacing w:before="0" w:beforeAutospacing="0" w:after="0" w:afterAutospacing="0"/>
        <w:rPr>
          <w:rFonts w:asciiTheme="majorHAnsi" w:hAnsiTheme="majorHAnsi" w:cstheme="majorHAnsi"/>
        </w:rPr>
      </w:pPr>
    </w:p>
    <w:p w14:paraId="6848B0F9" w14:textId="77777777" w:rsidR="00277E15" w:rsidRPr="00FA319F" w:rsidRDefault="00277E15" w:rsidP="00277E15">
      <w:pPr>
        <w:pStyle w:val="NormalWeb"/>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Add 2% FBS/PBS to the CD4</w:t>
      </w:r>
      <w:r w:rsidRPr="00FA319F">
        <w:rPr>
          <w:rFonts w:asciiTheme="majorHAnsi" w:hAnsiTheme="majorHAnsi" w:cstheme="majorHAnsi"/>
          <w:highlight w:val="yellow"/>
          <w:vertAlign w:val="superscript"/>
        </w:rPr>
        <w:t>+</w:t>
      </w:r>
      <w:r w:rsidRPr="00FA319F">
        <w:rPr>
          <w:rFonts w:asciiTheme="majorHAnsi" w:hAnsiTheme="majorHAnsi" w:cstheme="majorHAnsi"/>
          <w:highlight w:val="yellow"/>
        </w:rPr>
        <w:t xml:space="preserve"> cells up to a total volume of 10 mL and then wash twice with 2% FBS/PBS by centrifuging for 10 min at 400 x g during each wash.</w:t>
      </w:r>
    </w:p>
    <w:p w14:paraId="47BA216A" w14:textId="77777777" w:rsidR="00277E15" w:rsidRPr="00FA319F" w:rsidRDefault="00277E15" w:rsidP="00277E15">
      <w:pPr>
        <w:pStyle w:val="NormalWeb"/>
        <w:spacing w:before="0" w:beforeAutospacing="0" w:after="0" w:afterAutospacing="0"/>
        <w:rPr>
          <w:rFonts w:asciiTheme="majorHAnsi" w:hAnsiTheme="majorHAnsi" w:cstheme="majorHAnsi"/>
          <w:highlight w:val="yellow"/>
        </w:rPr>
      </w:pPr>
    </w:p>
    <w:p w14:paraId="4AA0BAFF" w14:textId="77777777" w:rsidR="00277E15" w:rsidRPr="00FA319F" w:rsidRDefault="00277E15" w:rsidP="00277E15">
      <w:pPr>
        <w:pStyle w:val="NormalWeb"/>
        <w:numPr>
          <w:ilvl w:val="1"/>
          <w:numId w:val="1"/>
        </w:numPr>
        <w:spacing w:before="0" w:beforeAutospacing="0" w:after="0" w:afterAutospacing="0"/>
        <w:rPr>
          <w:rFonts w:asciiTheme="majorHAnsi" w:hAnsiTheme="majorHAnsi" w:cstheme="majorHAnsi"/>
          <w:highlight w:val="yellow"/>
        </w:rPr>
      </w:pPr>
      <w:proofErr w:type="spellStart"/>
      <w:r w:rsidRPr="00FA319F">
        <w:rPr>
          <w:rFonts w:asciiTheme="majorHAnsi" w:hAnsiTheme="majorHAnsi" w:cstheme="majorHAnsi"/>
          <w:highlight w:val="yellow"/>
        </w:rPr>
        <w:lastRenderedPageBreak/>
        <w:t>Resuspend</w:t>
      </w:r>
      <w:proofErr w:type="spellEnd"/>
      <w:r w:rsidRPr="00FA319F">
        <w:rPr>
          <w:rFonts w:asciiTheme="majorHAnsi" w:hAnsiTheme="majorHAnsi" w:cstheme="majorHAnsi"/>
          <w:highlight w:val="yellow"/>
        </w:rPr>
        <w:t xml:space="preserve"> the pellet in 2% FBS/PBS and count the cells stained with a vital dye (trypan blue) to determine the cell numbers and viability.</w:t>
      </w:r>
    </w:p>
    <w:p w14:paraId="13329A29" w14:textId="77777777" w:rsidR="00277E15" w:rsidRPr="00FA319F" w:rsidRDefault="00277E15" w:rsidP="00277E15">
      <w:pPr>
        <w:pStyle w:val="NormalWeb"/>
        <w:spacing w:before="0" w:beforeAutospacing="0" w:after="0" w:afterAutospacing="0"/>
        <w:rPr>
          <w:rFonts w:asciiTheme="majorHAnsi" w:hAnsiTheme="majorHAnsi" w:cstheme="majorHAnsi"/>
          <w:highlight w:val="yellow"/>
        </w:rPr>
      </w:pPr>
    </w:p>
    <w:p w14:paraId="1750E25A" w14:textId="77777777" w:rsidR="00277E15" w:rsidRPr="00FA319F" w:rsidRDefault="00277E15" w:rsidP="00277E15">
      <w:pPr>
        <w:pStyle w:val="NormalWeb"/>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Optional step:</w:t>
      </w:r>
      <w:r w:rsidRPr="00FA319F">
        <w:rPr>
          <w:rFonts w:asciiTheme="majorHAnsi" w:hAnsiTheme="majorHAnsi" w:cstheme="majorHAnsi"/>
          <w:b/>
          <w:highlight w:val="yellow"/>
        </w:rPr>
        <w:t xml:space="preserve"> </w:t>
      </w:r>
      <w:proofErr w:type="spellStart"/>
      <w:r w:rsidRPr="00FA319F">
        <w:rPr>
          <w:rFonts w:asciiTheme="majorHAnsi" w:hAnsiTheme="majorHAnsi" w:cstheme="majorHAnsi"/>
          <w:highlight w:val="yellow"/>
        </w:rPr>
        <w:t>resuspend</w:t>
      </w:r>
      <w:proofErr w:type="spellEnd"/>
      <w:r w:rsidRPr="00FA319F">
        <w:rPr>
          <w:rFonts w:asciiTheme="majorHAnsi" w:hAnsiTheme="majorHAnsi" w:cstheme="majorHAnsi"/>
          <w:highlight w:val="yellow"/>
        </w:rPr>
        <w:t xml:space="preserve"> 5 x 10</w:t>
      </w:r>
      <w:r w:rsidRPr="00FA319F">
        <w:rPr>
          <w:rFonts w:asciiTheme="majorHAnsi" w:hAnsiTheme="majorHAnsi" w:cstheme="majorHAnsi"/>
          <w:highlight w:val="yellow"/>
          <w:vertAlign w:val="superscript"/>
        </w:rPr>
        <w:t>5</w:t>
      </w:r>
      <w:r w:rsidRPr="00FA319F">
        <w:rPr>
          <w:rFonts w:asciiTheme="majorHAnsi" w:hAnsiTheme="majorHAnsi" w:cstheme="majorHAnsi"/>
          <w:highlight w:val="yellow"/>
        </w:rPr>
        <w:t xml:space="preserve"> and 1 x 10</w:t>
      </w:r>
      <w:r w:rsidRPr="00FA319F">
        <w:rPr>
          <w:rFonts w:asciiTheme="majorHAnsi" w:hAnsiTheme="majorHAnsi" w:cstheme="majorHAnsi"/>
          <w:highlight w:val="yellow"/>
          <w:vertAlign w:val="superscript"/>
        </w:rPr>
        <w:t xml:space="preserve">6 </w:t>
      </w:r>
      <w:r w:rsidRPr="00FA319F">
        <w:rPr>
          <w:rFonts w:asciiTheme="majorHAnsi" w:hAnsiTheme="majorHAnsi" w:cstheme="majorHAnsi"/>
          <w:highlight w:val="yellow"/>
        </w:rPr>
        <w:t xml:space="preserve">cells in freezing medium (10% dimethyl sulfoxide in FBS) in 1 mL aliquots. </w:t>
      </w:r>
    </w:p>
    <w:p w14:paraId="150846CD" w14:textId="77777777" w:rsidR="00277E15" w:rsidRDefault="00277E15" w:rsidP="00277E15">
      <w:pPr>
        <w:pStyle w:val="NormalWeb"/>
        <w:spacing w:before="0" w:beforeAutospacing="0" w:after="0" w:afterAutospacing="0"/>
        <w:rPr>
          <w:rFonts w:asciiTheme="majorHAnsi" w:hAnsiTheme="majorHAnsi" w:cstheme="majorHAnsi"/>
        </w:rPr>
      </w:pPr>
    </w:p>
    <w:p w14:paraId="7990F179" w14:textId="77777777" w:rsidR="00277E15" w:rsidRPr="00A6507E" w:rsidRDefault="00277E15" w:rsidP="00277E15">
      <w:pPr>
        <w:pStyle w:val="ListParagraph"/>
        <w:widowControl/>
        <w:autoSpaceDE/>
        <w:autoSpaceDN/>
        <w:adjustRightInd/>
        <w:ind w:left="0"/>
        <w:rPr>
          <w:rFonts w:asciiTheme="majorHAnsi" w:hAnsiTheme="majorHAnsi" w:cstheme="majorHAnsi"/>
          <w:lang w:val="en-GB"/>
        </w:rPr>
      </w:pPr>
      <w:r w:rsidRPr="00A6507E">
        <w:rPr>
          <w:rFonts w:asciiTheme="majorHAnsi" w:hAnsiTheme="majorHAnsi" w:cstheme="majorHAnsi"/>
          <w:lang w:val="en-GB"/>
        </w:rPr>
        <w:t xml:space="preserve">Note: Levels of some surface markers may be altered by </w:t>
      </w:r>
      <w:proofErr w:type="spellStart"/>
      <w:r w:rsidRPr="00A6507E">
        <w:rPr>
          <w:rFonts w:asciiTheme="majorHAnsi" w:hAnsiTheme="majorHAnsi" w:cstheme="majorHAnsi"/>
          <w:lang w:val="en-GB"/>
        </w:rPr>
        <w:t>cryo</w:t>
      </w:r>
      <w:proofErr w:type="spellEnd"/>
      <w:r w:rsidRPr="00A6507E">
        <w:rPr>
          <w:rFonts w:asciiTheme="majorHAnsi" w:hAnsiTheme="majorHAnsi" w:cstheme="majorHAnsi"/>
          <w:lang w:val="en-GB"/>
        </w:rPr>
        <w:t xml:space="preserve">-preservation and thawing. It is, therefore, very important that </w:t>
      </w:r>
      <w:r>
        <w:rPr>
          <w:rFonts w:asciiTheme="majorHAnsi" w:hAnsiTheme="majorHAnsi" w:cstheme="majorHAnsi"/>
          <w:lang w:val="en-GB"/>
        </w:rPr>
        <w:t xml:space="preserve">all </w:t>
      </w:r>
      <w:r w:rsidRPr="00A6507E">
        <w:rPr>
          <w:rFonts w:asciiTheme="majorHAnsi" w:hAnsiTheme="majorHAnsi" w:cstheme="majorHAnsi"/>
          <w:lang w:val="en-GB"/>
        </w:rPr>
        <w:t>samples are processed consistently. In order to minimi</w:t>
      </w:r>
      <w:r>
        <w:rPr>
          <w:rFonts w:asciiTheme="majorHAnsi" w:hAnsiTheme="majorHAnsi" w:cstheme="majorHAnsi"/>
          <w:lang w:val="en-GB"/>
        </w:rPr>
        <w:t>z</w:t>
      </w:r>
      <w:r w:rsidRPr="00A6507E">
        <w:rPr>
          <w:rFonts w:asciiTheme="majorHAnsi" w:hAnsiTheme="majorHAnsi" w:cstheme="majorHAnsi"/>
          <w:lang w:val="en-GB"/>
        </w:rPr>
        <w:t xml:space="preserve">e </w:t>
      </w:r>
      <w:r>
        <w:rPr>
          <w:rFonts w:asciiTheme="majorHAnsi" w:hAnsiTheme="majorHAnsi" w:cstheme="majorHAnsi"/>
          <w:lang w:val="en-GB"/>
        </w:rPr>
        <w:t xml:space="preserve">the </w:t>
      </w:r>
      <w:r w:rsidRPr="00A6507E">
        <w:rPr>
          <w:rFonts w:asciiTheme="majorHAnsi" w:hAnsiTheme="majorHAnsi" w:cstheme="majorHAnsi"/>
          <w:lang w:val="en-GB"/>
        </w:rPr>
        <w:t>differences in analytical variables</w:t>
      </w:r>
      <w:r>
        <w:rPr>
          <w:rFonts w:asciiTheme="majorHAnsi" w:hAnsiTheme="majorHAnsi" w:cstheme="majorHAnsi"/>
          <w:lang w:val="en-GB"/>
        </w:rPr>
        <w:t>, the</w:t>
      </w:r>
      <w:r w:rsidRPr="00A6507E">
        <w:rPr>
          <w:rFonts w:asciiTheme="majorHAnsi" w:hAnsiTheme="majorHAnsi" w:cstheme="majorHAnsi"/>
          <w:lang w:val="en-GB"/>
        </w:rPr>
        <w:t xml:space="preserve"> samples were </w:t>
      </w:r>
      <w:proofErr w:type="spellStart"/>
      <w:r w:rsidRPr="00A6507E">
        <w:rPr>
          <w:rFonts w:asciiTheme="majorHAnsi" w:hAnsiTheme="majorHAnsi" w:cstheme="majorHAnsi"/>
          <w:lang w:val="en-GB"/>
        </w:rPr>
        <w:t>cryo</w:t>
      </w:r>
      <w:proofErr w:type="spellEnd"/>
      <w:r w:rsidRPr="00A6507E">
        <w:rPr>
          <w:rFonts w:asciiTheme="majorHAnsi" w:hAnsiTheme="majorHAnsi" w:cstheme="majorHAnsi"/>
          <w:lang w:val="en-GB"/>
        </w:rPr>
        <w:t>-preserved and batched for analysis in this study.</w:t>
      </w:r>
    </w:p>
    <w:p w14:paraId="488CA857" w14:textId="77777777" w:rsidR="00277E15" w:rsidRPr="00E4511D" w:rsidRDefault="00277E15" w:rsidP="00277E15">
      <w:pPr>
        <w:pStyle w:val="NormalWeb"/>
        <w:spacing w:before="0" w:beforeAutospacing="0" w:after="0" w:afterAutospacing="0"/>
        <w:rPr>
          <w:rFonts w:asciiTheme="majorHAnsi" w:hAnsiTheme="majorHAnsi" w:cstheme="majorHAnsi"/>
          <w:lang w:val="en-GB"/>
        </w:rPr>
      </w:pPr>
    </w:p>
    <w:p w14:paraId="5722F555" w14:textId="77777777" w:rsidR="00277E15" w:rsidRPr="00FA319F" w:rsidRDefault="00277E15" w:rsidP="00277E15">
      <w:pPr>
        <w:pStyle w:val="Heading1"/>
        <w:numPr>
          <w:ilvl w:val="0"/>
          <w:numId w:val="1"/>
        </w:numPr>
        <w:spacing w:before="0" w:after="0"/>
        <w:rPr>
          <w:rFonts w:asciiTheme="majorHAnsi" w:hAnsiTheme="majorHAnsi" w:cstheme="majorHAnsi"/>
          <w:sz w:val="24"/>
          <w:szCs w:val="24"/>
          <w:highlight w:val="yellow"/>
        </w:rPr>
      </w:pPr>
      <w:r w:rsidRPr="00FA319F">
        <w:rPr>
          <w:rFonts w:asciiTheme="majorHAnsi" w:hAnsiTheme="majorHAnsi" w:cstheme="majorHAnsi"/>
          <w:sz w:val="24"/>
          <w:szCs w:val="24"/>
          <w:highlight w:val="yellow"/>
        </w:rPr>
        <w:t>Flow Cytometry</w:t>
      </w:r>
    </w:p>
    <w:p w14:paraId="732AB503" w14:textId="77777777" w:rsidR="00277E15" w:rsidRPr="00FA319F" w:rsidRDefault="00277E15" w:rsidP="00277E15">
      <w:pPr>
        <w:pStyle w:val="NormalWeb"/>
        <w:spacing w:before="0" w:beforeAutospacing="0" w:after="0" w:afterAutospacing="0"/>
        <w:rPr>
          <w:rFonts w:asciiTheme="majorHAnsi" w:hAnsiTheme="majorHAnsi" w:cstheme="majorHAnsi"/>
          <w:b/>
          <w:highlight w:val="yellow"/>
        </w:rPr>
      </w:pPr>
    </w:p>
    <w:p w14:paraId="486F2CF3" w14:textId="77777777" w:rsidR="00277E15" w:rsidRPr="00FA319F" w:rsidRDefault="00277E15" w:rsidP="00277E15">
      <w:pPr>
        <w:pStyle w:val="ListParagraph"/>
        <w:numPr>
          <w:ilvl w:val="1"/>
          <w:numId w:val="1"/>
        </w:numPr>
        <w:rPr>
          <w:rFonts w:asciiTheme="majorHAnsi" w:hAnsiTheme="majorHAnsi" w:cstheme="majorHAnsi"/>
          <w:highlight w:val="yellow"/>
          <w:lang w:val="en-GB"/>
        </w:rPr>
      </w:pPr>
      <w:r w:rsidRPr="00FA319F">
        <w:rPr>
          <w:rFonts w:asciiTheme="majorHAnsi" w:hAnsiTheme="majorHAnsi" w:cstheme="majorHAnsi"/>
          <w:highlight w:val="yellow"/>
        </w:rPr>
        <w:t>Thaw the cryopreserved CD4</w:t>
      </w:r>
      <w:r w:rsidRPr="00FA319F">
        <w:rPr>
          <w:rFonts w:asciiTheme="majorHAnsi" w:hAnsiTheme="majorHAnsi" w:cstheme="majorHAnsi"/>
          <w:highlight w:val="yellow"/>
          <w:vertAlign w:val="superscript"/>
        </w:rPr>
        <w:t>+</w:t>
      </w:r>
      <w:r w:rsidRPr="00FA319F">
        <w:rPr>
          <w:rFonts w:asciiTheme="majorHAnsi" w:hAnsiTheme="majorHAnsi" w:cstheme="majorHAnsi"/>
          <w:highlight w:val="yellow"/>
        </w:rPr>
        <w:t xml:space="preserve"> cells quickly in a water bath at 37 ˚C and wash once in pre-warmed medium (</w:t>
      </w:r>
      <w:r w:rsidRPr="00FA319F">
        <w:rPr>
          <w:rFonts w:asciiTheme="majorHAnsi" w:hAnsiTheme="majorHAnsi" w:cstheme="majorHAnsi"/>
          <w:highlight w:val="yellow"/>
          <w:lang w:val="en-GB"/>
        </w:rPr>
        <w:t>RPMI 1640 + L-glutamine supplemented with 10% FBS and 1x penicillin-streptomycin).</w:t>
      </w:r>
    </w:p>
    <w:p w14:paraId="6C1C3FAA" w14:textId="77777777" w:rsidR="00277E15" w:rsidRPr="00FA319F" w:rsidRDefault="00277E15" w:rsidP="00277E15">
      <w:pPr>
        <w:rPr>
          <w:rFonts w:asciiTheme="majorHAnsi" w:hAnsiTheme="majorHAnsi" w:cstheme="majorHAnsi"/>
          <w:highlight w:val="yellow"/>
          <w:lang w:val="en-GB"/>
        </w:rPr>
      </w:pPr>
    </w:p>
    <w:p w14:paraId="12C35159" w14:textId="77777777" w:rsidR="00277E15" w:rsidRPr="00FA319F" w:rsidRDefault="00277E15" w:rsidP="00277E15">
      <w:pPr>
        <w:pStyle w:val="ListParagraph"/>
        <w:numPr>
          <w:ilvl w:val="1"/>
          <w:numId w:val="1"/>
        </w:numPr>
        <w:rPr>
          <w:rFonts w:asciiTheme="majorHAnsi" w:hAnsiTheme="majorHAnsi" w:cstheme="majorHAnsi"/>
          <w:highlight w:val="yellow"/>
          <w:lang w:val="en-GB"/>
        </w:rPr>
      </w:pPr>
      <w:r w:rsidRPr="00FA319F">
        <w:rPr>
          <w:rFonts w:asciiTheme="majorHAnsi" w:hAnsiTheme="majorHAnsi" w:cstheme="majorHAnsi"/>
          <w:highlight w:val="yellow"/>
          <w:lang w:val="en-GB"/>
        </w:rPr>
        <w:t>Add the cells to 9 mL of medium, centrifuge for 5 min at 400 x g and remove the supernatant.</w:t>
      </w:r>
    </w:p>
    <w:p w14:paraId="6A148F15" w14:textId="77777777" w:rsidR="00277E15" w:rsidRPr="00FA319F" w:rsidRDefault="00277E15" w:rsidP="00277E15">
      <w:pPr>
        <w:rPr>
          <w:rFonts w:asciiTheme="majorHAnsi" w:hAnsiTheme="majorHAnsi" w:cstheme="majorHAnsi"/>
          <w:highlight w:val="yellow"/>
        </w:rPr>
      </w:pPr>
    </w:p>
    <w:p w14:paraId="31C20AF8" w14:textId="77777777" w:rsidR="00277E15" w:rsidRPr="00FA319F" w:rsidRDefault="00277E15" w:rsidP="00277E15">
      <w:pPr>
        <w:pStyle w:val="ListParagraph"/>
        <w:numPr>
          <w:ilvl w:val="1"/>
          <w:numId w:val="1"/>
        </w:numPr>
        <w:rPr>
          <w:rFonts w:asciiTheme="majorHAnsi" w:hAnsiTheme="majorHAnsi" w:cstheme="majorHAnsi"/>
          <w:highlight w:val="yellow"/>
        </w:rPr>
      </w:pPr>
      <w:proofErr w:type="spellStart"/>
      <w:r w:rsidRPr="00FA319F">
        <w:rPr>
          <w:rFonts w:asciiTheme="majorHAnsi" w:hAnsiTheme="majorHAnsi" w:cstheme="majorHAnsi"/>
          <w:highlight w:val="yellow"/>
        </w:rPr>
        <w:t>Resuspend</w:t>
      </w:r>
      <w:proofErr w:type="spellEnd"/>
      <w:r w:rsidRPr="00FA319F">
        <w:rPr>
          <w:rFonts w:asciiTheme="majorHAnsi" w:hAnsiTheme="majorHAnsi" w:cstheme="majorHAnsi"/>
          <w:highlight w:val="yellow"/>
        </w:rPr>
        <w:t xml:space="preserve"> the cells in 1% bovine serum albumin (BSA) in PBS (50 µL) so that each condition to be tested uses between 5 x 10</w:t>
      </w:r>
      <w:r w:rsidRPr="00FA319F">
        <w:rPr>
          <w:rFonts w:asciiTheme="majorHAnsi" w:hAnsiTheme="majorHAnsi" w:cstheme="majorHAnsi"/>
          <w:highlight w:val="yellow"/>
          <w:vertAlign w:val="superscript"/>
        </w:rPr>
        <w:t>5</w:t>
      </w:r>
      <w:r w:rsidRPr="00FA319F">
        <w:rPr>
          <w:rFonts w:asciiTheme="majorHAnsi" w:hAnsiTheme="majorHAnsi" w:cstheme="majorHAnsi"/>
          <w:highlight w:val="yellow"/>
        </w:rPr>
        <w:t xml:space="preserve"> and 1 x 10</w:t>
      </w:r>
      <w:r w:rsidRPr="00FA319F">
        <w:rPr>
          <w:rFonts w:asciiTheme="majorHAnsi" w:hAnsiTheme="majorHAnsi" w:cstheme="majorHAnsi"/>
          <w:highlight w:val="yellow"/>
          <w:vertAlign w:val="superscript"/>
        </w:rPr>
        <w:t>6</w:t>
      </w:r>
      <w:r w:rsidRPr="00FA319F">
        <w:rPr>
          <w:rFonts w:asciiTheme="majorHAnsi" w:hAnsiTheme="majorHAnsi" w:cstheme="majorHAnsi"/>
          <w:highlight w:val="yellow"/>
        </w:rPr>
        <w:t xml:space="preserve"> cells. </w:t>
      </w:r>
    </w:p>
    <w:p w14:paraId="7C2BACF9" w14:textId="77777777" w:rsidR="00277E15" w:rsidRPr="00FA319F" w:rsidRDefault="00277E15" w:rsidP="00277E15">
      <w:pPr>
        <w:rPr>
          <w:rFonts w:asciiTheme="majorHAnsi" w:hAnsiTheme="majorHAnsi" w:cstheme="majorHAnsi"/>
          <w:highlight w:val="yellow"/>
        </w:rPr>
      </w:pPr>
    </w:p>
    <w:p w14:paraId="3297C757" w14:textId="77777777" w:rsidR="00277E15" w:rsidRPr="00FA319F" w:rsidRDefault="00277E15" w:rsidP="00277E15">
      <w:pPr>
        <w:pStyle w:val="ListParagraph"/>
        <w:numPr>
          <w:ilvl w:val="1"/>
          <w:numId w:val="1"/>
        </w:numPr>
        <w:rPr>
          <w:rFonts w:asciiTheme="majorHAnsi" w:hAnsiTheme="majorHAnsi" w:cstheme="majorHAnsi"/>
          <w:highlight w:val="yellow"/>
        </w:rPr>
      </w:pPr>
      <w:r w:rsidRPr="00FA319F">
        <w:rPr>
          <w:rFonts w:asciiTheme="majorHAnsi" w:hAnsiTheme="majorHAnsi" w:cstheme="majorHAnsi"/>
          <w:highlight w:val="yellow"/>
        </w:rPr>
        <w:t>Mix the cells with Staining Buffer (50 µL).</w:t>
      </w:r>
    </w:p>
    <w:p w14:paraId="03C72A41" w14:textId="77777777" w:rsidR="00277E15" w:rsidRPr="003D2A94" w:rsidRDefault="00277E15" w:rsidP="00277E15">
      <w:pPr>
        <w:rPr>
          <w:rFonts w:asciiTheme="majorHAnsi" w:hAnsiTheme="majorHAnsi" w:cstheme="majorHAnsi"/>
        </w:rPr>
      </w:pPr>
    </w:p>
    <w:p w14:paraId="0AACA455" w14:textId="77777777" w:rsidR="00277E15" w:rsidRPr="003D2A94" w:rsidRDefault="00277E15" w:rsidP="00277E15">
      <w:pPr>
        <w:rPr>
          <w:rFonts w:asciiTheme="majorHAnsi" w:hAnsiTheme="majorHAnsi" w:cstheme="majorHAnsi"/>
        </w:rPr>
      </w:pPr>
      <w:r w:rsidRPr="003D2A94">
        <w:rPr>
          <w:rFonts w:asciiTheme="majorHAnsi" w:hAnsiTheme="majorHAnsi" w:cstheme="majorHAnsi"/>
        </w:rPr>
        <w:t xml:space="preserve">Note: Brilliant Stain Buffer prevents various staining artefacts that may interfere with data analysis when two or more BV or BUV stains are used simultaneously owing to inherent chemical properties of these dyes. In single or unstained conditions, the 50 µL of brilliant stain buffer can be substituted for 50 µL </w:t>
      </w:r>
      <w:r>
        <w:rPr>
          <w:rFonts w:asciiTheme="majorHAnsi" w:hAnsiTheme="majorHAnsi" w:cstheme="majorHAnsi"/>
        </w:rPr>
        <w:t xml:space="preserve">of </w:t>
      </w:r>
      <w:r w:rsidRPr="003D2A94">
        <w:rPr>
          <w:rFonts w:asciiTheme="majorHAnsi" w:hAnsiTheme="majorHAnsi" w:cstheme="majorHAnsi"/>
        </w:rPr>
        <w:t>1% BSA/PBS.</w:t>
      </w:r>
    </w:p>
    <w:p w14:paraId="1C290482" w14:textId="77777777" w:rsidR="00277E15" w:rsidRPr="003D2A94" w:rsidRDefault="00277E15" w:rsidP="00277E15">
      <w:pPr>
        <w:rPr>
          <w:rFonts w:asciiTheme="majorHAnsi" w:hAnsiTheme="majorHAnsi" w:cstheme="majorHAnsi"/>
        </w:rPr>
      </w:pPr>
    </w:p>
    <w:p w14:paraId="6C9EA878" w14:textId="77777777" w:rsidR="00277E15" w:rsidRPr="00FA319F" w:rsidRDefault="00277E15" w:rsidP="00277E15">
      <w:pPr>
        <w:pStyle w:val="ListParagraph"/>
        <w:numPr>
          <w:ilvl w:val="1"/>
          <w:numId w:val="1"/>
        </w:numPr>
        <w:rPr>
          <w:rFonts w:asciiTheme="majorHAnsi" w:hAnsiTheme="majorHAnsi" w:cstheme="majorHAnsi"/>
          <w:highlight w:val="yellow"/>
        </w:rPr>
      </w:pPr>
      <w:r w:rsidRPr="00FA319F">
        <w:rPr>
          <w:rFonts w:asciiTheme="majorHAnsi" w:hAnsiTheme="majorHAnsi" w:cstheme="majorHAnsi"/>
          <w:highlight w:val="yellow"/>
        </w:rPr>
        <w:t xml:space="preserve">Add the antibodies to cells (as per the “volume used” column </w:t>
      </w:r>
      <w:r w:rsidRPr="00FA319F">
        <w:rPr>
          <w:rFonts w:asciiTheme="majorHAnsi" w:hAnsiTheme="majorHAnsi" w:cstheme="majorHAnsi"/>
          <w:b/>
          <w:highlight w:val="yellow"/>
        </w:rPr>
        <w:t>in Table 1</w:t>
      </w:r>
      <w:r w:rsidRPr="00FA319F">
        <w:rPr>
          <w:rFonts w:asciiTheme="majorHAnsi" w:hAnsiTheme="majorHAnsi" w:cstheme="majorHAnsi"/>
          <w:highlight w:val="yellow"/>
        </w:rPr>
        <w:t>) and incubate on ice in the dark for 30 min.</w:t>
      </w:r>
    </w:p>
    <w:p w14:paraId="1DB1FB1B" w14:textId="77777777" w:rsidR="00277E15" w:rsidRPr="00FA319F" w:rsidRDefault="00277E15" w:rsidP="00277E15">
      <w:pPr>
        <w:rPr>
          <w:rFonts w:asciiTheme="majorHAnsi" w:hAnsiTheme="majorHAnsi" w:cstheme="majorHAnsi"/>
          <w:highlight w:val="yellow"/>
        </w:rPr>
      </w:pPr>
    </w:p>
    <w:p w14:paraId="4FFB09DB" w14:textId="77777777" w:rsidR="00277E15" w:rsidRPr="00FA319F" w:rsidRDefault="00277E15" w:rsidP="00277E15">
      <w:pPr>
        <w:pStyle w:val="ListParagraph"/>
        <w:numPr>
          <w:ilvl w:val="1"/>
          <w:numId w:val="1"/>
        </w:numPr>
        <w:rPr>
          <w:rFonts w:asciiTheme="majorHAnsi" w:hAnsiTheme="majorHAnsi" w:cstheme="majorHAnsi"/>
          <w:highlight w:val="yellow"/>
        </w:rPr>
      </w:pPr>
      <w:r w:rsidRPr="00FA319F">
        <w:rPr>
          <w:rFonts w:asciiTheme="majorHAnsi" w:hAnsiTheme="majorHAnsi" w:cstheme="majorHAnsi"/>
          <w:highlight w:val="yellow"/>
        </w:rPr>
        <w:t>Wash the cells twice in 1% BSA/PBS by centrifuging for 3 min at 600 x g during each wash.</w:t>
      </w:r>
    </w:p>
    <w:p w14:paraId="6CB60899" w14:textId="77777777" w:rsidR="00277E15" w:rsidRPr="00FA319F" w:rsidRDefault="00277E15" w:rsidP="00277E15">
      <w:pPr>
        <w:rPr>
          <w:rFonts w:asciiTheme="majorHAnsi" w:hAnsiTheme="majorHAnsi" w:cstheme="majorHAnsi"/>
          <w:highlight w:val="yellow"/>
        </w:rPr>
      </w:pPr>
    </w:p>
    <w:p w14:paraId="1E74C0F5" w14:textId="77777777" w:rsidR="00277E15" w:rsidRPr="00FA319F" w:rsidRDefault="00277E15" w:rsidP="00277E15">
      <w:pPr>
        <w:pStyle w:val="ListParagraph"/>
        <w:numPr>
          <w:ilvl w:val="1"/>
          <w:numId w:val="1"/>
        </w:numPr>
        <w:rPr>
          <w:rFonts w:asciiTheme="majorHAnsi" w:hAnsiTheme="majorHAnsi" w:cstheme="majorHAnsi"/>
          <w:highlight w:val="yellow"/>
        </w:rPr>
      </w:pPr>
      <w:proofErr w:type="spellStart"/>
      <w:r w:rsidRPr="00FA319F">
        <w:rPr>
          <w:rFonts w:asciiTheme="majorHAnsi" w:hAnsiTheme="majorHAnsi" w:cstheme="majorHAnsi"/>
          <w:highlight w:val="yellow"/>
        </w:rPr>
        <w:t>Resuspend</w:t>
      </w:r>
      <w:proofErr w:type="spellEnd"/>
      <w:r w:rsidRPr="00FA319F">
        <w:rPr>
          <w:rFonts w:asciiTheme="majorHAnsi" w:hAnsiTheme="majorHAnsi" w:cstheme="majorHAnsi"/>
          <w:highlight w:val="yellow"/>
        </w:rPr>
        <w:t xml:space="preserve"> in 1% BSA/PBS (400 µL) and transfer to a flow cytometry acquisition tube.</w:t>
      </w:r>
    </w:p>
    <w:p w14:paraId="001B35B9" w14:textId="77777777" w:rsidR="00277E15" w:rsidRPr="00FA319F" w:rsidRDefault="00277E15" w:rsidP="00277E15">
      <w:pPr>
        <w:rPr>
          <w:rFonts w:asciiTheme="majorHAnsi" w:hAnsiTheme="majorHAnsi" w:cstheme="majorHAnsi"/>
          <w:highlight w:val="yellow"/>
        </w:rPr>
      </w:pPr>
    </w:p>
    <w:p w14:paraId="2EE8AEF5" w14:textId="77777777" w:rsidR="00277E15" w:rsidRPr="00FA319F" w:rsidRDefault="00277E15" w:rsidP="00277E15">
      <w:pPr>
        <w:pStyle w:val="ListParagraph"/>
        <w:numPr>
          <w:ilvl w:val="1"/>
          <w:numId w:val="1"/>
        </w:numPr>
        <w:rPr>
          <w:rFonts w:asciiTheme="majorHAnsi" w:hAnsiTheme="majorHAnsi" w:cstheme="majorHAnsi"/>
          <w:highlight w:val="yellow"/>
          <w:lang w:eastAsia="ja-JP"/>
        </w:rPr>
      </w:pPr>
      <w:r w:rsidRPr="00FA319F">
        <w:rPr>
          <w:rFonts w:asciiTheme="majorHAnsi" w:hAnsiTheme="majorHAnsi" w:cstheme="majorHAnsi"/>
          <w:highlight w:val="yellow"/>
          <w:lang w:eastAsia="ja-JP"/>
        </w:rPr>
        <w:t>Vortex the cells gently before acquiring data on a flow cytometer:</w:t>
      </w:r>
    </w:p>
    <w:p w14:paraId="2F8CC20D" w14:textId="77777777" w:rsidR="00277E15" w:rsidRPr="00FA319F" w:rsidRDefault="00277E15" w:rsidP="00277E15">
      <w:pPr>
        <w:rPr>
          <w:rFonts w:asciiTheme="majorHAnsi" w:hAnsiTheme="majorHAnsi" w:cstheme="majorHAnsi"/>
          <w:highlight w:val="yellow"/>
          <w:lang w:eastAsia="ja-JP"/>
        </w:rPr>
      </w:pPr>
    </w:p>
    <w:p w14:paraId="45FD34CE" w14:textId="77777777" w:rsidR="00277E15" w:rsidRPr="00FA319F" w:rsidRDefault="00277E15" w:rsidP="00277E15">
      <w:pPr>
        <w:pStyle w:val="NormalWeb"/>
        <w:numPr>
          <w:ilvl w:val="0"/>
          <w:numId w:val="1"/>
        </w:numPr>
        <w:spacing w:before="0" w:beforeAutospacing="0" w:after="0" w:afterAutospacing="0"/>
        <w:rPr>
          <w:rFonts w:asciiTheme="majorHAnsi" w:hAnsiTheme="majorHAnsi" w:cstheme="majorHAnsi"/>
          <w:b/>
          <w:highlight w:val="yellow"/>
        </w:rPr>
      </w:pPr>
      <w:r w:rsidRPr="00FA319F">
        <w:rPr>
          <w:rFonts w:asciiTheme="majorHAnsi" w:hAnsiTheme="majorHAnsi" w:cstheme="majorHAnsi"/>
          <w:b/>
          <w:highlight w:val="yellow"/>
        </w:rPr>
        <w:t>Flow Cytometry Controls and Set-up</w:t>
      </w:r>
    </w:p>
    <w:p w14:paraId="1DDF92A3" w14:textId="77777777" w:rsidR="00277E15" w:rsidRPr="00B93BC6" w:rsidRDefault="00277E15" w:rsidP="00277E15">
      <w:pPr>
        <w:rPr>
          <w:rFonts w:asciiTheme="majorHAnsi" w:hAnsiTheme="majorHAnsi" w:cstheme="majorHAnsi"/>
          <w:color w:val="auto"/>
        </w:rPr>
      </w:pPr>
    </w:p>
    <w:p w14:paraId="25093BDA" w14:textId="77777777" w:rsidR="00277E15" w:rsidRPr="00FA319F" w:rsidRDefault="00277E15" w:rsidP="00277E15">
      <w:pPr>
        <w:pStyle w:val="ListParagraph"/>
        <w:numPr>
          <w:ilvl w:val="1"/>
          <w:numId w:val="1"/>
        </w:numPr>
        <w:rPr>
          <w:rFonts w:asciiTheme="majorHAnsi" w:hAnsiTheme="majorHAnsi" w:cstheme="majorHAnsi"/>
          <w:color w:val="auto"/>
          <w:highlight w:val="yellow"/>
        </w:rPr>
      </w:pPr>
      <w:r w:rsidRPr="00FA319F">
        <w:rPr>
          <w:rFonts w:asciiTheme="majorHAnsi" w:hAnsiTheme="majorHAnsi" w:cstheme="majorHAnsi"/>
          <w:color w:val="auto"/>
          <w:highlight w:val="yellow"/>
        </w:rPr>
        <w:t>Using an unstained sample, set photodiode voltages so that lymphocytes can be separated from obvious debris and dead cells (events with high side scatter (SSC) area and low forward scatter (FSC) area)</w:t>
      </w:r>
      <w:r w:rsidRPr="00FA319F">
        <w:rPr>
          <w:rFonts w:asciiTheme="majorHAnsi" w:hAnsiTheme="majorHAnsi" w:cstheme="majorHAnsi"/>
          <w:color w:val="auto"/>
          <w:highlight w:val="yellow"/>
          <w:vertAlign w:val="superscript"/>
        </w:rPr>
        <w:t>16</w:t>
      </w:r>
      <w:r w:rsidRPr="00FA319F">
        <w:rPr>
          <w:rFonts w:asciiTheme="majorHAnsi" w:hAnsiTheme="majorHAnsi" w:cstheme="majorHAnsi"/>
          <w:color w:val="auto"/>
          <w:highlight w:val="yellow"/>
        </w:rPr>
        <w:t>. Using single stained samples, set photomultiplier (PMT) voltages so that positive fluorescence can be discerned from background fluorescence while making sure that all events fall within the detectable scale.</w:t>
      </w:r>
    </w:p>
    <w:p w14:paraId="6E49DC5B" w14:textId="77777777" w:rsidR="00277E15" w:rsidRDefault="00277E15" w:rsidP="00277E15">
      <w:pPr>
        <w:rPr>
          <w:rFonts w:asciiTheme="majorHAnsi" w:hAnsiTheme="majorHAnsi" w:cstheme="majorHAnsi"/>
          <w:color w:val="auto"/>
        </w:rPr>
      </w:pPr>
    </w:p>
    <w:p w14:paraId="229777CF" w14:textId="77777777" w:rsidR="00277E15" w:rsidRPr="00B93BC6" w:rsidRDefault="00277E15" w:rsidP="00277E15">
      <w:pPr>
        <w:rPr>
          <w:rFonts w:asciiTheme="majorHAnsi" w:hAnsiTheme="majorHAnsi" w:cstheme="majorHAnsi"/>
          <w:color w:val="auto"/>
        </w:rPr>
      </w:pPr>
      <w:r w:rsidRPr="00B93BC6">
        <w:rPr>
          <w:rFonts w:asciiTheme="majorHAnsi" w:hAnsiTheme="majorHAnsi" w:cstheme="majorHAnsi"/>
          <w:color w:val="auto"/>
        </w:rPr>
        <w:t>Note: An improvement would be to plot CV against PMT voltage for each PMT using dimly fluorescent beads to find the minimum voltage for optimum resolution (The “Peak 2” method</w:t>
      </w:r>
      <w:r w:rsidRPr="00DA55E8">
        <w:rPr>
          <w:rFonts w:asciiTheme="majorHAnsi" w:hAnsiTheme="majorHAnsi" w:cstheme="majorHAnsi"/>
          <w:color w:val="auto"/>
          <w:vertAlign w:val="superscript"/>
        </w:rPr>
        <w:t>1</w:t>
      </w:r>
      <w:r>
        <w:rPr>
          <w:rFonts w:asciiTheme="majorHAnsi" w:hAnsiTheme="majorHAnsi" w:cstheme="majorHAnsi"/>
          <w:color w:val="auto"/>
          <w:vertAlign w:val="superscript"/>
        </w:rPr>
        <w:t>9</w:t>
      </w:r>
      <w:r w:rsidRPr="00B93BC6">
        <w:rPr>
          <w:rFonts w:asciiTheme="majorHAnsi" w:hAnsiTheme="majorHAnsi" w:cstheme="majorHAnsi"/>
          <w:color w:val="auto"/>
        </w:rPr>
        <w:t>)</w:t>
      </w:r>
      <w:r>
        <w:rPr>
          <w:rFonts w:asciiTheme="majorHAnsi" w:hAnsiTheme="majorHAnsi" w:cstheme="majorHAnsi"/>
          <w:color w:val="auto"/>
        </w:rPr>
        <w:t>.</w:t>
      </w:r>
    </w:p>
    <w:p w14:paraId="27DC17A4" w14:textId="77777777" w:rsidR="00277E15" w:rsidRPr="00B93BC6" w:rsidRDefault="00277E15" w:rsidP="00277E15">
      <w:pPr>
        <w:rPr>
          <w:rFonts w:asciiTheme="majorHAnsi" w:hAnsiTheme="majorHAnsi" w:cstheme="majorHAnsi"/>
          <w:color w:val="auto"/>
        </w:rPr>
      </w:pPr>
    </w:p>
    <w:p w14:paraId="4183C771" w14:textId="77777777" w:rsidR="00277E15" w:rsidRPr="00FA319F" w:rsidRDefault="00277E15" w:rsidP="00277E15">
      <w:pPr>
        <w:pStyle w:val="ListParagraph"/>
        <w:numPr>
          <w:ilvl w:val="1"/>
          <w:numId w:val="1"/>
        </w:numPr>
        <w:rPr>
          <w:rFonts w:asciiTheme="majorHAnsi" w:hAnsiTheme="majorHAnsi" w:cstheme="majorHAnsi"/>
          <w:color w:val="auto"/>
          <w:highlight w:val="yellow"/>
        </w:rPr>
      </w:pPr>
      <w:r w:rsidRPr="00FA319F">
        <w:rPr>
          <w:rFonts w:asciiTheme="majorHAnsi" w:hAnsiTheme="majorHAnsi" w:cstheme="majorHAnsi"/>
          <w:color w:val="auto"/>
          <w:highlight w:val="yellow"/>
        </w:rPr>
        <w:t xml:space="preserve">Account for spectral overlap by generating a compensation matrix using single stains with capture beads. Add commercially available compensation beads (60 µL), and negative control beads (60 µL) to 1% BSA/PBS (100 µL), and vortex. </w:t>
      </w:r>
    </w:p>
    <w:p w14:paraId="77872439" w14:textId="77777777" w:rsidR="00277E15" w:rsidRDefault="00277E15" w:rsidP="00277E15">
      <w:pPr>
        <w:rPr>
          <w:rFonts w:asciiTheme="majorHAnsi" w:hAnsiTheme="majorHAnsi" w:cstheme="majorHAnsi"/>
          <w:color w:val="auto"/>
        </w:rPr>
      </w:pPr>
    </w:p>
    <w:p w14:paraId="1685874F" w14:textId="77777777" w:rsidR="00277E15" w:rsidRPr="00305CBE" w:rsidRDefault="00277E15" w:rsidP="00277E15">
      <w:pPr>
        <w:rPr>
          <w:rFonts w:asciiTheme="majorHAnsi" w:hAnsiTheme="majorHAnsi" w:cstheme="majorHAnsi"/>
          <w:color w:val="auto"/>
        </w:rPr>
      </w:pPr>
      <w:r w:rsidRPr="00305CBE">
        <w:rPr>
          <w:rFonts w:asciiTheme="majorHAnsi" w:hAnsiTheme="majorHAnsi" w:cstheme="majorHAnsi"/>
          <w:color w:val="auto"/>
        </w:rPr>
        <w:t>Note: The capture beads used must match the host species and IgG isotype of the antibody being used. The compensation matrix should be re-calculated if the lot number of any tandem dyes changes, as they can display considerable variability in their emission spectra between lots.</w:t>
      </w:r>
    </w:p>
    <w:p w14:paraId="1BA4AB0E" w14:textId="77777777" w:rsidR="00277E15" w:rsidRPr="00305CBE" w:rsidRDefault="00277E15" w:rsidP="00277E15">
      <w:pPr>
        <w:pStyle w:val="ListParagraph"/>
        <w:ind w:left="360"/>
        <w:rPr>
          <w:rFonts w:asciiTheme="majorHAnsi" w:hAnsiTheme="majorHAnsi" w:cstheme="majorHAnsi"/>
          <w:color w:val="auto"/>
        </w:rPr>
      </w:pPr>
    </w:p>
    <w:p w14:paraId="17430B42" w14:textId="77777777" w:rsidR="00277E15" w:rsidRPr="00FA319F" w:rsidRDefault="00277E15" w:rsidP="00277E15">
      <w:pPr>
        <w:pStyle w:val="ListParagraph"/>
        <w:numPr>
          <w:ilvl w:val="1"/>
          <w:numId w:val="1"/>
        </w:numPr>
        <w:rPr>
          <w:rFonts w:asciiTheme="majorHAnsi" w:hAnsiTheme="majorHAnsi" w:cstheme="majorHAnsi"/>
          <w:color w:val="auto"/>
          <w:highlight w:val="yellow"/>
        </w:rPr>
      </w:pPr>
      <w:r w:rsidRPr="00FA319F">
        <w:rPr>
          <w:rFonts w:asciiTheme="majorHAnsi" w:hAnsiTheme="majorHAnsi" w:cstheme="majorHAnsi"/>
          <w:color w:val="auto"/>
          <w:highlight w:val="yellow"/>
        </w:rPr>
        <w:t>Add a single antibody (20 µL) and vortex.</w:t>
      </w:r>
    </w:p>
    <w:p w14:paraId="0213AE49" w14:textId="77777777" w:rsidR="00277E15" w:rsidRPr="00FA319F" w:rsidRDefault="00277E15" w:rsidP="00277E15">
      <w:pPr>
        <w:rPr>
          <w:rFonts w:asciiTheme="majorHAnsi" w:hAnsiTheme="majorHAnsi" w:cstheme="majorHAnsi"/>
          <w:color w:val="auto"/>
          <w:highlight w:val="yellow"/>
        </w:rPr>
      </w:pPr>
    </w:p>
    <w:p w14:paraId="4811C8B0" w14:textId="77777777" w:rsidR="00277E15" w:rsidRPr="00FA319F" w:rsidRDefault="00277E15" w:rsidP="00277E15">
      <w:pPr>
        <w:pStyle w:val="ListParagraph"/>
        <w:numPr>
          <w:ilvl w:val="1"/>
          <w:numId w:val="1"/>
        </w:numPr>
        <w:rPr>
          <w:rFonts w:asciiTheme="majorHAnsi" w:hAnsiTheme="majorHAnsi" w:cstheme="majorHAnsi"/>
          <w:color w:val="auto"/>
          <w:highlight w:val="yellow"/>
        </w:rPr>
      </w:pPr>
      <w:r w:rsidRPr="00FA319F">
        <w:rPr>
          <w:rFonts w:asciiTheme="majorHAnsi" w:hAnsiTheme="majorHAnsi" w:cstheme="majorHAnsi"/>
          <w:color w:val="auto"/>
          <w:highlight w:val="yellow"/>
        </w:rPr>
        <w:t>Incubate at room temperature in the dark for 30 min.</w:t>
      </w:r>
    </w:p>
    <w:p w14:paraId="6D4CDB2F" w14:textId="77777777" w:rsidR="00277E15" w:rsidRPr="00FA319F" w:rsidRDefault="00277E15" w:rsidP="00277E15">
      <w:pPr>
        <w:rPr>
          <w:rFonts w:asciiTheme="majorHAnsi" w:hAnsiTheme="majorHAnsi" w:cstheme="majorHAnsi"/>
          <w:color w:val="auto"/>
          <w:highlight w:val="yellow"/>
        </w:rPr>
      </w:pPr>
    </w:p>
    <w:p w14:paraId="38818359" w14:textId="77777777" w:rsidR="00277E15" w:rsidRPr="00FA319F" w:rsidRDefault="00277E15" w:rsidP="00277E15">
      <w:pPr>
        <w:pStyle w:val="ListParagraph"/>
        <w:numPr>
          <w:ilvl w:val="1"/>
          <w:numId w:val="1"/>
        </w:numPr>
        <w:rPr>
          <w:rFonts w:asciiTheme="majorHAnsi" w:hAnsiTheme="majorHAnsi" w:cstheme="majorHAnsi"/>
          <w:color w:val="auto"/>
          <w:highlight w:val="yellow"/>
        </w:rPr>
      </w:pPr>
      <w:r w:rsidRPr="00FA319F">
        <w:rPr>
          <w:rFonts w:asciiTheme="majorHAnsi" w:hAnsiTheme="majorHAnsi" w:cstheme="majorHAnsi"/>
          <w:color w:val="auto"/>
          <w:highlight w:val="yellow"/>
        </w:rPr>
        <w:t>Centrifuge at 200 x g for 10 min and discard the supernatant.</w:t>
      </w:r>
    </w:p>
    <w:p w14:paraId="5B98CF1D" w14:textId="77777777" w:rsidR="00277E15" w:rsidRPr="00FA319F" w:rsidRDefault="00277E15" w:rsidP="00277E15">
      <w:pPr>
        <w:rPr>
          <w:rFonts w:asciiTheme="majorHAnsi" w:hAnsiTheme="majorHAnsi" w:cstheme="majorHAnsi"/>
          <w:color w:val="auto"/>
          <w:highlight w:val="yellow"/>
        </w:rPr>
      </w:pPr>
    </w:p>
    <w:p w14:paraId="104E66F3" w14:textId="77777777" w:rsidR="00277E15" w:rsidRPr="00FA319F" w:rsidRDefault="00277E15" w:rsidP="00277E15">
      <w:pPr>
        <w:pStyle w:val="ListParagraph"/>
        <w:numPr>
          <w:ilvl w:val="1"/>
          <w:numId w:val="1"/>
        </w:numPr>
        <w:rPr>
          <w:rFonts w:asciiTheme="majorHAnsi" w:hAnsiTheme="majorHAnsi" w:cstheme="majorHAnsi"/>
          <w:color w:val="auto"/>
          <w:highlight w:val="yellow"/>
        </w:rPr>
      </w:pPr>
      <w:proofErr w:type="spellStart"/>
      <w:r w:rsidRPr="00FA319F">
        <w:rPr>
          <w:rFonts w:asciiTheme="majorHAnsi" w:hAnsiTheme="majorHAnsi" w:cstheme="majorHAnsi"/>
          <w:color w:val="auto"/>
          <w:highlight w:val="yellow"/>
        </w:rPr>
        <w:t>Resuspend</w:t>
      </w:r>
      <w:proofErr w:type="spellEnd"/>
      <w:r w:rsidRPr="00FA319F">
        <w:rPr>
          <w:rFonts w:asciiTheme="majorHAnsi" w:hAnsiTheme="majorHAnsi" w:cstheme="majorHAnsi"/>
          <w:color w:val="auto"/>
          <w:highlight w:val="yellow"/>
        </w:rPr>
        <w:t xml:space="preserve"> in 1%BSA/PBS (500 µL) and vortex.</w:t>
      </w:r>
    </w:p>
    <w:p w14:paraId="2AD042D5" w14:textId="77777777" w:rsidR="00277E15" w:rsidRPr="00FA319F" w:rsidRDefault="00277E15" w:rsidP="00277E15">
      <w:pPr>
        <w:rPr>
          <w:rFonts w:asciiTheme="majorHAnsi" w:hAnsiTheme="majorHAnsi" w:cstheme="majorHAnsi"/>
          <w:color w:val="auto"/>
          <w:highlight w:val="yellow"/>
        </w:rPr>
      </w:pPr>
    </w:p>
    <w:p w14:paraId="12A0B4F5" w14:textId="77777777" w:rsidR="00277E15" w:rsidRPr="00FA319F" w:rsidRDefault="00277E15" w:rsidP="00277E15">
      <w:pPr>
        <w:pStyle w:val="ListParagraph"/>
        <w:numPr>
          <w:ilvl w:val="1"/>
          <w:numId w:val="1"/>
        </w:numPr>
        <w:rPr>
          <w:rFonts w:asciiTheme="majorHAnsi" w:hAnsiTheme="majorHAnsi" w:cstheme="majorHAnsi"/>
          <w:color w:val="auto"/>
          <w:highlight w:val="yellow"/>
        </w:rPr>
      </w:pPr>
      <w:r w:rsidRPr="00FA319F">
        <w:rPr>
          <w:rFonts w:asciiTheme="majorHAnsi" w:hAnsiTheme="majorHAnsi" w:cstheme="majorHAnsi"/>
          <w:color w:val="auto"/>
          <w:highlight w:val="yellow"/>
        </w:rPr>
        <w:t>Acquire the sample with a flow cytometer using the designated compensation matrix generator in the acquisition software according to the manufacturer’s instructions.</w:t>
      </w:r>
    </w:p>
    <w:p w14:paraId="3A4ACABC" w14:textId="77777777" w:rsidR="00277E15" w:rsidRPr="003D2A94" w:rsidRDefault="00277E15" w:rsidP="00277E15">
      <w:pPr>
        <w:rPr>
          <w:rFonts w:asciiTheme="majorHAnsi" w:hAnsiTheme="majorHAnsi" w:cstheme="majorHAnsi"/>
          <w:color w:val="auto"/>
        </w:rPr>
      </w:pPr>
    </w:p>
    <w:p w14:paraId="62505CD2" w14:textId="77777777" w:rsidR="00277E15" w:rsidRPr="003D2A94" w:rsidRDefault="00277E15" w:rsidP="00277E15">
      <w:pPr>
        <w:pStyle w:val="ListParagraph"/>
        <w:numPr>
          <w:ilvl w:val="1"/>
          <w:numId w:val="1"/>
        </w:numPr>
        <w:rPr>
          <w:rFonts w:asciiTheme="majorHAnsi" w:hAnsiTheme="majorHAnsi" w:cstheme="majorHAnsi"/>
          <w:color w:val="auto"/>
        </w:rPr>
      </w:pPr>
      <w:r w:rsidRPr="003D2A94">
        <w:rPr>
          <w:rFonts w:asciiTheme="majorHAnsi" w:hAnsiTheme="majorHAnsi" w:cstheme="majorHAnsi"/>
          <w:color w:val="auto"/>
        </w:rPr>
        <w:t>Use FMO controls to guide the placement of gates for positive marker fluorescence to account for dye spill over, which is the main source of background fluorescence in experiments using ≥4 colours</w:t>
      </w:r>
      <w:r w:rsidRPr="003D2A94">
        <w:rPr>
          <w:rFonts w:asciiTheme="majorHAnsi" w:hAnsiTheme="majorHAnsi" w:cstheme="majorHAnsi"/>
          <w:color w:val="auto"/>
          <w:vertAlign w:val="superscript"/>
        </w:rPr>
        <w:t>16</w:t>
      </w:r>
      <w:r w:rsidRPr="003D2A94">
        <w:rPr>
          <w:rFonts w:asciiTheme="majorHAnsi" w:hAnsiTheme="majorHAnsi" w:cstheme="majorHAnsi"/>
          <w:color w:val="auto"/>
        </w:rPr>
        <w:t xml:space="preserve">. Follow the general cell-surface staining protocol as described in </w:t>
      </w:r>
      <w:r>
        <w:rPr>
          <w:rFonts w:asciiTheme="majorHAnsi" w:hAnsiTheme="majorHAnsi" w:cstheme="majorHAnsi"/>
          <w:color w:val="auto"/>
        </w:rPr>
        <w:t>Step</w:t>
      </w:r>
      <w:r w:rsidRPr="003D2A94">
        <w:rPr>
          <w:rFonts w:asciiTheme="majorHAnsi" w:hAnsiTheme="majorHAnsi" w:cstheme="majorHAnsi"/>
          <w:color w:val="auto"/>
        </w:rPr>
        <w:t xml:space="preserve"> 3, but for each condition, omit </w:t>
      </w:r>
      <w:r w:rsidRPr="003D2A94">
        <w:rPr>
          <w:rFonts w:asciiTheme="majorHAnsi" w:hAnsiTheme="majorHAnsi" w:cstheme="majorHAnsi"/>
          <w:b/>
          <w:color w:val="auto"/>
        </w:rPr>
        <w:t>one</w:t>
      </w:r>
      <w:r w:rsidRPr="003D2A94">
        <w:rPr>
          <w:rFonts w:asciiTheme="majorHAnsi" w:hAnsiTheme="majorHAnsi" w:cstheme="majorHAnsi"/>
          <w:color w:val="auto"/>
        </w:rPr>
        <w:t xml:space="preserve"> of the fluorophores from the staining step (where CD45RA is omitted, also omit the live/dead stain). Acquire 100,000 lymphocytes for each condition.</w:t>
      </w:r>
    </w:p>
    <w:p w14:paraId="4005CBEA" w14:textId="77777777" w:rsidR="00277E15" w:rsidRPr="003D2A94" w:rsidRDefault="00277E15" w:rsidP="00277E15">
      <w:pPr>
        <w:ind w:left="-720"/>
        <w:rPr>
          <w:rFonts w:asciiTheme="majorHAnsi" w:hAnsiTheme="majorHAnsi" w:cstheme="majorHAnsi"/>
          <w:color w:val="auto"/>
        </w:rPr>
      </w:pPr>
    </w:p>
    <w:p w14:paraId="396CB1DD" w14:textId="77777777" w:rsidR="00277E15" w:rsidRPr="003D2A94" w:rsidRDefault="00277E15" w:rsidP="00277E15">
      <w:pPr>
        <w:pStyle w:val="ListParagraph"/>
        <w:numPr>
          <w:ilvl w:val="1"/>
          <w:numId w:val="1"/>
        </w:numPr>
        <w:rPr>
          <w:rFonts w:asciiTheme="majorHAnsi" w:hAnsiTheme="majorHAnsi" w:cstheme="majorHAnsi"/>
          <w:color w:val="auto"/>
        </w:rPr>
      </w:pPr>
      <w:r w:rsidRPr="00FA319F">
        <w:rPr>
          <w:rFonts w:asciiTheme="majorHAnsi" w:hAnsiTheme="majorHAnsi" w:cstheme="majorHAnsi"/>
          <w:color w:val="auto"/>
          <w:highlight w:val="yellow"/>
        </w:rPr>
        <w:t>Set the gate positivity at ≤0.5% of cells.</w:t>
      </w:r>
      <w:r w:rsidRPr="003D2A94">
        <w:rPr>
          <w:rFonts w:asciiTheme="majorHAnsi" w:hAnsiTheme="majorHAnsi" w:cstheme="majorHAnsi"/>
          <w:color w:val="auto"/>
        </w:rPr>
        <w:t xml:space="preserve"> See </w:t>
      </w:r>
      <w:r w:rsidRPr="00A65C2A">
        <w:rPr>
          <w:rFonts w:asciiTheme="majorHAnsi" w:hAnsiTheme="majorHAnsi" w:cstheme="majorHAnsi"/>
          <w:b/>
          <w:color w:val="auto"/>
        </w:rPr>
        <w:t>Figure 2</w:t>
      </w:r>
      <w:r w:rsidRPr="003D2A94">
        <w:rPr>
          <w:rFonts w:asciiTheme="majorHAnsi" w:hAnsiTheme="majorHAnsi" w:cstheme="majorHAnsi"/>
          <w:color w:val="auto"/>
        </w:rPr>
        <w:t xml:space="preserve"> for an illustrated example of FMO controls.</w:t>
      </w:r>
    </w:p>
    <w:p w14:paraId="19F04DAB" w14:textId="77777777" w:rsidR="00277E15" w:rsidRPr="00B93BC6" w:rsidRDefault="00277E15" w:rsidP="00277E15">
      <w:pPr>
        <w:rPr>
          <w:rFonts w:asciiTheme="majorHAnsi" w:hAnsiTheme="majorHAnsi" w:cstheme="majorHAnsi"/>
          <w:lang w:eastAsia="ja-JP"/>
        </w:rPr>
      </w:pPr>
    </w:p>
    <w:p w14:paraId="32E05F8E" w14:textId="77777777" w:rsidR="00277E15" w:rsidRPr="00FA319F" w:rsidRDefault="00277E15" w:rsidP="00277E15">
      <w:pPr>
        <w:pStyle w:val="ListParagraph"/>
        <w:numPr>
          <w:ilvl w:val="0"/>
          <w:numId w:val="1"/>
        </w:numPr>
        <w:rPr>
          <w:rFonts w:asciiTheme="majorHAnsi" w:hAnsiTheme="majorHAnsi" w:cstheme="majorHAnsi"/>
          <w:b/>
          <w:highlight w:val="yellow"/>
        </w:rPr>
      </w:pPr>
      <w:r w:rsidRPr="00FA319F">
        <w:rPr>
          <w:rFonts w:asciiTheme="majorHAnsi" w:hAnsiTheme="majorHAnsi" w:cstheme="majorHAnsi"/>
          <w:b/>
          <w:highlight w:val="yellow"/>
        </w:rPr>
        <w:t>Data Analysis</w:t>
      </w:r>
    </w:p>
    <w:p w14:paraId="64BE9A88" w14:textId="77777777" w:rsidR="00277E15" w:rsidRPr="00FA319F" w:rsidRDefault="00277E15" w:rsidP="00277E15">
      <w:pPr>
        <w:rPr>
          <w:rFonts w:asciiTheme="majorHAnsi" w:hAnsiTheme="majorHAnsi" w:cstheme="majorHAnsi"/>
          <w:b/>
          <w:highlight w:val="yellow"/>
        </w:rPr>
      </w:pPr>
    </w:p>
    <w:p w14:paraId="7F3B4C56" w14:textId="77777777" w:rsidR="00277E15" w:rsidRPr="00FA319F" w:rsidRDefault="00277E15" w:rsidP="00277E15">
      <w:pPr>
        <w:pStyle w:val="ListParagraph"/>
        <w:numPr>
          <w:ilvl w:val="1"/>
          <w:numId w:val="1"/>
        </w:numPr>
        <w:rPr>
          <w:rFonts w:asciiTheme="majorHAnsi" w:hAnsiTheme="majorHAnsi" w:cstheme="majorHAnsi"/>
          <w:highlight w:val="yellow"/>
          <w:lang w:eastAsia="ja-JP"/>
        </w:rPr>
      </w:pPr>
      <w:r w:rsidRPr="00FA319F">
        <w:rPr>
          <w:rFonts w:asciiTheme="majorHAnsi" w:hAnsiTheme="majorHAnsi" w:cstheme="majorHAnsi"/>
          <w:color w:val="auto"/>
          <w:highlight w:val="yellow"/>
          <w:lang w:eastAsia="ja-JP"/>
        </w:rPr>
        <w:t xml:space="preserve">Employ the flow cytometer’s acquisition software to set </w:t>
      </w:r>
      <w:r w:rsidRPr="00FA319F">
        <w:rPr>
          <w:rFonts w:asciiTheme="majorHAnsi" w:hAnsiTheme="majorHAnsi" w:cstheme="majorHAnsi"/>
          <w:highlight w:val="yellow"/>
          <w:lang w:eastAsia="ja-JP"/>
        </w:rPr>
        <w:t>a threshold of 5000 units on the FSC parameter to exclude very small debris.</w:t>
      </w:r>
    </w:p>
    <w:p w14:paraId="20EC85E4" w14:textId="77777777" w:rsidR="00277E15" w:rsidRPr="00FA319F" w:rsidRDefault="00277E15" w:rsidP="00277E15">
      <w:pPr>
        <w:rPr>
          <w:rFonts w:asciiTheme="majorHAnsi" w:hAnsiTheme="majorHAnsi" w:cstheme="majorHAnsi"/>
          <w:highlight w:val="yellow"/>
          <w:lang w:eastAsia="ja-JP"/>
        </w:rPr>
      </w:pPr>
    </w:p>
    <w:p w14:paraId="2CD93F0A" w14:textId="77777777" w:rsidR="00277E15" w:rsidRPr="00FA319F" w:rsidRDefault="00277E15" w:rsidP="00277E15">
      <w:pPr>
        <w:pStyle w:val="ListParagraph"/>
        <w:numPr>
          <w:ilvl w:val="1"/>
          <w:numId w:val="1"/>
        </w:numPr>
        <w:rPr>
          <w:rFonts w:asciiTheme="majorHAnsi" w:hAnsiTheme="majorHAnsi" w:cstheme="majorHAnsi"/>
          <w:highlight w:val="yellow"/>
          <w:lang w:eastAsia="ja-JP"/>
        </w:rPr>
      </w:pPr>
      <w:r w:rsidRPr="00FA319F">
        <w:rPr>
          <w:rFonts w:asciiTheme="majorHAnsi" w:hAnsiTheme="majorHAnsi" w:cstheme="majorHAnsi"/>
          <w:highlight w:val="yellow"/>
          <w:lang w:eastAsia="ja-JP"/>
        </w:rPr>
        <w:t xml:space="preserve">Use a stopping gate to acquire 10000 </w:t>
      </w:r>
      <w:proofErr w:type="spellStart"/>
      <w:r w:rsidRPr="00FA319F">
        <w:rPr>
          <w:rFonts w:asciiTheme="majorHAnsi" w:hAnsiTheme="majorHAnsi" w:cstheme="majorHAnsi"/>
          <w:highlight w:val="yellow"/>
          <w:lang w:eastAsia="ja-JP"/>
        </w:rPr>
        <w:t>cTfh</w:t>
      </w:r>
      <w:proofErr w:type="spellEnd"/>
      <w:r w:rsidRPr="00FA319F">
        <w:rPr>
          <w:rFonts w:asciiTheme="majorHAnsi" w:hAnsiTheme="majorHAnsi" w:cstheme="majorHAnsi"/>
          <w:highlight w:val="yellow"/>
          <w:lang w:eastAsia="ja-JP"/>
        </w:rPr>
        <w:t xml:space="preserve"> cells (CD4</w:t>
      </w:r>
      <w:r w:rsidRPr="00FA319F">
        <w:rPr>
          <w:rFonts w:asciiTheme="majorHAnsi" w:hAnsiTheme="majorHAnsi" w:cstheme="majorHAnsi"/>
          <w:highlight w:val="yellow"/>
          <w:vertAlign w:val="superscript"/>
          <w:lang w:eastAsia="ja-JP"/>
        </w:rPr>
        <w:t>+</w:t>
      </w:r>
      <w:r w:rsidRPr="00FA319F">
        <w:rPr>
          <w:rFonts w:asciiTheme="majorHAnsi" w:hAnsiTheme="majorHAnsi" w:cstheme="majorHAnsi"/>
          <w:highlight w:val="yellow"/>
          <w:lang w:eastAsia="ja-JP"/>
        </w:rPr>
        <w:t xml:space="preserve"> CD45RA</w:t>
      </w:r>
      <w:r w:rsidRPr="00FA319F">
        <w:rPr>
          <w:rFonts w:asciiTheme="majorHAnsi" w:hAnsiTheme="majorHAnsi" w:cstheme="majorHAnsi"/>
          <w:highlight w:val="yellow"/>
          <w:vertAlign w:val="superscript"/>
          <w:lang w:eastAsia="ja-JP"/>
        </w:rPr>
        <w:t>-</w:t>
      </w:r>
      <w:r w:rsidRPr="00FA319F">
        <w:rPr>
          <w:rFonts w:asciiTheme="majorHAnsi" w:hAnsiTheme="majorHAnsi" w:cstheme="majorHAnsi"/>
          <w:highlight w:val="yellow"/>
          <w:lang w:eastAsia="ja-JP"/>
        </w:rPr>
        <w:t xml:space="preserve"> CXCR5</w:t>
      </w:r>
      <w:r w:rsidRPr="00FA319F">
        <w:rPr>
          <w:rFonts w:asciiTheme="majorHAnsi" w:hAnsiTheme="majorHAnsi" w:cstheme="majorHAnsi"/>
          <w:highlight w:val="yellow"/>
          <w:vertAlign w:val="superscript"/>
          <w:lang w:eastAsia="ja-JP"/>
        </w:rPr>
        <w:t>+</w:t>
      </w:r>
      <w:r w:rsidRPr="00FA319F">
        <w:rPr>
          <w:rFonts w:asciiTheme="majorHAnsi" w:hAnsiTheme="majorHAnsi" w:cstheme="majorHAnsi"/>
          <w:highlight w:val="yellow"/>
          <w:lang w:eastAsia="ja-JP"/>
        </w:rPr>
        <w:t xml:space="preserve">). </w:t>
      </w:r>
    </w:p>
    <w:p w14:paraId="255439DA" w14:textId="77777777" w:rsidR="00277E15" w:rsidRDefault="00277E15" w:rsidP="00277E15">
      <w:pPr>
        <w:rPr>
          <w:rFonts w:asciiTheme="majorHAnsi" w:hAnsiTheme="majorHAnsi" w:cstheme="majorHAnsi"/>
          <w:lang w:eastAsia="ja-JP"/>
        </w:rPr>
      </w:pPr>
    </w:p>
    <w:p w14:paraId="2B3C2428" w14:textId="77777777" w:rsidR="00277E15" w:rsidRDefault="00277E15" w:rsidP="00277E15">
      <w:pPr>
        <w:rPr>
          <w:rFonts w:asciiTheme="majorHAnsi" w:hAnsiTheme="majorHAnsi" w:cstheme="majorHAnsi"/>
          <w:lang w:eastAsia="ja-JP"/>
        </w:rPr>
      </w:pPr>
      <w:r w:rsidRPr="00B93BC6">
        <w:rPr>
          <w:rFonts w:asciiTheme="majorHAnsi" w:hAnsiTheme="majorHAnsi" w:cstheme="majorHAnsi"/>
          <w:lang w:eastAsia="ja-JP"/>
        </w:rPr>
        <w:t xml:space="preserve">Note: The individual user can collect more than 10000 cells. This number was a compromise between collecting enough cells to </w:t>
      </w:r>
      <w:r w:rsidRPr="003D2A94">
        <w:rPr>
          <w:rFonts w:asciiTheme="majorHAnsi" w:hAnsiTheme="majorHAnsi" w:cstheme="majorHAnsi"/>
          <w:lang w:eastAsia="ja-JP"/>
        </w:rPr>
        <w:t>provide meaningful results and the time taken for collection.</w:t>
      </w:r>
    </w:p>
    <w:p w14:paraId="3D43E2B4" w14:textId="77777777" w:rsidR="00277E15" w:rsidRPr="003D2A94" w:rsidRDefault="00277E15" w:rsidP="00277E15">
      <w:pPr>
        <w:rPr>
          <w:rFonts w:asciiTheme="majorHAnsi" w:hAnsiTheme="majorHAnsi" w:cstheme="majorHAnsi"/>
          <w:lang w:eastAsia="ja-JP"/>
        </w:rPr>
      </w:pPr>
    </w:p>
    <w:p w14:paraId="705CFADD" w14:textId="77777777" w:rsidR="00277E15" w:rsidRPr="003D2A94" w:rsidRDefault="00277E15" w:rsidP="00277E15">
      <w:pPr>
        <w:pStyle w:val="NormalWeb"/>
        <w:numPr>
          <w:ilvl w:val="1"/>
          <w:numId w:val="1"/>
        </w:numPr>
        <w:spacing w:before="0" w:beforeAutospacing="0" w:after="0" w:afterAutospacing="0"/>
        <w:rPr>
          <w:rFonts w:asciiTheme="majorHAnsi" w:hAnsiTheme="majorHAnsi" w:cstheme="majorHAnsi"/>
        </w:rPr>
      </w:pPr>
      <w:r>
        <w:rPr>
          <w:rFonts w:asciiTheme="majorHAnsi" w:hAnsiTheme="majorHAnsi" w:cstheme="majorHAnsi"/>
        </w:rPr>
        <w:t xml:space="preserve">Using an FSC-Area / SSC-Area dot plot, draw an ellipse or polygon gate to select the </w:t>
      </w:r>
      <w:r>
        <w:rPr>
          <w:rFonts w:asciiTheme="majorHAnsi" w:hAnsiTheme="majorHAnsi" w:cstheme="majorHAnsi"/>
        </w:rPr>
        <w:lastRenderedPageBreak/>
        <w:t>population of</w:t>
      </w:r>
      <w:r w:rsidRPr="003D2A94">
        <w:rPr>
          <w:rFonts w:asciiTheme="majorHAnsi" w:hAnsiTheme="majorHAnsi" w:cstheme="majorHAnsi"/>
        </w:rPr>
        <w:t xml:space="preserve"> lymphocytes </w:t>
      </w:r>
      <w:r>
        <w:rPr>
          <w:rFonts w:asciiTheme="majorHAnsi" w:hAnsiTheme="majorHAnsi" w:cstheme="majorHAnsi"/>
        </w:rPr>
        <w:t>whilst excluding</w:t>
      </w:r>
      <w:r w:rsidRPr="003D2A94">
        <w:rPr>
          <w:rFonts w:asciiTheme="majorHAnsi" w:hAnsiTheme="majorHAnsi" w:cstheme="majorHAnsi"/>
        </w:rPr>
        <w:t xml:space="preserve"> debris and overtly dead cells </w:t>
      </w:r>
      <w:r>
        <w:rPr>
          <w:rFonts w:asciiTheme="majorHAnsi" w:hAnsiTheme="majorHAnsi" w:cstheme="majorHAnsi"/>
        </w:rPr>
        <w:t>(</w:t>
      </w:r>
      <w:r w:rsidRPr="003D2A94">
        <w:rPr>
          <w:rFonts w:asciiTheme="majorHAnsi" w:hAnsiTheme="majorHAnsi" w:cstheme="majorHAnsi"/>
        </w:rPr>
        <w:t>events with a high</w:t>
      </w:r>
      <w:r>
        <w:rPr>
          <w:rFonts w:asciiTheme="majorHAnsi" w:hAnsiTheme="majorHAnsi" w:cstheme="majorHAnsi"/>
        </w:rPr>
        <w:t xml:space="preserve"> SSC-Area and low FSC-Area).</w:t>
      </w:r>
    </w:p>
    <w:p w14:paraId="3A10EA92" w14:textId="77777777" w:rsidR="00277E15" w:rsidRPr="003D2A94" w:rsidRDefault="00277E15" w:rsidP="00277E15">
      <w:pPr>
        <w:pStyle w:val="NormalWeb"/>
        <w:spacing w:before="0" w:beforeAutospacing="0" w:after="0" w:afterAutospacing="0"/>
        <w:rPr>
          <w:rFonts w:asciiTheme="majorHAnsi" w:hAnsiTheme="majorHAnsi" w:cstheme="majorHAnsi"/>
        </w:rPr>
      </w:pPr>
    </w:p>
    <w:p w14:paraId="3603A74D" w14:textId="77777777" w:rsidR="00277E15" w:rsidRPr="00FA319F" w:rsidRDefault="00277E15" w:rsidP="00277E15">
      <w:pPr>
        <w:pStyle w:val="NormalWeb"/>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Using an FSC-Area / FSC-Width dot plot, draw a polygon gate to select single cells while excluding doublets (doublets have an increased area but similar width to single cells).</w:t>
      </w:r>
    </w:p>
    <w:p w14:paraId="4535FAA8" w14:textId="77777777" w:rsidR="00277E15" w:rsidRPr="00FA319F" w:rsidRDefault="00277E15" w:rsidP="00277E15">
      <w:pPr>
        <w:pStyle w:val="NormalWeb"/>
        <w:spacing w:before="0" w:beforeAutospacing="0" w:after="0" w:afterAutospacing="0"/>
        <w:rPr>
          <w:rFonts w:asciiTheme="majorHAnsi" w:hAnsiTheme="majorHAnsi" w:cstheme="majorHAnsi"/>
          <w:highlight w:val="yellow"/>
        </w:rPr>
      </w:pPr>
    </w:p>
    <w:p w14:paraId="42DDD606" w14:textId="77777777" w:rsidR="00277E15" w:rsidRPr="00FA319F" w:rsidRDefault="00277E15" w:rsidP="00277E15">
      <w:pPr>
        <w:pStyle w:val="NormalWeb"/>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Using an FSC-Area / CD45RA and viability marker dot plot, draw a rectangular gate to select live, CD45RA</w:t>
      </w:r>
      <w:r w:rsidRPr="00FA319F">
        <w:rPr>
          <w:rFonts w:asciiTheme="majorHAnsi" w:hAnsiTheme="majorHAnsi" w:cstheme="majorHAnsi"/>
          <w:highlight w:val="yellow"/>
          <w:vertAlign w:val="superscript"/>
        </w:rPr>
        <w:t>-</w:t>
      </w:r>
      <w:r w:rsidRPr="00FA319F">
        <w:rPr>
          <w:rFonts w:asciiTheme="majorHAnsi" w:hAnsiTheme="majorHAnsi" w:cstheme="majorHAnsi"/>
          <w:highlight w:val="yellow"/>
        </w:rPr>
        <w:t xml:space="preserve"> cells (cells with a low fluorescence for this marker).</w:t>
      </w:r>
    </w:p>
    <w:p w14:paraId="53687999" w14:textId="77777777" w:rsidR="00277E15" w:rsidRPr="00FA319F" w:rsidRDefault="00277E15" w:rsidP="00277E15">
      <w:pPr>
        <w:pStyle w:val="NormalWeb"/>
        <w:spacing w:before="0" w:beforeAutospacing="0" w:after="0" w:afterAutospacing="0"/>
        <w:rPr>
          <w:rFonts w:asciiTheme="majorHAnsi" w:hAnsiTheme="majorHAnsi" w:cstheme="majorHAnsi"/>
          <w:highlight w:val="yellow"/>
        </w:rPr>
      </w:pPr>
    </w:p>
    <w:p w14:paraId="6A0DBF1E" w14:textId="77777777" w:rsidR="00277E15" w:rsidRPr="00FA319F" w:rsidRDefault="00277E15" w:rsidP="00277E15">
      <w:pPr>
        <w:pStyle w:val="NormalWeb"/>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Using an FSC-Area / CD4 dot plot, draw a rectangular gate to select CD4</w:t>
      </w:r>
      <w:r w:rsidRPr="00FA319F">
        <w:rPr>
          <w:rFonts w:asciiTheme="majorHAnsi" w:hAnsiTheme="majorHAnsi" w:cstheme="majorHAnsi"/>
          <w:highlight w:val="yellow"/>
          <w:vertAlign w:val="superscript"/>
        </w:rPr>
        <w:t>+</w:t>
      </w:r>
      <w:r w:rsidRPr="00FA319F">
        <w:rPr>
          <w:rFonts w:asciiTheme="majorHAnsi" w:hAnsiTheme="majorHAnsi" w:cstheme="majorHAnsi"/>
          <w:highlight w:val="yellow"/>
        </w:rPr>
        <w:t xml:space="preserve"> cells (cells with a high fluorescence for this marker).</w:t>
      </w:r>
    </w:p>
    <w:p w14:paraId="2C69C841" w14:textId="77777777" w:rsidR="00277E15" w:rsidRPr="00FA319F" w:rsidRDefault="00277E15" w:rsidP="00277E15">
      <w:pPr>
        <w:pStyle w:val="NormalWeb"/>
        <w:spacing w:before="0" w:beforeAutospacing="0" w:after="0" w:afterAutospacing="0"/>
        <w:rPr>
          <w:rFonts w:asciiTheme="majorHAnsi" w:hAnsiTheme="majorHAnsi" w:cstheme="majorHAnsi"/>
          <w:highlight w:val="yellow"/>
        </w:rPr>
      </w:pPr>
    </w:p>
    <w:p w14:paraId="71341DBB" w14:textId="77777777" w:rsidR="00277E15" w:rsidRPr="00FA319F" w:rsidRDefault="00277E15" w:rsidP="00277E15">
      <w:pPr>
        <w:pStyle w:val="NormalWeb"/>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Using a CD4 / CXCR5 dot plot, draw a rectangular gate to select CXCR5</w:t>
      </w:r>
      <w:r w:rsidRPr="00FA319F">
        <w:rPr>
          <w:rFonts w:asciiTheme="majorHAnsi" w:hAnsiTheme="majorHAnsi" w:cstheme="majorHAnsi"/>
          <w:highlight w:val="yellow"/>
          <w:vertAlign w:val="superscript"/>
        </w:rPr>
        <w:t>+</w:t>
      </w:r>
      <w:r w:rsidRPr="00FA319F">
        <w:rPr>
          <w:rFonts w:asciiTheme="majorHAnsi" w:hAnsiTheme="majorHAnsi" w:cstheme="majorHAnsi"/>
          <w:highlight w:val="yellow"/>
        </w:rPr>
        <w:t xml:space="preserve"> (</w:t>
      </w:r>
      <w:r w:rsidRPr="00FA319F">
        <w:rPr>
          <w:rFonts w:asciiTheme="majorHAnsi" w:hAnsiTheme="majorHAnsi" w:cstheme="majorHAnsi"/>
          <w:i/>
          <w:highlight w:val="yellow"/>
        </w:rPr>
        <w:t>i.e</w:t>
      </w:r>
      <w:r w:rsidRPr="00FA319F">
        <w:rPr>
          <w:rFonts w:asciiTheme="majorHAnsi" w:hAnsiTheme="majorHAnsi" w:cstheme="majorHAnsi"/>
          <w:highlight w:val="yellow"/>
        </w:rPr>
        <w:t xml:space="preserve">., </w:t>
      </w:r>
      <w:proofErr w:type="spellStart"/>
      <w:r w:rsidRPr="00FA319F">
        <w:rPr>
          <w:rFonts w:asciiTheme="majorHAnsi" w:hAnsiTheme="majorHAnsi" w:cstheme="majorHAnsi"/>
          <w:highlight w:val="yellow"/>
        </w:rPr>
        <w:t>cTfh</w:t>
      </w:r>
      <w:proofErr w:type="spellEnd"/>
      <w:r w:rsidRPr="00FA319F">
        <w:rPr>
          <w:rFonts w:asciiTheme="majorHAnsi" w:hAnsiTheme="majorHAnsi" w:cstheme="majorHAnsi"/>
          <w:highlight w:val="yellow"/>
        </w:rPr>
        <w:t>) cells (cells with a high fluorescence for this marker).</w:t>
      </w:r>
    </w:p>
    <w:p w14:paraId="77659102" w14:textId="77777777" w:rsidR="00277E15" w:rsidRPr="00FA319F" w:rsidRDefault="00277E15" w:rsidP="00277E15">
      <w:pPr>
        <w:pStyle w:val="NormalWeb"/>
        <w:spacing w:before="0" w:beforeAutospacing="0" w:after="0" w:afterAutospacing="0"/>
        <w:rPr>
          <w:rFonts w:asciiTheme="majorHAnsi" w:hAnsiTheme="majorHAnsi" w:cstheme="majorHAnsi"/>
          <w:highlight w:val="yellow"/>
        </w:rPr>
      </w:pPr>
    </w:p>
    <w:p w14:paraId="0E78E028" w14:textId="77777777" w:rsidR="00277E15" w:rsidRPr="00FA319F" w:rsidRDefault="00277E15" w:rsidP="00277E15">
      <w:pPr>
        <w:pStyle w:val="NormalWeb"/>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 xml:space="preserve">Using a CXCR3 / CCR6 dot plot, place a quad gate to subdivide </w:t>
      </w:r>
      <w:proofErr w:type="spellStart"/>
      <w:r w:rsidRPr="00FA319F">
        <w:rPr>
          <w:rFonts w:asciiTheme="majorHAnsi" w:hAnsiTheme="majorHAnsi" w:cstheme="majorHAnsi"/>
          <w:highlight w:val="yellow"/>
        </w:rPr>
        <w:t>cTfh</w:t>
      </w:r>
      <w:proofErr w:type="spellEnd"/>
      <w:r w:rsidRPr="00FA319F">
        <w:rPr>
          <w:rFonts w:asciiTheme="majorHAnsi" w:hAnsiTheme="majorHAnsi" w:cstheme="majorHAnsi"/>
          <w:highlight w:val="yellow"/>
        </w:rPr>
        <w:t xml:space="preserve"> cells into cTfh1</w:t>
      </w:r>
      <w:proofErr w:type="gramStart"/>
      <w:r w:rsidRPr="00FA319F">
        <w:rPr>
          <w:rFonts w:asciiTheme="majorHAnsi" w:hAnsiTheme="majorHAnsi" w:cstheme="majorHAnsi"/>
          <w:highlight w:val="yellow"/>
        </w:rPr>
        <w:t>,2</w:t>
      </w:r>
      <w:proofErr w:type="gramEnd"/>
      <w:r w:rsidRPr="00FA319F">
        <w:rPr>
          <w:rFonts w:asciiTheme="majorHAnsi" w:hAnsiTheme="majorHAnsi" w:cstheme="majorHAnsi"/>
          <w:highlight w:val="yellow"/>
        </w:rPr>
        <w:t xml:space="preserve"> and 17 cells (cells that are high and low for each marker).</w:t>
      </w:r>
    </w:p>
    <w:p w14:paraId="4E3C1DB2" w14:textId="77777777" w:rsidR="00277E15" w:rsidRPr="003D2A94" w:rsidRDefault="00277E15" w:rsidP="00277E15">
      <w:pPr>
        <w:pStyle w:val="NormalWeb"/>
        <w:spacing w:before="0" w:beforeAutospacing="0" w:after="0" w:afterAutospacing="0"/>
        <w:rPr>
          <w:rFonts w:asciiTheme="majorHAnsi" w:hAnsiTheme="majorHAnsi" w:cstheme="majorHAnsi"/>
          <w:color w:val="auto"/>
        </w:rPr>
      </w:pPr>
    </w:p>
    <w:p w14:paraId="734C1439" w14:textId="77777777" w:rsidR="00277E15" w:rsidRPr="003D2A94" w:rsidRDefault="00277E15" w:rsidP="00277E15">
      <w:pPr>
        <w:pStyle w:val="NormalWeb"/>
        <w:spacing w:before="0" w:beforeAutospacing="0" w:after="0" w:afterAutospacing="0"/>
        <w:rPr>
          <w:rFonts w:asciiTheme="majorHAnsi" w:hAnsiTheme="majorHAnsi" w:cstheme="majorHAnsi"/>
        </w:rPr>
      </w:pPr>
      <w:r w:rsidRPr="003D2A94">
        <w:rPr>
          <w:rFonts w:asciiTheme="majorHAnsi" w:hAnsiTheme="majorHAnsi" w:cstheme="majorHAnsi"/>
          <w:color w:val="auto"/>
        </w:rPr>
        <w:t>Note: Cells with the phenotype CD4</w:t>
      </w:r>
      <w:r w:rsidRPr="003D2A94">
        <w:rPr>
          <w:rFonts w:asciiTheme="majorHAnsi" w:hAnsiTheme="majorHAnsi" w:cstheme="majorHAnsi"/>
          <w:color w:val="auto"/>
          <w:vertAlign w:val="superscript"/>
        </w:rPr>
        <w:t>+</w:t>
      </w:r>
      <w:r w:rsidRPr="003D2A94">
        <w:rPr>
          <w:rFonts w:asciiTheme="majorHAnsi" w:hAnsiTheme="majorHAnsi" w:cstheme="majorHAnsi"/>
          <w:color w:val="auto"/>
        </w:rPr>
        <w:t xml:space="preserve"> CXCR5</w:t>
      </w:r>
      <w:r w:rsidRPr="003D2A94">
        <w:rPr>
          <w:rFonts w:asciiTheme="majorHAnsi" w:hAnsiTheme="majorHAnsi" w:cstheme="majorHAnsi"/>
          <w:color w:val="auto"/>
          <w:vertAlign w:val="superscript"/>
        </w:rPr>
        <w:t>+</w:t>
      </w:r>
      <w:r w:rsidRPr="003D2A94">
        <w:rPr>
          <w:rFonts w:asciiTheme="majorHAnsi" w:hAnsiTheme="majorHAnsi" w:cstheme="majorHAnsi"/>
          <w:color w:val="auto"/>
        </w:rPr>
        <w:t xml:space="preserve"> CXCR3</w:t>
      </w:r>
      <w:r w:rsidRPr="003D2A94">
        <w:rPr>
          <w:rFonts w:asciiTheme="majorHAnsi" w:hAnsiTheme="majorHAnsi" w:cstheme="majorHAnsi"/>
          <w:color w:val="auto"/>
          <w:vertAlign w:val="superscript"/>
        </w:rPr>
        <w:t>+</w:t>
      </w:r>
      <w:r w:rsidRPr="003D2A94">
        <w:rPr>
          <w:rFonts w:asciiTheme="majorHAnsi" w:hAnsiTheme="majorHAnsi" w:cstheme="majorHAnsi"/>
          <w:color w:val="auto"/>
        </w:rPr>
        <w:t xml:space="preserve"> CCR6</w:t>
      </w:r>
      <w:r w:rsidRPr="003D2A94">
        <w:rPr>
          <w:rFonts w:asciiTheme="majorHAnsi" w:hAnsiTheme="majorHAnsi" w:cstheme="majorHAnsi"/>
          <w:color w:val="auto"/>
          <w:vertAlign w:val="superscript"/>
        </w:rPr>
        <w:t>+</w:t>
      </w:r>
      <w:r w:rsidRPr="003D2A94">
        <w:rPr>
          <w:rFonts w:asciiTheme="majorHAnsi" w:hAnsiTheme="majorHAnsi" w:cstheme="majorHAnsi"/>
          <w:color w:val="auto"/>
        </w:rPr>
        <w:t xml:space="preserve"> are poorly characteri</w:t>
      </w:r>
      <w:r>
        <w:rPr>
          <w:rFonts w:asciiTheme="majorHAnsi" w:hAnsiTheme="majorHAnsi" w:cstheme="majorHAnsi"/>
          <w:color w:val="auto"/>
        </w:rPr>
        <w:t>z</w:t>
      </w:r>
      <w:r w:rsidRPr="003D2A94">
        <w:rPr>
          <w:rFonts w:asciiTheme="majorHAnsi" w:hAnsiTheme="majorHAnsi" w:cstheme="majorHAnsi"/>
          <w:color w:val="auto"/>
        </w:rPr>
        <w:t>ed. We refer to these cells as cTfh1/17</w:t>
      </w:r>
      <w:r w:rsidRPr="003D2A94">
        <w:rPr>
          <w:rFonts w:asciiTheme="majorHAnsi" w:hAnsiTheme="majorHAnsi" w:cstheme="majorHAnsi"/>
          <w:color w:val="auto"/>
          <w:vertAlign w:val="superscript"/>
        </w:rPr>
        <w:t>18</w:t>
      </w:r>
      <w:r w:rsidRPr="003D2A94">
        <w:rPr>
          <w:rFonts w:asciiTheme="majorHAnsi" w:hAnsiTheme="majorHAnsi" w:cstheme="majorHAnsi"/>
          <w:color w:val="auto"/>
        </w:rPr>
        <w:t xml:space="preserve"> because conventional helper T-cells (CD4</w:t>
      </w:r>
      <w:r w:rsidRPr="003D2A94">
        <w:rPr>
          <w:rFonts w:asciiTheme="majorHAnsi" w:hAnsiTheme="majorHAnsi" w:cstheme="majorHAnsi"/>
          <w:color w:val="auto"/>
          <w:vertAlign w:val="superscript"/>
        </w:rPr>
        <w:t>+</w:t>
      </w:r>
      <w:r w:rsidRPr="003D2A94">
        <w:rPr>
          <w:rFonts w:asciiTheme="majorHAnsi" w:hAnsiTheme="majorHAnsi" w:cstheme="majorHAnsi"/>
          <w:color w:val="auto"/>
        </w:rPr>
        <w:t xml:space="preserve"> CXCR5</w:t>
      </w:r>
      <w:r w:rsidRPr="003D2A94">
        <w:rPr>
          <w:rFonts w:asciiTheme="majorHAnsi" w:hAnsiTheme="majorHAnsi" w:cstheme="majorHAnsi"/>
          <w:color w:val="auto"/>
          <w:vertAlign w:val="superscript"/>
        </w:rPr>
        <w:t>-</w:t>
      </w:r>
      <w:r w:rsidRPr="003D2A94">
        <w:rPr>
          <w:rFonts w:asciiTheme="majorHAnsi" w:hAnsiTheme="majorHAnsi" w:cstheme="majorHAnsi"/>
          <w:color w:val="auto"/>
        </w:rPr>
        <w:t>) that are transitioning between Th17 and Th1 show expression of CXCR3 and CCR6 and have been described as cTfh1/17</w:t>
      </w:r>
      <w:r w:rsidRPr="003D2A94">
        <w:rPr>
          <w:rFonts w:asciiTheme="majorHAnsi" w:hAnsiTheme="majorHAnsi" w:cstheme="majorHAnsi"/>
          <w:color w:val="auto"/>
          <w:vertAlign w:val="superscript"/>
        </w:rPr>
        <w:t>19</w:t>
      </w:r>
      <w:r w:rsidRPr="003D2A94">
        <w:rPr>
          <w:rFonts w:asciiTheme="majorHAnsi" w:hAnsiTheme="majorHAnsi" w:cstheme="majorHAnsi"/>
          <w:color w:val="auto"/>
        </w:rPr>
        <w:t>.</w:t>
      </w:r>
    </w:p>
    <w:p w14:paraId="48B0B163" w14:textId="77777777" w:rsidR="00277E15" w:rsidRPr="003D2A94" w:rsidRDefault="00277E15" w:rsidP="00277E15">
      <w:pPr>
        <w:pStyle w:val="NormalWeb"/>
        <w:spacing w:before="0" w:beforeAutospacing="0" w:after="0" w:afterAutospacing="0"/>
        <w:rPr>
          <w:rFonts w:asciiTheme="majorHAnsi" w:hAnsiTheme="majorHAnsi" w:cstheme="majorHAnsi"/>
        </w:rPr>
      </w:pPr>
    </w:p>
    <w:p w14:paraId="3D920559" w14:textId="77777777" w:rsidR="00277E15" w:rsidRPr="00FA319F" w:rsidRDefault="00277E15" w:rsidP="00277E15">
      <w:pPr>
        <w:pStyle w:val="NormalWeb"/>
        <w:numPr>
          <w:ilvl w:val="1"/>
          <w:numId w:val="1"/>
        </w:numPr>
        <w:spacing w:before="0" w:beforeAutospacing="0" w:after="0" w:afterAutospacing="0"/>
        <w:rPr>
          <w:rFonts w:asciiTheme="majorHAnsi" w:hAnsiTheme="majorHAnsi" w:cstheme="majorHAnsi"/>
          <w:highlight w:val="yellow"/>
        </w:rPr>
      </w:pPr>
      <w:r w:rsidRPr="00FA319F">
        <w:rPr>
          <w:rFonts w:asciiTheme="majorHAnsi" w:hAnsiTheme="majorHAnsi" w:cstheme="majorHAnsi"/>
          <w:highlight w:val="yellow"/>
        </w:rPr>
        <w:t xml:space="preserve">Using a PD-1 histogram, use the range tool to subdivide </w:t>
      </w:r>
      <w:proofErr w:type="spellStart"/>
      <w:r w:rsidRPr="00FA319F">
        <w:rPr>
          <w:rFonts w:asciiTheme="majorHAnsi" w:hAnsiTheme="majorHAnsi" w:cstheme="majorHAnsi"/>
          <w:highlight w:val="yellow"/>
        </w:rPr>
        <w:t>cTfh</w:t>
      </w:r>
      <w:proofErr w:type="spellEnd"/>
      <w:r w:rsidRPr="00FA319F">
        <w:rPr>
          <w:rFonts w:asciiTheme="majorHAnsi" w:hAnsiTheme="majorHAnsi" w:cstheme="majorHAnsi"/>
          <w:highlight w:val="yellow"/>
        </w:rPr>
        <w:t xml:space="preserve"> cells (or if preferred, the individual cTfh1</w:t>
      </w:r>
      <w:proofErr w:type="gramStart"/>
      <w:r w:rsidRPr="00FA319F">
        <w:rPr>
          <w:rFonts w:asciiTheme="majorHAnsi" w:hAnsiTheme="majorHAnsi" w:cstheme="majorHAnsi"/>
          <w:highlight w:val="yellow"/>
        </w:rPr>
        <w:t>,2,17</w:t>
      </w:r>
      <w:proofErr w:type="gramEnd"/>
      <w:r w:rsidRPr="00FA319F">
        <w:rPr>
          <w:rFonts w:asciiTheme="majorHAnsi" w:hAnsiTheme="majorHAnsi" w:cstheme="majorHAnsi"/>
          <w:highlight w:val="yellow"/>
        </w:rPr>
        <w:t xml:space="preserve"> or 1/17 subsets) into PD-1</w:t>
      </w:r>
      <w:r w:rsidRPr="00FA319F">
        <w:rPr>
          <w:rFonts w:asciiTheme="majorHAnsi" w:hAnsiTheme="majorHAnsi" w:cstheme="majorHAnsi"/>
          <w:highlight w:val="yellow"/>
          <w:vertAlign w:val="superscript"/>
        </w:rPr>
        <w:t>-/+</w:t>
      </w:r>
      <w:r w:rsidRPr="00FA319F">
        <w:rPr>
          <w:rFonts w:asciiTheme="majorHAnsi" w:hAnsiTheme="majorHAnsi" w:cstheme="majorHAnsi"/>
          <w:highlight w:val="yellow"/>
        </w:rPr>
        <w:t xml:space="preserve"> or </w:t>
      </w:r>
      <w:r w:rsidRPr="00FA319F">
        <w:rPr>
          <w:rFonts w:asciiTheme="majorHAnsi" w:hAnsiTheme="majorHAnsi" w:cstheme="majorHAnsi"/>
          <w:highlight w:val="yellow"/>
          <w:vertAlign w:val="superscript"/>
        </w:rPr>
        <w:t>hi</w:t>
      </w:r>
      <w:r w:rsidRPr="00FA319F">
        <w:rPr>
          <w:rFonts w:asciiTheme="majorHAnsi" w:hAnsiTheme="majorHAnsi" w:cstheme="majorHAnsi"/>
          <w:highlight w:val="yellow"/>
        </w:rPr>
        <w:t xml:space="preserve"> populations.</w:t>
      </w:r>
    </w:p>
    <w:bookmarkEnd w:id="1"/>
    <w:p w14:paraId="25E3EDC4" w14:textId="77777777" w:rsidR="00277E15" w:rsidRPr="003D2A94" w:rsidRDefault="00277E15" w:rsidP="00277E15">
      <w:pPr>
        <w:pStyle w:val="NormalWeb"/>
        <w:spacing w:before="0" w:beforeAutospacing="0" w:after="0" w:afterAutospacing="0"/>
        <w:rPr>
          <w:rFonts w:asciiTheme="majorHAnsi" w:hAnsiTheme="majorHAnsi" w:cstheme="majorHAnsi"/>
        </w:rPr>
      </w:pPr>
    </w:p>
    <w:p w14:paraId="34254827" w14:textId="77777777" w:rsidR="00277E15" w:rsidRDefault="00277E15" w:rsidP="00277E15">
      <w:pPr>
        <w:pStyle w:val="NormalWeb"/>
        <w:spacing w:before="0" w:beforeAutospacing="0" w:after="0" w:afterAutospacing="0"/>
        <w:rPr>
          <w:rFonts w:asciiTheme="majorHAnsi" w:hAnsiTheme="majorHAnsi" w:cstheme="majorHAnsi"/>
        </w:rPr>
      </w:pPr>
      <w:r w:rsidRPr="003D2A94">
        <w:rPr>
          <w:rFonts w:asciiTheme="majorHAnsi" w:hAnsiTheme="majorHAnsi" w:cstheme="majorHAnsi"/>
        </w:rPr>
        <w:t>Note: The distinction between PD-1</w:t>
      </w:r>
      <w:r w:rsidRPr="003D2A94">
        <w:rPr>
          <w:rFonts w:asciiTheme="majorHAnsi" w:hAnsiTheme="majorHAnsi" w:cstheme="majorHAnsi"/>
          <w:vertAlign w:val="superscript"/>
        </w:rPr>
        <w:t>+</w:t>
      </w:r>
      <w:r w:rsidRPr="003D2A94">
        <w:rPr>
          <w:rFonts w:asciiTheme="majorHAnsi" w:hAnsiTheme="majorHAnsi" w:cstheme="majorHAnsi"/>
        </w:rPr>
        <w:t xml:space="preserve"> and PD-1</w:t>
      </w:r>
      <w:r w:rsidRPr="003D2A94">
        <w:rPr>
          <w:rFonts w:asciiTheme="majorHAnsi" w:hAnsiTheme="majorHAnsi" w:cstheme="majorHAnsi"/>
          <w:vertAlign w:val="superscript"/>
        </w:rPr>
        <w:t>hi</w:t>
      </w:r>
      <w:r w:rsidRPr="003D2A94">
        <w:rPr>
          <w:rFonts w:asciiTheme="majorHAnsi" w:hAnsiTheme="majorHAnsi" w:cstheme="majorHAnsi"/>
        </w:rPr>
        <w:t xml:space="preserve"> is not well defined in the literature. The threshold was set as the same PD-1 intensity required</w:t>
      </w:r>
      <w:r w:rsidRPr="00B93BC6">
        <w:rPr>
          <w:rFonts w:asciiTheme="majorHAnsi" w:hAnsiTheme="majorHAnsi" w:cstheme="majorHAnsi"/>
        </w:rPr>
        <w:t xml:space="preserve"> to detect bona-fide </w:t>
      </w:r>
      <w:proofErr w:type="spellStart"/>
      <w:r w:rsidRPr="00B93BC6">
        <w:rPr>
          <w:rFonts w:asciiTheme="majorHAnsi" w:hAnsiTheme="majorHAnsi" w:cstheme="majorHAnsi"/>
        </w:rPr>
        <w:t>Tfh</w:t>
      </w:r>
      <w:proofErr w:type="spellEnd"/>
      <w:r w:rsidRPr="00B93BC6">
        <w:rPr>
          <w:rFonts w:asciiTheme="majorHAnsi" w:hAnsiTheme="majorHAnsi" w:cstheme="majorHAnsi"/>
        </w:rPr>
        <w:t xml:space="preserve"> in human tonsil lymphocyte suspensions using flow cytometry with the same antibody panel. Alternatively, a marker for ICOS can be added to the antibody panel, as only PD1</w:t>
      </w:r>
      <w:r w:rsidRPr="00B93BC6">
        <w:rPr>
          <w:rFonts w:asciiTheme="majorHAnsi" w:hAnsiTheme="majorHAnsi" w:cstheme="majorHAnsi"/>
          <w:vertAlign w:val="superscript"/>
        </w:rPr>
        <w:t>hi</w:t>
      </w:r>
      <w:r w:rsidRPr="00B93BC6">
        <w:rPr>
          <w:rFonts w:asciiTheme="majorHAnsi" w:hAnsiTheme="majorHAnsi" w:cstheme="majorHAnsi"/>
        </w:rPr>
        <w:t xml:space="preserve"> cells are ICOS</w:t>
      </w:r>
      <w:r w:rsidRPr="00B93BC6">
        <w:rPr>
          <w:rFonts w:asciiTheme="majorHAnsi" w:hAnsiTheme="majorHAnsi" w:cstheme="majorHAnsi"/>
          <w:vertAlign w:val="superscript"/>
        </w:rPr>
        <w:t>+</w:t>
      </w:r>
      <w:r w:rsidRPr="00B93BC6">
        <w:rPr>
          <w:rFonts w:asciiTheme="majorHAnsi" w:hAnsiTheme="majorHAnsi" w:cstheme="majorHAnsi"/>
        </w:rPr>
        <w:t>.</w:t>
      </w:r>
    </w:p>
    <w:p w14:paraId="154DD2BE" w14:textId="77777777" w:rsidR="00277E15" w:rsidRPr="00B93BC6" w:rsidRDefault="00277E15" w:rsidP="00277E15">
      <w:pPr>
        <w:pStyle w:val="NormalWeb"/>
        <w:spacing w:before="0" w:beforeAutospacing="0" w:after="0" w:afterAutospacing="0"/>
        <w:rPr>
          <w:rFonts w:asciiTheme="majorHAnsi" w:hAnsiTheme="majorHAnsi" w:cstheme="majorHAnsi"/>
          <w:b/>
        </w:rPr>
      </w:pPr>
    </w:p>
    <w:p w14:paraId="659A7CF1" w14:textId="77777777" w:rsidR="00277E15" w:rsidRPr="008C1032" w:rsidRDefault="00277E15" w:rsidP="00277E15">
      <w:pPr>
        <w:pStyle w:val="Heading1"/>
        <w:spacing w:before="0" w:after="0"/>
        <w:rPr>
          <w:rFonts w:asciiTheme="majorHAnsi" w:hAnsiTheme="majorHAnsi" w:cstheme="majorHAnsi"/>
          <w:sz w:val="24"/>
          <w:szCs w:val="24"/>
        </w:rPr>
      </w:pPr>
      <w:r w:rsidRPr="00B93BC6">
        <w:rPr>
          <w:rFonts w:asciiTheme="majorHAnsi" w:hAnsiTheme="majorHAnsi" w:cstheme="majorHAnsi"/>
          <w:sz w:val="24"/>
          <w:szCs w:val="24"/>
        </w:rPr>
        <w:t>REPRESENTATIVE RESULTS:</w:t>
      </w:r>
    </w:p>
    <w:p w14:paraId="72B8130C" w14:textId="77777777" w:rsidR="00277E15" w:rsidRPr="00B93BC6" w:rsidRDefault="00277E15" w:rsidP="00277E15">
      <w:pPr>
        <w:pStyle w:val="NormalWeb"/>
        <w:spacing w:before="0" w:beforeAutospacing="0" w:after="0" w:afterAutospacing="0"/>
        <w:rPr>
          <w:rFonts w:asciiTheme="majorHAnsi" w:hAnsiTheme="majorHAnsi" w:cstheme="majorHAnsi"/>
          <w:color w:val="auto"/>
        </w:rPr>
      </w:pPr>
      <w:r w:rsidRPr="00B93BC6">
        <w:rPr>
          <w:rFonts w:asciiTheme="majorHAnsi" w:hAnsiTheme="majorHAnsi" w:cstheme="majorHAnsi"/>
          <w:color w:val="auto"/>
        </w:rPr>
        <w:t>High CD4</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purity was achieved using the CD4</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isolation protocol, which was reliable across all blood samples tested by us (</w:t>
      </w:r>
      <w:r>
        <w:rPr>
          <w:rFonts w:asciiTheme="majorHAnsi" w:hAnsiTheme="majorHAnsi" w:cstheme="majorHAnsi"/>
          <w:color w:val="auto"/>
        </w:rPr>
        <w:t>m</w:t>
      </w:r>
      <w:r w:rsidRPr="00B93BC6">
        <w:rPr>
          <w:rFonts w:asciiTheme="majorHAnsi" w:hAnsiTheme="majorHAnsi" w:cstheme="majorHAnsi"/>
          <w:color w:val="auto"/>
        </w:rPr>
        <w:t>ean</w:t>
      </w:r>
      <w:r>
        <w:rPr>
          <w:rFonts w:asciiTheme="majorHAnsi" w:hAnsiTheme="majorHAnsi" w:cstheme="majorHAnsi"/>
          <w:color w:val="auto"/>
        </w:rPr>
        <w:t>:</w:t>
      </w:r>
      <w:r w:rsidRPr="00B93BC6">
        <w:rPr>
          <w:rFonts w:asciiTheme="majorHAnsi" w:hAnsiTheme="majorHAnsi" w:cstheme="majorHAnsi"/>
          <w:color w:val="auto"/>
        </w:rPr>
        <w:t xml:space="preserve"> 96.6%</w:t>
      </w:r>
      <w:r>
        <w:rPr>
          <w:rFonts w:asciiTheme="majorHAnsi" w:hAnsiTheme="majorHAnsi" w:cstheme="majorHAnsi"/>
          <w:color w:val="auto"/>
        </w:rPr>
        <w:t>,</w:t>
      </w:r>
      <w:r w:rsidRPr="00B93BC6">
        <w:rPr>
          <w:rFonts w:asciiTheme="majorHAnsi" w:hAnsiTheme="majorHAnsi" w:cstheme="majorHAnsi"/>
          <w:color w:val="auto"/>
        </w:rPr>
        <w:t xml:space="preserve"> SD</w:t>
      </w:r>
      <w:r>
        <w:rPr>
          <w:rFonts w:asciiTheme="majorHAnsi" w:hAnsiTheme="majorHAnsi" w:cstheme="majorHAnsi"/>
          <w:color w:val="auto"/>
        </w:rPr>
        <w:t>:</w:t>
      </w:r>
      <w:r w:rsidRPr="00B93BC6">
        <w:rPr>
          <w:rFonts w:asciiTheme="majorHAnsi" w:hAnsiTheme="majorHAnsi" w:cstheme="majorHAnsi"/>
          <w:color w:val="auto"/>
        </w:rPr>
        <w:t xml:space="preserve"> 2.38</w:t>
      </w:r>
      <w:r>
        <w:rPr>
          <w:rFonts w:asciiTheme="majorHAnsi" w:hAnsiTheme="majorHAnsi" w:cstheme="majorHAnsi"/>
          <w:color w:val="auto"/>
        </w:rPr>
        <w:t>,</w:t>
      </w:r>
      <w:r w:rsidRPr="00B93BC6">
        <w:rPr>
          <w:rFonts w:asciiTheme="majorHAnsi" w:hAnsiTheme="majorHAnsi" w:cstheme="majorHAnsi"/>
          <w:color w:val="auto"/>
        </w:rPr>
        <w:t xml:space="preserve"> n=31) (</w:t>
      </w:r>
      <w:r w:rsidRPr="00D10D24">
        <w:rPr>
          <w:rFonts w:asciiTheme="majorHAnsi" w:hAnsiTheme="majorHAnsi" w:cstheme="majorHAnsi"/>
          <w:b/>
          <w:color w:val="auto"/>
        </w:rPr>
        <w:t>Figure 3</w:t>
      </w:r>
      <w:r w:rsidRPr="00B93BC6">
        <w:rPr>
          <w:rFonts w:asciiTheme="majorHAnsi" w:hAnsiTheme="majorHAnsi" w:cstheme="majorHAnsi"/>
          <w:color w:val="auto"/>
        </w:rPr>
        <w:t>).</w:t>
      </w:r>
    </w:p>
    <w:p w14:paraId="1ABFA9F9" w14:textId="77777777" w:rsidR="00277E15" w:rsidRPr="00B93BC6" w:rsidRDefault="00277E15" w:rsidP="00277E15">
      <w:pPr>
        <w:pStyle w:val="NormalWeb"/>
        <w:spacing w:before="0" w:beforeAutospacing="0" w:after="0" w:afterAutospacing="0"/>
        <w:rPr>
          <w:rFonts w:asciiTheme="majorHAnsi" w:hAnsiTheme="majorHAnsi" w:cstheme="majorHAnsi"/>
          <w:color w:val="auto"/>
        </w:rPr>
      </w:pPr>
    </w:p>
    <w:p w14:paraId="45E87D9D" w14:textId="77777777" w:rsidR="00277E15" w:rsidRPr="00B93BC6" w:rsidRDefault="00277E15" w:rsidP="00277E15">
      <w:pPr>
        <w:pStyle w:val="NormalWeb"/>
        <w:spacing w:before="0" w:beforeAutospacing="0" w:after="0" w:afterAutospacing="0"/>
        <w:rPr>
          <w:rFonts w:asciiTheme="majorHAnsi" w:hAnsiTheme="majorHAnsi" w:cstheme="majorHAnsi"/>
          <w:color w:val="auto"/>
        </w:rPr>
      </w:pPr>
      <w:r w:rsidRPr="00B93BC6">
        <w:rPr>
          <w:rFonts w:asciiTheme="majorHAnsi" w:hAnsiTheme="majorHAnsi" w:cstheme="majorHAnsi"/>
          <w:color w:val="auto"/>
        </w:rPr>
        <w:t xml:space="preserve">Identification of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(CD4</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CXCR5</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cells) in a representative </w:t>
      </w:r>
      <w:r>
        <w:rPr>
          <w:rFonts w:asciiTheme="majorHAnsi" w:hAnsiTheme="majorHAnsi" w:cstheme="majorHAnsi"/>
          <w:color w:val="auto"/>
        </w:rPr>
        <w:t>normal subject</w:t>
      </w:r>
      <w:r w:rsidRPr="00B93BC6">
        <w:rPr>
          <w:rFonts w:asciiTheme="majorHAnsi" w:hAnsiTheme="majorHAnsi" w:cstheme="majorHAnsi"/>
          <w:color w:val="auto"/>
        </w:rPr>
        <w:t xml:space="preserve"> </w:t>
      </w:r>
      <w:r>
        <w:rPr>
          <w:rFonts w:asciiTheme="majorHAnsi" w:hAnsiTheme="majorHAnsi" w:cstheme="majorHAnsi"/>
          <w:color w:val="auto"/>
        </w:rPr>
        <w:t xml:space="preserve">is presented </w:t>
      </w:r>
      <w:r w:rsidRPr="00B93BC6">
        <w:rPr>
          <w:rFonts w:asciiTheme="majorHAnsi" w:hAnsiTheme="majorHAnsi" w:cstheme="majorHAnsi"/>
          <w:color w:val="auto"/>
        </w:rPr>
        <w:t>(</w:t>
      </w:r>
      <w:r w:rsidRPr="00D10D24">
        <w:rPr>
          <w:rFonts w:asciiTheme="majorHAnsi" w:hAnsiTheme="majorHAnsi" w:cstheme="majorHAnsi"/>
          <w:b/>
          <w:color w:val="auto"/>
        </w:rPr>
        <w:t>Figure 4A</w:t>
      </w:r>
      <w:r w:rsidRPr="00B93BC6">
        <w:rPr>
          <w:rFonts w:asciiTheme="majorHAnsi" w:hAnsiTheme="majorHAnsi" w:cstheme="majorHAnsi"/>
          <w:color w:val="auto"/>
        </w:rPr>
        <w:t xml:space="preserve">). The proportion of total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cells within CD4</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cells had a median value of 29.4% (</w:t>
      </w:r>
      <w:r w:rsidRPr="00B93BC6">
        <w:rPr>
          <w:rFonts w:asciiTheme="majorHAnsi" w:hAnsiTheme="majorHAnsi" w:cstheme="majorHAnsi"/>
          <w:lang w:val="en-GB"/>
        </w:rPr>
        <w:t>inter-quartile range (</w:t>
      </w:r>
      <w:r w:rsidRPr="00B93BC6">
        <w:rPr>
          <w:rFonts w:asciiTheme="majorHAnsi" w:hAnsiTheme="majorHAnsi" w:cstheme="majorHAnsi"/>
          <w:color w:val="auto"/>
        </w:rPr>
        <w:t xml:space="preserve">IQR) = 10.8) across 12 </w:t>
      </w:r>
      <w:r>
        <w:rPr>
          <w:rFonts w:asciiTheme="majorHAnsi" w:hAnsiTheme="majorHAnsi" w:cstheme="majorHAnsi"/>
          <w:color w:val="auto"/>
        </w:rPr>
        <w:t>normal subjects</w:t>
      </w:r>
      <w:r w:rsidRPr="00B93BC6">
        <w:rPr>
          <w:rFonts w:asciiTheme="majorHAnsi" w:hAnsiTheme="majorHAnsi" w:cstheme="majorHAnsi"/>
          <w:color w:val="auto"/>
        </w:rPr>
        <w:t>. Multiple studies across several different diseases including hepatocellular carcinoma</w:t>
      </w:r>
      <w:r>
        <w:rPr>
          <w:rFonts w:asciiTheme="majorHAnsi" w:hAnsiTheme="majorHAnsi" w:cstheme="majorHAnsi"/>
          <w:color w:val="auto"/>
          <w:vertAlign w:val="superscript"/>
        </w:rPr>
        <w:t>17</w:t>
      </w:r>
      <w:r w:rsidRPr="00DA55E8">
        <w:rPr>
          <w:rFonts w:asciiTheme="majorHAnsi" w:hAnsiTheme="majorHAnsi" w:cstheme="majorHAnsi"/>
          <w:color w:val="auto"/>
          <w:vertAlign w:val="superscript"/>
        </w:rPr>
        <w:t>,20</w:t>
      </w:r>
      <w:r w:rsidRPr="00B93BC6">
        <w:rPr>
          <w:rFonts w:asciiTheme="majorHAnsi" w:hAnsiTheme="majorHAnsi" w:cstheme="majorHAnsi"/>
          <w:color w:val="auto"/>
        </w:rPr>
        <w:t>, systemic lupus erythematous</w:t>
      </w:r>
      <w:r w:rsidRPr="00DA55E8">
        <w:rPr>
          <w:rFonts w:asciiTheme="majorHAnsi" w:hAnsiTheme="majorHAnsi" w:cstheme="majorHAnsi"/>
          <w:color w:val="auto"/>
          <w:vertAlign w:val="superscript"/>
        </w:rPr>
        <w:t>11,21</w:t>
      </w:r>
      <w:r w:rsidRPr="00B93BC6">
        <w:rPr>
          <w:rFonts w:asciiTheme="majorHAnsi" w:hAnsiTheme="majorHAnsi" w:cstheme="majorHAnsi"/>
          <w:color w:val="auto"/>
        </w:rPr>
        <w:t>, and rheumatoid arthritis</w:t>
      </w:r>
      <w:r w:rsidRPr="00B93BC6">
        <w:rPr>
          <w:rFonts w:asciiTheme="majorHAnsi" w:hAnsiTheme="majorHAnsi" w:cstheme="majorHAnsi"/>
          <w:color w:val="auto"/>
        </w:rPr>
        <w:fldChar w:fldCharType="begin"/>
      </w:r>
      <w:r w:rsidRPr="00B93BC6">
        <w:rPr>
          <w:rFonts w:asciiTheme="majorHAnsi" w:hAnsiTheme="majorHAnsi" w:cstheme="majorHAnsi"/>
          <w:color w:val="auto"/>
        </w:rPr>
        <w:instrText xml:space="preserve"> ADDIN ZOTERO_ITEM CSL_CITATION {"citationID":"CLIgyy9y","properties":{"formattedCitation":"\\super 11, 14\\nosupersub{}","plainCitation":"11, 14","noteIndex":0},"citationItems":[{"id":114,"uris":["http://zotero.org/users/4841313/items/Z3FQZLY4"],"uri":["http://zotero.org/users/4841313/items/Z3FQZLY4"],"itemData":{"id":114,"type":"article-journal","title":"Circulating Precursor CCR7loPD-1hi CXCR5+ CD4+ T Cells Indicate Tfh Cell Activity and Promote Antibody Responses upon Antigen Reexposure","container-title":"Immunity","page":"770-781","volume":"39","issue":"4","source":"Crossref","DOI":"10.1016/j.immuni.2013.09.007","ISSN":"10747613","language":"en","author":[{"family":"He","given":"Jing"},{"family":"Tsai","given":"Louis M."},{"family":"Leong","given":"Yew Ann"},{"family":"Hu","given":"Xin"},{"family":"Ma","given":"Cindy S."},{"family":"Chevalier","given":"Nina"},{"family":"Sun","given":"Xiaolin"},{"family":"Vandenberg","given":"Kirsten"},{"family":"Rockman","given":"Steve"},{"family":"Ding","given":"Yan"},{"family":"Zhu","given":"Lei"},{"family":"Wei","given":"Wei"},{"family":"Wang","given":"Changqi"},{"family":"Karnowski","given":"Alexander"},{"family":"Belz","given":"Gabrielle T."},{"family":"Ghali","given":"Joanna R."},{"family":"Cook","given":"Matthew C."},{"family":"Riminton","given":"D. Sean"},{"family":"Veillette","given":"André"},{"family":"Schwartzberg","given":"Pamela L."},{"family":"Mackay","given":"Fabienne"},{"family":"Brink","given":"Robert"},{"family":"Tangye","given":"Stuart G."},{"family":"Vinuesa","given":"Carola G."},{"family":"Mackay","given":"Charles R."},{"family":"Li","given":"Zhanguo"},{"family":"Yu","given":"Di"}],"issued":{"date-parts":[["2013",10]]}}},{"id":117,"uris":["http://zotero.org/users/4841313/items/NQQJVQ8B"],"uri":["http://zotero.org/users/4841313/items/NQQJVQ8B"],"itemData":{"id":117,"type":"article-journal","title":"High frequencies of activated B cells and T follicular helper cells are correlated with disease activity in patients with new-onset rheumatoid arthritis","container-title":"Clinical and Experimental Immunology","page":"212-220","volume":"174","issue":"2","source":"PubMed Central","abstract":"This study aimed to examine the frequency of different subsets of circulating B and T follicular helper (Tfh) cells in patients with new-onset rheumatoid arthritis (RA) and following standard therapies. Twenty-five RA patients and 15 healthy controls (HC) were recruited for characterizing the frequency of CD27+, immunoglobulin (Ig)D+, CD86+, CD95+, Toll-like receptor (TLR)-9+ B cells and inducible T cell co-stimulator (ICOS) and programmed death 1 (PD-1)-positive Tfh cells and the level of serum interleukin (IL)-21. The potential correlation between the frequency of different subsets of B and Tfh cells and the values of clinical measures in RA patients was analysed. In comparison with HC, significantly higher percentages of circulating IgD+CD27−CD19+ naive B, CD86+CD19+ and CD95+CD19+ activated B, CD3+CD4+CXCR5+, CD3+CD4+CXCR5+ICOS+, CD3+CD4+CXCR5+PD-1+ and CD3+CD4+CXCR5+ICOS+PD-1+ Tfh cells but lower IgD+CD27+CD19+ preswitch memory B cells were detected, accompanied by significantly higher levels of serum IL-21 in the RA patients. Furthermore, the percentages of CD95+ B cells were correlated positively with the frequency of PD-1+ Tfh cells, but negatively with ICOS+ Tfh cells. The percentages of CD86+ B cells and ICOS+ Tfh cells were correlated positively with the values of disease activity score 28 (DAS28). Following the drug therapies for 1 month, the percentages of CD86+ B and PD-1+ Tfh cells were reduced significantly in the drug-responding patients. Our data suggest that activated B and Tfh cells may contribute to the pathogenesis of RA and the frequency of activated B and Tfh cells may be used as biomarkers for evaluating the therapeutic responses of individual patients with RA.","DOI":"10.1111/cei.12162","ISSN":"0009-9104","note":"PMID: 23786438\nPMCID: PMC3828824","journalAbbreviation":"Clin Exp Immunol","author":[{"family":"Wang","given":"J"},{"family":"Shan","given":"Y"},{"family":"Jiang","given":"Z"},{"family":"Feng","given":"J"},{"family":"Li","given":"C"},{"family":"Ma","given":"L"},{"family":"Jiang","given":"Y"}],"issued":{"date-parts":[["2013",11]]}}}],"schema":"https://github.com/citation-style-language/schema/raw/master/csl-citation.json"} </w:instrText>
      </w:r>
      <w:r w:rsidRPr="00B93BC6">
        <w:rPr>
          <w:rFonts w:asciiTheme="majorHAnsi" w:hAnsiTheme="majorHAnsi" w:cstheme="majorHAnsi"/>
          <w:color w:val="auto"/>
        </w:rPr>
        <w:fldChar w:fldCharType="separate"/>
      </w:r>
      <w:r w:rsidRPr="00B93BC6">
        <w:rPr>
          <w:rFonts w:asciiTheme="majorHAnsi" w:hAnsiTheme="majorHAnsi" w:cstheme="majorHAnsi"/>
          <w:color w:val="auto"/>
          <w:vertAlign w:val="superscript"/>
        </w:rPr>
        <w:t>11,14</w:t>
      </w:r>
      <w:r w:rsidRPr="00B93BC6">
        <w:rPr>
          <w:rFonts w:asciiTheme="majorHAnsi" w:hAnsiTheme="majorHAnsi" w:cstheme="majorHAnsi"/>
          <w:color w:val="auto"/>
        </w:rPr>
        <w:fldChar w:fldCharType="end"/>
      </w:r>
      <w:r w:rsidRPr="00B93BC6">
        <w:rPr>
          <w:rFonts w:asciiTheme="majorHAnsi" w:hAnsiTheme="majorHAnsi" w:cstheme="majorHAnsi"/>
          <w:color w:val="auto"/>
        </w:rPr>
        <w:t xml:space="preserve"> have been conflicting in the ability to detect a difference in overall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between heathy controls and patients. </w:t>
      </w:r>
      <w:r>
        <w:rPr>
          <w:rFonts w:asciiTheme="majorHAnsi" w:hAnsiTheme="majorHAnsi" w:cstheme="majorHAnsi"/>
          <w:color w:val="auto"/>
        </w:rPr>
        <w:t>N</w:t>
      </w:r>
      <w:r w:rsidRPr="00B93BC6">
        <w:rPr>
          <w:rFonts w:asciiTheme="majorHAnsi" w:hAnsiTheme="majorHAnsi" w:cstheme="majorHAnsi"/>
          <w:color w:val="auto"/>
        </w:rPr>
        <w:t>o significant differences</w:t>
      </w:r>
      <w:r>
        <w:rPr>
          <w:rFonts w:asciiTheme="majorHAnsi" w:hAnsiTheme="majorHAnsi" w:cstheme="majorHAnsi"/>
          <w:color w:val="auto"/>
        </w:rPr>
        <w:t xml:space="preserve"> were found</w:t>
      </w:r>
      <w:r w:rsidRPr="00B93BC6">
        <w:rPr>
          <w:rFonts w:asciiTheme="majorHAnsi" w:hAnsiTheme="majorHAnsi" w:cstheme="majorHAnsi"/>
          <w:color w:val="auto"/>
        </w:rPr>
        <w:t xml:space="preserve"> in overall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between </w:t>
      </w:r>
      <w:r>
        <w:rPr>
          <w:rFonts w:asciiTheme="majorHAnsi" w:hAnsiTheme="majorHAnsi" w:cstheme="majorHAnsi"/>
          <w:color w:val="auto"/>
        </w:rPr>
        <w:t>normal subjects</w:t>
      </w:r>
      <w:r w:rsidRPr="00B93BC6">
        <w:rPr>
          <w:rFonts w:asciiTheme="majorHAnsi" w:hAnsiTheme="majorHAnsi" w:cstheme="majorHAnsi"/>
          <w:color w:val="auto"/>
        </w:rPr>
        <w:t xml:space="preserve"> and </w:t>
      </w:r>
      <w:r>
        <w:rPr>
          <w:rFonts w:asciiTheme="majorHAnsi" w:hAnsiTheme="majorHAnsi" w:cstheme="majorHAnsi"/>
          <w:color w:val="auto"/>
        </w:rPr>
        <w:t>MZL</w:t>
      </w:r>
      <w:r w:rsidRPr="00B93BC6">
        <w:rPr>
          <w:rFonts w:asciiTheme="majorHAnsi" w:hAnsiTheme="majorHAnsi" w:cstheme="majorHAnsi"/>
          <w:color w:val="auto"/>
        </w:rPr>
        <w:t xml:space="preserve"> or </w:t>
      </w:r>
      <w:r>
        <w:rPr>
          <w:rFonts w:asciiTheme="majorHAnsi" w:hAnsiTheme="majorHAnsi" w:cstheme="majorHAnsi"/>
          <w:color w:val="auto"/>
        </w:rPr>
        <w:t>BNHL</w:t>
      </w:r>
      <w:r w:rsidRPr="00B93BC6">
        <w:rPr>
          <w:rFonts w:asciiTheme="majorHAnsi" w:hAnsiTheme="majorHAnsi" w:cstheme="majorHAnsi"/>
          <w:color w:val="auto"/>
        </w:rPr>
        <w:t xml:space="preserve"> patients (</w:t>
      </w:r>
      <w:r w:rsidRPr="00D10D24">
        <w:rPr>
          <w:rFonts w:asciiTheme="majorHAnsi" w:hAnsiTheme="majorHAnsi" w:cstheme="majorHAnsi"/>
          <w:b/>
          <w:color w:val="auto"/>
        </w:rPr>
        <w:t>Figure 4B</w:t>
      </w:r>
      <w:r w:rsidRPr="00B93BC6">
        <w:rPr>
          <w:rFonts w:asciiTheme="majorHAnsi" w:hAnsiTheme="majorHAnsi" w:cstheme="majorHAnsi"/>
          <w:color w:val="auto"/>
        </w:rPr>
        <w:t>)</w:t>
      </w:r>
      <w:r w:rsidRPr="00B93BC6">
        <w:rPr>
          <w:rFonts w:asciiTheme="majorHAnsi" w:hAnsiTheme="majorHAnsi" w:cstheme="majorHAnsi"/>
          <w:color w:val="auto"/>
        </w:rPr>
        <w:fldChar w:fldCharType="begin"/>
      </w:r>
      <w:r w:rsidRPr="00B93BC6">
        <w:rPr>
          <w:rFonts w:asciiTheme="majorHAnsi" w:hAnsiTheme="majorHAnsi" w:cstheme="majorHAnsi"/>
          <w:color w:val="auto"/>
        </w:rPr>
        <w:instrText xml:space="preserve"> ADDIN ZOTERO_ITEM CSL_CITATION {"citationID":"LtR61Kdo","properties":{"formattedCitation":"\\super 21\\nosupersub{}","plainCitation":"21","noteIndex":0},"citationItems":[{"id":9,"uris":["http://zotero.org/users/4841313/items/EAKMTTD9"],"uri":["http://zotero.org/users/4841313/items/EAKMTTD9"],"itemData":{"id":9,"type":"article-journal","title":"Circulating Tfh1 (cTfh1) cell numbers and PD1 expression are elevated in low-grade B-cell non-Hodgkin’s lymphoma and cTfh gene expression is perturbed in marginal zone lymphoma","container-title":"PLOS ONE","page":"e0190468","volume":"13","issue":"1","source":"CrossRef","DOI":"10.1371/journal.pone.0190468","ISSN":"1932-6203","language":"en","author":[{"family":"Byford","given":"Elliot T."},{"family":"Carr","given":"Matthew"},{"family":"Ladikou","given":"Eleni"},{"family":"Ahearne","given":"Matthew J."},{"family":"Wagner","given":"Simon D."}],"editor":[{"family":"Richard","given":"Yolande"}],"issued":{"date-parts":[["2018",1,2]]}}}],"schema":"https://github.com/citation-style-language/schema/raw/master/csl-citation.json"} </w:instrText>
      </w:r>
      <w:r w:rsidRPr="00B93BC6">
        <w:rPr>
          <w:rFonts w:asciiTheme="majorHAnsi" w:hAnsiTheme="majorHAnsi" w:cstheme="majorHAnsi"/>
          <w:color w:val="auto"/>
        </w:rPr>
        <w:fldChar w:fldCharType="separate"/>
      </w:r>
      <w:r w:rsidRPr="00B93BC6">
        <w:rPr>
          <w:rFonts w:asciiTheme="majorHAnsi" w:hAnsiTheme="majorHAnsi" w:cstheme="majorHAnsi"/>
          <w:color w:val="auto"/>
          <w:vertAlign w:val="superscript"/>
        </w:rPr>
        <w:t>21</w:t>
      </w:r>
      <w:r w:rsidRPr="00B93BC6">
        <w:rPr>
          <w:rFonts w:asciiTheme="majorHAnsi" w:hAnsiTheme="majorHAnsi" w:cstheme="majorHAnsi"/>
          <w:color w:val="auto"/>
        </w:rPr>
        <w:fldChar w:fldCharType="end"/>
      </w:r>
      <w:r w:rsidRPr="00B93BC6">
        <w:rPr>
          <w:rFonts w:asciiTheme="majorHAnsi" w:hAnsiTheme="majorHAnsi" w:cstheme="majorHAnsi"/>
          <w:color w:val="auto"/>
        </w:rPr>
        <w:t>.</w:t>
      </w:r>
    </w:p>
    <w:p w14:paraId="0327C6CE" w14:textId="77777777" w:rsidR="00277E15" w:rsidRPr="00B93BC6" w:rsidRDefault="00277E15" w:rsidP="00277E15">
      <w:pPr>
        <w:pStyle w:val="NormalWeb"/>
        <w:spacing w:before="0" w:beforeAutospacing="0" w:after="0" w:afterAutospacing="0"/>
        <w:rPr>
          <w:rFonts w:asciiTheme="majorHAnsi" w:hAnsiTheme="majorHAnsi" w:cstheme="majorHAnsi"/>
          <w:color w:val="auto"/>
        </w:rPr>
      </w:pPr>
    </w:p>
    <w:p w14:paraId="28028D5A" w14:textId="77777777" w:rsidR="00277E15" w:rsidRPr="00B93BC6" w:rsidRDefault="00277E15" w:rsidP="00277E15">
      <w:pPr>
        <w:pStyle w:val="NormalWeb"/>
        <w:spacing w:before="0" w:beforeAutospacing="0" w:after="0" w:afterAutospacing="0"/>
        <w:rPr>
          <w:rFonts w:asciiTheme="majorHAnsi" w:hAnsiTheme="majorHAnsi" w:cstheme="majorHAnsi"/>
          <w:color w:val="auto"/>
        </w:rPr>
      </w:pPr>
      <w:r w:rsidRPr="00B93BC6">
        <w:rPr>
          <w:rFonts w:asciiTheme="majorHAnsi" w:hAnsiTheme="majorHAnsi" w:cstheme="majorHAnsi"/>
          <w:color w:val="auto"/>
        </w:rPr>
        <w:t xml:space="preserve">Identification of PD-1 expression within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cells from a representative </w:t>
      </w:r>
      <w:r>
        <w:rPr>
          <w:rFonts w:asciiTheme="majorHAnsi" w:hAnsiTheme="majorHAnsi" w:cstheme="majorHAnsi"/>
          <w:color w:val="auto"/>
        </w:rPr>
        <w:t>normal subject</w:t>
      </w:r>
      <w:r w:rsidRPr="00B93BC6">
        <w:rPr>
          <w:rFonts w:asciiTheme="majorHAnsi" w:hAnsiTheme="majorHAnsi" w:cstheme="majorHAnsi"/>
          <w:color w:val="auto"/>
        </w:rPr>
        <w:t xml:space="preserve"> and </w:t>
      </w:r>
      <w:r>
        <w:rPr>
          <w:rFonts w:asciiTheme="majorHAnsi" w:hAnsiTheme="majorHAnsi" w:cstheme="majorHAnsi"/>
          <w:color w:val="auto"/>
        </w:rPr>
        <w:t>BNHL</w:t>
      </w:r>
      <w:r w:rsidRPr="00B93BC6">
        <w:rPr>
          <w:rFonts w:asciiTheme="majorHAnsi" w:hAnsiTheme="majorHAnsi" w:cstheme="majorHAnsi"/>
          <w:color w:val="auto"/>
        </w:rPr>
        <w:t xml:space="preserve"> patient for comparison </w:t>
      </w:r>
      <w:r>
        <w:rPr>
          <w:rFonts w:asciiTheme="majorHAnsi" w:hAnsiTheme="majorHAnsi" w:cstheme="majorHAnsi"/>
          <w:color w:val="auto"/>
        </w:rPr>
        <w:t xml:space="preserve">is shown in </w:t>
      </w:r>
      <w:r w:rsidRPr="00D10D24">
        <w:rPr>
          <w:rFonts w:asciiTheme="majorHAnsi" w:hAnsiTheme="majorHAnsi" w:cstheme="majorHAnsi"/>
          <w:b/>
          <w:color w:val="auto"/>
        </w:rPr>
        <w:t>Figure 5A</w:t>
      </w:r>
      <w:r w:rsidRPr="00B93BC6">
        <w:rPr>
          <w:rFonts w:asciiTheme="majorHAnsi" w:hAnsiTheme="majorHAnsi" w:cstheme="majorHAnsi"/>
          <w:color w:val="auto"/>
        </w:rPr>
        <w:t xml:space="preserve">. PD-1 expression was significantly higher in MZL and BNHL patients than </w:t>
      </w:r>
      <w:r>
        <w:rPr>
          <w:rFonts w:asciiTheme="majorHAnsi" w:hAnsiTheme="majorHAnsi" w:cstheme="majorHAnsi"/>
          <w:color w:val="auto"/>
        </w:rPr>
        <w:t>normal subjects</w:t>
      </w:r>
      <w:r w:rsidRPr="00B93BC6">
        <w:rPr>
          <w:rFonts w:asciiTheme="majorHAnsi" w:hAnsiTheme="majorHAnsi" w:cstheme="majorHAnsi"/>
          <w:color w:val="auto"/>
        </w:rPr>
        <w:t xml:space="preserve"> (</w:t>
      </w:r>
      <w:r w:rsidRPr="00D10D24">
        <w:rPr>
          <w:rFonts w:asciiTheme="majorHAnsi" w:hAnsiTheme="majorHAnsi" w:cstheme="majorHAnsi"/>
          <w:b/>
          <w:color w:val="auto"/>
        </w:rPr>
        <w:t>Figure 5B</w:t>
      </w:r>
      <w:r w:rsidRPr="00B93BC6">
        <w:rPr>
          <w:rFonts w:asciiTheme="majorHAnsi" w:hAnsiTheme="majorHAnsi" w:cstheme="majorHAnsi"/>
          <w:color w:val="auto"/>
        </w:rPr>
        <w:t>)</w:t>
      </w:r>
      <w:r w:rsidRPr="00B93BC6">
        <w:rPr>
          <w:rFonts w:asciiTheme="majorHAnsi" w:hAnsiTheme="majorHAnsi" w:cstheme="majorHAnsi"/>
          <w:color w:val="auto"/>
        </w:rPr>
        <w:fldChar w:fldCharType="begin"/>
      </w:r>
      <w:r w:rsidRPr="00B93BC6">
        <w:rPr>
          <w:rFonts w:asciiTheme="majorHAnsi" w:hAnsiTheme="majorHAnsi" w:cstheme="majorHAnsi"/>
          <w:color w:val="auto"/>
        </w:rPr>
        <w:instrText xml:space="preserve"> ADDIN ZOTERO_ITEM CSL_CITATION {"citationID":"IWl7ST1A","properties":{"formattedCitation":"\\super 21\\nosupersub{}","plainCitation":"21","noteIndex":0},"citationItems":[{"id":9,"uris":["http://zotero.org/users/4841313/items/EAKMTTD9"],"uri":["http://zotero.org/users/4841313/items/EAKMTTD9"],"itemData":{"id":9,"type":"article-journal","title":"Circulating Tfh1 (cTfh1) cell numbers and PD1 expression are elevated in low-grade B-cell non-Hodgkin’s lymphoma and cTfh gene expression is perturbed in marginal zone lymphoma","container-title":"PLOS ONE","page":"e0190468","volume":"13","issue":"1","source":"CrossRef","DOI":"10.1371/journal.pone.0190468","ISSN":"1932-6203","language":"en","author":[{"family":"Byford","given":"Elliot T."},{"family":"Carr","given":"Matthew"},{"family":"Ladikou","given":"Eleni"},{"family":"Ahearne","given":"Matthew J."},{"family":"Wagner","given":"Simon D."}],"editor":[{"family":"Richard","given":"Yolande"}],"issued":{"date-parts":[["2018",1,2]]}}}],"schema":"https://github.com/citation-style-language/schema/raw/master/csl-citation.json"} </w:instrText>
      </w:r>
      <w:r w:rsidRPr="00B93BC6">
        <w:rPr>
          <w:rFonts w:asciiTheme="majorHAnsi" w:hAnsiTheme="majorHAnsi" w:cstheme="majorHAnsi"/>
          <w:color w:val="auto"/>
        </w:rPr>
        <w:fldChar w:fldCharType="separate"/>
      </w:r>
      <w:r w:rsidRPr="00B93BC6">
        <w:rPr>
          <w:rFonts w:asciiTheme="majorHAnsi" w:hAnsiTheme="majorHAnsi" w:cstheme="majorHAnsi"/>
          <w:color w:val="auto"/>
          <w:vertAlign w:val="superscript"/>
        </w:rPr>
        <w:t>21</w:t>
      </w:r>
      <w:r w:rsidRPr="00B93BC6">
        <w:rPr>
          <w:rFonts w:asciiTheme="majorHAnsi" w:hAnsiTheme="majorHAnsi" w:cstheme="majorHAnsi"/>
          <w:color w:val="auto"/>
        </w:rPr>
        <w:fldChar w:fldCharType="end"/>
      </w:r>
      <w:r w:rsidRPr="00B93BC6">
        <w:rPr>
          <w:rFonts w:asciiTheme="majorHAnsi" w:hAnsiTheme="majorHAnsi" w:cstheme="majorHAnsi"/>
          <w:color w:val="auto"/>
        </w:rPr>
        <w:t xml:space="preserve">. Similar increases in PD-1 </w:t>
      </w:r>
      <w:r w:rsidRPr="00B93BC6">
        <w:rPr>
          <w:rFonts w:asciiTheme="majorHAnsi" w:hAnsiTheme="majorHAnsi" w:cstheme="majorHAnsi"/>
          <w:color w:val="auto"/>
        </w:rPr>
        <w:lastRenderedPageBreak/>
        <w:t>expression have been demonstrated in multiple autoimmune disorders</w:t>
      </w:r>
      <w:r w:rsidRPr="00B93BC6">
        <w:rPr>
          <w:rFonts w:asciiTheme="majorHAnsi" w:hAnsiTheme="majorHAnsi" w:cstheme="majorHAnsi"/>
          <w:color w:val="auto"/>
        </w:rPr>
        <w:fldChar w:fldCharType="begin"/>
      </w:r>
      <w:r w:rsidRPr="00B93BC6">
        <w:rPr>
          <w:rFonts w:asciiTheme="majorHAnsi" w:hAnsiTheme="majorHAnsi" w:cstheme="majorHAnsi"/>
          <w:color w:val="auto"/>
        </w:rPr>
        <w:instrText xml:space="preserve"> ADDIN ZOTERO_ITEM CSL_CITATION {"citationID":"2ir2vI4g","properties":{"formattedCitation":"\\super 11\\uc0\\u8211{}14\\nosupersub{}","plainCitation":"11–14","noteIndex":0},"citationItems":[{"id":114,"uris":["http://zotero.org/users/4841313/items/Z3FQZLY4"],"uri":["http://zotero.org/users/4841313/items/Z3FQZLY4"],"itemData":{"id":114,"type":"article-journal","title":"Circulating Precursor CCR7loPD-1hi CXCR5+ CD4+ T Cells Indicate Tfh Cell Activity and Promote Antibody Responses upon Antigen Reexposure","container-title":"Immunity","page":"770-781","volume":"39","issue":"4","source":"Crossref","DOI":"10.1016/j.immuni.2013.09.007","ISSN":"10747613","language":"en","author":[{"family":"He","given":"Jing"},{"family":"Tsai","given":"Louis M."},{"family":"Leong","given":"Yew Ann"},{"family":"Hu","given":"Xin"},{"family":"Ma","given":"Cindy S."},{"family":"Chevalier","given":"Nina"},{"family":"Sun","given":"Xiaolin"},{"family":"Vandenberg","given":"Kirsten"},{"family":"Rockman","given":"Steve"},{"family":"Ding","given":"Yan"},{"family":"Zhu","given":"Lei"},{"family":"Wei","given":"Wei"},{"family":"Wang","given":"Changqi"},{"family":"Karnowski","given":"Alexander"},{"family":"Belz","given":"Gabrielle T."},{"family":"Ghali","given":"Joanna R."},{"family":"Cook","given":"Matthew C."},{"family":"Riminton","given":"D. Sean"},{"family":"Veillette","given":"André"},{"family":"Schwartzberg","given":"Pamela L."},{"family":"Mackay","given":"Fabienne"},{"family":"Brink","given":"Robert"},{"family":"Tangye","given":"Stuart G."},{"family":"Vinuesa","given":"Carola G."},{"family":"Mackay","given":"Charles R."},{"family":"Li","given":"Zhanguo"},{"family":"Yu","given":"Di"}],"issued":{"date-parts":[["2013",10]]}}},{"id":24,"uris":["http://zotero.org/users/4841313/items/F9JJQ66J"],"uri":["http://zotero.org/users/4841313/items/F9JJQ66J"],"itemData":{"id":24,"type":"article-journal","title":"Phenotype and functions of memory Tfh cells in human blood","container-title":"Trends in Immunology","page":"436-442","volume":"35","issue":"9","source":"CrossRef","DOI":"10.1016/j.it.2014.06.002","ISSN":"14714906","language":"en","author":[{"family":"Schmitt","given":"Nathalie"},{"family":"Bentebibel","given":"Salah-Eddine"},{"family":"Ueno","given":"Hideki"}],"issued":{"date-parts":[["2014",9]]}}},{"id":115,"uris":["http://zotero.org/users/4841313/items/YT7ZAJFA"],"uri":["http://zotero.org/users/4841313/items/YT7ZAJFA"],"itemData":{"id":115,"type":"article-journal","title":"Expansion of circulating T cells resembling follicular helper T cells is a fixed phenotype that identifies a subset of severe systemic lupus erythematosus","container-title":"Arthritis and Rheumatism","page":"234-244","volume":"62","issue":"1","source":"PubMed","abstract":"OBJECTIVE: In the sanroque mouse model of lupus, pathologic germinal centers (GCs) arise due to increased numbers of follicular helper T (Tfh) cells, resulting in high-affinity anti-double-stranded DNA antibodies that cause end-organ inflammation, such as glomerulonephritis. The purpose of this study was to examine the hypothesis that this pathway could account for a subset of patients with systemic lupus erythematosus (SLE).\nMETHODS: An expansion of Tfh cells is a causal, and therefore consistent, component of the sanroque mouse phenotype. We validated the enumeration of circulating T cells resembling Tfh cells as a biomarker of this expansion in sanroque mice, and we performed a comprehensive comparison of the surface phenotype of circulating and tonsillar Tfh cells in humans. This circulating biomarker was enumerated in SLE patients (n = 46), Sjögren's syndrome patients (n = 17), and healthy controls (n = 48) and was correlated with disease activity and end-organ involvement.\nRESULTS: In sanroque mice, circulating Tfh cells increased in proportion to their GC counterparts, making circulating Tfh cells a feasible human biomarker of this novel mechanism of breakdown in GC tolerance. In a subset of SLE patients (14 of 46), but in none of the controls, the levels of circulating Tfh cells (defined as circulating CXCR5+CD4+ cells with high expression of Tfh-associated molecules, such as inducible T cell costimulator or programmed death 1) were increased. This cellular phenotype did not vary with time, disease activity, or treatment, but it did correlate with the diversity and titers of autoantibodies and with the severity of end-organ involvement.\nCONCLUSION: These findings in SLE patients are consistent with the autoimmune mechanism in sanroque mice and identify Tfh effector molecules as possible therapeutic targets in a recognizable subset of patients with SLE.","DOI":"10.1002/art.25032","ISSN":"0004-3591","note":"PMID: 20039395","journalAbbreviation":"Arthritis Rheum.","language":"eng","author":[{"family":"Simpson","given":"Nicholas"},{"family":"Gatenby","given":"Paul A."},{"family":"Wilson","given":"Anastasia"},{"family":"Malik","given":"Shreya"},{"family":"Fulcher","given":"David A."},{"family":"Tangye","given":"Stuart G."},{"family":"Manku","given":"Harinder"},{"family":"Vyse","given":"Timothy J."},{"family":"Roncador","given":"Giovanna"},{"family":"Huttley","given":"Gavin A."},{"family":"Goodnow","given":"Christopher C."},{"family":"Vinuesa","given":"Carola G."},{"family":"Cook","given":"Matthew C."}],"issued":{"date-parts":[["2010",1]]}}},{"id":117,"uris":["http://zotero.org/users/4841313/items/NQQJVQ8B"],"uri":["http://zotero.org/users/4841313/items/NQQJVQ8B"],"itemData":{"id":117,"type":"article-journal","title":"High frequencies of activated B cells and T follicular helper cells are correlated with disease activity in patients with new-onset rheumatoid arthritis","container-title":"Clinical and Experimental Immunology","page":"212-220","volume":"174","issue":"2","source":"PubMed Central","abstract":"This study aimed to examine the frequency of different subsets of circulating B and T follicular helper (Tfh) cells in patients with new-onset rheumatoid arthritis (RA) and following standard therapies. Twenty-five RA patients and 15 healthy controls (HC) were recruited for characterizing the frequency of CD27+, immunoglobulin (Ig)D+, CD86+, CD95+, Toll-like receptor (TLR)-9+ B cells and inducible T cell co-stimulator (ICOS) and programmed death 1 (PD-1)-positive Tfh cells and the level of serum interleukin (IL)-21. The potential correlation between the frequency of different subsets of B and Tfh cells and the values of clinical measures in RA patients was analysed. In comparison with HC, significantly higher percentages of circulating IgD+CD27−CD19+ naive B, CD86+CD19+ and CD95+CD19+ activated B, CD3+CD4+CXCR5+, CD3+CD4+CXCR5+ICOS+, CD3+CD4+CXCR5+PD-1+ and CD3+CD4+CXCR5+ICOS+PD-1+ Tfh cells but lower IgD+CD27+CD19+ preswitch memory B cells were detected, accompanied by significantly higher levels of serum IL-21 in the RA patients. Furthermore, the percentages of CD95+ B cells were correlated positively with the frequency of PD-1+ Tfh cells, but negatively with ICOS+ Tfh cells. The percentages of CD86+ B cells and ICOS+ Tfh cells were correlated positively with the values of disease activity score 28 (DAS28). Following the drug therapies for 1 month, the percentages of CD86+ B and PD-1+ Tfh cells were reduced significantly in the drug-responding patients. Our data suggest that activated B and Tfh cells may contribute to the pathogenesis of RA and the frequency of activated B and Tfh cells may be used as biomarkers for evaluating the therapeutic responses of individual patients with RA.","DOI":"10.1111/cei.12162","ISSN":"0009-9104","note":"PMID: 23786438\nPMCID: PMC3828824","journalAbbreviation":"Clin Exp Immunol","author":[{"family":"Wang","given":"J"},{"family":"Shan","given":"Y"},{"family":"Jiang","given":"Z"},{"family":"Feng","given":"J"},{"family":"Li","given":"C"},{"family":"Ma","given":"L"},{"family":"Jiang","given":"Y"}],"issued":{"date-parts":[["2013",11]]}}}],"schema":"https://github.com/citation-style-language/schema/raw/master/csl-citation.json"} </w:instrText>
      </w:r>
      <w:r w:rsidRPr="00B93BC6">
        <w:rPr>
          <w:rFonts w:asciiTheme="majorHAnsi" w:hAnsiTheme="majorHAnsi" w:cstheme="majorHAnsi"/>
          <w:color w:val="auto"/>
        </w:rPr>
        <w:fldChar w:fldCharType="separate"/>
      </w:r>
      <w:r w:rsidRPr="00B93BC6">
        <w:rPr>
          <w:rFonts w:asciiTheme="majorHAnsi" w:hAnsiTheme="majorHAnsi" w:cstheme="majorHAnsi"/>
          <w:color w:val="auto"/>
          <w:vertAlign w:val="superscript"/>
        </w:rPr>
        <w:t>11–14</w:t>
      </w:r>
      <w:r w:rsidRPr="00B93BC6">
        <w:rPr>
          <w:rFonts w:asciiTheme="majorHAnsi" w:hAnsiTheme="majorHAnsi" w:cstheme="majorHAnsi"/>
          <w:color w:val="auto"/>
        </w:rPr>
        <w:fldChar w:fldCharType="end"/>
      </w:r>
      <w:r w:rsidRPr="00B93BC6">
        <w:rPr>
          <w:rFonts w:asciiTheme="majorHAnsi" w:hAnsiTheme="majorHAnsi" w:cstheme="majorHAnsi"/>
          <w:color w:val="auto"/>
        </w:rPr>
        <w:t>.</w:t>
      </w:r>
    </w:p>
    <w:p w14:paraId="04F5783D" w14:textId="77777777" w:rsidR="00277E15" w:rsidRPr="00B93BC6" w:rsidRDefault="00277E15" w:rsidP="00277E15">
      <w:pPr>
        <w:pStyle w:val="NormalWeb"/>
        <w:spacing w:before="0" w:beforeAutospacing="0" w:after="0" w:afterAutospacing="0"/>
        <w:rPr>
          <w:rFonts w:asciiTheme="majorHAnsi" w:hAnsiTheme="majorHAnsi" w:cstheme="majorHAnsi"/>
          <w:color w:val="auto"/>
        </w:rPr>
      </w:pPr>
    </w:p>
    <w:p w14:paraId="58126BAA" w14:textId="77777777" w:rsidR="00277E15" w:rsidRPr="00B93BC6" w:rsidRDefault="00277E15" w:rsidP="00277E15">
      <w:pPr>
        <w:pStyle w:val="NormalWeb"/>
        <w:spacing w:before="0" w:beforeAutospacing="0" w:after="0" w:afterAutospacing="0"/>
        <w:rPr>
          <w:rFonts w:asciiTheme="majorHAnsi" w:hAnsiTheme="majorHAnsi" w:cstheme="majorHAnsi"/>
          <w:color w:val="auto"/>
        </w:rPr>
      </w:pPr>
      <w:r w:rsidRPr="00B93BC6">
        <w:rPr>
          <w:rFonts w:asciiTheme="majorHAnsi" w:hAnsiTheme="majorHAnsi" w:cstheme="majorHAnsi"/>
          <w:color w:val="auto"/>
        </w:rPr>
        <w:t>Identification of cTfh1</w:t>
      </w:r>
      <w:proofErr w:type="gramStart"/>
      <w:r w:rsidRPr="00B93BC6">
        <w:rPr>
          <w:rFonts w:asciiTheme="majorHAnsi" w:hAnsiTheme="majorHAnsi" w:cstheme="majorHAnsi"/>
          <w:color w:val="auto"/>
        </w:rPr>
        <w:t>,2,17</w:t>
      </w:r>
      <w:proofErr w:type="gramEnd"/>
      <w:r w:rsidRPr="00B93BC6">
        <w:rPr>
          <w:rFonts w:asciiTheme="majorHAnsi" w:hAnsiTheme="majorHAnsi" w:cstheme="majorHAnsi"/>
          <w:color w:val="auto"/>
        </w:rPr>
        <w:t xml:space="preserve"> and 1/17 within the population of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cells using CXCR3 and CCR6 expression from a representative </w:t>
      </w:r>
      <w:r>
        <w:rPr>
          <w:rFonts w:asciiTheme="majorHAnsi" w:hAnsiTheme="majorHAnsi" w:cstheme="majorHAnsi"/>
          <w:color w:val="auto"/>
        </w:rPr>
        <w:t>normal subject</w:t>
      </w:r>
      <w:r w:rsidRPr="00B93BC6">
        <w:rPr>
          <w:rFonts w:asciiTheme="majorHAnsi" w:hAnsiTheme="majorHAnsi" w:cstheme="majorHAnsi"/>
          <w:color w:val="auto"/>
        </w:rPr>
        <w:t xml:space="preserve"> </w:t>
      </w:r>
      <w:r>
        <w:rPr>
          <w:rFonts w:asciiTheme="majorHAnsi" w:hAnsiTheme="majorHAnsi" w:cstheme="majorHAnsi"/>
          <w:color w:val="auto"/>
        </w:rPr>
        <w:t xml:space="preserve">is shown in </w:t>
      </w:r>
      <w:r w:rsidRPr="00D10D24">
        <w:rPr>
          <w:rFonts w:asciiTheme="majorHAnsi" w:hAnsiTheme="majorHAnsi" w:cstheme="majorHAnsi"/>
          <w:b/>
          <w:color w:val="auto"/>
        </w:rPr>
        <w:t>Figure 6A</w:t>
      </w:r>
      <w:r w:rsidRPr="00B93BC6">
        <w:rPr>
          <w:rFonts w:asciiTheme="majorHAnsi" w:hAnsiTheme="majorHAnsi" w:cstheme="majorHAnsi"/>
          <w:color w:val="auto"/>
        </w:rPr>
        <w:t xml:space="preserve">. </w:t>
      </w:r>
      <w:r>
        <w:rPr>
          <w:rFonts w:asciiTheme="majorHAnsi" w:hAnsiTheme="majorHAnsi" w:cstheme="majorHAnsi"/>
          <w:color w:val="auto"/>
        </w:rPr>
        <w:t>The</w:t>
      </w:r>
      <w:r w:rsidRPr="00B93BC6">
        <w:rPr>
          <w:rFonts w:asciiTheme="majorHAnsi" w:hAnsiTheme="majorHAnsi" w:cstheme="majorHAnsi"/>
          <w:color w:val="auto"/>
        </w:rPr>
        <w:t xml:space="preserve"> proportion of cTfh1 cells was significantly higher in MZL and BNHL patients than </w:t>
      </w:r>
      <w:r>
        <w:rPr>
          <w:rFonts w:asciiTheme="majorHAnsi" w:hAnsiTheme="majorHAnsi" w:cstheme="majorHAnsi"/>
          <w:color w:val="auto"/>
        </w:rPr>
        <w:t>normal subjects</w:t>
      </w:r>
      <w:r w:rsidRPr="00B93BC6">
        <w:rPr>
          <w:rFonts w:asciiTheme="majorHAnsi" w:hAnsiTheme="majorHAnsi" w:cstheme="majorHAnsi"/>
          <w:color w:val="auto"/>
        </w:rPr>
        <w:t xml:space="preserve"> (</w:t>
      </w:r>
      <w:r w:rsidRPr="00D10D24">
        <w:rPr>
          <w:rFonts w:asciiTheme="majorHAnsi" w:hAnsiTheme="majorHAnsi" w:cstheme="majorHAnsi"/>
          <w:b/>
          <w:color w:val="auto"/>
        </w:rPr>
        <w:t>Figure 6B</w:t>
      </w:r>
      <w:r w:rsidRPr="00B93BC6">
        <w:rPr>
          <w:rFonts w:asciiTheme="majorHAnsi" w:hAnsiTheme="majorHAnsi" w:cstheme="majorHAnsi"/>
          <w:color w:val="auto"/>
        </w:rPr>
        <w:t>)</w:t>
      </w:r>
      <w:r w:rsidRPr="00B93BC6">
        <w:rPr>
          <w:rFonts w:asciiTheme="majorHAnsi" w:hAnsiTheme="majorHAnsi" w:cstheme="majorHAnsi"/>
          <w:color w:val="auto"/>
        </w:rPr>
        <w:fldChar w:fldCharType="begin"/>
      </w:r>
      <w:r w:rsidRPr="00B93BC6">
        <w:rPr>
          <w:rFonts w:asciiTheme="majorHAnsi" w:hAnsiTheme="majorHAnsi" w:cstheme="majorHAnsi"/>
          <w:color w:val="auto"/>
        </w:rPr>
        <w:instrText xml:space="preserve"> ADDIN ZOTERO_ITEM CSL_CITATION {"citationID":"SxA7e13F","properties":{"formattedCitation":"\\super 21\\nosupersub{}","plainCitation":"21","noteIndex":0},"citationItems":[{"id":9,"uris":["http://zotero.org/users/4841313/items/EAKMTTD9"],"uri":["http://zotero.org/users/4841313/items/EAKMTTD9"],"itemData":{"id":9,"type":"article-journal","title":"Circulating Tfh1 (cTfh1) cell numbers and PD1 expression are elevated in low-grade B-cell non-Hodgkin’s lymphoma and cTfh gene expression is perturbed in marginal zone lymphoma","container-title":"PLOS ONE","page":"e0190468","volume":"13","issue":"1","source":"CrossRef","DOI":"10.1371/journal.pone.0190468","ISSN":"1932-6203","language":"en","author":[{"family":"Byford","given":"Elliot T."},{"family":"Carr","given":"Matthew"},{"family":"Ladikou","given":"Eleni"},{"family":"Ahearne","given":"Matthew J."},{"family":"Wagner","given":"Simon D."}],"editor":[{"family":"Richard","given":"Yolande"}],"issued":{"date-parts":[["2018",1,2]]}}}],"schema":"https://github.com/citation-style-language/schema/raw/master/csl-citation.json"} </w:instrText>
      </w:r>
      <w:r w:rsidRPr="00B93BC6">
        <w:rPr>
          <w:rFonts w:asciiTheme="majorHAnsi" w:hAnsiTheme="majorHAnsi" w:cstheme="majorHAnsi"/>
          <w:color w:val="auto"/>
        </w:rPr>
        <w:fldChar w:fldCharType="separate"/>
      </w:r>
      <w:r w:rsidRPr="00B93BC6">
        <w:rPr>
          <w:rFonts w:asciiTheme="majorHAnsi" w:hAnsiTheme="majorHAnsi" w:cstheme="majorHAnsi"/>
          <w:color w:val="auto"/>
          <w:vertAlign w:val="superscript"/>
        </w:rPr>
        <w:t>21</w:t>
      </w:r>
      <w:r w:rsidRPr="00B93BC6">
        <w:rPr>
          <w:rFonts w:asciiTheme="majorHAnsi" w:hAnsiTheme="majorHAnsi" w:cstheme="majorHAnsi"/>
          <w:color w:val="auto"/>
        </w:rPr>
        <w:fldChar w:fldCharType="end"/>
      </w:r>
      <w:r w:rsidRPr="00B93BC6">
        <w:rPr>
          <w:rFonts w:asciiTheme="majorHAnsi" w:hAnsiTheme="majorHAnsi" w:cstheme="majorHAnsi"/>
          <w:color w:val="auto"/>
        </w:rPr>
        <w:t>.</w:t>
      </w:r>
    </w:p>
    <w:p w14:paraId="55B938BD" w14:textId="77777777" w:rsidR="00277E15" w:rsidRPr="00B93BC6" w:rsidRDefault="00277E15" w:rsidP="00277E15">
      <w:pPr>
        <w:pStyle w:val="NormalWeb"/>
        <w:spacing w:before="0" w:beforeAutospacing="0" w:after="0" w:afterAutospacing="0"/>
        <w:rPr>
          <w:rFonts w:asciiTheme="majorHAnsi" w:hAnsiTheme="majorHAnsi" w:cstheme="majorHAnsi"/>
          <w:color w:val="auto"/>
        </w:rPr>
      </w:pPr>
    </w:p>
    <w:p w14:paraId="3DC29EA6" w14:textId="77777777" w:rsidR="00277E15" w:rsidRPr="00B93BC6" w:rsidRDefault="00277E15" w:rsidP="00277E15">
      <w:pPr>
        <w:rPr>
          <w:rFonts w:asciiTheme="majorHAnsi" w:hAnsiTheme="majorHAnsi" w:cstheme="majorHAnsi"/>
          <w:b/>
        </w:rPr>
      </w:pPr>
      <w:r w:rsidRPr="00B93BC6">
        <w:rPr>
          <w:rFonts w:asciiTheme="majorHAnsi" w:hAnsiTheme="majorHAnsi" w:cstheme="majorHAnsi"/>
          <w:b/>
        </w:rPr>
        <w:t>FIGURE</w:t>
      </w:r>
      <w:r>
        <w:rPr>
          <w:rFonts w:asciiTheme="majorHAnsi" w:hAnsiTheme="majorHAnsi" w:cstheme="majorHAnsi"/>
          <w:b/>
        </w:rPr>
        <w:t xml:space="preserve"> AND TABLE</w:t>
      </w:r>
      <w:r w:rsidRPr="00B93BC6">
        <w:rPr>
          <w:rFonts w:asciiTheme="majorHAnsi" w:hAnsiTheme="majorHAnsi" w:cstheme="majorHAnsi"/>
          <w:b/>
        </w:rPr>
        <w:t xml:space="preserve"> LEGENDS</w:t>
      </w:r>
    </w:p>
    <w:p w14:paraId="6E4D2709" w14:textId="77777777" w:rsidR="00277E15" w:rsidRPr="008C1032" w:rsidRDefault="00277E15" w:rsidP="00277E15">
      <w:pPr>
        <w:rPr>
          <w:rFonts w:asciiTheme="majorHAnsi" w:hAnsiTheme="majorHAnsi" w:cstheme="majorHAnsi"/>
          <w:b/>
        </w:rPr>
      </w:pPr>
      <w:r w:rsidRPr="00B93BC6">
        <w:rPr>
          <w:rFonts w:asciiTheme="majorHAnsi" w:hAnsiTheme="majorHAnsi" w:cstheme="majorHAnsi"/>
          <w:b/>
        </w:rPr>
        <w:t>Figure 1</w:t>
      </w:r>
      <w:r>
        <w:rPr>
          <w:rFonts w:asciiTheme="majorHAnsi" w:hAnsiTheme="majorHAnsi" w:cstheme="majorHAnsi"/>
          <w:b/>
        </w:rPr>
        <w:t xml:space="preserve">. </w:t>
      </w:r>
      <w:r w:rsidRPr="00B93BC6">
        <w:rPr>
          <w:rFonts w:asciiTheme="majorHAnsi" w:hAnsiTheme="majorHAnsi" w:cstheme="majorHAnsi"/>
          <w:b/>
        </w:rPr>
        <w:t xml:space="preserve">Illustration of overall gating strategy used to identify </w:t>
      </w:r>
      <w:proofErr w:type="spellStart"/>
      <w:r w:rsidRPr="00B93BC6">
        <w:rPr>
          <w:rFonts w:asciiTheme="majorHAnsi" w:hAnsiTheme="majorHAnsi" w:cstheme="majorHAnsi"/>
          <w:b/>
        </w:rPr>
        <w:t>cTfh</w:t>
      </w:r>
      <w:proofErr w:type="spellEnd"/>
      <w:r w:rsidRPr="00B93BC6">
        <w:rPr>
          <w:rFonts w:asciiTheme="majorHAnsi" w:hAnsiTheme="majorHAnsi" w:cstheme="majorHAnsi"/>
          <w:b/>
        </w:rPr>
        <w:t xml:space="preserve"> cells and their subsets</w:t>
      </w:r>
      <w:r>
        <w:rPr>
          <w:rFonts w:asciiTheme="majorHAnsi" w:hAnsiTheme="majorHAnsi" w:cstheme="majorHAnsi"/>
          <w:b/>
        </w:rPr>
        <w:t>.</w:t>
      </w:r>
      <w:r w:rsidRPr="00B93BC6">
        <w:rPr>
          <w:rFonts w:asciiTheme="majorHAnsi" w:hAnsiTheme="majorHAnsi" w:cstheme="majorHAnsi"/>
        </w:rPr>
        <w:t xml:space="preserve"> From top left, a population of lymphocytes are distinguished, and </w:t>
      </w:r>
      <w:r>
        <w:rPr>
          <w:rFonts w:asciiTheme="majorHAnsi" w:hAnsiTheme="majorHAnsi" w:cstheme="majorHAnsi"/>
        </w:rPr>
        <w:t xml:space="preserve">the </w:t>
      </w:r>
      <w:r w:rsidRPr="00B93BC6">
        <w:rPr>
          <w:rFonts w:asciiTheme="majorHAnsi" w:hAnsiTheme="majorHAnsi" w:cstheme="majorHAnsi"/>
        </w:rPr>
        <w:t>doublets are excluded. Live CD45RA</w:t>
      </w:r>
      <w:r w:rsidRPr="00B93BC6">
        <w:rPr>
          <w:rFonts w:asciiTheme="majorHAnsi" w:hAnsiTheme="majorHAnsi" w:cstheme="majorHAnsi"/>
          <w:vertAlign w:val="superscript"/>
        </w:rPr>
        <w:t>-</w:t>
      </w:r>
      <w:r w:rsidRPr="00B93BC6">
        <w:rPr>
          <w:rFonts w:asciiTheme="majorHAnsi" w:hAnsiTheme="majorHAnsi" w:cstheme="majorHAnsi"/>
        </w:rPr>
        <w:t xml:space="preserve"> cells are selected using a "dump channel". CD4</w:t>
      </w:r>
      <w:r w:rsidRPr="00B93BC6">
        <w:rPr>
          <w:rFonts w:asciiTheme="majorHAnsi" w:hAnsiTheme="majorHAnsi" w:cstheme="majorHAnsi"/>
          <w:vertAlign w:val="superscript"/>
        </w:rPr>
        <w:t>+</w:t>
      </w:r>
      <w:r w:rsidRPr="00B93BC6">
        <w:rPr>
          <w:rFonts w:asciiTheme="majorHAnsi" w:hAnsiTheme="majorHAnsi" w:cstheme="majorHAnsi"/>
        </w:rPr>
        <w:t xml:space="preserve"> cells are gated and CXCR5</w:t>
      </w:r>
      <w:r w:rsidRPr="00B93BC6">
        <w:rPr>
          <w:rFonts w:asciiTheme="majorHAnsi" w:hAnsiTheme="majorHAnsi" w:cstheme="majorHAnsi"/>
          <w:vertAlign w:val="superscript"/>
        </w:rPr>
        <w:t>+</w:t>
      </w:r>
      <w:r w:rsidRPr="00B93BC6">
        <w:rPr>
          <w:rFonts w:asciiTheme="majorHAnsi" w:hAnsiTheme="majorHAnsi" w:cstheme="majorHAnsi"/>
        </w:rPr>
        <w:t xml:space="preserve"> cells are identified as </w:t>
      </w:r>
      <w:proofErr w:type="spellStart"/>
      <w:r w:rsidRPr="00B93BC6">
        <w:rPr>
          <w:rFonts w:asciiTheme="majorHAnsi" w:hAnsiTheme="majorHAnsi" w:cstheme="majorHAnsi"/>
        </w:rPr>
        <w:t>cTfh</w:t>
      </w:r>
      <w:proofErr w:type="spellEnd"/>
      <w:r w:rsidRPr="00B93BC6">
        <w:rPr>
          <w:rFonts w:asciiTheme="majorHAnsi" w:hAnsiTheme="majorHAnsi" w:cstheme="majorHAnsi"/>
        </w:rPr>
        <w:t xml:space="preserve">. </w:t>
      </w:r>
      <w:proofErr w:type="spellStart"/>
      <w:proofErr w:type="gramStart"/>
      <w:r w:rsidRPr="00B93BC6">
        <w:rPr>
          <w:rFonts w:asciiTheme="majorHAnsi" w:hAnsiTheme="majorHAnsi" w:cstheme="majorHAnsi"/>
        </w:rPr>
        <w:t>cTfh</w:t>
      </w:r>
      <w:proofErr w:type="spellEnd"/>
      <w:proofErr w:type="gramEnd"/>
      <w:r w:rsidRPr="00B93BC6">
        <w:rPr>
          <w:rFonts w:asciiTheme="majorHAnsi" w:hAnsiTheme="majorHAnsi" w:cstheme="majorHAnsi"/>
        </w:rPr>
        <w:t xml:space="preserve"> are divided into cTfh1, 2 or 17-like using CXCR3 and CCR6 expression. PD-1 expression within these subsets is then distinguished. Figures taken from a representative </w:t>
      </w:r>
      <w:r>
        <w:rPr>
          <w:rFonts w:asciiTheme="majorHAnsi" w:hAnsiTheme="majorHAnsi" w:cstheme="majorHAnsi"/>
        </w:rPr>
        <w:t>normal subject</w:t>
      </w:r>
      <w:r w:rsidRPr="00B93BC6">
        <w:rPr>
          <w:rFonts w:asciiTheme="majorHAnsi" w:hAnsiTheme="majorHAnsi" w:cstheme="majorHAnsi"/>
        </w:rPr>
        <w:t xml:space="preserve"> blood sample. FSC-A, FSC Area; SSC-A SSC Area; FSC-W, FSC Width.</w:t>
      </w:r>
    </w:p>
    <w:p w14:paraId="20DF7138" w14:textId="77777777" w:rsidR="00277E15" w:rsidRPr="00B93BC6" w:rsidRDefault="00277E15" w:rsidP="00277E15">
      <w:pPr>
        <w:pStyle w:val="NormalWeb"/>
        <w:spacing w:before="0" w:beforeAutospacing="0" w:after="0" w:afterAutospacing="0"/>
        <w:rPr>
          <w:rFonts w:asciiTheme="majorHAnsi" w:hAnsiTheme="majorHAnsi" w:cstheme="majorHAnsi"/>
          <w:color w:val="auto"/>
        </w:rPr>
      </w:pPr>
    </w:p>
    <w:p w14:paraId="37072904" w14:textId="77777777" w:rsidR="00277E15" w:rsidRPr="00B93BC6" w:rsidRDefault="00277E15" w:rsidP="00277E15">
      <w:pPr>
        <w:rPr>
          <w:rFonts w:asciiTheme="majorHAnsi" w:hAnsiTheme="majorHAnsi" w:cstheme="majorHAnsi"/>
          <w:color w:val="auto"/>
        </w:rPr>
      </w:pPr>
      <w:r w:rsidRPr="00B93BC6">
        <w:rPr>
          <w:rFonts w:asciiTheme="majorHAnsi" w:hAnsiTheme="majorHAnsi" w:cstheme="majorHAnsi"/>
          <w:b/>
          <w:color w:val="auto"/>
        </w:rPr>
        <w:t>Figure 2</w:t>
      </w:r>
      <w:r>
        <w:rPr>
          <w:rFonts w:asciiTheme="majorHAnsi" w:hAnsiTheme="majorHAnsi" w:cstheme="majorHAnsi"/>
          <w:color w:val="auto"/>
        </w:rPr>
        <w:t xml:space="preserve">. </w:t>
      </w:r>
      <w:r w:rsidRPr="00B93BC6">
        <w:rPr>
          <w:rFonts w:asciiTheme="majorHAnsi" w:hAnsiTheme="majorHAnsi" w:cstheme="majorHAnsi"/>
          <w:b/>
          <w:color w:val="auto"/>
        </w:rPr>
        <w:t>Illustration of FMO controls</w:t>
      </w:r>
      <w:r>
        <w:rPr>
          <w:rFonts w:asciiTheme="majorHAnsi" w:hAnsiTheme="majorHAnsi" w:cstheme="majorHAnsi"/>
          <w:b/>
          <w:color w:val="auto"/>
        </w:rPr>
        <w:t>.</w:t>
      </w:r>
      <w:r w:rsidRPr="00B93BC6">
        <w:rPr>
          <w:rFonts w:asciiTheme="majorHAnsi" w:hAnsiTheme="majorHAnsi" w:cstheme="majorHAnsi"/>
          <w:color w:val="auto"/>
        </w:rPr>
        <w:t xml:space="preserve"> Each biaxial flow cytometry plot shows CD4</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cells stained with all fluorophores except the one of interest to demonstrate </w:t>
      </w:r>
      <w:r>
        <w:rPr>
          <w:rFonts w:asciiTheme="majorHAnsi" w:hAnsiTheme="majorHAnsi" w:cstheme="majorHAnsi"/>
          <w:color w:val="auto"/>
        </w:rPr>
        <w:t>the minimum at which</w:t>
      </w:r>
      <w:r w:rsidRPr="00B93BC6">
        <w:rPr>
          <w:rFonts w:asciiTheme="majorHAnsi" w:hAnsiTheme="majorHAnsi" w:cstheme="majorHAnsi"/>
          <w:color w:val="auto"/>
        </w:rPr>
        <w:t xml:space="preserve"> gates for fluorescence positivity can be set.</w:t>
      </w:r>
    </w:p>
    <w:p w14:paraId="28BD56B8" w14:textId="77777777" w:rsidR="00277E15" w:rsidRPr="00B93BC6" w:rsidRDefault="00277E15" w:rsidP="00277E15">
      <w:pPr>
        <w:pStyle w:val="NormalWeb"/>
        <w:spacing w:before="0" w:beforeAutospacing="0" w:after="0" w:afterAutospacing="0"/>
        <w:rPr>
          <w:rFonts w:asciiTheme="majorHAnsi" w:hAnsiTheme="majorHAnsi" w:cstheme="majorHAnsi"/>
          <w:color w:val="auto"/>
        </w:rPr>
      </w:pPr>
    </w:p>
    <w:p w14:paraId="02B4A9A3" w14:textId="77777777" w:rsidR="00277E15" w:rsidRPr="00B93BC6" w:rsidRDefault="00277E15" w:rsidP="00277E15">
      <w:pPr>
        <w:pStyle w:val="NormalWeb"/>
        <w:spacing w:before="0" w:beforeAutospacing="0" w:after="0" w:afterAutospacing="0"/>
        <w:rPr>
          <w:rFonts w:asciiTheme="majorHAnsi" w:hAnsiTheme="majorHAnsi" w:cstheme="majorHAnsi"/>
          <w:color w:val="auto"/>
        </w:rPr>
      </w:pPr>
      <w:r w:rsidRPr="00B93BC6">
        <w:rPr>
          <w:rFonts w:asciiTheme="majorHAnsi" w:hAnsiTheme="majorHAnsi" w:cstheme="majorHAnsi"/>
          <w:b/>
          <w:color w:val="auto"/>
        </w:rPr>
        <w:t>Figure 3</w:t>
      </w:r>
      <w:r>
        <w:rPr>
          <w:rFonts w:asciiTheme="majorHAnsi" w:hAnsiTheme="majorHAnsi" w:cstheme="majorHAnsi"/>
          <w:color w:val="auto"/>
        </w:rPr>
        <w:t xml:space="preserve">. </w:t>
      </w:r>
      <w:r w:rsidRPr="00B93BC6">
        <w:rPr>
          <w:rFonts w:asciiTheme="majorHAnsi" w:hAnsiTheme="majorHAnsi" w:cstheme="majorHAnsi"/>
          <w:b/>
          <w:color w:val="auto"/>
        </w:rPr>
        <w:t xml:space="preserve">Biaxial flow cytometry plot showing </w:t>
      </w:r>
      <w:r>
        <w:rPr>
          <w:rFonts w:asciiTheme="majorHAnsi" w:hAnsiTheme="majorHAnsi" w:cstheme="majorHAnsi"/>
          <w:b/>
          <w:color w:val="auto"/>
        </w:rPr>
        <w:t xml:space="preserve">the </w:t>
      </w:r>
      <w:r w:rsidRPr="00B93BC6">
        <w:rPr>
          <w:rFonts w:asciiTheme="majorHAnsi" w:hAnsiTheme="majorHAnsi" w:cstheme="majorHAnsi"/>
          <w:b/>
          <w:color w:val="auto"/>
        </w:rPr>
        <w:t>identification of CD4</w:t>
      </w:r>
      <w:r w:rsidRPr="00B93BC6">
        <w:rPr>
          <w:rFonts w:asciiTheme="majorHAnsi" w:hAnsiTheme="majorHAnsi" w:cstheme="majorHAnsi"/>
          <w:b/>
          <w:color w:val="auto"/>
          <w:vertAlign w:val="superscript"/>
        </w:rPr>
        <w:t>+</w:t>
      </w:r>
      <w:r w:rsidRPr="00B93BC6">
        <w:rPr>
          <w:rFonts w:asciiTheme="majorHAnsi" w:hAnsiTheme="majorHAnsi" w:cstheme="majorHAnsi"/>
          <w:b/>
          <w:color w:val="auto"/>
        </w:rPr>
        <w:t xml:space="preserve"> cells after gating to live lymphocytes</w:t>
      </w:r>
      <w:r>
        <w:rPr>
          <w:rFonts w:asciiTheme="majorHAnsi" w:hAnsiTheme="majorHAnsi" w:cstheme="majorHAnsi"/>
          <w:b/>
          <w:color w:val="auto"/>
        </w:rPr>
        <w:t>.</w:t>
      </w:r>
      <w:r w:rsidRPr="00B93BC6">
        <w:rPr>
          <w:rFonts w:asciiTheme="majorHAnsi" w:hAnsiTheme="majorHAnsi" w:cstheme="majorHAnsi"/>
          <w:color w:val="auto"/>
        </w:rPr>
        <w:t xml:space="preserve"> Taken from a representative </w:t>
      </w:r>
      <w:r>
        <w:rPr>
          <w:rFonts w:asciiTheme="majorHAnsi" w:hAnsiTheme="majorHAnsi" w:cstheme="majorHAnsi"/>
          <w:color w:val="auto"/>
        </w:rPr>
        <w:t>normal subject</w:t>
      </w:r>
      <w:r w:rsidRPr="00B93BC6">
        <w:rPr>
          <w:rFonts w:asciiTheme="majorHAnsi" w:hAnsiTheme="majorHAnsi" w:cstheme="majorHAnsi"/>
          <w:color w:val="auto"/>
        </w:rPr>
        <w:t xml:space="preserve"> blood sample</w:t>
      </w:r>
      <w:r>
        <w:rPr>
          <w:rFonts w:asciiTheme="majorHAnsi" w:hAnsiTheme="majorHAnsi" w:cstheme="majorHAnsi"/>
          <w:color w:val="auto"/>
        </w:rPr>
        <w:t>.</w:t>
      </w:r>
    </w:p>
    <w:p w14:paraId="67DC8F0E" w14:textId="77777777" w:rsidR="00277E15" w:rsidRPr="00B93BC6" w:rsidRDefault="00277E15" w:rsidP="00277E15">
      <w:pPr>
        <w:pStyle w:val="NormalWeb"/>
        <w:spacing w:before="0" w:beforeAutospacing="0" w:after="0" w:afterAutospacing="0"/>
        <w:rPr>
          <w:rFonts w:asciiTheme="majorHAnsi" w:hAnsiTheme="majorHAnsi" w:cstheme="majorHAnsi"/>
          <w:color w:val="auto"/>
        </w:rPr>
      </w:pPr>
    </w:p>
    <w:p w14:paraId="1368F8D0" w14:textId="77777777" w:rsidR="00277E15" w:rsidRPr="008C1032" w:rsidRDefault="00277E15" w:rsidP="00277E15">
      <w:pPr>
        <w:pStyle w:val="NormalWeb"/>
        <w:spacing w:before="0" w:beforeAutospacing="0" w:after="0" w:afterAutospacing="0"/>
        <w:rPr>
          <w:rFonts w:asciiTheme="majorHAnsi" w:hAnsiTheme="majorHAnsi" w:cstheme="majorHAnsi"/>
          <w:b/>
          <w:color w:val="auto"/>
        </w:rPr>
      </w:pPr>
      <w:r w:rsidRPr="00B93BC6">
        <w:rPr>
          <w:rFonts w:asciiTheme="majorHAnsi" w:hAnsiTheme="majorHAnsi" w:cstheme="majorHAnsi"/>
          <w:b/>
          <w:color w:val="auto"/>
        </w:rPr>
        <w:t>Figure 4</w:t>
      </w:r>
      <w:r>
        <w:rPr>
          <w:rFonts w:asciiTheme="majorHAnsi" w:hAnsiTheme="majorHAnsi" w:cstheme="majorHAnsi"/>
          <w:b/>
          <w:color w:val="auto"/>
        </w:rPr>
        <w:t xml:space="preserve">. </w:t>
      </w:r>
      <w:r w:rsidRPr="00B93BC6">
        <w:rPr>
          <w:rFonts w:cstheme="majorHAnsi"/>
          <w:b/>
          <w:color w:val="auto"/>
        </w:rPr>
        <w:t xml:space="preserve">Identification of </w:t>
      </w:r>
      <w:proofErr w:type="spellStart"/>
      <w:r w:rsidRPr="00B93BC6">
        <w:rPr>
          <w:rFonts w:cstheme="majorHAnsi"/>
          <w:b/>
          <w:color w:val="auto"/>
        </w:rPr>
        <w:t>cTfh</w:t>
      </w:r>
      <w:proofErr w:type="spellEnd"/>
      <w:r w:rsidRPr="00B93BC6">
        <w:rPr>
          <w:rFonts w:cstheme="majorHAnsi"/>
          <w:b/>
          <w:color w:val="auto"/>
        </w:rPr>
        <w:t xml:space="preserve"> cells</w:t>
      </w:r>
      <w:r>
        <w:rPr>
          <w:rFonts w:cstheme="majorHAnsi"/>
          <w:b/>
          <w:color w:val="auto"/>
        </w:rPr>
        <w:t>.</w:t>
      </w:r>
      <w:r w:rsidRPr="00B93BC6">
        <w:rPr>
          <w:rFonts w:cstheme="majorHAnsi"/>
          <w:b/>
          <w:color w:val="auto"/>
        </w:rPr>
        <w:t xml:space="preserve"> </w:t>
      </w:r>
      <w:r>
        <w:rPr>
          <w:rFonts w:cstheme="majorHAnsi"/>
          <w:b/>
          <w:color w:val="auto"/>
        </w:rPr>
        <w:t>(</w:t>
      </w:r>
      <w:r w:rsidRPr="00B93BC6">
        <w:rPr>
          <w:rFonts w:cstheme="majorHAnsi"/>
          <w:b/>
          <w:color w:val="auto"/>
        </w:rPr>
        <w:t>A</w:t>
      </w:r>
      <w:r>
        <w:rPr>
          <w:rFonts w:cstheme="majorHAnsi"/>
          <w:b/>
          <w:color w:val="auto"/>
        </w:rPr>
        <w:t>)</w:t>
      </w:r>
      <w:r w:rsidRPr="00B93BC6">
        <w:rPr>
          <w:rFonts w:cstheme="majorHAnsi"/>
          <w:color w:val="auto"/>
        </w:rPr>
        <w:t xml:space="preserve"> Biaxial flow cytometry plot showing CXCR5</w:t>
      </w:r>
      <w:r w:rsidRPr="00B93BC6">
        <w:rPr>
          <w:rFonts w:cstheme="majorHAnsi"/>
          <w:color w:val="auto"/>
          <w:vertAlign w:val="superscript"/>
        </w:rPr>
        <w:t>+</w:t>
      </w:r>
      <w:r w:rsidRPr="00B93BC6">
        <w:rPr>
          <w:rFonts w:cstheme="majorHAnsi"/>
          <w:color w:val="auto"/>
        </w:rPr>
        <w:t xml:space="preserve"> expression on cells gated for CD4</w:t>
      </w:r>
      <w:r w:rsidRPr="00B93BC6">
        <w:rPr>
          <w:rFonts w:cstheme="majorHAnsi"/>
          <w:color w:val="auto"/>
          <w:vertAlign w:val="superscript"/>
        </w:rPr>
        <w:t>+</w:t>
      </w:r>
      <w:r w:rsidRPr="00B93BC6">
        <w:rPr>
          <w:rFonts w:cstheme="majorHAnsi"/>
          <w:color w:val="auto"/>
        </w:rPr>
        <w:t xml:space="preserve"> CD45RA</w:t>
      </w:r>
      <w:r w:rsidRPr="00B93BC6">
        <w:rPr>
          <w:rFonts w:cstheme="majorHAnsi"/>
          <w:color w:val="auto"/>
          <w:vertAlign w:val="superscript"/>
        </w:rPr>
        <w:t>-</w:t>
      </w:r>
      <w:r w:rsidRPr="00B93BC6">
        <w:rPr>
          <w:rFonts w:cstheme="majorHAnsi"/>
          <w:color w:val="auto"/>
        </w:rPr>
        <w:t xml:space="preserve">. Taken from a representative </w:t>
      </w:r>
      <w:r>
        <w:rPr>
          <w:rFonts w:cstheme="majorHAnsi"/>
          <w:color w:val="auto"/>
        </w:rPr>
        <w:t>normal subject</w:t>
      </w:r>
      <w:r w:rsidRPr="00B93BC6">
        <w:rPr>
          <w:rFonts w:cstheme="majorHAnsi"/>
          <w:color w:val="auto"/>
        </w:rPr>
        <w:t xml:space="preserve">. </w:t>
      </w:r>
      <w:r>
        <w:rPr>
          <w:rFonts w:cstheme="majorHAnsi"/>
          <w:color w:val="auto"/>
        </w:rPr>
        <w:t>(</w:t>
      </w:r>
      <w:r w:rsidRPr="00B93BC6">
        <w:rPr>
          <w:rFonts w:cstheme="majorHAnsi"/>
          <w:b/>
          <w:color w:val="auto"/>
        </w:rPr>
        <w:t>B</w:t>
      </w:r>
      <w:r>
        <w:rPr>
          <w:rFonts w:cstheme="majorHAnsi"/>
          <w:b/>
          <w:color w:val="auto"/>
        </w:rPr>
        <w:t>)</w:t>
      </w:r>
      <w:r w:rsidRPr="00B93BC6">
        <w:rPr>
          <w:rFonts w:cstheme="majorHAnsi"/>
          <w:color w:val="auto"/>
        </w:rPr>
        <w:t xml:space="preserve"> </w:t>
      </w:r>
      <w:r w:rsidRPr="00B93BC6">
        <w:rPr>
          <w:rFonts w:cstheme="majorHAnsi"/>
          <w:color w:val="auto"/>
          <w:lang w:val="en-GB"/>
        </w:rPr>
        <w:t xml:space="preserve">Relative percentages of </w:t>
      </w:r>
      <w:proofErr w:type="spellStart"/>
      <w:r w:rsidRPr="00B93BC6">
        <w:rPr>
          <w:rFonts w:cstheme="majorHAnsi"/>
          <w:color w:val="auto"/>
          <w:lang w:val="en-GB"/>
        </w:rPr>
        <w:t>cTfh</w:t>
      </w:r>
      <w:proofErr w:type="spellEnd"/>
      <w:r w:rsidRPr="00B93BC6">
        <w:rPr>
          <w:rFonts w:cstheme="majorHAnsi"/>
          <w:color w:val="auto"/>
          <w:lang w:val="en-GB"/>
        </w:rPr>
        <w:t xml:space="preserve"> within total CD4</w:t>
      </w:r>
      <w:r w:rsidRPr="00B93BC6">
        <w:rPr>
          <w:rFonts w:cstheme="majorHAnsi"/>
          <w:color w:val="auto"/>
          <w:vertAlign w:val="superscript"/>
          <w:lang w:val="en-GB"/>
        </w:rPr>
        <w:t>+</w:t>
      </w:r>
      <w:r w:rsidRPr="00B93BC6">
        <w:rPr>
          <w:rFonts w:cstheme="majorHAnsi"/>
          <w:color w:val="auto"/>
          <w:lang w:val="en-GB"/>
        </w:rPr>
        <w:t xml:space="preserve"> cells in </w:t>
      </w:r>
      <w:r>
        <w:rPr>
          <w:rFonts w:cstheme="majorHAnsi"/>
          <w:color w:val="auto"/>
          <w:lang w:val="en-GB"/>
        </w:rPr>
        <w:t>normal subjects</w:t>
      </w:r>
      <w:r w:rsidRPr="00B93BC6">
        <w:rPr>
          <w:rFonts w:cstheme="majorHAnsi"/>
          <w:color w:val="auto"/>
          <w:lang w:val="en-GB"/>
        </w:rPr>
        <w:t xml:space="preserve"> (n</w:t>
      </w:r>
      <w:r>
        <w:rPr>
          <w:rFonts w:cstheme="majorHAnsi"/>
          <w:color w:val="auto"/>
          <w:lang w:val="en-GB"/>
        </w:rPr>
        <w:t xml:space="preserve"> </w:t>
      </w:r>
      <w:r w:rsidRPr="00B93BC6">
        <w:rPr>
          <w:rFonts w:cstheme="majorHAnsi"/>
          <w:color w:val="auto"/>
          <w:lang w:val="en-GB"/>
        </w:rPr>
        <w:t>=</w:t>
      </w:r>
      <w:r>
        <w:rPr>
          <w:rFonts w:cstheme="majorHAnsi"/>
          <w:color w:val="auto"/>
          <w:lang w:val="en-GB"/>
        </w:rPr>
        <w:t xml:space="preserve"> </w:t>
      </w:r>
      <w:r w:rsidRPr="00B93BC6">
        <w:rPr>
          <w:rFonts w:cstheme="majorHAnsi"/>
          <w:color w:val="auto"/>
          <w:lang w:val="en-GB"/>
        </w:rPr>
        <w:t>12), MZL (n</w:t>
      </w:r>
      <w:r>
        <w:rPr>
          <w:rFonts w:cstheme="majorHAnsi"/>
          <w:color w:val="auto"/>
          <w:lang w:val="en-GB"/>
        </w:rPr>
        <w:t xml:space="preserve"> </w:t>
      </w:r>
      <w:r w:rsidRPr="00B93BC6">
        <w:rPr>
          <w:rFonts w:cstheme="majorHAnsi"/>
          <w:color w:val="auto"/>
          <w:lang w:val="en-GB"/>
        </w:rPr>
        <w:t>=</w:t>
      </w:r>
      <w:r>
        <w:rPr>
          <w:rFonts w:cstheme="majorHAnsi"/>
          <w:color w:val="auto"/>
          <w:lang w:val="en-GB"/>
        </w:rPr>
        <w:t xml:space="preserve"> </w:t>
      </w:r>
      <w:r w:rsidRPr="00B93BC6">
        <w:rPr>
          <w:rFonts w:cstheme="majorHAnsi"/>
          <w:color w:val="auto"/>
          <w:lang w:val="en-GB"/>
        </w:rPr>
        <w:t>7), BNHL (n</w:t>
      </w:r>
      <w:r>
        <w:rPr>
          <w:rFonts w:cstheme="majorHAnsi"/>
          <w:color w:val="auto"/>
          <w:lang w:val="en-GB"/>
        </w:rPr>
        <w:t xml:space="preserve"> </w:t>
      </w:r>
      <w:r w:rsidRPr="00B93BC6">
        <w:rPr>
          <w:rFonts w:cstheme="majorHAnsi"/>
          <w:color w:val="auto"/>
          <w:lang w:val="en-GB"/>
        </w:rPr>
        <w:t>=</w:t>
      </w:r>
      <w:r>
        <w:rPr>
          <w:rFonts w:cstheme="majorHAnsi"/>
          <w:color w:val="auto"/>
          <w:lang w:val="en-GB"/>
        </w:rPr>
        <w:t xml:space="preserve"> 9</w:t>
      </w:r>
      <w:r w:rsidRPr="00B93BC6">
        <w:rPr>
          <w:rFonts w:cstheme="majorHAnsi"/>
          <w:color w:val="auto"/>
          <w:lang w:val="en-GB"/>
        </w:rPr>
        <w:t xml:space="preserve">). Horizontal </w:t>
      </w:r>
      <w:r>
        <w:rPr>
          <w:rFonts w:cstheme="majorHAnsi"/>
          <w:color w:val="auto"/>
          <w:lang w:val="en-GB"/>
        </w:rPr>
        <w:t>l</w:t>
      </w:r>
      <w:r w:rsidRPr="00B93BC6">
        <w:rPr>
          <w:rFonts w:cstheme="majorHAnsi"/>
          <w:color w:val="auto"/>
          <w:lang w:val="en-GB"/>
        </w:rPr>
        <w:t xml:space="preserve">ines represent the median, </w:t>
      </w:r>
      <w:r>
        <w:rPr>
          <w:rFonts w:cstheme="majorHAnsi"/>
          <w:color w:val="auto"/>
          <w:lang w:val="en-GB"/>
        </w:rPr>
        <w:t xml:space="preserve">and </w:t>
      </w:r>
      <w:r w:rsidRPr="00B93BC6">
        <w:rPr>
          <w:rFonts w:cstheme="majorHAnsi"/>
          <w:color w:val="auto"/>
          <w:lang w:val="en-GB"/>
        </w:rPr>
        <w:t xml:space="preserve">error bars represent inter-quartile range. No significant differences were found between groups using the Mann-Whitney U test. </w:t>
      </w:r>
      <w:r w:rsidRPr="00B93BC6">
        <w:t xml:space="preserve">This figure has been modified from Byford </w:t>
      </w:r>
      <w:r w:rsidRPr="006D51B2">
        <w:rPr>
          <w:i/>
        </w:rPr>
        <w:t>et al.</w:t>
      </w:r>
      <w:r w:rsidRPr="00B93BC6">
        <w:rPr>
          <w:rFonts w:cstheme="majorHAnsi"/>
          <w:color w:val="auto"/>
          <w:lang w:val="en-GB"/>
        </w:rPr>
        <w:fldChar w:fldCharType="begin"/>
      </w:r>
      <w:r w:rsidRPr="00B93BC6">
        <w:rPr>
          <w:rFonts w:cstheme="majorHAnsi"/>
          <w:color w:val="auto"/>
          <w:lang w:val="en-GB"/>
        </w:rPr>
        <w:instrText xml:space="preserve"> ADDIN ZOTERO_ITEM CSL_CITATION {"citationID":"RtjIzXzB","properties":{"formattedCitation":"\\super 21\\nosupersub{}","plainCitation":"21","noteIndex":0},"citationItems":[{"id":9,"uris":["http://zotero.org/users/4841313/items/EAKMTTD9"],"uri":["http://zotero.org/users/4841313/items/EAKMTTD9"],"itemData":{"id":9,"type":"article-journal","title":"Circulating Tfh1 (cTfh1) cell numbers and PD1 expression are elevated in low-grade B-cell non-Hodgkin’s lymphoma and cTfh gene expression is perturbed in marginal zone lymphoma","container-title":"PLOS ONE","page":"e0190468","volume":"13","issue":"1","source":"CrossRef","DOI":"10.1371/journal.pone.0190468","ISSN":"1932-6203","language":"en","author":[{"family":"Byford","given":"Elliot T."},{"family":"Carr","given":"Matthew"},{"family":"Ladikou","given":"Eleni"},{"family":"Ahearne","given":"Matthew J."},{"family":"Wagner","given":"Simon D."}],"editor":[{"family":"Richard","given":"Yolande"}],"issued":{"date-parts":[["2018",1,2]]}}}],"schema":"https://github.com/citation-style-language/schema/raw/master/csl-citation.json"} </w:instrText>
      </w:r>
      <w:r w:rsidRPr="00B93BC6">
        <w:rPr>
          <w:rFonts w:cstheme="majorHAnsi"/>
          <w:color w:val="auto"/>
          <w:lang w:val="en-GB"/>
        </w:rPr>
        <w:fldChar w:fldCharType="separate"/>
      </w:r>
      <w:r w:rsidRPr="00B93BC6">
        <w:rPr>
          <w:rFonts w:cstheme="majorHAnsi"/>
          <w:color w:val="auto"/>
          <w:vertAlign w:val="superscript"/>
        </w:rPr>
        <w:t>21</w:t>
      </w:r>
      <w:r w:rsidRPr="00B93BC6">
        <w:rPr>
          <w:rFonts w:cstheme="majorHAnsi"/>
          <w:color w:val="auto"/>
          <w:lang w:val="en-GB"/>
        </w:rPr>
        <w:fldChar w:fldCharType="end"/>
      </w:r>
      <w:r w:rsidRPr="00B93BC6">
        <w:rPr>
          <w:rFonts w:cstheme="majorHAnsi"/>
          <w:color w:val="auto"/>
          <w:lang w:val="en-GB"/>
        </w:rPr>
        <w:t>.</w:t>
      </w:r>
    </w:p>
    <w:p w14:paraId="3D1DFD2F" w14:textId="77777777" w:rsidR="00277E15" w:rsidRPr="00B93BC6" w:rsidRDefault="00277E15" w:rsidP="00277E15">
      <w:pPr>
        <w:pStyle w:val="NormalWeb"/>
        <w:spacing w:before="0" w:beforeAutospacing="0" w:after="0" w:afterAutospacing="0"/>
        <w:rPr>
          <w:rFonts w:asciiTheme="majorHAnsi" w:hAnsiTheme="majorHAnsi" w:cstheme="majorHAnsi"/>
          <w:color w:val="auto"/>
        </w:rPr>
      </w:pPr>
    </w:p>
    <w:p w14:paraId="4286C1B3" w14:textId="77777777" w:rsidR="00277E15" w:rsidRPr="008C1032" w:rsidRDefault="00277E15" w:rsidP="00277E15">
      <w:pPr>
        <w:pStyle w:val="NormalWeb"/>
        <w:spacing w:before="0" w:beforeAutospacing="0" w:after="0" w:afterAutospacing="0"/>
        <w:rPr>
          <w:rFonts w:asciiTheme="majorHAnsi" w:hAnsiTheme="majorHAnsi" w:cstheme="majorHAnsi"/>
          <w:b/>
          <w:color w:val="auto"/>
        </w:rPr>
      </w:pPr>
      <w:r w:rsidRPr="00B93BC6">
        <w:rPr>
          <w:rFonts w:asciiTheme="majorHAnsi" w:hAnsiTheme="majorHAnsi" w:cstheme="majorHAnsi"/>
          <w:b/>
          <w:color w:val="auto"/>
        </w:rPr>
        <w:t>Figure 5</w:t>
      </w:r>
      <w:r>
        <w:rPr>
          <w:rFonts w:asciiTheme="majorHAnsi" w:hAnsiTheme="majorHAnsi" w:cstheme="majorHAnsi"/>
          <w:b/>
          <w:color w:val="auto"/>
        </w:rPr>
        <w:t xml:space="preserve">. </w:t>
      </w:r>
      <w:r w:rsidRPr="00B93BC6">
        <w:rPr>
          <w:rFonts w:asciiTheme="majorHAnsi" w:hAnsiTheme="majorHAnsi" w:cstheme="majorHAnsi"/>
          <w:b/>
          <w:color w:val="auto"/>
        </w:rPr>
        <w:t xml:space="preserve">PD-1 expression and relationship to </w:t>
      </w:r>
      <w:proofErr w:type="spellStart"/>
      <w:r w:rsidRPr="00B93BC6">
        <w:rPr>
          <w:rFonts w:asciiTheme="majorHAnsi" w:hAnsiTheme="majorHAnsi" w:cstheme="majorHAnsi"/>
          <w:b/>
          <w:color w:val="auto"/>
        </w:rPr>
        <w:t>cTfh</w:t>
      </w:r>
      <w:proofErr w:type="spellEnd"/>
      <w:r w:rsidRPr="00B93BC6">
        <w:rPr>
          <w:rFonts w:asciiTheme="majorHAnsi" w:hAnsiTheme="majorHAnsi" w:cstheme="majorHAnsi"/>
          <w:b/>
          <w:color w:val="auto"/>
        </w:rPr>
        <w:t xml:space="preserve"> cells</w:t>
      </w:r>
      <w:r>
        <w:rPr>
          <w:rFonts w:asciiTheme="majorHAnsi" w:hAnsiTheme="majorHAnsi" w:cstheme="majorHAnsi"/>
          <w:b/>
          <w:color w:val="auto"/>
        </w:rPr>
        <w:t>.</w:t>
      </w:r>
      <w:r w:rsidRPr="00B93BC6">
        <w:rPr>
          <w:rFonts w:asciiTheme="majorHAnsi" w:hAnsiTheme="majorHAnsi" w:cstheme="majorHAnsi"/>
          <w:b/>
          <w:color w:val="auto"/>
        </w:rPr>
        <w:t xml:space="preserve"> </w:t>
      </w:r>
      <w:r>
        <w:rPr>
          <w:rFonts w:asciiTheme="majorHAnsi" w:hAnsiTheme="majorHAnsi" w:cstheme="majorHAnsi"/>
          <w:b/>
          <w:color w:val="auto"/>
        </w:rPr>
        <w:t>(</w:t>
      </w:r>
      <w:r w:rsidRPr="00B93BC6">
        <w:rPr>
          <w:rFonts w:asciiTheme="majorHAnsi" w:hAnsiTheme="majorHAnsi" w:cstheme="majorHAnsi"/>
          <w:b/>
          <w:color w:val="auto"/>
        </w:rPr>
        <w:t>A)</w:t>
      </w:r>
      <w:r w:rsidRPr="00B93BC6">
        <w:rPr>
          <w:rFonts w:asciiTheme="majorHAnsi" w:hAnsiTheme="majorHAnsi" w:cstheme="majorHAnsi"/>
          <w:color w:val="auto"/>
        </w:rPr>
        <w:t xml:space="preserve"> </w:t>
      </w:r>
      <w:r w:rsidRPr="00B93BC6">
        <w:rPr>
          <w:rFonts w:asciiTheme="majorHAnsi" w:hAnsiTheme="majorHAnsi" w:cstheme="majorHAnsi"/>
          <w:color w:val="auto"/>
          <w:lang w:val="en-GB" w:eastAsia="ja-JP"/>
        </w:rPr>
        <w:t xml:space="preserve">Flow cytometry histogram used to determine PD-1 expression within total </w:t>
      </w:r>
      <w:proofErr w:type="spellStart"/>
      <w:r w:rsidRPr="00B93BC6">
        <w:rPr>
          <w:rFonts w:asciiTheme="majorHAnsi" w:hAnsiTheme="majorHAnsi" w:cstheme="majorHAnsi"/>
          <w:color w:val="auto"/>
          <w:lang w:val="en-GB" w:eastAsia="ja-JP"/>
        </w:rPr>
        <w:t>cT</w:t>
      </w:r>
      <w:r w:rsidRPr="00B93BC6">
        <w:rPr>
          <w:rFonts w:asciiTheme="majorHAnsi" w:hAnsiTheme="majorHAnsi" w:cstheme="majorHAnsi"/>
          <w:color w:val="auto"/>
          <w:position w:val="-2"/>
          <w:lang w:val="en-GB" w:eastAsia="ja-JP"/>
        </w:rPr>
        <w:t>fh</w:t>
      </w:r>
      <w:proofErr w:type="spellEnd"/>
      <w:r w:rsidRPr="00B93BC6">
        <w:rPr>
          <w:rFonts w:asciiTheme="majorHAnsi" w:hAnsiTheme="majorHAnsi" w:cstheme="majorHAnsi"/>
          <w:color w:val="auto"/>
          <w:position w:val="-2"/>
          <w:lang w:val="en-GB" w:eastAsia="ja-JP"/>
        </w:rPr>
        <w:t xml:space="preserve"> </w:t>
      </w:r>
      <w:r w:rsidRPr="00B93BC6">
        <w:rPr>
          <w:rFonts w:asciiTheme="majorHAnsi" w:hAnsiTheme="majorHAnsi" w:cstheme="majorHAnsi"/>
          <w:color w:val="auto"/>
          <w:lang w:val="en-GB" w:eastAsia="ja-JP"/>
        </w:rPr>
        <w:t xml:space="preserve">cells. Taken from a representative </w:t>
      </w:r>
      <w:r>
        <w:rPr>
          <w:rFonts w:asciiTheme="majorHAnsi" w:hAnsiTheme="majorHAnsi" w:cstheme="majorHAnsi"/>
          <w:color w:val="auto"/>
          <w:lang w:val="en-GB" w:eastAsia="ja-JP"/>
        </w:rPr>
        <w:t>normal subject</w:t>
      </w:r>
      <w:r w:rsidRPr="00B93BC6">
        <w:rPr>
          <w:rFonts w:asciiTheme="majorHAnsi" w:hAnsiTheme="majorHAnsi" w:cstheme="majorHAnsi"/>
          <w:color w:val="auto"/>
          <w:lang w:val="en-GB" w:eastAsia="ja-JP"/>
        </w:rPr>
        <w:t xml:space="preserve"> and BNHL patient. </w:t>
      </w:r>
      <w:r>
        <w:rPr>
          <w:rFonts w:asciiTheme="majorHAnsi" w:hAnsiTheme="majorHAnsi" w:cstheme="majorHAnsi"/>
          <w:color w:val="auto"/>
          <w:lang w:val="en-GB" w:eastAsia="ja-JP"/>
        </w:rPr>
        <w:t>(</w:t>
      </w:r>
      <w:r w:rsidRPr="00B93BC6">
        <w:rPr>
          <w:rFonts w:asciiTheme="majorHAnsi" w:hAnsiTheme="majorHAnsi" w:cstheme="majorHAnsi"/>
          <w:b/>
          <w:color w:val="auto"/>
        </w:rPr>
        <w:t>B)</w:t>
      </w:r>
      <w:r w:rsidRPr="00B93BC6">
        <w:rPr>
          <w:rFonts w:asciiTheme="majorHAnsi" w:hAnsiTheme="majorHAnsi" w:cstheme="majorHAnsi"/>
          <w:color w:val="auto"/>
        </w:rPr>
        <w:t xml:space="preserve"> P</w:t>
      </w:r>
      <w:r w:rsidRPr="00B93BC6">
        <w:rPr>
          <w:rFonts w:asciiTheme="majorHAnsi" w:hAnsiTheme="majorHAnsi" w:cstheme="majorHAnsi"/>
          <w:color w:val="auto"/>
          <w:lang w:val="en-GB"/>
        </w:rPr>
        <w:t>D-1</w:t>
      </w:r>
      <w:r w:rsidRPr="00B93BC6">
        <w:rPr>
          <w:rFonts w:asciiTheme="majorHAnsi" w:hAnsiTheme="majorHAnsi" w:cstheme="majorHAnsi"/>
          <w:color w:val="auto"/>
          <w:vertAlign w:val="superscript"/>
          <w:lang w:val="en-GB"/>
        </w:rPr>
        <w:t>+</w:t>
      </w:r>
      <w:r w:rsidRPr="00B93BC6">
        <w:rPr>
          <w:rFonts w:asciiTheme="majorHAnsi" w:hAnsiTheme="majorHAnsi" w:cstheme="majorHAnsi"/>
          <w:color w:val="auto"/>
          <w:lang w:val="en-GB"/>
        </w:rPr>
        <w:t xml:space="preserve"> cells as a proportion of total </w:t>
      </w:r>
      <w:proofErr w:type="spellStart"/>
      <w:r w:rsidRPr="00B93BC6">
        <w:rPr>
          <w:rFonts w:asciiTheme="majorHAnsi" w:hAnsiTheme="majorHAnsi" w:cstheme="majorHAnsi"/>
          <w:color w:val="auto"/>
          <w:lang w:val="en-GB"/>
        </w:rPr>
        <w:t>cTfh</w:t>
      </w:r>
      <w:proofErr w:type="spellEnd"/>
      <w:r w:rsidRPr="00B93BC6">
        <w:rPr>
          <w:rFonts w:asciiTheme="majorHAnsi" w:hAnsiTheme="majorHAnsi" w:cstheme="majorHAnsi"/>
          <w:color w:val="auto"/>
          <w:lang w:val="en-GB"/>
        </w:rPr>
        <w:t xml:space="preserve"> cells. Horizontal </w:t>
      </w:r>
      <w:r>
        <w:rPr>
          <w:rFonts w:asciiTheme="majorHAnsi" w:hAnsiTheme="majorHAnsi" w:cstheme="majorHAnsi"/>
          <w:color w:val="auto"/>
          <w:lang w:val="en-GB"/>
        </w:rPr>
        <w:t>l</w:t>
      </w:r>
      <w:r w:rsidRPr="00B93BC6">
        <w:rPr>
          <w:rFonts w:asciiTheme="majorHAnsi" w:hAnsiTheme="majorHAnsi" w:cstheme="majorHAnsi"/>
          <w:color w:val="auto"/>
          <w:lang w:val="en-GB"/>
        </w:rPr>
        <w:t xml:space="preserve">ines represent the median, </w:t>
      </w:r>
      <w:r>
        <w:rPr>
          <w:rFonts w:asciiTheme="majorHAnsi" w:hAnsiTheme="majorHAnsi" w:cstheme="majorHAnsi"/>
          <w:color w:val="auto"/>
          <w:lang w:val="en-GB"/>
        </w:rPr>
        <w:t xml:space="preserve">and </w:t>
      </w:r>
      <w:r w:rsidRPr="00B93BC6">
        <w:rPr>
          <w:rFonts w:asciiTheme="majorHAnsi" w:hAnsiTheme="majorHAnsi" w:cstheme="majorHAnsi"/>
          <w:color w:val="auto"/>
          <w:lang w:val="en-GB"/>
        </w:rPr>
        <w:t>error bars represent inter-quartile range. Medians are significantly (Mann-Whitney U-test) different between normal subjects (21.5%,</w:t>
      </w:r>
      <w:r w:rsidRPr="00B93BC6">
        <w:rPr>
          <w:rFonts w:asciiTheme="majorHAnsi" w:hAnsiTheme="majorHAnsi" w:cstheme="majorHAnsi"/>
          <w:lang w:val="en-GB"/>
        </w:rPr>
        <w:t xml:space="preserve"> IQR = </w:t>
      </w:r>
      <w:r w:rsidRPr="00B93BC6">
        <w:rPr>
          <w:rFonts w:asciiTheme="majorHAnsi" w:hAnsiTheme="majorHAnsi" w:cstheme="majorHAnsi"/>
          <w:color w:val="auto"/>
          <w:lang w:val="en-GB"/>
        </w:rPr>
        <w:t>10.8, n = 12) and lymphoma patients (MZL 54.1%</w:t>
      </w:r>
      <w:r>
        <w:rPr>
          <w:rFonts w:asciiTheme="majorHAnsi" w:hAnsiTheme="majorHAnsi" w:cstheme="majorHAnsi"/>
          <w:color w:val="auto"/>
          <w:lang w:val="en-GB"/>
        </w:rPr>
        <w:t>,</w:t>
      </w:r>
      <w:r w:rsidRPr="00B93BC6">
        <w:rPr>
          <w:rFonts w:asciiTheme="majorHAnsi" w:hAnsiTheme="majorHAnsi" w:cstheme="majorHAnsi"/>
          <w:color w:val="auto"/>
          <w:lang w:val="en-GB"/>
        </w:rPr>
        <w:t xml:space="preserve"> IQR = 21.2</w:t>
      </w:r>
      <w:r>
        <w:rPr>
          <w:rFonts w:asciiTheme="majorHAnsi" w:hAnsiTheme="majorHAnsi" w:cstheme="majorHAnsi"/>
          <w:color w:val="auto"/>
          <w:lang w:val="en-GB"/>
        </w:rPr>
        <w:t>,</w:t>
      </w:r>
      <w:r w:rsidRPr="00B93BC6">
        <w:rPr>
          <w:rFonts w:asciiTheme="majorHAnsi" w:hAnsiTheme="majorHAnsi" w:cstheme="majorHAnsi"/>
          <w:color w:val="auto"/>
          <w:lang w:val="en-GB"/>
        </w:rPr>
        <w:t xml:space="preserve"> n = 7, </w:t>
      </w:r>
      <w:r>
        <w:rPr>
          <w:rFonts w:asciiTheme="majorHAnsi" w:hAnsiTheme="majorHAnsi" w:cstheme="majorHAnsi"/>
          <w:i/>
          <w:iCs/>
          <w:color w:val="auto"/>
          <w:lang w:val="en-GB"/>
        </w:rPr>
        <w:t>p</w:t>
      </w:r>
      <w:r w:rsidRPr="00B93BC6">
        <w:rPr>
          <w:rFonts w:asciiTheme="majorHAnsi" w:hAnsiTheme="majorHAnsi" w:cstheme="majorHAnsi"/>
          <w:i/>
          <w:iCs/>
          <w:color w:val="auto"/>
          <w:lang w:val="en-GB"/>
        </w:rPr>
        <w:t xml:space="preserve"> </w:t>
      </w:r>
      <w:r w:rsidRPr="00B93BC6">
        <w:rPr>
          <w:rFonts w:asciiTheme="majorHAnsi" w:hAnsiTheme="majorHAnsi" w:cstheme="majorHAnsi"/>
          <w:color w:val="auto"/>
          <w:lang w:val="en-GB"/>
        </w:rPr>
        <w:t xml:space="preserve">= 0.0008 and BNHL 45.2%, IQR =11.4, n = 9, </w:t>
      </w:r>
      <w:r>
        <w:rPr>
          <w:rFonts w:asciiTheme="majorHAnsi" w:hAnsiTheme="majorHAnsi" w:cstheme="majorHAnsi"/>
          <w:i/>
          <w:iCs/>
          <w:color w:val="auto"/>
          <w:lang w:val="en-GB"/>
        </w:rPr>
        <w:t>p</w:t>
      </w:r>
      <w:r w:rsidRPr="00B93BC6">
        <w:rPr>
          <w:rFonts w:asciiTheme="majorHAnsi" w:hAnsiTheme="majorHAnsi" w:cstheme="majorHAnsi"/>
          <w:i/>
          <w:iCs/>
          <w:color w:val="auto"/>
          <w:lang w:val="en-GB"/>
        </w:rPr>
        <w:t xml:space="preserve"> </w:t>
      </w:r>
      <w:r w:rsidRPr="00B93BC6">
        <w:rPr>
          <w:rFonts w:asciiTheme="majorHAnsi" w:hAnsiTheme="majorHAnsi" w:cstheme="majorHAnsi"/>
          <w:color w:val="auto"/>
          <w:lang w:val="en-GB"/>
        </w:rPr>
        <w:t xml:space="preserve">= 0.0003). </w:t>
      </w:r>
      <w:r w:rsidRPr="00B93BC6">
        <w:t xml:space="preserve">This figure has been modified from Byford </w:t>
      </w:r>
      <w:r w:rsidRPr="006D51B2">
        <w:rPr>
          <w:i/>
        </w:rPr>
        <w:t>et al.</w:t>
      </w:r>
      <w:r w:rsidRPr="00B93BC6">
        <w:rPr>
          <w:rFonts w:cstheme="majorHAnsi"/>
          <w:color w:val="auto"/>
          <w:lang w:val="en-GB"/>
        </w:rPr>
        <w:fldChar w:fldCharType="begin"/>
      </w:r>
      <w:r w:rsidRPr="00B93BC6">
        <w:rPr>
          <w:rFonts w:cstheme="majorHAnsi"/>
          <w:color w:val="auto"/>
          <w:lang w:val="en-GB"/>
        </w:rPr>
        <w:instrText xml:space="preserve"> ADDIN ZOTERO_ITEM CSL_CITATION {"citationID":"RtjIzXzB","properties":{"formattedCitation":"\\super 21\\nosupersub{}","plainCitation":"21","noteIndex":0},"citationItems":[{"id":9,"uris":["http://zotero.org/users/4841313/items/EAKMTTD9"],"uri":["http://zotero.org/users/4841313/items/EAKMTTD9"],"itemData":{"id":9,"type":"article-journal","title":"Circulating Tfh1 (cTfh1) cell numbers and PD1 expression are elevated in low-grade B-cell non-Hodgkin’s lymphoma and cTfh gene expression is perturbed in marginal zone lymphoma","container-title":"PLOS ONE","page":"e0190468","volume":"13","issue":"1","source":"CrossRef","DOI":"10.1371/journal.pone.0190468","ISSN":"1932-6203","language":"en","author":[{"family":"Byford","given":"Elliot T."},{"family":"Carr","given":"Matthew"},{"family":"Ladikou","given":"Eleni"},{"family":"Ahearne","given":"Matthew J."},{"family":"Wagner","given":"Simon D."}],"editor":[{"family":"Richard","given":"Yolande"}],"issued":{"date-parts":[["2018",1,2]]}}}],"schema":"https://github.com/citation-style-language/schema/raw/master/csl-citation.json"} </w:instrText>
      </w:r>
      <w:r w:rsidRPr="00B93BC6">
        <w:rPr>
          <w:rFonts w:cstheme="majorHAnsi"/>
          <w:color w:val="auto"/>
          <w:lang w:val="en-GB"/>
        </w:rPr>
        <w:fldChar w:fldCharType="separate"/>
      </w:r>
      <w:r w:rsidRPr="00B93BC6">
        <w:rPr>
          <w:rFonts w:cstheme="majorHAnsi"/>
          <w:color w:val="auto"/>
          <w:vertAlign w:val="superscript"/>
        </w:rPr>
        <w:t>21</w:t>
      </w:r>
      <w:r w:rsidRPr="00B93BC6">
        <w:rPr>
          <w:rFonts w:cstheme="majorHAnsi"/>
          <w:color w:val="auto"/>
          <w:lang w:val="en-GB"/>
        </w:rPr>
        <w:fldChar w:fldCharType="end"/>
      </w:r>
      <w:r w:rsidRPr="00B93BC6">
        <w:rPr>
          <w:rFonts w:cstheme="majorHAnsi"/>
          <w:color w:val="auto"/>
          <w:lang w:val="en-GB"/>
        </w:rPr>
        <w:t>.</w:t>
      </w:r>
    </w:p>
    <w:p w14:paraId="46C1D0C2" w14:textId="77777777" w:rsidR="00277E15" w:rsidRPr="00B93BC6" w:rsidRDefault="00277E15" w:rsidP="00277E15">
      <w:pPr>
        <w:pStyle w:val="NormalWeb"/>
        <w:spacing w:before="0" w:beforeAutospacing="0" w:after="0" w:afterAutospacing="0"/>
        <w:rPr>
          <w:rFonts w:asciiTheme="majorHAnsi" w:hAnsiTheme="majorHAnsi" w:cstheme="majorHAnsi"/>
        </w:rPr>
      </w:pPr>
    </w:p>
    <w:p w14:paraId="14728F6D" w14:textId="77777777" w:rsidR="00277E15" w:rsidRPr="008C1032" w:rsidRDefault="00277E15" w:rsidP="00277E15">
      <w:pPr>
        <w:pStyle w:val="NormalWeb"/>
        <w:spacing w:before="0" w:beforeAutospacing="0" w:after="0" w:afterAutospacing="0"/>
        <w:rPr>
          <w:rFonts w:asciiTheme="majorHAnsi" w:hAnsiTheme="majorHAnsi" w:cstheme="majorHAnsi"/>
          <w:b/>
        </w:rPr>
      </w:pPr>
      <w:r w:rsidRPr="00B93BC6">
        <w:rPr>
          <w:rFonts w:asciiTheme="majorHAnsi" w:hAnsiTheme="majorHAnsi" w:cstheme="majorHAnsi"/>
          <w:b/>
        </w:rPr>
        <w:t>Figure 6</w:t>
      </w:r>
      <w:r>
        <w:rPr>
          <w:rFonts w:asciiTheme="majorHAnsi" w:hAnsiTheme="majorHAnsi" w:cstheme="majorHAnsi"/>
          <w:b/>
        </w:rPr>
        <w:t xml:space="preserve">. </w:t>
      </w:r>
      <w:r w:rsidRPr="00B93BC6">
        <w:rPr>
          <w:rFonts w:asciiTheme="majorHAnsi" w:hAnsiTheme="majorHAnsi" w:cstheme="majorHAnsi"/>
          <w:b/>
        </w:rPr>
        <w:t>CXCR3 and CCR6 expression and their relationship to cTfh1 numbers</w:t>
      </w:r>
      <w:r>
        <w:rPr>
          <w:rFonts w:asciiTheme="majorHAnsi" w:hAnsiTheme="majorHAnsi" w:cstheme="majorHAnsi"/>
          <w:b/>
        </w:rPr>
        <w:t>.</w:t>
      </w:r>
      <w:r w:rsidRPr="00B93BC6">
        <w:rPr>
          <w:rFonts w:asciiTheme="majorHAnsi" w:hAnsiTheme="majorHAnsi" w:cstheme="majorHAnsi"/>
          <w:b/>
        </w:rPr>
        <w:t xml:space="preserve"> </w:t>
      </w:r>
      <w:r>
        <w:rPr>
          <w:rFonts w:asciiTheme="majorHAnsi" w:hAnsiTheme="majorHAnsi" w:cstheme="majorHAnsi"/>
          <w:b/>
        </w:rPr>
        <w:t>(</w:t>
      </w:r>
      <w:r w:rsidRPr="00B93BC6">
        <w:rPr>
          <w:rFonts w:asciiTheme="majorHAnsi" w:hAnsiTheme="majorHAnsi" w:cstheme="majorHAnsi"/>
          <w:b/>
        </w:rPr>
        <w:t xml:space="preserve">A) </w:t>
      </w:r>
      <w:r w:rsidRPr="00B93BC6">
        <w:rPr>
          <w:rFonts w:asciiTheme="majorHAnsi" w:hAnsiTheme="majorHAnsi" w:cstheme="majorHAnsi"/>
          <w:color w:val="auto"/>
          <w:lang w:val="en-GB" w:eastAsia="ja-JP"/>
        </w:rPr>
        <w:t xml:space="preserve">Biaxial flow cytometry plot showing </w:t>
      </w:r>
      <w:r>
        <w:rPr>
          <w:rFonts w:asciiTheme="majorHAnsi" w:hAnsiTheme="majorHAnsi" w:cstheme="majorHAnsi"/>
          <w:color w:val="auto"/>
          <w:lang w:val="en-GB" w:eastAsia="ja-JP"/>
        </w:rPr>
        <w:t xml:space="preserve">the </w:t>
      </w:r>
      <w:r w:rsidRPr="00B93BC6">
        <w:rPr>
          <w:rFonts w:asciiTheme="majorHAnsi" w:hAnsiTheme="majorHAnsi" w:cstheme="majorHAnsi"/>
          <w:color w:val="auto"/>
          <w:lang w:val="en-GB" w:eastAsia="ja-JP"/>
        </w:rPr>
        <w:t>expression of CXCR3 and CCR6 on CD4</w:t>
      </w:r>
      <w:r w:rsidRPr="00B93BC6">
        <w:rPr>
          <w:rFonts w:asciiTheme="majorHAnsi" w:hAnsiTheme="majorHAnsi" w:cstheme="majorHAnsi"/>
          <w:color w:val="auto"/>
          <w:vertAlign w:val="superscript"/>
          <w:lang w:val="en-GB" w:eastAsia="ja-JP"/>
        </w:rPr>
        <w:t>+</w:t>
      </w:r>
      <w:r w:rsidRPr="00B93BC6">
        <w:rPr>
          <w:rFonts w:asciiTheme="majorHAnsi" w:hAnsiTheme="majorHAnsi" w:cstheme="majorHAnsi"/>
          <w:color w:val="auto"/>
          <w:lang w:val="en-GB" w:eastAsia="ja-JP"/>
        </w:rPr>
        <w:t xml:space="preserve"> CD45RA</w:t>
      </w:r>
      <w:r w:rsidRPr="00B93BC6">
        <w:rPr>
          <w:rFonts w:asciiTheme="majorHAnsi" w:hAnsiTheme="majorHAnsi" w:cstheme="majorHAnsi"/>
          <w:color w:val="auto"/>
          <w:vertAlign w:val="superscript"/>
          <w:lang w:val="en-GB" w:eastAsia="ja-JP"/>
        </w:rPr>
        <w:t>-</w:t>
      </w:r>
      <w:r w:rsidRPr="00B93BC6">
        <w:rPr>
          <w:rFonts w:asciiTheme="majorHAnsi" w:hAnsiTheme="majorHAnsi" w:cstheme="majorHAnsi"/>
          <w:color w:val="auto"/>
          <w:lang w:val="en-GB" w:eastAsia="ja-JP"/>
        </w:rPr>
        <w:t xml:space="preserve"> CXCR5</w:t>
      </w:r>
      <w:r w:rsidRPr="00B93BC6">
        <w:rPr>
          <w:rFonts w:asciiTheme="majorHAnsi" w:hAnsiTheme="majorHAnsi" w:cstheme="majorHAnsi"/>
          <w:color w:val="auto"/>
          <w:vertAlign w:val="superscript"/>
          <w:lang w:val="en-GB" w:eastAsia="ja-JP"/>
        </w:rPr>
        <w:t>+</w:t>
      </w:r>
      <w:r w:rsidRPr="00B93BC6">
        <w:rPr>
          <w:rFonts w:asciiTheme="majorHAnsi" w:hAnsiTheme="majorHAnsi" w:cstheme="majorHAnsi"/>
          <w:color w:val="auto"/>
          <w:lang w:val="en-GB" w:eastAsia="ja-JP"/>
        </w:rPr>
        <w:t xml:space="preserve"> cells. Taken from a representative </w:t>
      </w:r>
      <w:r>
        <w:rPr>
          <w:rFonts w:asciiTheme="majorHAnsi" w:hAnsiTheme="majorHAnsi" w:cstheme="majorHAnsi"/>
          <w:color w:val="auto"/>
          <w:lang w:val="en-GB" w:eastAsia="ja-JP"/>
        </w:rPr>
        <w:t>normal subject</w:t>
      </w:r>
      <w:r w:rsidRPr="00B93BC6">
        <w:rPr>
          <w:rFonts w:asciiTheme="majorHAnsi" w:hAnsiTheme="majorHAnsi" w:cstheme="majorHAnsi"/>
          <w:color w:val="auto"/>
          <w:lang w:val="en-GB" w:eastAsia="ja-JP"/>
        </w:rPr>
        <w:t xml:space="preserve"> and BNHL patient. </w:t>
      </w:r>
      <w:r>
        <w:rPr>
          <w:rFonts w:asciiTheme="majorHAnsi" w:hAnsiTheme="majorHAnsi" w:cstheme="majorHAnsi"/>
          <w:color w:val="auto"/>
          <w:lang w:val="en-GB" w:eastAsia="ja-JP"/>
        </w:rPr>
        <w:t>(</w:t>
      </w:r>
      <w:r w:rsidRPr="00B93BC6">
        <w:rPr>
          <w:rFonts w:asciiTheme="majorHAnsi" w:hAnsiTheme="majorHAnsi" w:cstheme="majorHAnsi"/>
          <w:b/>
          <w:lang w:val="en-GB"/>
        </w:rPr>
        <w:t xml:space="preserve">B) </w:t>
      </w:r>
      <w:proofErr w:type="gramStart"/>
      <w:r w:rsidRPr="00B93BC6">
        <w:rPr>
          <w:rFonts w:asciiTheme="majorHAnsi" w:hAnsiTheme="majorHAnsi" w:cstheme="majorHAnsi"/>
          <w:lang w:val="en-GB"/>
        </w:rPr>
        <w:t>cTfh1</w:t>
      </w:r>
      <w:proofErr w:type="gramEnd"/>
      <w:r w:rsidRPr="00B93BC6">
        <w:rPr>
          <w:rFonts w:asciiTheme="majorHAnsi" w:hAnsiTheme="majorHAnsi" w:cstheme="majorHAnsi"/>
          <w:lang w:val="en-GB"/>
        </w:rPr>
        <w:t xml:space="preserve"> cells as a percentage of total </w:t>
      </w:r>
      <w:proofErr w:type="spellStart"/>
      <w:r w:rsidRPr="00B93BC6">
        <w:rPr>
          <w:rFonts w:asciiTheme="majorHAnsi" w:hAnsiTheme="majorHAnsi" w:cstheme="majorHAnsi"/>
          <w:lang w:val="en-GB"/>
        </w:rPr>
        <w:t>cTfh</w:t>
      </w:r>
      <w:proofErr w:type="spellEnd"/>
      <w:r w:rsidRPr="00B93BC6">
        <w:rPr>
          <w:rFonts w:asciiTheme="majorHAnsi" w:hAnsiTheme="majorHAnsi" w:cstheme="majorHAnsi"/>
          <w:lang w:val="en-GB"/>
        </w:rPr>
        <w:t xml:space="preserve"> cells. Horizontal </w:t>
      </w:r>
      <w:r>
        <w:rPr>
          <w:rFonts w:asciiTheme="majorHAnsi" w:hAnsiTheme="majorHAnsi" w:cstheme="majorHAnsi"/>
          <w:lang w:val="en-GB"/>
        </w:rPr>
        <w:t>l</w:t>
      </w:r>
      <w:r w:rsidRPr="00B93BC6">
        <w:rPr>
          <w:rFonts w:asciiTheme="majorHAnsi" w:hAnsiTheme="majorHAnsi" w:cstheme="majorHAnsi"/>
          <w:lang w:val="en-GB"/>
        </w:rPr>
        <w:t xml:space="preserve">ines represent the median, </w:t>
      </w:r>
      <w:r>
        <w:rPr>
          <w:rFonts w:asciiTheme="majorHAnsi" w:hAnsiTheme="majorHAnsi" w:cstheme="majorHAnsi"/>
          <w:lang w:val="en-GB"/>
        </w:rPr>
        <w:t xml:space="preserve">and </w:t>
      </w:r>
      <w:r w:rsidRPr="00B93BC6">
        <w:rPr>
          <w:rFonts w:asciiTheme="majorHAnsi" w:hAnsiTheme="majorHAnsi" w:cstheme="majorHAnsi"/>
          <w:lang w:val="en-GB"/>
        </w:rPr>
        <w:t>error bars represent inter-quartile range. Medians are significantly (Mann-Whitney U-test) different between normal subjects (20.8%</w:t>
      </w:r>
      <w:r>
        <w:rPr>
          <w:rFonts w:asciiTheme="majorHAnsi" w:hAnsiTheme="majorHAnsi" w:cstheme="majorHAnsi"/>
          <w:lang w:val="en-GB"/>
        </w:rPr>
        <w:t>,</w:t>
      </w:r>
      <w:r w:rsidRPr="00B93BC6">
        <w:rPr>
          <w:rFonts w:asciiTheme="majorHAnsi" w:hAnsiTheme="majorHAnsi" w:cstheme="majorHAnsi"/>
          <w:lang w:val="en-GB"/>
        </w:rPr>
        <w:t xml:space="preserve"> IQR = 6.7</w:t>
      </w:r>
      <w:r>
        <w:rPr>
          <w:rFonts w:asciiTheme="majorHAnsi" w:hAnsiTheme="majorHAnsi" w:cstheme="majorHAnsi"/>
          <w:lang w:val="en-GB"/>
        </w:rPr>
        <w:t>,</w:t>
      </w:r>
      <w:r w:rsidRPr="00B93BC6">
        <w:rPr>
          <w:rFonts w:asciiTheme="majorHAnsi" w:hAnsiTheme="majorHAnsi" w:cstheme="majorHAnsi"/>
          <w:lang w:val="en-GB"/>
        </w:rPr>
        <w:t xml:space="preserve"> n = 12) and lymphoma patients (MZL 32.1%</w:t>
      </w:r>
      <w:r>
        <w:rPr>
          <w:rFonts w:asciiTheme="majorHAnsi" w:hAnsiTheme="majorHAnsi" w:cstheme="majorHAnsi"/>
          <w:lang w:val="en-GB"/>
        </w:rPr>
        <w:t>,</w:t>
      </w:r>
      <w:r w:rsidRPr="00B93BC6">
        <w:rPr>
          <w:rFonts w:asciiTheme="majorHAnsi" w:hAnsiTheme="majorHAnsi" w:cstheme="majorHAnsi"/>
          <w:lang w:val="en-GB"/>
        </w:rPr>
        <w:t xml:space="preserve"> IQR = 6.8</w:t>
      </w:r>
      <w:r>
        <w:rPr>
          <w:rFonts w:asciiTheme="majorHAnsi" w:hAnsiTheme="majorHAnsi" w:cstheme="majorHAnsi"/>
          <w:lang w:val="en-GB"/>
        </w:rPr>
        <w:t>,</w:t>
      </w:r>
      <w:r w:rsidRPr="00B93BC6">
        <w:rPr>
          <w:rFonts w:asciiTheme="majorHAnsi" w:hAnsiTheme="majorHAnsi" w:cstheme="majorHAnsi"/>
          <w:lang w:val="en-GB"/>
        </w:rPr>
        <w:t xml:space="preserve"> n = 7</w:t>
      </w:r>
      <w:r>
        <w:rPr>
          <w:rFonts w:asciiTheme="majorHAnsi" w:hAnsiTheme="majorHAnsi" w:cstheme="majorHAnsi"/>
          <w:lang w:val="en-GB"/>
        </w:rPr>
        <w:t>,</w:t>
      </w:r>
      <w:r w:rsidRPr="00B93BC6">
        <w:rPr>
          <w:rFonts w:asciiTheme="majorHAnsi" w:hAnsiTheme="majorHAnsi" w:cstheme="majorHAnsi"/>
          <w:lang w:val="en-GB"/>
        </w:rPr>
        <w:t xml:space="preserve"> </w:t>
      </w:r>
      <w:r>
        <w:rPr>
          <w:rFonts w:asciiTheme="majorHAnsi" w:hAnsiTheme="majorHAnsi" w:cstheme="majorHAnsi"/>
          <w:i/>
          <w:lang w:val="en-GB"/>
        </w:rPr>
        <w:t>p</w:t>
      </w:r>
      <w:r w:rsidRPr="00B93BC6">
        <w:rPr>
          <w:rFonts w:asciiTheme="majorHAnsi" w:hAnsiTheme="majorHAnsi" w:cstheme="majorHAnsi"/>
          <w:lang w:val="en-GB"/>
        </w:rPr>
        <w:t xml:space="preserve"> = 0.013, and BNHL 35.4%</w:t>
      </w:r>
      <w:r>
        <w:rPr>
          <w:rFonts w:asciiTheme="majorHAnsi" w:hAnsiTheme="majorHAnsi" w:cstheme="majorHAnsi"/>
          <w:lang w:val="en-GB"/>
        </w:rPr>
        <w:t>,</w:t>
      </w:r>
      <w:r w:rsidRPr="00B93BC6">
        <w:rPr>
          <w:rFonts w:asciiTheme="majorHAnsi" w:hAnsiTheme="majorHAnsi" w:cstheme="majorHAnsi"/>
          <w:lang w:val="en-GB"/>
        </w:rPr>
        <w:t xml:space="preserve"> IQR = 7.6%</w:t>
      </w:r>
      <w:r>
        <w:rPr>
          <w:rFonts w:asciiTheme="majorHAnsi" w:hAnsiTheme="majorHAnsi" w:cstheme="majorHAnsi"/>
          <w:lang w:val="en-GB"/>
        </w:rPr>
        <w:t>,</w:t>
      </w:r>
      <w:r w:rsidRPr="00B93BC6">
        <w:rPr>
          <w:rFonts w:asciiTheme="majorHAnsi" w:hAnsiTheme="majorHAnsi" w:cstheme="majorHAnsi"/>
          <w:lang w:val="en-GB"/>
        </w:rPr>
        <w:t xml:space="preserve"> n = 9</w:t>
      </w:r>
      <w:r>
        <w:rPr>
          <w:rFonts w:asciiTheme="majorHAnsi" w:hAnsiTheme="majorHAnsi" w:cstheme="majorHAnsi"/>
          <w:lang w:val="en-GB"/>
        </w:rPr>
        <w:t>,</w:t>
      </w:r>
      <w:r w:rsidRPr="00B93BC6">
        <w:rPr>
          <w:rFonts w:asciiTheme="majorHAnsi" w:hAnsiTheme="majorHAnsi" w:cstheme="majorHAnsi"/>
          <w:lang w:val="en-GB"/>
        </w:rPr>
        <w:t xml:space="preserve"> </w:t>
      </w:r>
      <w:r>
        <w:rPr>
          <w:rFonts w:asciiTheme="majorHAnsi" w:hAnsiTheme="majorHAnsi" w:cstheme="majorHAnsi"/>
          <w:i/>
          <w:lang w:val="en-GB"/>
        </w:rPr>
        <w:t>p</w:t>
      </w:r>
      <w:r w:rsidRPr="00B93BC6">
        <w:rPr>
          <w:rFonts w:asciiTheme="majorHAnsi" w:hAnsiTheme="majorHAnsi" w:cstheme="majorHAnsi"/>
          <w:lang w:val="en-GB"/>
        </w:rPr>
        <w:t xml:space="preserve"> = 0.0056). </w:t>
      </w:r>
      <w:r w:rsidRPr="00B93BC6">
        <w:t xml:space="preserve">This figure has been modified from Byford </w:t>
      </w:r>
      <w:r w:rsidRPr="006D51B2">
        <w:rPr>
          <w:i/>
        </w:rPr>
        <w:t>et al.</w:t>
      </w:r>
      <w:r w:rsidRPr="00B93BC6">
        <w:rPr>
          <w:rFonts w:cstheme="majorHAnsi"/>
          <w:color w:val="auto"/>
          <w:lang w:val="en-GB"/>
        </w:rPr>
        <w:fldChar w:fldCharType="begin"/>
      </w:r>
      <w:r w:rsidRPr="00B93BC6">
        <w:rPr>
          <w:rFonts w:cstheme="majorHAnsi"/>
          <w:color w:val="auto"/>
          <w:lang w:val="en-GB"/>
        </w:rPr>
        <w:instrText xml:space="preserve"> ADDIN ZOTERO_ITEM CSL_CITATION {"citationID":"RtjIzXzB","properties":{"formattedCitation":"\\super 21\\nosupersub{}","plainCitation":"21","noteIndex":0},"citationItems":[{"id":9,"uris":["http://zotero.org/users/4841313/items/EAKMTTD9"],"uri":["http://zotero.org/users/4841313/items/EAKMTTD9"],"itemData":{"id":9,"type":"article-journal","title":"Circulating Tfh1 (cTfh1) cell numbers and PD1 expression are elevated in low-grade B-cell non-Hodgkin’s lymphoma and cTfh gene expression is perturbed in marginal zone lymphoma","container-title":"PLOS ONE","page":"e0190468","volume":"13","issue":"1","source":"CrossRef","DOI":"10.1371/journal.pone.0190468","ISSN":"1932-6203","language":"en","author":[{"family":"Byford","given":"Elliot T."},{"family":"Carr","given":"Matthew"},{"family":"Ladikou","given":"Eleni"},{"family":"Ahearne","given":"Matthew J."},{"family":"Wagner","given":"Simon D."}],"editor":[{"family":"Richard","given":"Yolande"}],"issued":{"date-parts":[["2018",1,2]]}}}],"schema":"https://github.com/citation-style-language/schema/raw/master/csl-citation.json"} </w:instrText>
      </w:r>
      <w:r w:rsidRPr="00B93BC6">
        <w:rPr>
          <w:rFonts w:cstheme="majorHAnsi"/>
          <w:color w:val="auto"/>
          <w:lang w:val="en-GB"/>
        </w:rPr>
        <w:fldChar w:fldCharType="separate"/>
      </w:r>
      <w:r w:rsidRPr="00B93BC6">
        <w:rPr>
          <w:rFonts w:cstheme="majorHAnsi"/>
          <w:color w:val="auto"/>
          <w:vertAlign w:val="superscript"/>
        </w:rPr>
        <w:t>21</w:t>
      </w:r>
      <w:r w:rsidRPr="00B93BC6">
        <w:rPr>
          <w:rFonts w:cstheme="majorHAnsi"/>
          <w:color w:val="auto"/>
          <w:lang w:val="en-GB"/>
        </w:rPr>
        <w:fldChar w:fldCharType="end"/>
      </w:r>
      <w:r w:rsidRPr="00B93BC6">
        <w:rPr>
          <w:rFonts w:asciiTheme="majorHAnsi" w:hAnsiTheme="majorHAnsi" w:cstheme="majorHAnsi"/>
          <w:lang w:val="en-GB"/>
        </w:rPr>
        <w:t>.</w:t>
      </w:r>
    </w:p>
    <w:p w14:paraId="09F50020" w14:textId="77777777" w:rsidR="00277E15" w:rsidRDefault="00277E15" w:rsidP="00277E15">
      <w:pPr>
        <w:rPr>
          <w:rFonts w:asciiTheme="majorHAnsi" w:hAnsiTheme="majorHAnsi" w:cstheme="majorHAnsi"/>
        </w:rPr>
      </w:pPr>
    </w:p>
    <w:p w14:paraId="17126F98" w14:textId="77777777" w:rsidR="00277E15" w:rsidRPr="00B93BC6" w:rsidRDefault="00277E15" w:rsidP="00277E15">
      <w:pPr>
        <w:rPr>
          <w:rFonts w:asciiTheme="majorHAnsi" w:hAnsiTheme="majorHAnsi" w:cstheme="majorHAnsi"/>
          <w:b/>
        </w:rPr>
      </w:pPr>
      <w:r w:rsidRPr="00B93BC6">
        <w:rPr>
          <w:rFonts w:asciiTheme="majorHAnsi" w:hAnsiTheme="majorHAnsi" w:cstheme="majorHAnsi"/>
          <w:b/>
        </w:rPr>
        <w:lastRenderedPageBreak/>
        <w:t>Table 1</w:t>
      </w:r>
      <w:r>
        <w:rPr>
          <w:rFonts w:asciiTheme="majorHAnsi" w:hAnsiTheme="majorHAnsi" w:cstheme="majorHAnsi"/>
          <w:b/>
        </w:rPr>
        <w:t xml:space="preserve">. </w:t>
      </w:r>
      <w:r w:rsidRPr="00B93BC6">
        <w:rPr>
          <w:rFonts w:asciiTheme="majorHAnsi" w:hAnsiTheme="majorHAnsi" w:cstheme="majorHAnsi"/>
          <w:b/>
        </w:rPr>
        <w:t>Flow cytometry antibody panel</w:t>
      </w:r>
      <w:r>
        <w:rPr>
          <w:rFonts w:asciiTheme="majorHAnsi" w:hAnsiTheme="majorHAnsi" w:cstheme="majorHAnsi"/>
        </w:rPr>
        <w:t>.</w:t>
      </w:r>
    </w:p>
    <w:p w14:paraId="394FD4E3" w14:textId="77777777" w:rsidR="00277E15" w:rsidRPr="00B93BC6" w:rsidRDefault="00277E15" w:rsidP="00277E15">
      <w:pPr>
        <w:rPr>
          <w:rFonts w:asciiTheme="majorHAnsi" w:hAnsiTheme="majorHAnsi" w:cstheme="majorHAnsi"/>
        </w:rPr>
      </w:pPr>
    </w:p>
    <w:p w14:paraId="46A6EAEC" w14:textId="77777777" w:rsidR="00277E15" w:rsidRPr="008C1032" w:rsidRDefault="00277E15" w:rsidP="00277E15">
      <w:pPr>
        <w:pStyle w:val="Heading1"/>
        <w:spacing w:before="0" w:after="0"/>
        <w:rPr>
          <w:rFonts w:asciiTheme="majorHAnsi" w:hAnsiTheme="majorHAnsi" w:cstheme="majorHAnsi"/>
          <w:sz w:val="24"/>
          <w:szCs w:val="24"/>
        </w:rPr>
      </w:pPr>
      <w:r w:rsidRPr="00B93BC6">
        <w:rPr>
          <w:rFonts w:asciiTheme="majorHAnsi" w:hAnsiTheme="majorHAnsi" w:cstheme="majorHAnsi"/>
          <w:sz w:val="24"/>
          <w:szCs w:val="24"/>
        </w:rPr>
        <w:t>DISCUSSION:</w:t>
      </w:r>
    </w:p>
    <w:p w14:paraId="0C8F2D24" w14:textId="77777777" w:rsidR="00277E15" w:rsidRPr="00B93BC6" w:rsidRDefault="00277E15" w:rsidP="00277E15">
      <w:pPr>
        <w:rPr>
          <w:rFonts w:asciiTheme="majorHAnsi" w:hAnsiTheme="majorHAnsi" w:cstheme="majorHAnsi"/>
          <w:color w:val="auto"/>
        </w:rPr>
      </w:pPr>
      <w:r w:rsidRPr="00B93BC6">
        <w:rPr>
          <w:rFonts w:asciiTheme="majorHAnsi" w:hAnsiTheme="majorHAnsi" w:cstheme="majorHAnsi"/>
          <w:color w:val="auto"/>
        </w:rPr>
        <w:t xml:space="preserve">This protocol represents a simple and efficient way to analyze peripheral blood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cells, enabling the detection of all relevant subsets identified in the literature thus far. Blood samples can be easily and efficiently obtained as part of standard out-patient clinics and serial samples can be collected in parallel with clinical data. In turn</w:t>
      </w:r>
      <w:r>
        <w:rPr>
          <w:rFonts w:asciiTheme="majorHAnsi" w:hAnsiTheme="majorHAnsi" w:cstheme="majorHAnsi"/>
          <w:color w:val="auto"/>
        </w:rPr>
        <w:t>,</w:t>
      </w:r>
      <w:r w:rsidRPr="00B93BC6">
        <w:rPr>
          <w:rFonts w:asciiTheme="majorHAnsi" w:hAnsiTheme="majorHAnsi" w:cstheme="majorHAnsi"/>
          <w:color w:val="auto"/>
        </w:rPr>
        <w:t xml:space="preserve"> this enables prospective studies evaluating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subsets as biomarkers for disease progression or response to treatment. These studies would be particularly warranted in disease where </w:t>
      </w:r>
      <w:proofErr w:type="spellStart"/>
      <w:r w:rsidRPr="00B93BC6">
        <w:rPr>
          <w:rFonts w:asciiTheme="majorHAnsi" w:hAnsiTheme="majorHAnsi" w:cstheme="majorHAnsi"/>
          <w:color w:val="auto"/>
        </w:rPr>
        <w:t>Tfh</w:t>
      </w:r>
      <w:proofErr w:type="spellEnd"/>
      <w:r w:rsidRPr="00B93BC6">
        <w:rPr>
          <w:rFonts w:asciiTheme="majorHAnsi" w:hAnsiTheme="majorHAnsi" w:cstheme="majorHAnsi"/>
          <w:color w:val="auto"/>
        </w:rPr>
        <w:t xml:space="preserve"> dysregulation is implicated in pathogenesis such as autoimmunity and certain types of solid and </w:t>
      </w:r>
      <w:proofErr w:type="spellStart"/>
      <w:r w:rsidRPr="00B93BC6">
        <w:rPr>
          <w:rFonts w:asciiTheme="majorHAnsi" w:hAnsiTheme="majorHAnsi" w:cstheme="majorHAnsi"/>
          <w:color w:val="auto"/>
        </w:rPr>
        <w:t>haematological</w:t>
      </w:r>
      <w:proofErr w:type="spellEnd"/>
      <w:r w:rsidRPr="00B93BC6">
        <w:rPr>
          <w:rFonts w:asciiTheme="majorHAnsi" w:hAnsiTheme="majorHAnsi" w:cstheme="majorHAnsi"/>
          <w:color w:val="auto"/>
        </w:rPr>
        <w:t xml:space="preserve"> cancer. In addition, </w:t>
      </w:r>
      <w:r>
        <w:rPr>
          <w:rFonts w:asciiTheme="majorHAnsi" w:hAnsiTheme="majorHAnsi" w:cstheme="majorHAnsi"/>
          <w:color w:val="auto"/>
        </w:rPr>
        <w:t xml:space="preserve">the </w:t>
      </w:r>
      <w:r w:rsidRPr="00B93BC6">
        <w:rPr>
          <w:rFonts w:asciiTheme="majorHAnsi" w:hAnsiTheme="majorHAnsi" w:cstheme="majorHAnsi"/>
          <w:color w:val="auto"/>
        </w:rPr>
        <w:t xml:space="preserve">changes in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function in disease could be investigated by sorting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cells using flow cytometry as only cell surface markers are used in this protocol. Sorting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cells in </w:t>
      </w:r>
      <w:r>
        <w:rPr>
          <w:rFonts w:asciiTheme="majorHAnsi" w:hAnsiTheme="majorHAnsi" w:cstheme="majorHAnsi"/>
          <w:color w:val="auto"/>
        </w:rPr>
        <w:t>MZL</w:t>
      </w:r>
      <w:r w:rsidRPr="00B93BC6">
        <w:rPr>
          <w:rFonts w:asciiTheme="majorHAnsi" w:hAnsiTheme="majorHAnsi" w:cstheme="majorHAnsi"/>
          <w:color w:val="auto"/>
        </w:rPr>
        <w:t xml:space="preserve"> patients enabled us to find differences in gene expression profiles when compared to </w:t>
      </w:r>
      <w:r>
        <w:rPr>
          <w:rFonts w:asciiTheme="majorHAnsi" w:hAnsiTheme="majorHAnsi" w:cstheme="majorHAnsi"/>
          <w:color w:val="auto"/>
        </w:rPr>
        <w:t>normal subjects</w:t>
      </w:r>
      <w:r w:rsidRPr="00B93BC6">
        <w:rPr>
          <w:rFonts w:asciiTheme="majorHAnsi" w:hAnsiTheme="majorHAnsi" w:cstheme="majorHAnsi"/>
          <w:color w:val="auto"/>
          <w:vertAlign w:val="superscript"/>
        </w:rPr>
        <w:t>21</w:t>
      </w:r>
      <w:r w:rsidRPr="00B93BC6">
        <w:rPr>
          <w:rFonts w:asciiTheme="majorHAnsi" w:hAnsiTheme="majorHAnsi" w:cstheme="majorHAnsi"/>
          <w:color w:val="auto"/>
        </w:rPr>
        <w:t>.</w:t>
      </w:r>
    </w:p>
    <w:p w14:paraId="6BC3638A" w14:textId="77777777" w:rsidR="00277E15" w:rsidRDefault="00277E15" w:rsidP="00277E15">
      <w:pPr>
        <w:rPr>
          <w:rFonts w:asciiTheme="majorHAnsi" w:hAnsiTheme="majorHAnsi" w:cstheme="majorHAnsi"/>
          <w:color w:val="auto"/>
        </w:rPr>
      </w:pPr>
    </w:p>
    <w:p w14:paraId="41CE9E71" w14:textId="77777777" w:rsidR="00277E15" w:rsidRDefault="00277E15" w:rsidP="00277E15">
      <w:pPr>
        <w:rPr>
          <w:rFonts w:asciiTheme="majorHAnsi" w:hAnsiTheme="majorHAnsi" w:cstheme="majorHAnsi"/>
          <w:color w:val="auto"/>
          <w:lang w:val="en-GB"/>
        </w:rPr>
      </w:pPr>
      <w:r>
        <w:rPr>
          <w:rFonts w:asciiTheme="majorHAnsi" w:hAnsiTheme="majorHAnsi" w:cstheme="majorHAnsi"/>
          <w:color w:val="auto"/>
        </w:rPr>
        <w:t>We found that efficient CD4</w:t>
      </w:r>
      <w:r w:rsidRPr="006D51B2">
        <w:rPr>
          <w:rFonts w:asciiTheme="majorHAnsi" w:hAnsiTheme="majorHAnsi" w:cstheme="majorHAnsi"/>
          <w:color w:val="auto"/>
          <w:vertAlign w:val="superscript"/>
        </w:rPr>
        <w:t>+</w:t>
      </w:r>
      <w:r>
        <w:rPr>
          <w:rFonts w:asciiTheme="majorHAnsi" w:hAnsiTheme="majorHAnsi" w:cstheme="majorHAnsi"/>
          <w:color w:val="auto"/>
        </w:rPr>
        <w:t xml:space="preserve"> T-cell isolation improved the data analysis. We describe the steps involved in detail because minor issues such as centrifuge braking and speed were critical to the isolation procedure. Another important step, as for all flow cytometry analysis, is to set the compensation and FMO controls.</w:t>
      </w:r>
    </w:p>
    <w:p w14:paraId="2EA131E3" w14:textId="77777777" w:rsidR="00277E15" w:rsidRPr="00B93BC6" w:rsidRDefault="00277E15" w:rsidP="00277E15">
      <w:pPr>
        <w:rPr>
          <w:rFonts w:asciiTheme="majorHAnsi" w:hAnsiTheme="majorHAnsi" w:cstheme="majorHAnsi"/>
          <w:color w:val="auto"/>
        </w:rPr>
      </w:pPr>
    </w:p>
    <w:p w14:paraId="7903AD53" w14:textId="77777777" w:rsidR="00277E15" w:rsidRPr="00B93BC6" w:rsidRDefault="00277E15" w:rsidP="00277E15">
      <w:pPr>
        <w:rPr>
          <w:rFonts w:asciiTheme="majorHAnsi" w:hAnsiTheme="majorHAnsi" w:cstheme="majorHAnsi"/>
          <w:color w:val="auto"/>
        </w:rPr>
      </w:pPr>
      <w:r w:rsidRPr="00B93BC6">
        <w:rPr>
          <w:rFonts w:asciiTheme="majorHAnsi" w:hAnsiTheme="majorHAnsi" w:cstheme="majorHAnsi"/>
          <w:color w:val="auto"/>
        </w:rPr>
        <w:t xml:space="preserve">PD-1 expression varies on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cells and those cells with the highest PD-1 might be the most </w:t>
      </w:r>
      <w:r>
        <w:rPr>
          <w:rFonts w:asciiTheme="majorHAnsi" w:hAnsiTheme="majorHAnsi" w:cstheme="majorHAnsi"/>
          <w:color w:val="auto"/>
        </w:rPr>
        <w:t xml:space="preserve">functional and therefore </w:t>
      </w:r>
      <w:r w:rsidRPr="00B93BC6">
        <w:rPr>
          <w:rFonts w:asciiTheme="majorHAnsi" w:hAnsiTheme="majorHAnsi" w:cstheme="majorHAnsi"/>
          <w:color w:val="auto"/>
        </w:rPr>
        <w:t>relevant, especially for the study of autoimmune disease</w:t>
      </w:r>
      <w:r w:rsidRPr="00B93BC6">
        <w:rPr>
          <w:rFonts w:asciiTheme="majorHAnsi" w:hAnsiTheme="majorHAnsi" w:cstheme="majorHAnsi"/>
          <w:color w:val="auto"/>
        </w:rPr>
        <w:fldChar w:fldCharType="begin"/>
      </w:r>
      <w:r w:rsidRPr="00B93BC6">
        <w:rPr>
          <w:rFonts w:asciiTheme="majorHAnsi" w:hAnsiTheme="majorHAnsi" w:cstheme="majorHAnsi"/>
          <w:color w:val="auto"/>
        </w:rPr>
        <w:instrText xml:space="preserve"> ADDIN ZOTERO_ITEM CSL_CITATION {"citationID":"MyWggc2U","properties":{"formattedCitation":"\\super 11, 12\\nosupersub{}","plainCitation":"11, 12","noteIndex":0},"citationItems":[{"id":114,"uris":["http://zotero.org/users/4841313/items/Z3FQZLY4"],"uri":["http://zotero.org/users/4841313/items/Z3FQZLY4"],"itemData":{"id":114,"type":"article-journal","title":"Circulating Precursor CCR7loPD-1hi CXCR5+ CD4+ T Cells Indicate Tfh Cell Activity and Promote Antibody Responses upon Antigen Reexposure","container-title":"Immunity","page":"770-781","volume":"39","issue":"4","source":"Crossref","DOI":"10.1016/j.immuni.2013.09.007","ISSN":"10747613","language":"en","author":[{"family":"He","given":"Jing"},{"family":"Tsai","given":"Louis M."},{"family":"Leong","given":"Yew Ann"},{"family":"Hu","given":"Xin"},{"family":"Ma","given":"Cindy S."},{"family":"Chevalier","given":"Nina"},{"family":"Sun","given":"Xiaolin"},{"family":"Vandenberg","given":"Kirsten"},{"family":"Rockman","given":"Steve"},{"family":"Ding","given":"Yan"},{"family":"Zhu","given":"Lei"},{"family":"Wei","given":"Wei"},{"family":"Wang","given":"Changqi"},{"family":"Karnowski","given":"Alexander"},{"family":"Belz","given":"Gabrielle T."},{"family":"Ghali","given":"Joanna R."},{"family":"Cook","given":"Matthew C."},{"family":"Riminton","given":"D. Sean"},{"family":"Veillette","given":"André"},{"family":"Schwartzberg","given":"Pamela L."},{"family":"Mackay","given":"Fabienne"},{"family":"Brink","given":"Robert"},{"family":"Tangye","given":"Stuart G."},{"family":"Vinuesa","given":"Carola G."},{"family":"Mackay","given":"Charles R."},{"family":"Li","given":"Zhanguo"},{"family":"Yu","given":"Di"}],"issued":{"date-parts":[["2013",10]]}}},{"id":24,"uris":["http://zotero.org/users/4841313/items/F9JJQ66J"],"uri":["http://zotero.org/users/4841313/items/F9JJQ66J"],"itemData":{"id":24,"type":"article-journal","title":"Phenotype and functions of memory Tfh cells in human blood","container-title":"Trends in Immunology","page":"436-442","volume":"35","issue":"9","source":"CrossRef","DOI":"10.1016/j.it.2014.06.002","ISSN":"14714906","language":"en","author":[{"family":"Schmitt","given":"Nathalie"},{"family":"Bentebibel","given":"Salah-Eddine"},{"family":"Ueno","given":"Hideki"}],"issued":{"date-parts":[["2014",9]]}}}],"schema":"https://github.com/citation-style-language/schema/raw/master/csl-citation.json"} </w:instrText>
      </w:r>
      <w:r w:rsidRPr="00B93BC6">
        <w:rPr>
          <w:rFonts w:asciiTheme="majorHAnsi" w:hAnsiTheme="majorHAnsi" w:cstheme="majorHAnsi"/>
          <w:color w:val="auto"/>
        </w:rPr>
        <w:fldChar w:fldCharType="separate"/>
      </w:r>
      <w:r w:rsidRPr="00B93BC6">
        <w:rPr>
          <w:rFonts w:asciiTheme="majorHAnsi" w:hAnsiTheme="majorHAnsi" w:cstheme="majorHAnsi"/>
          <w:color w:val="auto"/>
          <w:vertAlign w:val="superscript"/>
        </w:rPr>
        <w:t>11,12</w:t>
      </w:r>
      <w:r w:rsidRPr="00B93BC6">
        <w:rPr>
          <w:rFonts w:asciiTheme="majorHAnsi" w:hAnsiTheme="majorHAnsi" w:cstheme="majorHAnsi"/>
          <w:color w:val="auto"/>
        </w:rPr>
        <w:fldChar w:fldCharType="end"/>
      </w:r>
      <w:r w:rsidRPr="00B93BC6">
        <w:rPr>
          <w:rFonts w:asciiTheme="majorHAnsi" w:hAnsiTheme="majorHAnsi" w:cstheme="majorHAnsi"/>
          <w:color w:val="auto"/>
        </w:rPr>
        <w:t xml:space="preserve">. One </w:t>
      </w:r>
      <w:r>
        <w:rPr>
          <w:rFonts w:asciiTheme="majorHAnsi" w:hAnsiTheme="majorHAnsi" w:cstheme="majorHAnsi"/>
          <w:color w:val="auto"/>
        </w:rPr>
        <w:t>important issue</w:t>
      </w:r>
      <w:r w:rsidRPr="00B93BC6">
        <w:rPr>
          <w:rFonts w:asciiTheme="majorHAnsi" w:hAnsiTheme="majorHAnsi" w:cstheme="majorHAnsi"/>
          <w:color w:val="auto"/>
        </w:rPr>
        <w:t xml:space="preserve"> was to decide the gate for </w:t>
      </w:r>
      <w:r>
        <w:rPr>
          <w:rFonts w:asciiTheme="majorHAnsi" w:hAnsiTheme="majorHAnsi" w:cstheme="majorHAnsi"/>
          <w:color w:val="auto"/>
        </w:rPr>
        <w:t xml:space="preserve">the </w:t>
      </w:r>
      <w:r w:rsidRPr="00B93BC6">
        <w:rPr>
          <w:rFonts w:asciiTheme="majorHAnsi" w:hAnsiTheme="majorHAnsi" w:cstheme="majorHAnsi"/>
          <w:color w:val="auto"/>
        </w:rPr>
        <w:t>identification of PD-1</w:t>
      </w:r>
      <w:r w:rsidRPr="00B93BC6">
        <w:rPr>
          <w:rFonts w:asciiTheme="majorHAnsi" w:hAnsiTheme="majorHAnsi" w:cstheme="majorHAnsi"/>
          <w:color w:val="auto"/>
          <w:vertAlign w:val="superscript"/>
        </w:rPr>
        <w:t>hi</w:t>
      </w:r>
      <w:r w:rsidRPr="00B93BC6">
        <w:rPr>
          <w:rFonts w:asciiTheme="majorHAnsi" w:hAnsiTheme="majorHAnsi" w:cstheme="majorHAnsi"/>
          <w:color w:val="auto"/>
        </w:rPr>
        <w:t xml:space="preserve"> cells, the activated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subset, as there is no standard limit defined in the literature. This important but minor subset probably reflects active </w:t>
      </w:r>
      <w:proofErr w:type="spellStart"/>
      <w:r w:rsidRPr="00B93BC6">
        <w:rPr>
          <w:rFonts w:asciiTheme="majorHAnsi" w:hAnsiTheme="majorHAnsi" w:cstheme="majorHAnsi"/>
          <w:color w:val="auto"/>
        </w:rPr>
        <w:t>Tfh</w:t>
      </w:r>
      <w:proofErr w:type="spellEnd"/>
      <w:r w:rsidRPr="00B93BC6">
        <w:rPr>
          <w:rFonts w:asciiTheme="majorHAnsi" w:hAnsiTheme="majorHAnsi" w:cstheme="majorHAnsi"/>
          <w:color w:val="auto"/>
        </w:rPr>
        <w:t xml:space="preserve"> differentiation in lymphoid tissue</w:t>
      </w:r>
      <w:r w:rsidRPr="00B93BC6">
        <w:rPr>
          <w:rFonts w:asciiTheme="majorHAnsi" w:hAnsiTheme="majorHAnsi" w:cstheme="majorHAnsi"/>
          <w:color w:val="auto"/>
          <w:vertAlign w:val="superscript"/>
        </w:rPr>
        <w:t>11</w:t>
      </w:r>
      <w:r>
        <w:rPr>
          <w:rFonts w:asciiTheme="majorHAnsi" w:hAnsiTheme="majorHAnsi" w:cstheme="majorHAnsi"/>
          <w:color w:val="auto"/>
        </w:rPr>
        <w:t>. To overco</w:t>
      </w:r>
      <w:r w:rsidRPr="00B93BC6">
        <w:rPr>
          <w:rFonts w:asciiTheme="majorHAnsi" w:hAnsiTheme="majorHAnsi" w:cstheme="majorHAnsi"/>
          <w:color w:val="auto"/>
        </w:rPr>
        <w:t>me this challenge</w:t>
      </w:r>
      <w:r>
        <w:rPr>
          <w:rFonts w:asciiTheme="majorHAnsi" w:hAnsiTheme="majorHAnsi" w:cstheme="majorHAnsi"/>
          <w:color w:val="auto"/>
        </w:rPr>
        <w:t>,</w:t>
      </w:r>
      <w:r w:rsidRPr="00B93BC6">
        <w:rPr>
          <w:rFonts w:asciiTheme="majorHAnsi" w:hAnsiTheme="majorHAnsi" w:cstheme="majorHAnsi"/>
          <w:color w:val="auto"/>
        </w:rPr>
        <w:t xml:space="preserve"> the threshold was set such that it was the same as that required to detect bona-fide </w:t>
      </w:r>
      <w:proofErr w:type="spellStart"/>
      <w:r w:rsidRPr="00B93BC6">
        <w:rPr>
          <w:rFonts w:asciiTheme="majorHAnsi" w:hAnsiTheme="majorHAnsi" w:cstheme="majorHAnsi"/>
          <w:color w:val="auto"/>
        </w:rPr>
        <w:t>Tfh</w:t>
      </w:r>
      <w:proofErr w:type="spellEnd"/>
      <w:r w:rsidRPr="00B93BC6">
        <w:rPr>
          <w:rFonts w:asciiTheme="majorHAnsi" w:hAnsiTheme="majorHAnsi" w:cstheme="majorHAnsi"/>
          <w:color w:val="auto"/>
        </w:rPr>
        <w:t xml:space="preserve"> cells from human tonsil with the same antibody panel. </w:t>
      </w:r>
      <w:r>
        <w:rPr>
          <w:rFonts w:asciiTheme="majorHAnsi" w:hAnsiTheme="majorHAnsi" w:cstheme="majorHAnsi"/>
          <w:color w:val="auto"/>
        </w:rPr>
        <w:t xml:space="preserve">We recognize that obtaining tonsils might be problematic for some users. </w:t>
      </w:r>
      <w:r w:rsidRPr="00B93BC6">
        <w:rPr>
          <w:rFonts w:asciiTheme="majorHAnsi" w:hAnsiTheme="majorHAnsi" w:cstheme="majorHAnsi"/>
          <w:color w:val="auto"/>
        </w:rPr>
        <w:t>A</w:t>
      </w:r>
      <w:r>
        <w:rPr>
          <w:rFonts w:asciiTheme="majorHAnsi" w:hAnsiTheme="majorHAnsi" w:cstheme="majorHAnsi"/>
          <w:color w:val="auto"/>
        </w:rPr>
        <w:t>n a</w:t>
      </w:r>
      <w:r w:rsidRPr="00B93BC6">
        <w:rPr>
          <w:rFonts w:asciiTheme="majorHAnsi" w:hAnsiTheme="majorHAnsi" w:cstheme="majorHAnsi"/>
          <w:color w:val="auto"/>
        </w:rPr>
        <w:t xml:space="preserve">lternative, </w:t>
      </w:r>
      <w:r>
        <w:rPr>
          <w:rFonts w:asciiTheme="majorHAnsi" w:hAnsiTheme="majorHAnsi" w:cstheme="majorHAnsi"/>
          <w:color w:val="auto"/>
        </w:rPr>
        <w:t>would be to expand the</w:t>
      </w:r>
      <w:r w:rsidRPr="00B93BC6">
        <w:rPr>
          <w:rFonts w:asciiTheme="majorHAnsi" w:hAnsiTheme="majorHAnsi" w:cstheme="majorHAnsi"/>
          <w:color w:val="auto"/>
        </w:rPr>
        <w:t xml:space="preserve"> antibody panel used in this protocol by the addition of anti-ICOS, as only PD-1</w:t>
      </w:r>
      <w:r w:rsidRPr="00B93BC6">
        <w:rPr>
          <w:rFonts w:asciiTheme="majorHAnsi" w:hAnsiTheme="majorHAnsi" w:cstheme="majorHAnsi"/>
          <w:color w:val="auto"/>
          <w:vertAlign w:val="superscript"/>
        </w:rPr>
        <w:t>hi</w:t>
      </w:r>
      <w:r w:rsidRPr="00B93BC6">
        <w:rPr>
          <w:rFonts w:asciiTheme="majorHAnsi" w:hAnsiTheme="majorHAnsi" w:cstheme="majorHAnsi"/>
          <w:color w:val="auto"/>
        </w:rPr>
        <w:t xml:space="preserve"> cells are ICOS</w:t>
      </w:r>
      <w:r w:rsidRPr="00B93BC6">
        <w:rPr>
          <w:rFonts w:asciiTheme="majorHAnsi" w:hAnsiTheme="majorHAnsi" w:cstheme="majorHAnsi"/>
          <w:color w:val="auto"/>
          <w:vertAlign w:val="superscript"/>
        </w:rPr>
        <w:t>+</w:t>
      </w:r>
      <w:r>
        <w:rPr>
          <w:rFonts w:asciiTheme="majorHAnsi" w:hAnsiTheme="majorHAnsi" w:cstheme="majorHAnsi"/>
          <w:color w:val="auto"/>
          <w:vertAlign w:val="superscript"/>
        </w:rPr>
        <w:t xml:space="preserve"> </w:t>
      </w:r>
      <w:r w:rsidRPr="00B93BC6">
        <w:rPr>
          <w:rFonts w:asciiTheme="majorHAnsi" w:hAnsiTheme="majorHAnsi" w:cstheme="majorHAnsi"/>
          <w:color w:val="auto"/>
          <w:vertAlign w:val="superscript"/>
        </w:rPr>
        <w:fldChar w:fldCharType="begin"/>
      </w:r>
      <w:r w:rsidRPr="00B93BC6">
        <w:rPr>
          <w:rFonts w:asciiTheme="majorHAnsi" w:hAnsiTheme="majorHAnsi" w:cstheme="majorHAnsi"/>
          <w:color w:val="auto"/>
          <w:vertAlign w:val="superscript"/>
        </w:rPr>
        <w:instrText xml:space="preserve"> ADDIN ZOTERO_ITEM CSL_CITATION {"citationID":"jXBWqZQl","properties":{"formattedCitation":"\\super 12\\nosupersub{}","plainCitation":"12","noteIndex":0},"citationItems":[{"id":24,"uris":["http://zotero.org/users/4841313/items/F9JJQ66J"],"uri":["http://zotero.org/users/4841313/items/F9JJQ66J"],"itemData":{"id":24,"type":"article-journal","title":"Phenotype and functions of memory Tfh cells in human blood","container-title":"Trends in Immunology","page":"436-442","volume":"35","issue":"9","source":"CrossRef","DOI":"10.1016/j.it.2014.06.002","ISSN":"14714906","language":"en","author":[{"family":"Schmitt","given":"Nathalie"},{"family":"Bentebibel","given":"Salah-Eddine"},{"family":"Ueno","given":"Hideki"}],"issued":{"date-parts":[["2014",9]]}}}],"schema":"https://github.com/citation-style-language/schema/raw/master/csl-citation.json"} </w:instrText>
      </w:r>
      <w:r w:rsidRPr="00B93BC6">
        <w:rPr>
          <w:rFonts w:asciiTheme="majorHAnsi" w:hAnsiTheme="majorHAnsi" w:cstheme="majorHAnsi"/>
          <w:color w:val="auto"/>
          <w:vertAlign w:val="superscript"/>
        </w:rPr>
        <w:fldChar w:fldCharType="separate"/>
      </w:r>
      <w:r w:rsidRPr="00B93BC6">
        <w:rPr>
          <w:rFonts w:asciiTheme="majorHAnsi" w:hAnsiTheme="majorHAnsi" w:cstheme="majorHAnsi"/>
          <w:color w:val="auto"/>
          <w:vertAlign w:val="superscript"/>
        </w:rPr>
        <w:t>12</w:t>
      </w:r>
      <w:r w:rsidRPr="00B93BC6">
        <w:rPr>
          <w:rFonts w:asciiTheme="majorHAnsi" w:hAnsiTheme="majorHAnsi" w:cstheme="majorHAnsi"/>
          <w:color w:val="auto"/>
          <w:vertAlign w:val="superscript"/>
        </w:rPr>
        <w:fldChar w:fldCharType="end"/>
      </w:r>
      <w:r w:rsidRPr="00B93BC6">
        <w:rPr>
          <w:rFonts w:asciiTheme="majorHAnsi" w:hAnsiTheme="majorHAnsi" w:cstheme="majorHAnsi"/>
          <w:color w:val="auto"/>
        </w:rPr>
        <w:t>.</w:t>
      </w:r>
    </w:p>
    <w:p w14:paraId="1D1D3D85" w14:textId="77777777" w:rsidR="00277E15" w:rsidRPr="00B93BC6" w:rsidRDefault="00277E15" w:rsidP="00277E15">
      <w:pPr>
        <w:rPr>
          <w:rFonts w:asciiTheme="majorHAnsi" w:hAnsiTheme="majorHAnsi" w:cstheme="majorHAnsi"/>
          <w:color w:val="auto"/>
        </w:rPr>
      </w:pPr>
    </w:p>
    <w:p w14:paraId="05CDCE3E" w14:textId="77777777" w:rsidR="00277E15" w:rsidRPr="00B93BC6" w:rsidRDefault="00277E15" w:rsidP="00277E15">
      <w:pPr>
        <w:rPr>
          <w:rFonts w:asciiTheme="majorHAnsi" w:hAnsiTheme="majorHAnsi" w:cstheme="majorHAnsi"/>
          <w:color w:val="auto"/>
        </w:rPr>
      </w:pPr>
      <w:r>
        <w:rPr>
          <w:rFonts w:asciiTheme="majorHAnsi" w:hAnsiTheme="majorHAnsi" w:cstheme="majorHAnsi"/>
          <w:color w:val="auto"/>
        </w:rPr>
        <w:t>Here, we present an antibody panel to detect surface markers characteristic of circulating CD4</w:t>
      </w:r>
      <w:r w:rsidRPr="006D51B2">
        <w:rPr>
          <w:rFonts w:asciiTheme="majorHAnsi" w:hAnsiTheme="majorHAnsi" w:cstheme="majorHAnsi"/>
          <w:color w:val="auto"/>
          <w:vertAlign w:val="superscript"/>
        </w:rPr>
        <w:t>+</w:t>
      </w:r>
      <w:r>
        <w:rPr>
          <w:rFonts w:asciiTheme="majorHAnsi" w:hAnsiTheme="majorHAnsi" w:cstheme="majorHAnsi"/>
          <w:color w:val="auto"/>
        </w:rPr>
        <w:t xml:space="preserve"> T-cells. C</w:t>
      </w:r>
      <w:r w:rsidRPr="00B93BC6">
        <w:rPr>
          <w:rFonts w:asciiTheme="majorHAnsi" w:hAnsiTheme="majorHAnsi" w:cstheme="majorHAnsi"/>
          <w:color w:val="auto"/>
        </w:rPr>
        <w:t>irculating T-follicular regulatory cell</w:t>
      </w:r>
      <w:r>
        <w:rPr>
          <w:rFonts w:asciiTheme="majorHAnsi" w:hAnsiTheme="majorHAnsi" w:cstheme="majorHAnsi"/>
          <w:color w:val="auto"/>
        </w:rPr>
        <w:t>s</w:t>
      </w:r>
      <w:r w:rsidRPr="00B93BC6">
        <w:rPr>
          <w:rFonts w:asciiTheme="majorHAnsi" w:hAnsiTheme="majorHAnsi" w:cstheme="majorHAnsi"/>
          <w:color w:val="auto"/>
        </w:rPr>
        <w:t xml:space="preserve"> (</w:t>
      </w:r>
      <w:proofErr w:type="spellStart"/>
      <w:r w:rsidRPr="00B93BC6">
        <w:rPr>
          <w:rFonts w:asciiTheme="majorHAnsi" w:hAnsiTheme="majorHAnsi" w:cstheme="majorHAnsi"/>
          <w:color w:val="auto"/>
        </w:rPr>
        <w:t>cTfr</w:t>
      </w:r>
      <w:proofErr w:type="spellEnd"/>
      <w:r w:rsidRPr="00B93BC6">
        <w:rPr>
          <w:rFonts w:asciiTheme="majorHAnsi" w:hAnsiTheme="majorHAnsi" w:cstheme="majorHAnsi"/>
          <w:color w:val="auto"/>
        </w:rPr>
        <w:t xml:space="preserve">) </w:t>
      </w:r>
      <w:r>
        <w:rPr>
          <w:rFonts w:asciiTheme="majorHAnsi" w:hAnsiTheme="majorHAnsi" w:cstheme="majorHAnsi"/>
          <w:color w:val="auto"/>
        </w:rPr>
        <w:t>are the blood memory compartment of T-follicular regulatory cells (</w:t>
      </w:r>
      <w:proofErr w:type="spellStart"/>
      <w:r>
        <w:rPr>
          <w:rFonts w:asciiTheme="majorHAnsi" w:hAnsiTheme="majorHAnsi" w:cstheme="majorHAnsi"/>
          <w:color w:val="auto"/>
        </w:rPr>
        <w:t>Tfr</w:t>
      </w:r>
      <w:proofErr w:type="spellEnd"/>
      <w:r>
        <w:rPr>
          <w:rFonts w:asciiTheme="majorHAnsi" w:hAnsiTheme="majorHAnsi" w:cstheme="majorHAnsi"/>
          <w:color w:val="auto"/>
        </w:rPr>
        <w:t xml:space="preserve">) that are </w:t>
      </w:r>
      <w:r w:rsidRPr="00B93BC6">
        <w:rPr>
          <w:rFonts w:asciiTheme="majorHAnsi" w:hAnsiTheme="majorHAnsi" w:cstheme="majorHAnsi"/>
          <w:color w:val="auto"/>
        </w:rPr>
        <w:t>reside</w:t>
      </w:r>
      <w:r>
        <w:rPr>
          <w:rFonts w:asciiTheme="majorHAnsi" w:hAnsiTheme="majorHAnsi" w:cstheme="majorHAnsi"/>
          <w:color w:val="auto"/>
        </w:rPr>
        <w:t>nt</w:t>
      </w:r>
      <w:r w:rsidRPr="00B93BC6">
        <w:rPr>
          <w:rFonts w:asciiTheme="majorHAnsi" w:hAnsiTheme="majorHAnsi" w:cstheme="majorHAnsi"/>
          <w:color w:val="auto"/>
        </w:rPr>
        <w:t xml:space="preserve"> in lymphoid tissue and </w:t>
      </w:r>
      <w:r>
        <w:rPr>
          <w:rFonts w:asciiTheme="majorHAnsi" w:hAnsiTheme="majorHAnsi" w:cstheme="majorHAnsi"/>
          <w:color w:val="auto"/>
        </w:rPr>
        <w:t>have important roles in regulating</w:t>
      </w:r>
      <w:r w:rsidRPr="00B93BC6">
        <w:rPr>
          <w:rFonts w:asciiTheme="majorHAnsi" w:hAnsiTheme="majorHAnsi" w:cstheme="majorHAnsi"/>
          <w:color w:val="auto"/>
        </w:rPr>
        <w:t xml:space="preserve"> the germinal cent</w:t>
      </w:r>
      <w:r>
        <w:rPr>
          <w:rFonts w:asciiTheme="majorHAnsi" w:hAnsiTheme="majorHAnsi" w:cstheme="majorHAnsi"/>
          <w:color w:val="auto"/>
        </w:rPr>
        <w:t>er</w:t>
      </w:r>
      <w:r w:rsidRPr="00B93BC6">
        <w:rPr>
          <w:rFonts w:asciiTheme="majorHAnsi" w:hAnsiTheme="majorHAnsi" w:cstheme="majorHAnsi"/>
          <w:color w:val="auto"/>
        </w:rPr>
        <w:t xml:space="preserve"> reaction</w:t>
      </w:r>
      <w:r w:rsidRPr="00B93BC6">
        <w:rPr>
          <w:rFonts w:asciiTheme="majorHAnsi" w:hAnsiTheme="majorHAnsi" w:cstheme="majorHAnsi"/>
          <w:color w:val="auto"/>
        </w:rPr>
        <w:fldChar w:fldCharType="begin"/>
      </w:r>
      <w:r w:rsidRPr="00B93BC6">
        <w:rPr>
          <w:rFonts w:asciiTheme="majorHAnsi" w:hAnsiTheme="majorHAnsi" w:cstheme="majorHAnsi"/>
          <w:color w:val="auto"/>
        </w:rPr>
        <w:instrText xml:space="preserve"> ADDIN ZOTERO_ITEM CSL_CITATION {"citationID":"o5sIPUUS","properties":{"formattedCitation":"\\super 22, 23\\nosupersub{}","plainCitation":"22, 23","noteIndex":0},"citationItems":[{"id":137,"uris":["http://zotero.org/users/4841313/items/IUTCJ2QG"],"uri":["http://zotero.org/users/4841313/items/IUTCJ2QG"],"itemData":{"id":137,"type":"article-journal","title":"The receptor PD-1 controls follicular regulatory T cells in the lymph nodes and blood","container-title":"Nature Immunology","page":"152-161","volume":"14","issue":"2","source":"www.nature.com","abstract":"CD4+CXCR5+Foxp3+ follicular regulatory T cells (TFR cells) inhibit humoral immunity mediated by CD4+CXCR5+Foxp3− follicular helper T cells (TFH cells). Although the inhibitory receptor PD-1 is expressed by both cell types, its role in the differentiation of TFR cells is unknown. Here we found that mice deficient in PD-1 and its ligand PD-L1 had a greater abundance of TFR cells in the lymph nodes and that those TFR cells had enhanced suppressive ability. We also found substantial populations of TFR cells in mouse blood and demonstrated that TFR cells in the blood homed to lymph nodes and potently inhibited TFH cells in vivo. TFR cells in the blood required signaling via the costimulatory receptors CD28 and ICOS but were inhibited by PD-1 and PD-L1. Our findings demonstrate mechanisms by which the PD-1 pathway regulates antibody production and help reconcile inconsistencies surrounding the role of this pathway in humoral immunity.","DOI":"10.1038/ni.2496","ISSN":"1529-2916","language":"en","author":[{"family":"Sage","given":"Peter T."},{"family":"Francisco","given":"Loise M."},{"family":"Carman","given":"Christopher V."},{"family":"Sharpe","given":"Arlene H."}],"issued":{"date-parts":[["2013",2]]}}},{"id":136,"uris":["http://zotero.org/users/4841313/items/BXEZUFPA"],"uri":["http://zotero.org/users/4841313/items/BXEZUFPA"],"itemData":{"id":136,"type":"article-journal","title":"Circulating T follicular regulatory and helper cells have memory-like properties","container-title":"The Journal of Clinical Investigation","page":"5191-5204","volume":"124","issue":"12","source":"www.jci.org","DOI":"10.1172/JCI76861","ISSN":"0021-9738","note":"PMID: 0","journalAbbreviation":"J Clin Invest","language":"en","author":[{"family":"Sage","given":"Peter T."},{"family":"Alvarez","given":"David"},{"family":"Godec","given":"Jernej"},{"family":"Andrian","given":"Ulrich H.","dropping-particle":"von"},{"family":"Sharpe","given":"Arlene H."}],"issued":{"date-parts":[["2014",12,1]]}}}],"schema":"https://github.com/citation-style-language/schema/raw/master/csl-citation.json"} </w:instrText>
      </w:r>
      <w:r w:rsidRPr="00B93BC6">
        <w:rPr>
          <w:rFonts w:asciiTheme="majorHAnsi" w:hAnsiTheme="majorHAnsi" w:cstheme="majorHAnsi"/>
          <w:color w:val="auto"/>
        </w:rPr>
        <w:fldChar w:fldCharType="separate"/>
      </w:r>
      <w:r w:rsidRPr="00B93BC6">
        <w:rPr>
          <w:rFonts w:asciiTheme="majorHAnsi" w:hAnsiTheme="majorHAnsi" w:cstheme="majorHAnsi"/>
          <w:color w:val="auto"/>
          <w:vertAlign w:val="superscript"/>
        </w:rPr>
        <w:t>22,23</w:t>
      </w:r>
      <w:r w:rsidRPr="00B93BC6">
        <w:rPr>
          <w:rFonts w:asciiTheme="majorHAnsi" w:hAnsiTheme="majorHAnsi" w:cstheme="majorHAnsi"/>
          <w:color w:val="auto"/>
        </w:rPr>
        <w:fldChar w:fldCharType="end"/>
      </w:r>
      <w:r>
        <w:rPr>
          <w:rFonts w:asciiTheme="majorHAnsi" w:hAnsiTheme="majorHAnsi" w:cstheme="majorHAnsi"/>
          <w:color w:val="auto"/>
        </w:rPr>
        <w:t xml:space="preserve">. </w:t>
      </w:r>
      <w:proofErr w:type="spellStart"/>
      <w:proofErr w:type="gramStart"/>
      <w:r w:rsidRPr="00B93BC6">
        <w:rPr>
          <w:rFonts w:asciiTheme="majorHAnsi" w:hAnsiTheme="majorHAnsi" w:cstheme="majorHAnsi"/>
          <w:color w:val="auto"/>
        </w:rPr>
        <w:t>cTfr</w:t>
      </w:r>
      <w:proofErr w:type="spellEnd"/>
      <w:proofErr w:type="gramEnd"/>
      <w:r w:rsidRPr="00B93BC6">
        <w:rPr>
          <w:rFonts w:asciiTheme="majorHAnsi" w:hAnsiTheme="majorHAnsi" w:cstheme="majorHAnsi"/>
          <w:color w:val="auto"/>
        </w:rPr>
        <w:t xml:space="preserve"> are blood CD4</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CXCR5</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cells that co-express T-regulatory cell markers </w:t>
      </w:r>
      <w:r>
        <w:rPr>
          <w:rFonts w:asciiTheme="majorHAnsi" w:hAnsiTheme="majorHAnsi" w:cstheme="majorHAnsi"/>
          <w:color w:val="auto"/>
        </w:rPr>
        <w:t xml:space="preserve">including the transcription factor FoxP3. </w:t>
      </w:r>
      <w:r w:rsidRPr="00B93BC6">
        <w:rPr>
          <w:rFonts w:asciiTheme="majorHAnsi" w:hAnsiTheme="majorHAnsi" w:cstheme="majorHAnsi"/>
          <w:color w:val="auto"/>
        </w:rPr>
        <w:t xml:space="preserve">Measuring </w:t>
      </w:r>
      <w:proofErr w:type="spellStart"/>
      <w:r w:rsidRPr="00B93BC6">
        <w:rPr>
          <w:rFonts w:asciiTheme="majorHAnsi" w:hAnsiTheme="majorHAnsi" w:cstheme="majorHAnsi"/>
          <w:color w:val="auto"/>
        </w:rPr>
        <w:t>cTfr</w:t>
      </w:r>
      <w:proofErr w:type="spellEnd"/>
      <w:r w:rsidRPr="00B93BC6">
        <w:rPr>
          <w:rFonts w:asciiTheme="majorHAnsi" w:hAnsiTheme="majorHAnsi" w:cstheme="majorHAnsi"/>
          <w:color w:val="auto"/>
        </w:rPr>
        <w:t xml:space="preserve"> alongside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may provide a more complete picture of activity in the germinal cent</w:t>
      </w:r>
      <w:r>
        <w:rPr>
          <w:rFonts w:asciiTheme="majorHAnsi" w:hAnsiTheme="majorHAnsi" w:cstheme="majorHAnsi"/>
          <w:color w:val="auto"/>
        </w:rPr>
        <w:t>er</w:t>
      </w:r>
      <w:r w:rsidRPr="00B93BC6">
        <w:rPr>
          <w:rFonts w:asciiTheme="majorHAnsi" w:hAnsiTheme="majorHAnsi" w:cstheme="majorHAnsi"/>
          <w:color w:val="auto"/>
        </w:rPr>
        <w:t>, and could present a biomarker in disease in its own right</w:t>
      </w:r>
      <w:r w:rsidRPr="00B93BC6">
        <w:rPr>
          <w:rFonts w:asciiTheme="majorHAnsi" w:hAnsiTheme="majorHAnsi" w:cstheme="majorHAnsi"/>
          <w:color w:val="auto"/>
        </w:rPr>
        <w:fldChar w:fldCharType="begin"/>
      </w:r>
      <w:r w:rsidRPr="00B93BC6">
        <w:rPr>
          <w:rFonts w:asciiTheme="majorHAnsi" w:hAnsiTheme="majorHAnsi" w:cstheme="majorHAnsi"/>
          <w:color w:val="auto"/>
        </w:rPr>
        <w:instrText xml:space="preserve"> ADDIN ZOTERO_ITEM CSL_CITATION {"citationID":"tVRH6LLs","properties":{"formattedCitation":"\\super 24\\nosupersub{}","plainCitation":"24","noteIndex":0},"citationItems":[{"id":142,"uris":["http://zotero.org/users/4841313/items/V29Y4HH3"],"uri":["http://zotero.org/users/4841313/items/V29Y4HH3"],"itemData":{"id":142,"type":"article-journal","title":"Defective TFH Cell Function and Increased TFR Cells Contribute to Defective Antibody Production in Aging","container-title":"Cell Reports","page":"163-171","volume":"12","issue":"2","source":"www.cell.com","DOI":"10.1016/j.celrep.2015.06.015","ISSN":"2211-1247","note":"PMID: 26146074","journalAbbreviation":"Cell Reports","language":"English","author":[{"family":"Sage","given":"Peter T."},{"family":"Tan","given":"Catherine L."},{"family":"Freeman","given":"Gordon J."},{"family":"Haigis","given":"Marcia"},{"family":"Sharpe","given":"Arlene H."}],"issued":{"date-parts":[["2015",7,14]]}}}],"schema":"https://github.com/citation-style-language/schema/raw/master/csl-citation.json"} </w:instrText>
      </w:r>
      <w:r w:rsidRPr="00B93BC6">
        <w:rPr>
          <w:rFonts w:asciiTheme="majorHAnsi" w:hAnsiTheme="majorHAnsi" w:cstheme="majorHAnsi"/>
          <w:color w:val="auto"/>
        </w:rPr>
        <w:fldChar w:fldCharType="separate"/>
      </w:r>
      <w:r w:rsidRPr="00B93BC6">
        <w:rPr>
          <w:rFonts w:asciiTheme="majorHAnsi" w:hAnsiTheme="majorHAnsi" w:cstheme="majorHAnsi"/>
          <w:color w:val="auto"/>
          <w:vertAlign w:val="superscript"/>
        </w:rPr>
        <w:t>24</w:t>
      </w:r>
      <w:r w:rsidRPr="00B93BC6">
        <w:rPr>
          <w:rFonts w:asciiTheme="majorHAnsi" w:hAnsiTheme="majorHAnsi" w:cstheme="majorHAnsi"/>
          <w:color w:val="auto"/>
        </w:rPr>
        <w:fldChar w:fldCharType="end"/>
      </w:r>
      <w:r w:rsidRPr="00B93BC6">
        <w:rPr>
          <w:rFonts w:asciiTheme="majorHAnsi" w:hAnsiTheme="majorHAnsi" w:cstheme="majorHAnsi"/>
          <w:color w:val="auto"/>
        </w:rPr>
        <w:t xml:space="preserve">. Although </w:t>
      </w:r>
      <w:proofErr w:type="spellStart"/>
      <w:r w:rsidRPr="00B93BC6">
        <w:rPr>
          <w:rFonts w:asciiTheme="majorHAnsi" w:hAnsiTheme="majorHAnsi" w:cstheme="majorHAnsi"/>
          <w:color w:val="auto"/>
        </w:rPr>
        <w:t>cT</w:t>
      </w:r>
      <w:r>
        <w:rPr>
          <w:rFonts w:asciiTheme="majorHAnsi" w:hAnsiTheme="majorHAnsi" w:cstheme="majorHAnsi"/>
          <w:color w:val="auto"/>
        </w:rPr>
        <w:t>fr</w:t>
      </w:r>
      <w:proofErr w:type="spellEnd"/>
      <w:r>
        <w:rPr>
          <w:rFonts w:asciiTheme="majorHAnsi" w:hAnsiTheme="majorHAnsi" w:cstheme="majorHAnsi"/>
          <w:color w:val="auto"/>
        </w:rPr>
        <w:t xml:space="preserve"> numbers are inherently low (m</w:t>
      </w:r>
      <w:r w:rsidRPr="00B93BC6">
        <w:rPr>
          <w:rFonts w:asciiTheme="majorHAnsi" w:hAnsiTheme="majorHAnsi" w:cstheme="majorHAnsi"/>
          <w:color w:val="auto"/>
        </w:rPr>
        <w:t>ean</w:t>
      </w:r>
      <w:r>
        <w:rPr>
          <w:rFonts w:asciiTheme="majorHAnsi" w:hAnsiTheme="majorHAnsi" w:cstheme="majorHAnsi"/>
          <w:color w:val="auto"/>
        </w:rPr>
        <w:t>:</w:t>
      </w:r>
      <w:r w:rsidRPr="00B93BC6">
        <w:rPr>
          <w:rFonts w:asciiTheme="majorHAnsi" w:hAnsiTheme="majorHAnsi" w:cstheme="majorHAnsi"/>
          <w:color w:val="auto"/>
        </w:rPr>
        <w:t xml:space="preserve"> 1.82%</w:t>
      </w:r>
      <w:r>
        <w:rPr>
          <w:rFonts w:asciiTheme="majorHAnsi" w:hAnsiTheme="majorHAnsi" w:cstheme="majorHAnsi"/>
          <w:color w:val="auto"/>
        </w:rPr>
        <w:t>,</w:t>
      </w:r>
      <w:r w:rsidRPr="00B93BC6">
        <w:rPr>
          <w:rFonts w:asciiTheme="majorHAnsi" w:hAnsiTheme="majorHAnsi" w:cstheme="majorHAnsi"/>
          <w:color w:val="auto"/>
        </w:rPr>
        <w:t xml:space="preserve"> SD</w:t>
      </w:r>
      <w:r>
        <w:rPr>
          <w:rFonts w:asciiTheme="majorHAnsi" w:hAnsiTheme="majorHAnsi" w:cstheme="majorHAnsi"/>
          <w:color w:val="auto"/>
        </w:rPr>
        <w:t>:</w:t>
      </w:r>
      <w:r w:rsidRPr="00B93BC6">
        <w:rPr>
          <w:rFonts w:asciiTheme="majorHAnsi" w:hAnsiTheme="majorHAnsi" w:cstheme="majorHAnsi"/>
          <w:color w:val="auto"/>
        </w:rPr>
        <w:t xml:space="preserve"> 1.40, n = 24 of total CD4</w:t>
      </w:r>
      <w:r w:rsidRPr="00B93BC6">
        <w:rPr>
          <w:rFonts w:asciiTheme="majorHAnsi" w:hAnsiTheme="majorHAnsi" w:cstheme="majorHAnsi"/>
          <w:color w:val="auto"/>
          <w:vertAlign w:val="superscript"/>
        </w:rPr>
        <w:t>+</w:t>
      </w:r>
      <w:r w:rsidRPr="00B93BC6">
        <w:rPr>
          <w:rFonts w:asciiTheme="majorHAnsi" w:hAnsiTheme="majorHAnsi" w:cstheme="majorHAnsi"/>
          <w:color w:val="auto"/>
        </w:rPr>
        <w:t xml:space="preserve"> cells in our own experiments), separating </w:t>
      </w:r>
      <w:proofErr w:type="spellStart"/>
      <w:r w:rsidRPr="00B93BC6">
        <w:rPr>
          <w:rFonts w:asciiTheme="majorHAnsi" w:hAnsiTheme="majorHAnsi" w:cstheme="majorHAnsi"/>
          <w:color w:val="auto"/>
        </w:rPr>
        <w:t>cTfr</w:t>
      </w:r>
      <w:proofErr w:type="spellEnd"/>
      <w:r w:rsidRPr="00B93BC6">
        <w:rPr>
          <w:rFonts w:asciiTheme="majorHAnsi" w:hAnsiTheme="majorHAnsi" w:cstheme="majorHAnsi"/>
          <w:color w:val="auto"/>
        </w:rPr>
        <w:t xml:space="preserve"> from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would also increase the specificity of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analysis. Adding a combination of specific T-regulatory cell-surface markers to our panel such as CD25 and CD127</w:t>
      </w:r>
      <w:r w:rsidRPr="00B93BC6">
        <w:rPr>
          <w:rFonts w:asciiTheme="majorHAnsi" w:hAnsiTheme="majorHAnsi" w:cstheme="majorHAnsi"/>
          <w:color w:val="auto"/>
        </w:rPr>
        <w:fldChar w:fldCharType="begin"/>
      </w:r>
      <w:r w:rsidRPr="00B93BC6">
        <w:rPr>
          <w:rFonts w:asciiTheme="majorHAnsi" w:hAnsiTheme="majorHAnsi" w:cstheme="majorHAnsi"/>
          <w:color w:val="auto"/>
        </w:rPr>
        <w:instrText xml:space="preserve"> ADDIN ZOTERO_ITEM CSL_CITATION {"citationID":"fMFoyb2E","properties":{"formattedCitation":"\\super 25\\nosupersub{}","plainCitation":"25","noteIndex":0},"citationItems":[{"id":146,"uris":["http://zotero.org/users/4841313/items/D8EYVPAN"],"uri":["http://zotero.org/users/4841313/items/D8EYVPAN"],"itemData":{"id":146,"type":"article-journal","title":"CD4+CD25+CD127low/− T Cells: A More Specific Treg Population in Human Peripheral Blood","container-title":"Inflammation","page":"1773-1780","volume":"35","issue":"6","source":"link.springer.com","abstract":"The quantitative identification and enrichment of viable regulatory T cells (Treg) requires reliable surface markers that are selectively expressed on Treg. Foxp3 is the accepted marker of nTreg, but it cannot be used to isolate cells for functional studies. In this study, we compared four staining profiles of Treg, including CD4+CD25high T cells, CD4+CD39+ T cells, CD4+CD73+ T cells, and CD4+CD25+CD127low/− T cells. We found that CD4+CD25+CD127low/− T cells expressed the highest level of Foxp3 and had the strongest correlation with CD4+CD25+Foxp3+ T cells, the accepted identifying characteristics for “real” nTreg cells. Moreover, functional data showed that CD4+CD25+CD127low/− T cells could effectively suppress the proliferation of CD4+CD25− T cells, suggesting that compared with the other three populations, CD4+CD25+CD127low/− T cells best fit the definition of naturally occurring regulatory T cells in human peripheral blood. Finally, we showed that CD4+CD25+CD127low/− can be used to quantitate Treg cells in individuals with systemic lupus erythematosus supporting the use of CD4+CD25+CD127low/− to identify human Treg cells.","DOI":"10.1007/s10753-012-9496-8","ISSN":"0360-3997, 1573-2576","shortTitle":"CD4&lt;Superscript&gt;+&lt;/Superscript&gt;CD25&lt;Superscript&gt;+&lt;/Superscript&gt;CD127&lt;Superscript&gt;low/−&lt;/Superscript&gt; T Cells","journalAbbreviation":"Inflammation","language":"en","author":[{"family":"Yu","given":"Ning"},{"family":"Li","given":"Xiaomei"},{"family":"Song","given":"Weiya"},{"family":"Li","given":"Dongmei"},{"family":"Yu","given":"Daliang"},{"family":"Zeng","given":"Xiaofeng"},{"family":"Li","given":"Mengtao"},{"family":"Leng","given":"Xiaomei"},{"family":"Li","given":"Xiangpei"}],"issued":{"date-parts":[["2012",12,1]]}}}],"schema":"https://github.com/citation-style-language/schema/raw/master/csl-citation.json"} </w:instrText>
      </w:r>
      <w:r w:rsidRPr="00B93BC6">
        <w:rPr>
          <w:rFonts w:asciiTheme="majorHAnsi" w:hAnsiTheme="majorHAnsi" w:cstheme="majorHAnsi"/>
          <w:color w:val="auto"/>
        </w:rPr>
        <w:fldChar w:fldCharType="separate"/>
      </w:r>
      <w:r w:rsidRPr="00B93BC6">
        <w:rPr>
          <w:rFonts w:asciiTheme="majorHAnsi" w:hAnsiTheme="majorHAnsi" w:cstheme="majorHAnsi"/>
          <w:color w:val="auto"/>
          <w:vertAlign w:val="superscript"/>
        </w:rPr>
        <w:t>25</w:t>
      </w:r>
      <w:r w:rsidRPr="00B93BC6">
        <w:rPr>
          <w:rFonts w:asciiTheme="majorHAnsi" w:hAnsiTheme="majorHAnsi" w:cstheme="majorHAnsi"/>
          <w:color w:val="auto"/>
        </w:rPr>
        <w:fldChar w:fldCharType="end"/>
      </w:r>
      <w:r w:rsidRPr="00B93BC6">
        <w:rPr>
          <w:rFonts w:asciiTheme="majorHAnsi" w:hAnsiTheme="majorHAnsi" w:cstheme="majorHAnsi"/>
          <w:color w:val="auto"/>
        </w:rPr>
        <w:t xml:space="preserve"> would enable </w:t>
      </w:r>
      <w:r>
        <w:rPr>
          <w:rFonts w:asciiTheme="majorHAnsi" w:hAnsiTheme="majorHAnsi" w:cstheme="majorHAnsi"/>
          <w:color w:val="auto"/>
        </w:rPr>
        <w:t xml:space="preserve">the </w:t>
      </w:r>
      <w:r w:rsidRPr="00B93BC6">
        <w:rPr>
          <w:rFonts w:asciiTheme="majorHAnsi" w:hAnsiTheme="majorHAnsi" w:cstheme="majorHAnsi"/>
          <w:color w:val="auto"/>
        </w:rPr>
        <w:t xml:space="preserve">detection of </w:t>
      </w:r>
      <w:proofErr w:type="spellStart"/>
      <w:r w:rsidRPr="00B93BC6">
        <w:rPr>
          <w:rFonts w:asciiTheme="majorHAnsi" w:hAnsiTheme="majorHAnsi" w:cstheme="majorHAnsi"/>
          <w:color w:val="auto"/>
        </w:rPr>
        <w:t>cTfr</w:t>
      </w:r>
      <w:proofErr w:type="spellEnd"/>
      <w:r w:rsidRPr="00B93BC6">
        <w:rPr>
          <w:rFonts w:asciiTheme="majorHAnsi" w:hAnsiTheme="majorHAnsi" w:cstheme="majorHAnsi"/>
          <w:color w:val="auto"/>
        </w:rPr>
        <w:t xml:space="preserve"> in addition to all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subsets in the same experiment using a very similar protocol. Alternatively, the more classical intracellular regulatory marker FoxP3 could be used, though this requires fixation and </w:t>
      </w:r>
      <w:proofErr w:type="spellStart"/>
      <w:r w:rsidRPr="00B93BC6">
        <w:rPr>
          <w:rFonts w:asciiTheme="majorHAnsi" w:hAnsiTheme="majorHAnsi" w:cstheme="majorHAnsi"/>
          <w:color w:val="auto"/>
        </w:rPr>
        <w:t>permeabili</w:t>
      </w:r>
      <w:r>
        <w:rPr>
          <w:rFonts w:asciiTheme="majorHAnsi" w:hAnsiTheme="majorHAnsi" w:cstheme="majorHAnsi"/>
          <w:color w:val="auto"/>
        </w:rPr>
        <w:t>z</w:t>
      </w:r>
      <w:r w:rsidRPr="00B93BC6">
        <w:rPr>
          <w:rFonts w:asciiTheme="majorHAnsi" w:hAnsiTheme="majorHAnsi" w:cstheme="majorHAnsi"/>
          <w:color w:val="auto"/>
        </w:rPr>
        <w:t>ation</w:t>
      </w:r>
      <w:proofErr w:type="spellEnd"/>
      <w:r w:rsidRPr="00B93BC6">
        <w:rPr>
          <w:rFonts w:asciiTheme="majorHAnsi" w:hAnsiTheme="majorHAnsi" w:cstheme="majorHAnsi"/>
          <w:color w:val="auto"/>
        </w:rPr>
        <w:t xml:space="preserve"> preventing downstream functional assays. In concentrating on </w:t>
      </w:r>
      <w:proofErr w:type="spellStart"/>
      <w:r w:rsidRPr="00B93BC6">
        <w:rPr>
          <w:rFonts w:asciiTheme="majorHAnsi" w:hAnsiTheme="majorHAnsi" w:cstheme="majorHAnsi"/>
          <w:color w:val="auto"/>
        </w:rPr>
        <w:t>cTfh</w:t>
      </w:r>
      <w:proofErr w:type="spellEnd"/>
      <w:r w:rsidRPr="00B93BC6">
        <w:rPr>
          <w:rFonts w:asciiTheme="majorHAnsi" w:hAnsiTheme="majorHAnsi" w:cstheme="majorHAnsi"/>
          <w:color w:val="auto"/>
        </w:rPr>
        <w:t xml:space="preserve"> analysis</w:t>
      </w:r>
      <w:r>
        <w:rPr>
          <w:rFonts w:asciiTheme="majorHAnsi" w:hAnsiTheme="majorHAnsi" w:cstheme="majorHAnsi"/>
          <w:color w:val="auto"/>
        </w:rPr>
        <w:t>,</w:t>
      </w:r>
      <w:r w:rsidRPr="00B93BC6">
        <w:rPr>
          <w:rFonts w:asciiTheme="majorHAnsi" w:hAnsiTheme="majorHAnsi" w:cstheme="majorHAnsi"/>
          <w:color w:val="auto"/>
        </w:rPr>
        <w:t xml:space="preserve"> however, there are also advantages to defining a minimum panel that can be employed in conjunction with a standard laboratory flow cytometer to obtain clinically or experimentally useful results.</w:t>
      </w:r>
    </w:p>
    <w:p w14:paraId="436DD978" w14:textId="77777777" w:rsidR="00277E15" w:rsidRPr="00B93BC6" w:rsidRDefault="00277E15" w:rsidP="00277E15">
      <w:pPr>
        <w:rPr>
          <w:rFonts w:asciiTheme="majorHAnsi" w:hAnsiTheme="majorHAnsi" w:cstheme="majorHAnsi"/>
          <w:b/>
          <w:color w:val="auto"/>
        </w:rPr>
      </w:pPr>
    </w:p>
    <w:p w14:paraId="683CAC3B" w14:textId="77777777" w:rsidR="00277E15" w:rsidRPr="00B93BC6" w:rsidRDefault="00277E15" w:rsidP="00277E15">
      <w:pPr>
        <w:rPr>
          <w:rFonts w:asciiTheme="majorHAnsi" w:hAnsiTheme="majorHAnsi" w:cstheme="majorHAnsi"/>
          <w:b/>
          <w:color w:val="auto"/>
        </w:rPr>
      </w:pPr>
      <w:r w:rsidRPr="00B93BC6">
        <w:rPr>
          <w:rFonts w:asciiTheme="majorHAnsi" w:hAnsiTheme="majorHAnsi" w:cstheme="majorHAnsi"/>
          <w:b/>
          <w:color w:val="auto"/>
        </w:rPr>
        <w:t>ACKNOWLEDGEMENTS:</w:t>
      </w:r>
    </w:p>
    <w:p w14:paraId="7AA832E4" w14:textId="77777777" w:rsidR="00277E15" w:rsidRPr="00B93BC6" w:rsidRDefault="00277E15" w:rsidP="00277E15">
      <w:pPr>
        <w:rPr>
          <w:rFonts w:asciiTheme="majorHAnsi" w:hAnsiTheme="majorHAnsi" w:cstheme="majorHAnsi"/>
          <w:color w:val="auto"/>
        </w:rPr>
      </w:pPr>
      <w:r w:rsidRPr="00B93BC6">
        <w:rPr>
          <w:rFonts w:asciiTheme="majorHAnsi" w:hAnsiTheme="majorHAnsi" w:cstheme="majorHAnsi"/>
          <w:color w:val="auto"/>
        </w:rPr>
        <w:t xml:space="preserve">The work was supported by a grant from </w:t>
      </w:r>
      <w:proofErr w:type="spellStart"/>
      <w:r w:rsidRPr="00B93BC6">
        <w:rPr>
          <w:rFonts w:asciiTheme="majorHAnsi" w:hAnsiTheme="majorHAnsi" w:cstheme="majorHAnsi"/>
          <w:color w:val="auto"/>
        </w:rPr>
        <w:t>Leukaemia</w:t>
      </w:r>
      <w:proofErr w:type="spellEnd"/>
      <w:r w:rsidRPr="00B93BC6">
        <w:rPr>
          <w:rFonts w:asciiTheme="majorHAnsi" w:hAnsiTheme="majorHAnsi" w:cstheme="majorHAnsi"/>
          <w:color w:val="auto"/>
        </w:rPr>
        <w:t xml:space="preserve"> UK to ETB and MJA.</w:t>
      </w:r>
    </w:p>
    <w:p w14:paraId="21B53E67" w14:textId="77777777" w:rsidR="00277E15" w:rsidRPr="00B93BC6" w:rsidRDefault="00277E15" w:rsidP="00277E15">
      <w:pPr>
        <w:rPr>
          <w:rFonts w:asciiTheme="majorHAnsi" w:hAnsiTheme="majorHAnsi" w:cstheme="majorHAnsi"/>
          <w:b/>
          <w:color w:val="auto"/>
        </w:rPr>
      </w:pPr>
    </w:p>
    <w:p w14:paraId="4127CCB6" w14:textId="77777777" w:rsidR="00277E15" w:rsidRPr="008C1032" w:rsidRDefault="00277E15" w:rsidP="00277E15">
      <w:pPr>
        <w:rPr>
          <w:rFonts w:asciiTheme="majorHAnsi" w:hAnsiTheme="majorHAnsi" w:cstheme="majorHAnsi"/>
          <w:b/>
          <w:color w:val="auto"/>
        </w:rPr>
      </w:pPr>
      <w:r w:rsidRPr="00B93BC6">
        <w:rPr>
          <w:rFonts w:asciiTheme="majorHAnsi" w:hAnsiTheme="majorHAnsi" w:cstheme="majorHAnsi"/>
          <w:b/>
          <w:color w:val="auto"/>
        </w:rPr>
        <w:t>DISCLOSURES:</w:t>
      </w:r>
    </w:p>
    <w:p w14:paraId="2EE52D0C" w14:textId="77777777" w:rsidR="00277E15" w:rsidRPr="00B93BC6" w:rsidRDefault="00277E15" w:rsidP="00277E15">
      <w:pPr>
        <w:rPr>
          <w:rFonts w:asciiTheme="majorHAnsi" w:hAnsiTheme="majorHAnsi" w:cstheme="majorHAnsi"/>
        </w:rPr>
      </w:pPr>
      <w:r w:rsidRPr="00B93BC6">
        <w:rPr>
          <w:rFonts w:asciiTheme="majorHAnsi" w:hAnsiTheme="majorHAnsi" w:cstheme="majorHAnsi"/>
          <w:color w:val="auto"/>
        </w:rPr>
        <w:t>The authors have nothing to disclose.</w:t>
      </w:r>
    </w:p>
    <w:p w14:paraId="28FDF16A" w14:textId="77777777" w:rsidR="00277E15" w:rsidRPr="00B93BC6" w:rsidRDefault="00277E15" w:rsidP="00277E15">
      <w:pPr>
        <w:rPr>
          <w:rFonts w:asciiTheme="majorHAnsi" w:hAnsiTheme="majorHAnsi" w:cstheme="majorHAnsi"/>
          <w:b/>
          <w:color w:val="auto"/>
        </w:rPr>
      </w:pPr>
    </w:p>
    <w:p w14:paraId="312330FF" w14:textId="77777777" w:rsidR="00277E15" w:rsidRPr="008C1032" w:rsidRDefault="00277E15" w:rsidP="00277E15">
      <w:pPr>
        <w:rPr>
          <w:rFonts w:asciiTheme="majorHAnsi" w:hAnsiTheme="majorHAnsi" w:cstheme="majorHAnsi"/>
          <w:b/>
          <w:color w:val="auto"/>
        </w:rPr>
      </w:pPr>
      <w:r w:rsidRPr="00B93BC6">
        <w:rPr>
          <w:rFonts w:asciiTheme="majorHAnsi" w:hAnsiTheme="majorHAnsi" w:cstheme="majorHAnsi"/>
          <w:b/>
          <w:color w:val="auto"/>
        </w:rPr>
        <w:t>REFERENCES:</w:t>
      </w:r>
    </w:p>
    <w:p w14:paraId="2E1B7709" w14:textId="77777777" w:rsidR="00277E15" w:rsidRPr="00B93BC6" w:rsidRDefault="00277E15" w:rsidP="00277E15">
      <w:pPr>
        <w:pStyle w:val="Bibliography"/>
        <w:rPr>
          <w:rFonts w:asciiTheme="majorHAnsi" w:hAnsiTheme="majorHAnsi" w:cstheme="majorHAnsi"/>
        </w:rPr>
      </w:pPr>
      <w:r w:rsidRPr="00B93BC6">
        <w:rPr>
          <w:rFonts w:asciiTheme="majorHAnsi" w:hAnsiTheme="majorHAnsi" w:cstheme="majorHAnsi"/>
        </w:rPr>
        <w:fldChar w:fldCharType="begin"/>
      </w:r>
      <w:r w:rsidRPr="00B93BC6">
        <w:rPr>
          <w:rFonts w:asciiTheme="majorHAnsi" w:hAnsiTheme="majorHAnsi" w:cstheme="majorHAnsi"/>
        </w:rPr>
        <w:instrText xml:space="preserve"> ADDIN ZOTERO_BIBL {"uncited":[],"omitted":[],"custom":[]} CSL_BIBLIOGRAPHY </w:instrText>
      </w:r>
      <w:r w:rsidRPr="00B93BC6">
        <w:rPr>
          <w:rFonts w:asciiTheme="majorHAnsi" w:hAnsiTheme="majorHAnsi" w:cstheme="majorHAnsi"/>
        </w:rPr>
        <w:fldChar w:fldCharType="separate"/>
      </w:r>
      <w:r w:rsidRPr="00B93BC6">
        <w:rPr>
          <w:rFonts w:asciiTheme="majorHAnsi" w:hAnsiTheme="majorHAnsi" w:cstheme="majorHAnsi"/>
        </w:rPr>
        <w:t>1.</w:t>
      </w:r>
      <w:r w:rsidRPr="00B93BC6">
        <w:rPr>
          <w:rFonts w:asciiTheme="majorHAnsi" w:hAnsiTheme="majorHAnsi" w:cstheme="majorHAnsi"/>
        </w:rPr>
        <w:tab/>
        <w:t xml:space="preserve">Vinuesa, C.G., Linterman, M.A., Yu, D., MacLennan, I.C.M. Follicular Helper T Cells. </w:t>
      </w:r>
      <w:r w:rsidRPr="00B93BC6">
        <w:rPr>
          <w:rFonts w:asciiTheme="majorHAnsi" w:hAnsiTheme="majorHAnsi" w:cstheme="majorHAnsi"/>
          <w:i/>
          <w:iCs/>
        </w:rPr>
        <w:t>Annual Review of Immunology</w:t>
      </w:r>
      <w:r w:rsidRPr="00B93BC6">
        <w:rPr>
          <w:rFonts w:asciiTheme="majorHAnsi" w:hAnsiTheme="majorHAnsi" w:cstheme="majorHAnsi"/>
        </w:rPr>
        <w:t xml:space="preserve">. </w:t>
      </w:r>
      <w:r w:rsidRPr="00B93BC6">
        <w:rPr>
          <w:rFonts w:asciiTheme="majorHAnsi" w:hAnsiTheme="majorHAnsi" w:cstheme="majorHAnsi"/>
          <w:b/>
          <w:bCs/>
        </w:rPr>
        <w:t>34</w:t>
      </w:r>
      <w:r w:rsidRPr="00B93BC6">
        <w:rPr>
          <w:rFonts w:asciiTheme="majorHAnsi" w:hAnsiTheme="majorHAnsi" w:cstheme="majorHAnsi"/>
        </w:rPr>
        <w:t xml:space="preserve"> (1), 335–368, doi: 10.1146/annurev-immunol-041015-055605 (2016).</w:t>
      </w:r>
    </w:p>
    <w:p w14:paraId="6EB26A49" w14:textId="77777777" w:rsidR="00277E15" w:rsidRPr="00B93BC6" w:rsidRDefault="00277E15" w:rsidP="00277E15">
      <w:pPr>
        <w:pStyle w:val="Bibliography"/>
        <w:rPr>
          <w:rFonts w:asciiTheme="majorHAnsi" w:hAnsiTheme="majorHAnsi" w:cstheme="majorHAnsi"/>
        </w:rPr>
      </w:pPr>
      <w:r w:rsidRPr="00B93BC6">
        <w:rPr>
          <w:rFonts w:asciiTheme="majorHAnsi" w:hAnsiTheme="majorHAnsi" w:cstheme="majorHAnsi"/>
        </w:rPr>
        <w:t>2.</w:t>
      </w:r>
      <w:r w:rsidRPr="00B93BC6">
        <w:rPr>
          <w:rFonts w:asciiTheme="majorHAnsi" w:hAnsiTheme="majorHAnsi" w:cstheme="majorHAnsi"/>
        </w:rPr>
        <w:tab/>
        <w:t xml:space="preserve">Nurieva, R.I. </w:t>
      </w:r>
      <w:r w:rsidRPr="00B93BC6">
        <w:rPr>
          <w:rFonts w:asciiTheme="majorHAnsi" w:hAnsiTheme="majorHAnsi" w:cstheme="majorHAnsi"/>
          <w:i/>
          <w:iCs/>
        </w:rPr>
        <w:t>et al.</w:t>
      </w:r>
      <w:r w:rsidRPr="00B93BC6">
        <w:rPr>
          <w:rFonts w:asciiTheme="majorHAnsi" w:hAnsiTheme="majorHAnsi" w:cstheme="majorHAnsi"/>
        </w:rPr>
        <w:t xml:space="preserve"> Bcl6 Mediates the Development of T Follicular Helper Cells. </w:t>
      </w:r>
      <w:r w:rsidRPr="00B93BC6">
        <w:rPr>
          <w:rFonts w:asciiTheme="majorHAnsi" w:hAnsiTheme="majorHAnsi" w:cstheme="majorHAnsi"/>
          <w:i/>
          <w:iCs/>
        </w:rPr>
        <w:t>Science (New York, N.Y.)</w:t>
      </w:r>
      <w:r w:rsidRPr="00B93BC6">
        <w:rPr>
          <w:rFonts w:asciiTheme="majorHAnsi" w:hAnsiTheme="majorHAnsi" w:cstheme="majorHAnsi"/>
        </w:rPr>
        <w:t xml:space="preserve">. </w:t>
      </w:r>
      <w:r w:rsidRPr="00B93BC6">
        <w:rPr>
          <w:rFonts w:asciiTheme="majorHAnsi" w:hAnsiTheme="majorHAnsi" w:cstheme="majorHAnsi"/>
          <w:b/>
          <w:bCs/>
        </w:rPr>
        <w:t>325</w:t>
      </w:r>
      <w:r w:rsidRPr="00B93BC6">
        <w:rPr>
          <w:rFonts w:asciiTheme="majorHAnsi" w:hAnsiTheme="majorHAnsi" w:cstheme="majorHAnsi"/>
        </w:rPr>
        <w:t xml:space="preserve"> (5943), 1001–1005, doi: 10.1126/science.1176676 (2009).</w:t>
      </w:r>
    </w:p>
    <w:p w14:paraId="4DA46070" w14:textId="77777777" w:rsidR="00277E15" w:rsidRPr="00B93BC6" w:rsidRDefault="00277E15" w:rsidP="00277E15">
      <w:pPr>
        <w:pStyle w:val="Bibliography"/>
        <w:rPr>
          <w:rFonts w:asciiTheme="majorHAnsi" w:hAnsiTheme="majorHAnsi" w:cstheme="majorHAnsi"/>
        </w:rPr>
      </w:pPr>
      <w:r w:rsidRPr="00B93BC6">
        <w:rPr>
          <w:rFonts w:asciiTheme="majorHAnsi" w:hAnsiTheme="majorHAnsi" w:cstheme="majorHAnsi"/>
        </w:rPr>
        <w:t>3.</w:t>
      </w:r>
      <w:r w:rsidRPr="00B93BC6">
        <w:rPr>
          <w:rFonts w:asciiTheme="majorHAnsi" w:hAnsiTheme="majorHAnsi" w:cstheme="majorHAnsi"/>
        </w:rPr>
        <w:tab/>
        <w:t xml:space="preserve">Breitfeld, D. </w:t>
      </w:r>
      <w:r w:rsidRPr="00B93BC6">
        <w:rPr>
          <w:rFonts w:asciiTheme="majorHAnsi" w:hAnsiTheme="majorHAnsi" w:cstheme="majorHAnsi"/>
          <w:i/>
          <w:iCs/>
        </w:rPr>
        <w:t>et al.</w:t>
      </w:r>
      <w:r w:rsidRPr="00B93BC6">
        <w:rPr>
          <w:rFonts w:asciiTheme="majorHAnsi" w:hAnsiTheme="majorHAnsi" w:cstheme="majorHAnsi"/>
        </w:rPr>
        <w:t xml:space="preserve"> Follicular B Helper T Cells Express Cxc Chemokine Receptor 5, Localize to B Cell Follicles, and Support Immunoglobulin Production. </w:t>
      </w:r>
      <w:r w:rsidRPr="00B93BC6">
        <w:rPr>
          <w:rFonts w:asciiTheme="majorHAnsi" w:hAnsiTheme="majorHAnsi" w:cstheme="majorHAnsi"/>
          <w:i/>
          <w:iCs/>
        </w:rPr>
        <w:t>The Journal of Experimental Medicine</w:t>
      </w:r>
      <w:r w:rsidRPr="00B93BC6">
        <w:rPr>
          <w:rFonts w:asciiTheme="majorHAnsi" w:hAnsiTheme="majorHAnsi" w:cstheme="majorHAnsi"/>
        </w:rPr>
        <w:t xml:space="preserve">. </w:t>
      </w:r>
      <w:r w:rsidRPr="00B93BC6">
        <w:rPr>
          <w:rFonts w:asciiTheme="majorHAnsi" w:hAnsiTheme="majorHAnsi" w:cstheme="majorHAnsi"/>
          <w:b/>
          <w:bCs/>
        </w:rPr>
        <w:t>192</w:t>
      </w:r>
      <w:r w:rsidRPr="00B93BC6">
        <w:rPr>
          <w:rFonts w:asciiTheme="majorHAnsi" w:hAnsiTheme="majorHAnsi" w:cstheme="majorHAnsi"/>
        </w:rPr>
        <w:t xml:space="preserve"> (11), 1545–1552 (2000).</w:t>
      </w:r>
    </w:p>
    <w:p w14:paraId="36149483" w14:textId="77777777" w:rsidR="00277E15" w:rsidRPr="00B93BC6" w:rsidRDefault="00277E15" w:rsidP="00277E15">
      <w:pPr>
        <w:pStyle w:val="Bibliography"/>
        <w:rPr>
          <w:rFonts w:asciiTheme="majorHAnsi" w:hAnsiTheme="majorHAnsi" w:cstheme="majorHAnsi"/>
        </w:rPr>
      </w:pPr>
      <w:r w:rsidRPr="00B93BC6">
        <w:rPr>
          <w:rFonts w:asciiTheme="majorHAnsi" w:hAnsiTheme="majorHAnsi" w:cstheme="majorHAnsi"/>
        </w:rPr>
        <w:t>4.</w:t>
      </w:r>
      <w:r w:rsidRPr="00B93BC6">
        <w:rPr>
          <w:rFonts w:asciiTheme="majorHAnsi" w:hAnsiTheme="majorHAnsi" w:cstheme="majorHAnsi"/>
        </w:rPr>
        <w:tab/>
        <w:t xml:space="preserve">Linterman, M.A. </w:t>
      </w:r>
      <w:r w:rsidRPr="00B93BC6">
        <w:rPr>
          <w:rFonts w:asciiTheme="majorHAnsi" w:hAnsiTheme="majorHAnsi" w:cstheme="majorHAnsi"/>
          <w:i/>
          <w:iCs/>
        </w:rPr>
        <w:t>et al.</w:t>
      </w:r>
      <w:r w:rsidRPr="00B93BC6">
        <w:rPr>
          <w:rFonts w:asciiTheme="majorHAnsi" w:hAnsiTheme="majorHAnsi" w:cstheme="majorHAnsi"/>
        </w:rPr>
        <w:t xml:space="preserve"> Follicular helper T cells are required for systemic autoimmunity. </w:t>
      </w:r>
      <w:r w:rsidRPr="00B93BC6">
        <w:rPr>
          <w:rFonts w:asciiTheme="majorHAnsi" w:hAnsiTheme="majorHAnsi" w:cstheme="majorHAnsi"/>
          <w:i/>
          <w:iCs/>
        </w:rPr>
        <w:t>The Journal of Experimental Medicine</w:t>
      </w:r>
      <w:r w:rsidRPr="00B93BC6">
        <w:rPr>
          <w:rFonts w:asciiTheme="majorHAnsi" w:hAnsiTheme="majorHAnsi" w:cstheme="majorHAnsi"/>
        </w:rPr>
        <w:t xml:space="preserve">. </w:t>
      </w:r>
      <w:r w:rsidRPr="00B93BC6">
        <w:rPr>
          <w:rFonts w:asciiTheme="majorHAnsi" w:hAnsiTheme="majorHAnsi" w:cstheme="majorHAnsi"/>
          <w:b/>
          <w:bCs/>
        </w:rPr>
        <w:t>206</w:t>
      </w:r>
      <w:r w:rsidRPr="00B93BC6">
        <w:rPr>
          <w:rFonts w:asciiTheme="majorHAnsi" w:hAnsiTheme="majorHAnsi" w:cstheme="majorHAnsi"/>
        </w:rPr>
        <w:t xml:space="preserve"> (3), 561–576, doi: 10.1084/jem.20081886 (2009).</w:t>
      </w:r>
    </w:p>
    <w:p w14:paraId="4E9227AD" w14:textId="77777777" w:rsidR="00277E15" w:rsidRPr="00B93BC6" w:rsidRDefault="00277E15" w:rsidP="00277E15">
      <w:pPr>
        <w:pStyle w:val="Bibliography"/>
        <w:rPr>
          <w:rFonts w:asciiTheme="majorHAnsi" w:hAnsiTheme="majorHAnsi" w:cstheme="majorHAnsi"/>
        </w:rPr>
      </w:pPr>
      <w:r w:rsidRPr="00B93BC6">
        <w:rPr>
          <w:rFonts w:asciiTheme="majorHAnsi" w:hAnsiTheme="majorHAnsi" w:cstheme="majorHAnsi"/>
        </w:rPr>
        <w:t>5.</w:t>
      </w:r>
      <w:r w:rsidRPr="00B93BC6">
        <w:rPr>
          <w:rFonts w:asciiTheme="majorHAnsi" w:hAnsiTheme="majorHAnsi" w:cstheme="majorHAnsi"/>
        </w:rPr>
        <w:tab/>
        <w:t xml:space="preserve">Bindea, G. </w:t>
      </w:r>
      <w:r w:rsidRPr="00B93BC6">
        <w:rPr>
          <w:rFonts w:asciiTheme="majorHAnsi" w:hAnsiTheme="majorHAnsi" w:cstheme="majorHAnsi"/>
          <w:i/>
          <w:iCs/>
        </w:rPr>
        <w:t>et al.</w:t>
      </w:r>
      <w:r w:rsidRPr="00B93BC6">
        <w:rPr>
          <w:rFonts w:asciiTheme="majorHAnsi" w:hAnsiTheme="majorHAnsi" w:cstheme="majorHAnsi"/>
        </w:rPr>
        <w:t xml:space="preserve"> Spatiotemporal Dynamics of Intratumoral Immune Cells Reveal the Immune Landscape in Human Cancer. </w:t>
      </w:r>
      <w:r w:rsidRPr="00B93BC6">
        <w:rPr>
          <w:rFonts w:asciiTheme="majorHAnsi" w:hAnsiTheme="majorHAnsi" w:cstheme="majorHAnsi"/>
          <w:i/>
          <w:iCs/>
        </w:rPr>
        <w:t>Immunity</w:t>
      </w:r>
      <w:r w:rsidRPr="00B93BC6">
        <w:rPr>
          <w:rFonts w:asciiTheme="majorHAnsi" w:hAnsiTheme="majorHAnsi" w:cstheme="majorHAnsi"/>
        </w:rPr>
        <w:t xml:space="preserve">. </w:t>
      </w:r>
      <w:r w:rsidRPr="00B93BC6">
        <w:rPr>
          <w:rFonts w:asciiTheme="majorHAnsi" w:hAnsiTheme="majorHAnsi" w:cstheme="majorHAnsi"/>
          <w:b/>
          <w:bCs/>
        </w:rPr>
        <w:t>39</w:t>
      </w:r>
      <w:r w:rsidRPr="00B93BC6">
        <w:rPr>
          <w:rFonts w:asciiTheme="majorHAnsi" w:hAnsiTheme="majorHAnsi" w:cstheme="majorHAnsi"/>
        </w:rPr>
        <w:t xml:space="preserve"> (4), 782–795, doi: 10.1016/j.immuni.2013.10.003 (2013).</w:t>
      </w:r>
    </w:p>
    <w:p w14:paraId="5808F9A1" w14:textId="77777777" w:rsidR="00277E15" w:rsidRPr="00B93BC6" w:rsidRDefault="00277E15" w:rsidP="00277E15">
      <w:pPr>
        <w:pStyle w:val="Bibliography"/>
        <w:rPr>
          <w:rFonts w:asciiTheme="majorHAnsi" w:hAnsiTheme="majorHAnsi" w:cstheme="majorHAnsi"/>
        </w:rPr>
      </w:pPr>
      <w:r w:rsidRPr="00B93BC6">
        <w:rPr>
          <w:rFonts w:asciiTheme="majorHAnsi" w:hAnsiTheme="majorHAnsi" w:cstheme="majorHAnsi"/>
        </w:rPr>
        <w:t>6.</w:t>
      </w:r>
      <w:r w:rsidRPr="00B93BC6">
        <w:rPr>
          <w:rFonts w:asciiTheme="majorHAnsi" w:hAnsiTheme="majorHAnsi" w:cstheme="majorHAnsi"/>
        </w:rPr>
        <w:tab/>
        <w:t xml:space="preserve">Gu-Trantien, C. </w:t>
      </w:r>
      <w:r w:rsidRPr="00B93BC6">
        <w:rPr>
          <w:rFonts w:asciiTheme="majorHAnsi" w:hAnsiTheme="majorHAnsi" w:cstheme="majorHAnsi"/>
          <w:i/>
          <w:iCs/>
        </w:rPr>
        <w:t>et al.</w:t>
      </w:r>
      <w:r w:rsidRPr="00B93BC6">
        <w:rPr>
          <w:rFonts w:asciiTheme="majorHAnsi" w:hAnsiTheme="majorHAnsi" w:cstheme="majorHAnsi"/>
        </w:rPr>
        <w:t xml:space="preserve"> CD4+ follicular helper T cell infiltration predicts breast cancer survival. </w:t>
      </w:r>
      <w:r w:rsidRPr="00B93BC6">
        <w:rPr>
          <w:rFonts w:asciiTheme="majorHAnsi" w:hAnsiTheme="majorHAnsi" w:cstheme="majorHAnsi"/>
          <w:i/>
          <w:iCs/>
        </w:rPr>
        <w:t>The Journal of Clinical Investigation</w:t>
      </w:r>
      <w:r w:rsidRPr="00B93BC6">
        <w:rPr>
          <w:rFonts w:asciiTheme="majorHAnsi" w:hAnsiTheme="majorHAnsi" w:cstheme="majorHAnsi"/>
        </w:rPr>
        <w:t xml:space="preserve">. </w:t>
      </w:r>
      <w:r w:rsidRPr="00B93BC6">
        <w:rPr>
          <w:rFonts w:asciiTheme="majorHAnsi" w:hAnsiTheme="majorHAnsi" w:cstheme="majorHAnsi"/>
          <w:b/>
          <w:bCs/>
        </w:rPr>
        <w:t>123</w:t>
      </w:r>
      <w:r w:rsidRPr="00B93BC6">
        <w:rPr>
          <w:rFonts w:asciiTheme="majorHAnsi" w:hAnsiTheme="majorHAnsi" w:cstheme="majorHAnsi"/>
        </w:rPr>
        <w:t xml:space="preserve"> (7), 2873–2892, doi: 10.1172/JCI67428 (2013).</w:t>
      </w:r>
    </w:p>
    <w:p w14:paraId="6B5D70E6" w14:textId="77777777" w:rsidR="00277E15" w:rsidRPr="00B93BC6" w:rsidRDefault="00277E15" w:rsidP="00277E15">
      <w:pPr>
        <w:pStyle w:val="Bibliography"/>
        <w:rPr>
          <w:rFonts w:asciiTheme="majorHAnsi" w:hAnsiTheme="majorHAnsi" w:cstheme="majorHAnsi"/>
        </w:rPr>
      </w:pPr>
      <w:r w:rsidRPr="00B93BC6">
        <w:rPr>
          <w:rFonts w:asciiTheme="majorHAnsi" w:hAnsiTheme="majorHAnsi" w:cstheme="majorHAnsi"/>
        </w:rPr>
        <w:t>7.</w:t>
      </w:r>
      <w:r w:rsidRPr="00B93BC6">
        <w:rPr>
          <w:rFonts w:asciiTheme="majorHAnsi" w:hAnsiTheme="majorHAnsi" w:cstheme="majorHAnsi"/>
        </w:rPr>
        <w:tab/>
        <w:t xml:space="preserve">Amé-Thomas, P. </w:t>
      </w:r>
      <w:r w:rsidRPr="00B93BC6">
        <w:rPr>
          <w:rFonts w:asciiTheme="majorHAnsi" w:hAnsiTheme="majorHAnsi" w:cstheme="majorHAnsi"/>
          <w:i/>
          <w:iCs/>
        </w:rPr>
        <w:t>et al.</w:t>
      </w:r>
      <w:r w:rsidRPr="00B93BC6">
        <w:rPr>
          <w:rFonts w:asciiTheme="majorHAnsi" w:hAnsiTheme="majorHAnsi" w:cstheme="majorHAnsi"/>
        </w:rPr>
        <w:t xml:space="preserve"> Characterization of intratumoral follicular helper T cells in follicular lymphoma: role in the survival of malignant B cells. </w:t>
      </w:r>
      <w:r w:rsidRPr="00B93BC6">
        <w:rPr>
          <w:rFonts w:asciiTheme="majorHAnsi" w:hAnsiTheme="majorHAnsi" w:cstheme="majorHAnsi"/>
          <w:i/>
          <w:iCs/>
        </w:rPr>
        <w:t>Leukemia</w:t>
      </w:r>
      <w:r w:rsidRPr="00B93BC6">
        <w:rPr>
          <w:rFonts w:asciiTheme="majorHAnsi" w:hAnsiTheme="majorHAnsi" w:cstheme="majorHAnsi"/>
        </w:rPr>
        <w:t xml:space="preserve">. </w:t>
      </w:r>
      <w:r w:rsidRPr="00B93BC6">
        <w:rPr>
          <w:rFonts w:asciiTheme="majorHAnsi" w:hAnsiTheme="majorHAnsi" w:cstheme="majorHAnsi"/>
          <w:b/>
          <w:bCs/>
        </w:rPr>
        <w:t>26</w:t>
      </w:r>
      <w:r w:rsidRPr="00B93BC6">
        <w:rPr>
          <w:rFonts w:asciiTheme="majorHAnsi" w:hAnsiTheme="majorHAnsi" w:cstheme="majorHAnsi"/>
        </w:rPr>
        <w:t xml:space="preserve"> (5), 1053–1063, doi: 10.1038/leu.2011.301 (2012).</w:t>
      </w:r>
    </w:p>
    <w:p w14:paraId="7AC11878" w14:textId="77777777" w:rsidR="00277E15" w:rsidRPr="00B93BC6" w:rsidRDefault="00277E15" w:rsidP="00277E15">
      <w:pPr>
        <w:pStyle w:val="Bibliography"/>
        <w:rPr>
          <w:rFonts w:asciiTheme="majorHAnsi" w:hAnsiTheme="majorHAnsi" w:cstheme="majorHAnsi"/>
        </w:rPr>
      </w:pPr>
      <w:r w:rsidRPr="00B93BC6">
        <w:rPr>
          <w:rFonts w:asciiTheme="majorHAnsi" w:hAnsiTheme="majorHAnsi" w:cstheme="majorHAnsi"/>
        </w:rPr>
        <w:t>8.</w:t>
      </w:r>
      <w:r w:rsidRPr="00B93BC6">
        <w:rPr>
          <w:rFonts w:asciiTheme="majorHAnsi" w:hAnsiTheme="majorHAnsi" w:cstheme="majorHAnsi"/>
        </w:rPr>
        <w:tab/>
        <w:t xml:space="preserve">Bossaller, L. </w:t>
      </w:r>
      <w:r w:rsidRPr="00B93BC6">
        <w:rPr>
          <w:rFonts w:asciiTheme="majorHAnsi" w:hAnsiTheme="majorHAnsi" w:cstheme="majorHAnsi"/>
          <w:i/>
          <w:iCs/>
        </w:rPr>
        <w:t>et al.</w:t>
      </w:r>
      <w:r w:rsidRPr="00B93BC6">
        <w:rPr>
          <w:rFonts w:asciiTheme="majorHAnsi" w:hAnsiTheme="majorHAnsi" w:cstheme="majorHAnsi"/>
        </w:rPr>
        <w:t xml:space="preserve"> ICOS Deficiency Is Associated with a Severe Reduction of CXCR5+CD4 Germinal Center Th Cells. </w:t>
      </w:r>
      <w:r w:rsidRPr="00B93BC6">
        <w:rPr>
          <w:rFonts w:asciiTheme="majorHAnsi" w:hAnsiTheme="majorHAnsi" w:cstheme="majorHAnsi"/>
          <w:i/>
          <w:iCs/>
        </w:rPr>
        <w:t>The Journal of Immunology</w:t>
      </w:r>
      <w:r w:rsidRPr="00B93BC6">
        <w:rPr>
          <w:rFonts w:asciiTheme="majorHAnsi" w:hAnsiTheme="majorHAnsi" w:cstheme="majorHAnsi"/>
        </w:rPr>
        <w:t xml:space="preserve">. </w:t>
      </w:r>
      <w:r w:rsidRPr="00B93BC6">
        <w:rPr>
          <w:rFonts w:asciiTheme="majorHAnsi" w:hAnsiTheme="majorHAnsi" w:cstheme="majorHAnsi"/>
          <w:b/>
          <w:bCs/>
        </w:rPr>
        <w:t>177</w:t>
      </w:r>
      <w:r w:rsidRPr="00B93BC6">
        <w:rPr>
          <w:rFonts w:asciiTheme="majorHAnsi" w:hAnsiTheme="majorHAnsi" w:cstheme="majorHAnsi"/>
        </w:rPr>
        <w:t xml:space="preserve"> (7), 4927–4932, doi: 10.4049/jimmunol.177.7.4927 (2006).</w:t>
      </w:r>
    </w:p>
    <w:p w14:paraId="5CD4A99B" w14:textId="77777777" w:rsidR="00277E15" w:rsidRPr="00B93BC6" w:rsidRDefault="00277E15" w:rsidP="00277E15">
      <w:pPr>
        <w:pStyle w:val="Bibliography"/>
        <w:rPr>
          <w:rFonts w:asciiTheme="majorHAnsi" w:hAnsiTheme="majorHAnsi" w:cstheme="majorHAnsi"/>
        </w:rPr>
      </w:pPr>
      <w:r w:rsidRPr="00B93BC6">
        <w:rPr>
          <w:rFonts w:asciiTheme="majorHAnsi" w:hAnsiTheme="majorHAnsi" w:cstheme="majorHAnsi"/>
        </w:rPr>
        <w:t>9.</w:t>
      </w:r>
      <w:r w:rsidRPr="00B93BC6">
        <w:rPr>
          <w:rFonts w:asciiTheme="majorHAnsi" w:hAnsiTheme="majorHAnsi" w:cstheme="majorHAnsi"/>
        </w:rPr>
        <w:tab/>
        <w:t xml:space="preserve">Morita, R. </w:t>
      </w:r>
      <w:r w:rsidRPr="00B93BC6">
        <w:rPr>
          <w:rFonts w:asciiTheme="majorHAnsi" w:hAnsiTheme="majorHAnsi" w:cstheme="majorHAnsi"/>
          <w:i/>
          <w:iCs/>
        </w:rPr>
        <w:t>et al.</w:t>
      </w:r>
      <w:r w:rsidRPr="00B93BC6">
        <w:rPr>
          <w:rFonts w:asciiTheme="majorHAnsi" w:hAnsiTheme="majorHAnsi" w:cstheme="majorHAnsi"/>
        </w:rPr>
        <w:t xml:space="preserve"> Human Blood CXCR5+CD4+ T Cells Are Counterparts of T Follicular Cells and Contain Specific Subsets that Differentially Support Antibody Secretion. </w:t>
      </w:r>
      <w:r w:rsidRPr="00B93BC6">
        <w:rPr>
          <w:rFonts w:asciiTheme="majorHAnsi" w:hAnsiTheme="majorHAnsi" w:cstheme="majorHAnsi"/>
          <w:i/>
          <w:iCs/>
        </w:rPr>
        <w:t>Immunity</w:t>
      </w:r>
      <w:r w:rsidRPr="00B93BC6">
        <w:rPr>
          <w:rFonts w:asciiTheme="majorHAnsi" w:hAnsiTheme="majorHAnsi" w:cstheme="majorHAnsi"/>
        </w:rPr>
        <w:t xml:space="preserve">. </w:t>
      </w:r>
      <w:r w:rsidRPr="00B93BC6">
        <w:rPr>
          <w:rFonts w:asciiTheme="majorHAnsi" w:hAnsiTheme="majorHAnsi" w:cstheme="majorHAnsi"/>
          <w:b/>
          <w:bCs/>
        </w:rPr>
        <w:t>34</w:t>
      </w:r>
      <w:r w:rsidRPr="00B93BC6">
        <w:rPr>
          <w:rFonts w:asciiTheme="majorHAnsi" w:hAnsiTheme="majorHAnsi" w:cstheme="majorHAnsi"/>
        </w:rPr>
        <w:t xml:space="preserve"> (1), 108–121, doi: 10.1016/j.immuni.2010.12.012 (2011).</w:t>
      </w:r>
    </w:p>
    <w:p w14:paraId="657B7C71" w14:textId="77777777" w:rsidR="00277E15" w:rsidRPr="00B93BC6" w:rsidRDefault="00277E15" w:rsidP="00277E15">
      <w:pPr>
        <w:pStyle w:val="Bibliography"/>
        <w:rPr>
          <w:rFonts w:asciiTheme="majorHAnsi" w:hAnsiTheme="majorHAnsi" w:cstheme="majorHAnsi"/>
        </w:rPr>
      </w:pPr>
      <w:r w:rsidRPr="00B93BC6">
        <w:rPr>
          <w:rFonts w:asciiTheme="majorHAnsi" w:hAnsiTheme="majorHAnsi" w:cstheme="majorHAnsi"/>
        </w:rPr>
        <w:t>10.</w:t>
      </w:r>
      <w:r w:rsidRPr="00B93BC6">
        <w:rPr>
          <w:rFonts w:asciiTheme="majorHAnsi" w:hAnsiTheme="majorHAnsi" w:cstheme="majorHAnsi"/>
        </w:rPr>
        <w:tab/>
        <w:t xml:space="preserve">Locci, M. </w:t>
      </w:r>
      <w:r w:rsidRPr="00B93BC6">
        <w:rPr>
          <w:rFonts w:asciiTheme="majorHAnsi" w:hAnsiTheme="majorHAnsi" w:cstheme="majorHAnsi"/>
          <w:i/>
          <w:iCs/>
        </w:rPr>
        <w:t>et al.</w:t>
      </w:r>
      <w:r w:rsidRPr="00B93BC6">
        <w:rPr>
          <w:rFonts w:asciiTheme="majorHAnsi" w:hAnsiTheme="majorHAnsi" w:cstheme="majorHAnsi"/>
        </w:rPr>
        <w:t xml:space="preserve"> Human circulating PD-1+CXCR3-CXCR5+ memory Tfh cells are highly functional and correlate with broadly neutralizing HIV antibody responses. </w:t>
      </w:r>
      <w:r w:rsidRPr="00B93BC6">
        <w:rPr>
          <w:rFonts w:asciiTheme="majorHAnsi" w:hAnsiTheme="majorHAnsi" w:cstheme="majorHAnsi"/>
          <w:i/>
          <w:iCs/>
        </w:rPr>
        <w:t>Immunity</w:t>
      </w:r>
      <w:r w:rsidRPr="00B93BC6">
        <w:rPr>
          <w:rFonts w:asciiTheme="majorHAnsi" w:hAnsiTheme="majorHAnsi" w:cstheme="majorHAnsi"/>
        </w:rPr>
        <w:t xml:space="preserve">. </w:t>
      </w:r>
      <w:r w:rsidRPr="00B93BC6">
        <w:rPr>
          <w:rFonts w:asciiTheme="majorHAnsi" w:hAnsiTheme="majorHAnsi" w:cstheme="majorHAnsi"/>
          <w:b/>
          <w:bCs/>
        </w:rPr>
        <w:t>39</w:t>
      </w:r>
      <w:r w:rsidRPr="00B93BC6">
        <w:rPr>
          <w:rFonts w:asciiTheme="majorHAnsi" w:hAnsiTheme="majorHAnsi" w:cstheme="majorHAnsi"/>
        </w:rPr>
        <w:t xml:space="preserve"> (4), 758–769, doi: 10.1016/j.immuni.2013.08.031 (2013).</w:t>
      </w:r>
    </w:p>
    <w:p w14:paraId="4D61F2C9" w14:textId="77777777" w:rsidR="00277E15" w:rsidRPr="00B93BC6" w:rsidRDefault="00277E15" w:rsidP="00277E15">
      <w:pPr>
        <w:pStyle w:val="Bibliography"/>
        <w:rPr>
          <w:rFonts w:asciiTheme="majorHAnsi" w:hAnsiTheme="majorHAnsi" w:cstheme="majorHAnsi"/>
        </w:rPr>
      </w:pPr>
      <w:r w:rsidRPr="00B93BC6">
        <w:rPr>
          <w:rFonts w:asciiTheme="majorHAnsi" w:hAnsiTheme="majorHAnsi" w:cstheme="majorHAnsi"/>
        </w:rPr>
        <w:t>11.</w:t>
      </w:r>
      <w:r w:rsidRPr="00B93BC6">
        <w:rPr>
          <w:rFonts w:asciiTheme="majorHAnsi" w:hAnsiTheme="majorHAnsi" w:cstheme="majorHAnsi"/>
        </w:rPr>
        <w:tab/>
        <w:t xml:space="preserve">He, J. </w:t>
      </w:r>
      <w:r w:rsidRPr="00B93BC6">
        <w:rPr>
          <w:rFonts w:asciiTheme="majorHAnsi" w:hAnsiTheme="majorHAnsi" w:cstheme="majorHAnsi"/>
          <w:i/>
          <w:iCs/>
        </w:rPr>
        <w:t>et al.</w:t>
      </w:r>
      <w:r w:rsidRPr="00B93BC6">
        <w:rPr>
          <w:rFonts w:asciiTheme="majorHAnsi" w:hAnsiTheme="majorHAnsi" w:cstheme="majorHAnsi"/>
        </w:rPr>
        <w:t xml:space="preserve"> Circulating Precursor CCR7loPD-1hi CXCR5+ CD4+ T Cells Indicate Tfh Cell Activity and Promote Antibody Responses upon Antigen Reexposure. </w:t>
      </w:r>
      <w:r w:rsidRPr="00B93BC6">
        <w:rPr>
          <w:rFonts w:asciiTheme="majorHAnsi" w:hAnsiTheme="majorHAnsi" w:cstheme="majorHAnsi"/>
          <w:i/>
          <w:iCs/>
        </w:rPr>
        <w:t>Immunity</w:t>
      </w:r>
      <w:r w:rsidRPr="00B93BC6">
        <w:rPr>
          <w:rFonts w:asciiTheme="majorHAnsi" w:hAnsiTheme="majorHAnsi" w:cstheme="majorHAnsi"/>
        </w:rPr>
        <w:t xml:space="preserve">. </w:t>
      </w:r>
      <w:r w:rsidRPr="00B93BC6">
        <w:rPr>
          <w:rFonts w:asciiTheme="majorHAnsi" w:hAnsiTheme="majorHAnsi" w:cstheme="majorHAnsi"/>
          <w:b/>
          <w:bCs/>
        </w:rPr>
        <w:t>39</w:t>
      </w:r>
      <w:r w:rsidRPr="00B93BC6">
        <w:rPr>
          <w:rFonts w:asciiTheme="majorHAnsi" w:hAnsiTheme="majorHAnsi" w:cstheme="majorHAnsi"/>
        </w:rPr>
        <w:t xml:space="preserve"> (4), 770–781, doi: 10.1016/j.immuni.2013.09.007 (2013).</w:t>
      </w:r>
    </w:p>
    <w:p w14:paraId="41ABECE6" w14:textId="77777777" w:rsidR="00277E15" w:rsidRPr="00B93BC6" w:rsidRDefault="00277E15" w:rsidP="00277E15">
      <w:pPr>
        <w:pStyle w:val="Bibliography"/>
        <w:rPr>
          <w:rFonts w:asciiTheme="majorHAnsi" w:hAnsiTheme="majorHAnsi" w:cstheme="majorHAnsi"/>
        </w:rPr>
      </w:pPr>
      <w:r w:rsidRPr="00B93BC6">
        <w:rPr>
          <w:rFonts w:asciiTheme="majorHAnsi" w:hAnsiTheme="majorHAnsi" w:cstheme="majorHAnsi"/>
        </w:rPr>
        <w:t>12.</w:t>
      </w:r>
      <w:r w:rsidRPr="00B93BC6">
        <w:rPr>
          <w:rFonts w:asciiTheme="majorHAnsi" w:hAnsiTheme="majorHAnsi" w:cstheme="majorHAnsi"/>
        </w:rPr>
        <w:tab/>
        <w:t xml:space="preserve">Schmitt, N., Bentebibel, S.-E., Ueno, H. Phenotype and functions of memory Tfh cells in human blood. </w:t>
      </w:r>
      <w:r w:rsidRPr="00B93BC6">
        <w:rPr>
          <w:rFonts w:asciiTheme="majorHAnsi" w:hAnsiTheme="majorHAnsi" w:cstheme="majorHAnsi"/>
          <w:i/>
          <w:iCs/>
        </w:rPr>
        <w:t>Trends in Immunology</w:t>
      </w:r>
      <w:r w:rsidRPr="00B93BC6">
        <w:rPr>
          <w:rFonts w:asciiTheme="majorHAnsi" w:hAnsiTheme="majorHAnsi" w:cstheme="majorHAnsi"/>
        </w:rPr>
        <w:t xml:space="preserve">. </w:t>
      </w:r>
      <w:r w:rsidRPr="00B93BC6">
        <w:rPr>
          <w:rFonts w:asciiTheme="majorHAnsi" w:hAnsiTheme="majorHAnsi" w:cstheme="majorHAnsi"/>
          <w:b/>
          <w:bCs/>
        </w:rPr>
        <w:t>35</w:t>
      </w:r>
      <w:r w:rsidRPr="00B93BC6">
        <w:rPr>
          <w:rFonts w:asciiTheme="majorHAnsi" w:hAnsiTheme="majorHAnsi" w:cstheme="majorHAnsi"/>
        </w:rPr>
        <w:t xml:space="preserve"> (9), 436–442, doi: 10.1016/j.it.2014.06.002 (2014).</w:t>
      </w:r>
    </w:p>
    <w:p w14:paraId="7BAC1243" w14:textId="77777777" w:rsidR="00277E15" w:rsidRPr="00B93BC6" w:rsidRDefault="00277E15" w:rsidP="00277E15">
      <w:pPr>
        <w:pStyle w:val="Bibliography"/>
        <w:rPr>
          <w:rFonts w:asciiTheme="majorHAnsi" w:hAnsiTheme="majorHAnsi" w:cstheme="majorHAnsi"/>
        </w:rPr>
      </w:pPr>
      <w:r w:rsidRPr="00B93BC6">
        <w:rPr>
          <w:rFonts w:asciiTheme="majorHAnsi" w:hAnsiTheme="majorHAnsi" w:cstheme="majorHAnsi"/>
        </w:rPr>
        <w:t>13.</w:t>
      </w:r>
      <w:r w:rsidRPr="00B93BC6">
        <w:rPr>
          <w:rFonts w:asciiTheme="majorHAnsi" w:hAnsiTheme="majorHAnsi" w:cstheme="majorHAnsi"/>
        </w:rPr>
        <w:tab/>
        <w:t xml:space="preserve">Simpson, N. </w:t>
      </w:r>
      <w:r w:rsidRPr="00B93BC6">
        <w:rPr>
          <w:rFonts w:asciiTheme="majorHAnsi" w:hAnsiTheme="majorHAnsi" w:cstheme="majorHAnsi"/>
          <w:i/>
          <w:iCs/>
        </w:rPr>
        <w:t>et al.</w:t>
      </w:r>
      <w:r w:rsidRPr="00B93BC6">
        <w:rPr>
          <w:rFonts w:asciiTheme="majorHAnsi" w:hAnsiTheme="majorHAnsi" w:cstheme="majorHAnsi"/>
        </w:rPr>
        <w:t xml:space="preserve"> Expansion of circulating T cells resembling follicular helper T cells is a fixed phenotype that identifies a subset of severe systemic lupus erythematosus. </w:t>
      </w:r>
      <w:r w:rsidRPr="00B93BC6">
        <w:rPr>
          <w:rFonts w:asciiTheme="majorHAnsi" w:hAnsiTheme="majorHAnsi" w:cstheme="majorHAnsi"/>
          <w:i/>
          <w:iCs/>
        </w:rPr>
        <w:t>Arthritis and Rheumatism</w:t>
      </w:r>
      <w:r w:rsidRPr="00B93BC6">
        <w:rPr>
          <w:rFonts w:asciiTheme="majorHAnsi" w:hAnsiTheme="majorHAnsi" w:cstheme="majorHAnsi"/>
        </w:rPr>
        <w:t xml:space="preserve">. </w:t>
      </w:r>
      <w:r w:rsidRPr="00B93BC6">
        <w:rPr>
          <w:rFonts w:asciiTheme="majorHAnsi" w:hAnsiTheme="majorHAnsi" w:cstheme="majorHAnsi"/>
          <w:b/>
          <w:bCs/>
        </w:rPr>
        <w:t>62</w:t>
      </w:r>
      <w:r w:rsidRPr="00B93BC6">
        <w:rPr>
          <w:rFonts w:asciiTheme="majorHAnsi" w:hAnsiTheme="majorHAnsi" w:cstheme="majorHAnsi"/>
        </w:rPr>
        <w:t xml:space="preserve"> (1), 234–244, doi: 10.1002/art.25032 (2010).</w:t>
      </w:r>
    </w:p>
    <w:p w14:paraId="134584F6" w14:textId="77777777" w:rsidR="00277E15" w:rsidRPr="00B93BC6" w:rsidRDefault="00277E15" w:rsidP="00277E15">
      <w:pPr>
        <w:pStyle w:val="Bibliography"/>
        <w:rPr>
          <w:rFonts w:asciiTheme="majorHAnsi" w:hAnsiTheme="majorHAnsi" w:cstheme="majorHAnsi"/>
        </w:rPr>
      </w:pPr>
      <w:r w:rsidRPr="00B93BC6">
        <w:rPr>
          <w:rFonts w:asciiTheme="majorHAnsi" w:hAnsiTheme="majorHAnsi" w:cstheme="majorHAnsi"/>
        </w:rPr>
        <w:t>14.</w:t>
      </w:r>
      <w:r w:rsidRPr="00B93BC6">
        <w:rPr>
          <w:rFonts w:asciiTheme="majorHAnsi" w:hAnsiTheme="majorHAnsi" w:cstheme="majorHAnsi"/>
        </w:rPr>
        <w:tab/>
        <w:t xml:space="preserve">Wang, J. </w:t>
      </w:r>
      <w:r w:rsidRPr="00B93BC6">
        <w:rPr>
          <w:rFonts w:asciiTheme="majorHAnsi" w:hAnsiTheme="majorHAnsi" w:cstheme="majorHAnsi"/>
          <w:i/>
          <w:iCs/>
        </w:rPr>
        <w:t>et al.</w:t>
      </w:r>
      <w:r w:rsidRPr="00B93BC6">
        <w:rPr>
          <w:rFonts w:asciiTheme="majorHAnsi" w:hAnsiTheme="majorHAnsi" w:cstheme="majorHAnsi"/>
        </w:rPr>
        <w:t xml:space="preserve"> High frequencies of activated B cells and T follicular helper cells are </w:t>
      </w:r>
      <w:r w:rsidRPr="00B93BC6">
        <w:rPr>
          <w:rFonts w:asciiTheme="majorHAnsi" w:hAnsiTheme="majorHAnsi" w:cstheme="majorHAnsi"/>
        </w:rPr>
        <w:lastRenderedPageBreak/>
        <w:t xml:space="preserve">correlated with disease activity in patients with new-onset rheumatoid arthritis. </w:t>
      </w:r>
      <w:r w:rsidRPr="00B93BC6">
        <w:rPr>
          <w:rFonts w:asciiTheme="majorHAnsi" w:hAnsiTheme="majorHAnsi" w:cstheme="majorHAnsi"/>
          <w:i/>
          <w:iCs/>
        </w:rPr>
        <w:t>Clinical and Experimental Immunology</w:t>
      </w:r>
      <w:r w:rsidRPr="00B93BC6">
        <w:rPr>
          <w:rFonts w:asciiTheme="majorHAnsi" w:hAnsiTheme="majorHAnsi" w:cstheme="majorHAnsi"/>
        </w:rPr>
        <w:t xml:space="preserve">. </w:t>
      </w:r>
      <w:r w:rsidRPr="00B93BC6">
        <w:rPr>
          <w:rFonts w:asciiTheme="majorHAnsi" w:hAnsiTheme="majorHAnsi" w:cstheme="majorHAnsi"/>
          <w:b/>
          <w:bCs/>
        </w:rPr>
        <w:t>174</w:t>
      </w:r>
      <w:r w:rsidRPr="00B93BC6">
        <w:rPr>
          <w:rFonts w:asciiTheme="majorHAnsi" w:hAnsiTheme="majorHAnsi" w:cstheme="majorHAnsi"/>
        </w:rPr>
        <w:t xml:space="preserve"> (2), 212–220, doi: 10.1111/cei.12162 (2013).</w:t>
      </w:r>
    </w:p>
    <w:p w14:paraId="6D0A8524" w14:textId="77777777" w:rsidR="00277E15" w:rsidRDefault="00277E15" w:rsidP="00277E15">
      <w:pPr>
        <w:pStyle w:val="Bibliography"/>
        <w:rPr>
          <w:rFonts w:asciiTheme="majorHAnsi" w:hAnsiTheme="majorHAnsi" w:cstheme="majorHAnsi"/>
        </w:rPr>
      </w:pPr>
      <w:r w:rsidRPr="00B93BC6">
        <w:rPr>
          <w:rFonts w:asciiTheme="majorHAnsi" w:hAnsiTheme="majorHAnsi" w:cstheme="majorHAnsi"/>
        </w:rPr>
        <w:t>15.</w:t>
      </w:r>
      <w:r w:rsidRPr="00B93BC6">
        <w:rPr>
          <w:rFonts w:asciiTheme="majorHAnsi" w:hAnsiTheme="majorHAnsi" w:cstheme="majorHAnsi"/>
        </w:rPr>
        <w:tab/>
        <w:t xml:space="preserve">Ueno, H. Human Circulating T Follicular Helper Cell Subsets in Health and Disease. </w:t>
      </w:r>
      <w:r w:rsidRPr="00B93BC6">
        <w:rPr>
          <w:rFonts w:asciiTheme="majorHAnsi" w:hAnsiTheme="majorHAnsi" w:cstheme="majorHAnsi"/>
          <w:i/>
          <w:iCs/>
        </w:rPr>
        <w:t>Journal of Clinical Immunology</w:t>
      </w:r>
      <w:r w:rsidRPr="00B93BC6">
        <w:rPr>
          <w:rFonts w:asciiTheme="majorHAnsi" w:hAnsiTheme="majorHAnsi" w:cstheme="majorHAnsi"/>
        </w:rPr>
        <w:t xml:space="preserve">. </w:t>
      </w:r>
      <w:r w:rsidRPr="00B93BC6">
        <w:rPr>
          <w:rFonts w:asciiTheme="majorHAnsi" w:hAnsiTheme="majorHAnsi" w:cstheme="majorHAnsi"/>
          <w:b/>
          <w:bCs/>
        </w:rPr>
        <w:t>36</w:t>
      </w:r>
      <w:r w:rsidRPr="00B93BC6">
        <w:rPr>
          <w:rFonts w:asciiTheme="majorHAnsi" w:hAnsiTheme="majorHAnsi" w:cstheme="majorHAnsi"/>
        </w:rPr>
        <w:t xml:space="preserve"> (S1), 34–39, doi: 10.1007/s10875-016-0268-3 (2016).</w:t>
      </w:r>
    </w:p>
    <w:p w14:paraId="47A2A3A0" w14:textId="77777777" w:rsidR="00277E15" w:rsidRPr="00B93BC6" w:rsidRDefault="00277E15" w:rsidP="00277E15">
      <w:pPr>
        <w:pStyle w:val="Bibliography"/>
        <w:rPr>
          <w:rFonts w:asciiTheme="majorHAnsi" w:hAnsiTheme="majorHAnsi" w:cstheme="majorHAnsi"/>
        </w:rPr>
      </w:pPr>
      <w:r w:rsidRPr="00B93BC6">
        <w:rPr>
          <w:rFonts w:asciiTheme="majorHAnsi" w:hAnsiTheme="majorHAnsi" w:cstheme="majorHAnsi"/>
        </w:rPr>
        <w:t>1</w:t>
      </w:r>
      <w:r>
        <w:rPr>
          <w:rFonts w:asciiTheme="majorHAnsi" w:hAnsiTheme="majorHAnsi" w:cstheme="majorHAnsi"/>
        </w:rPr>
        <w:t>6</w:t>
      </w:r>
      <w:r w:rsidRPr="00B93BC6">
        <w:rPr>
          <w:rFonts w:asciiTheme="majorHAnsi" w:hAnsiTheme="majorHAnsi" w:cstheme="majorHAnsi"/>
        </w:rPr>
        <w:t>.</w:t>
      </w:r>
      <w:r w:rsidRPr="00B93BC6">
        <w:rPr>
          <w:rFonts w:asciiTheme="majorHAnsi" w:hAnsiTheme="majorHAnsi" w:cstheme="majorHAnsi"/>
        </w:rPr>
        <w:tab/>
        <w:t xml:space="preserve">Maecker Holden T., Trotter Joseph Flow cytometry controls, instrument setup, and the determination of positivity. </w:t>
      </w:r>
      <w:r w:rsidRPr="00B93BC6">
        <w:rPr>
          <w:rFonts w:asciiTheme="majorHAnsi" w:hAnsiTheme="majorHAnsi" w:cstheme="majorHAnsi"/>
          <w:i/>
          <w:iCs/>
        </w:rPr>
        <w:t>Cytometry Part A</w:t>
      </w:r>
      <w:r w:rsidRPr="00B93BC6">
        <w:rPr>
          <w:rFonts w:asciiTheme="majorHAnsi" w:hAnsiTheme="majorHAnsi" w:cstheme="majorHAnsi"/>
        </w:rPr>
        <w:t xml:space="preserve">. </w:t>
      </w:r>
      <w:r w:rsidRPr="00B93BC6">
        <w:rPr>
          <w:rFonts w:asciiTheme="majorHAnsi" w:hAnsiTheme="majorHAnsi" w:cstheme="majorHAnsi"/>
          <w:b/>
          <w:bCs/>
        </w:rPr>
        <w:t>69A</w:t>
      </w:r>
      <w:r w:rsidRPr="00B93BC6">
        <w:rPr>
          <w:rFonts w:asciiTheme="majorHAnsi" w:hAnsiTheme="majorHAnsi" w:cstheme="majorHAnsi"/>
        </w:rPr>
        <w:t xml:space="preserve"> (9), 1037–1042, doi: 10.1002/cyto.a.20333 (2006).</w:t>
      </w:r>
    </w:p>
    <w:p w14:paraId="456BFA2E" w14:textId="77777777" w:rsidR="00277E15" w:rsidRPr="0070164B" w:rsidRDefault="00277E15" w:rsidP="00277E15">
      <w:pPr>
        <w:pStyle w:val="Bibliography"/>
        <w:rPr>
          <w:rFonts w:asciiTheme="majorHAnsi" w:hAnsiTheme="majorHAnsi" w:cstheme="majorHAnsi"/>
        </w:rPr>
      </w:pPr>
      <w:r w:rsidRPr="00B93BC6">
        <w:rPr>
          <w:rFonts w:asciiTheme="majorHAnsi" w:hAnsiTheme="majorHAnsi" w:cstheme="majorHAnsi"/>
        </w:rPr>
        <w:t>1</w:t>
      </w:r>
      <w:r>
        <w:rPr>
          <w:rFonts w:asciiTheme="majorHAnsi" w:hAnsiTheme="majorHAnsi" w:cstheme="majorHAnsi"/>
        </w:rPr>
        <w:t>7</w:t>
      </w:r>
      <w:r w:rsidRPr="00B93BC6">
        <w:rPr>
          <w:rFonts w:asciiTheme="majorHAnsi" w:hAnsiTheme="majorHAnsi" w:cstheme="majorHAnsi"/>
        </w:rPr>
        <w:t>.</w:t>
      </w:r>
      <w:r w:rsidRPr="00B93BC6">
        <w:rPr>
          <w:rFonts w:asciiTheme="majorHAnsi" w:hAnsiTheme="majorHAnsi" w:cstheme="majorHAnsi"/>
        </w:rPr>
        <w:tab/>
        <w:t xml:space="preserve">Jia, Y. </w:t>
      </w:r>
      <w:r w:rsidRPr="00B93BC6">
        <w:rPr>
          <w:rFonts w:asciiTheme="majorHAnsi" w:hAnsiTheme="majorHAnsi" w:cstheme="majorHAnsi"/>
          <w:i/>
          <w:iCs/>
        </w:rPr>
        <w:t>et al.</w:t>
      </w:r>
      <w:r w:rsidRPr="00B93BC6">
        <w:rPr>
          <w:rFonts w:asciiTheme="majorHAnsi" w:hAnsiTheme="majorHAnsi" w:cstheme="majorHAnsi"/>
        </w:rPr>
        <w:t xml:space="preserve"> Impaired Function of CD4+ T Follicular Helper (Tfh) Cells Associated with Hepatocellular Carcinoma Progression. </w:t>
      </w:r>
      <w:r w:rsidRPr="00B93BC6">
        <w:rPr>
          <w:rFonts w:asciiTheme="majorHAnsi" w:hAnsiTheme="majorHAnsi" w:cstheme="majorHAnsi"/>
          <w:i/>
          <w:iCs/>
        </w:rPr>
        <w:t>PLOS ONE</w:t>
      </w:r>
      <w:r w:rsidRPr="00B93BC6">
        <w:rPr>
          <w:rFonts w:asciiTheme="majorHAnsi" w:hAnsiTheme="majorHAnsi" w:cstheme="majorHAnsi"/>
        </w:rPr>
        <w:t xml:space="preserve">. </w:t>
      </w:r>
      <w:r w:rsidRPr="00B93BC6">
        <w:rPr>
          <w:rFonts w:asciiTheme="majorHAnsi" w:hAnsiTheme="majorHAnsi" w:cstheme="majorHAnsi"/>
          <w:b/>
          <w:bCs/>
        </w:rPr>
        <w:t>10</w:t>
      </w:r>
      <w:r w:rsidRPr="00B93BC6">
        <w:rPr>
          <w:rFonts w:asciiTheme="majorHAnsi" w:hAnsiTheme="majorHAnsi" w:cstheme="majorHAnsi"/>
        </w:rPr>
        <w:t xml:space="preserve"> (2), e0117458, doi: 10.1371/journal.pone.0117458 (2015).</w:t>
      </w:r>
    </w:p>
    <w:p w14:paraId="5A69945F" w14:textId="77777777" w:rsidR="00277E15" w:rsidRPr="008912B4" w:rsidRDefault="00277E15" w:rsidP="00277E15">
      <w:pPr>
        <w:pStyle w:val="Bibliography"/>
        <w:rPr>
          <w:rFonts w:asciiTheme="majorHAnsi" w:hAnsiTheme="majorHAnsi" w:cstheme="majorHAnsi"/>
        </w:rPr>
      </w:pPr>
      <w:r>
        <w:rPr>
          <w:rFonts w:asciiTheme="majorHAnsi" w:hAnsiTheme="majorHAnsi" w:cstheme="majorHAnsi"/>
        </w:rPr>
        <w:t>18</w:t>
      </w:r>
      <w:r w:rsidRPr="00B93BC6">
        <w:rPr>
          <w:rFonts w:asciiTheme="majorHAnsi" w:hAnsiTheme="majorHAnsi" w:cstheme="majorHAnsi"/>
        </w:rPr>
        <w:t>.</w:t>
      </w:r>
      <w:r w:rsidRPr="00B93BC6">
        <w:rPr>
          <w:rFonts w:asciiTheme="majorHAnsi" w:hAnsiTheme="majorHAnsi" w:cstheme="majorHAnsi"/>
        </w:rPr>
        <w:tab/>
        <w:t xml:space="preserve">Byford, E.T., Carr, M., Ladikou, E., Ahearne, M.J., Wagner, S.D. Circulating Tfh1 (cTfh1) cell numbers and PD1 expression are elevated in low-grade B-cell non-Hodgkin’s lymphoma and cTfh gene expression is perturbed in marginal zone lymphoma. </w:t>
      </w:r>
      <w:r w:rsidRPr="00B93BC6">
        <w:rPr>
          <w:rFonts w:asciiTheme="majorHAnsi" w:hAnsiTheme="majorHAnsi" w:cstheme="majorHAnsi"/>
          <w:i/>
          <w:iCs/>
        </w:rPr>
        <w:t>PLOS ONE</w:t>
      </w:r>
      <w:r w:rsidRPr="00B93BC6">
        <w:rPr>
          <w:rFonts w:asciiTheme="majorHAnsi" w:hAnsiTheme="majorHAnsi" w:cstheme="majorHAnsi"/>
        </w:rPr>
        <w:t xml:space="preserve">. </w:t>
      </w:r>
      <w:r w:rsidRPr="00B93BC6">
        <w:rPr>
          <w:rFonts w:asciiTheme="majorHAnsi" w:hAnsiTheme="majorHAnsi" w:cstheme="majorHAnsi"/>
          <w:b/>
          <w:bCs/>
        </w:rPr>
        <w:t>13</w:t>
      </w:r>
      <w:r w:rsidRPr="00B93BC6">
        <w:rPr>
          <w:rFonts w:asciiTheme="majorHAnsi" w:hAnsiTheme="majorHAnsi" w:cstheme="majorHAnsi"/>
        </w:rPr>
        <w:t xml:space="preserve"> (1), e0190468, doi: 10.1371/journal.pone.0190468 (2018).</w:t>
      </w:r>
    </w:p>
    <w:p w14:paraId="1F6DDC4D" w14:textId="77777777" w:rsidR="00277E15" w:rsidRPr="00B93BC6" w:rsidRDefault="00277E15" w:rsidP="00277E15">
      <w:pPr>
        <w:pStyle w:val="Bibliography"/>
        <w:rPr>
          <w:rFonts w:asciiTheme="majorHAnsi" w:hAnsiTheme="majorHAnsi" w:cstheme="majorHAnsi"/>
        </w:rPr>
      </w:pPr>
      <w:r w:rsidRPr="00B93BC6">
        <w:rPr>
          <w:rFonts w:asciiTheme="majorHAnsi" w:hAnsiTheme="majorHAnsi" w:cstheme="majorHAnsi"/>
        </w:rPr>
        <w:t>1</w:t>
      </w:r>
      <w:r>
        <w:rPr>
          <w:rFonts w:asciiTheme="majorHAnsi" w:hAnsiTheme="majorHAnsi" w:cstheme="majorHAnsi"/>
        </w:rPr>
        <w:t>9</w:t>
      </w:r>
      <w:r w:rsidRPr="00B93BC6">
        <w:rPr>
          <w:rFonts w:asciiTheme="majorHAnsi" w:hAnsiTheme="majorHAnsi" w:cstheme="majorHAnsi"/>
        </w:rPr>
        <w:t>.</w:t>
      </w:r>
      <w:r w:rsidRPr="00B93BC6">
        <w:rPr>
          <w:rFonts w:asciiTheme="majorHAnsi" w:hAnsiTheme="majorHAnsi" w:cstheme="majorHAnsi"/>
        </w:rPr>
        <w:tab/>
        <w:t xml:space="preserve">Annunziato, F. </w:t>
      </w:r>
      <w:r w:rsidRPr="00B93BC6">
        <w:rPr>
          <w:rFonts w:asciiTheme="majorHAnsi" w:hAnsiTheme="majorHAnsi" w:cstheme="majorHAnsi"/>
          <w:i/>
          <w:iCs/>
        </w:rPr>
        <w:t>et al.</w:t>
      </w:r>
      <w:r w:rsidRPr="00B93BC6">
        <w:rPr>
          <w:rFonts w:asciiTheme="majorHAnsi" w:hAnsiTheme="majorHAnsi" w:cstheme="majorHAnsi"/>
        </w:rPr>
        <w:t xml:space="preserve"> Phenotypic and functional features of human Th17 cells. </w:t>
      </w:r>
      <w:r w:rsidRPr="00B93BC6">
        <w:rPr>
          <w:rFonts w:asciiTheme="majorHAnsi" w:hAnsiTheme="majorHAnsi" w:cstheme="majorHAnsi"/>
          <w:i/>
          <w:iCs/>
        </w:rPr>
        <w:t>Journal of Experimental Medicine</w:t>
      </w:r>
      <w:r w:rsidRPr="00B93BC6">
        <w:rPr>
          <w:rFonts w:asciiTheme="majorHAnsi" w:hAnsiTheme="majorHAnsi" w:cstheme="majorHAnsi"/>
        </w:rPr>
        <w:t xml:space="preserve">. </w:t>
      </w:r>
      <w:r w:rsidRPr="00B93BC6">
        <w:rPr>
          <w:rFonts w:asciiTheme="majorHAnsi" w:hAnsiTheme="majorHAnsi" w:cstheme="majorHAnsi"/>
          <w:b/>
          <w:bCs/>
        </w:rPr>
        <w:t>204</w:t>
      </w:r>
      <w:r w:rsidRPr="00B93BC6">
        <w:rPr>
          <w:rFonts w:asciiTheme="majorHAnsi" w:hAnsiTheme="majorHAnsi" w:cstheme="majorHAnsi"/>
        </w:rPr>
        <w:t xml:space="preserve"> (8), 1849–1861, doi: 10.1084/jem.20070663 (2007).</w:t>
      </w:r>
    </w:p>
    <w:p w14:paraId="54A93D01" w14:textId="77777777" w:rsidR="00277E15" w:rsidRPr="00B93BC6" w:rsidRDefault="00277E15" w:rsidP="00277E15">
      <w:pPr>
        <w:pStyle w:val="Bibliography"/>
        <w:rPr>
          <w:rFonts w:asciiTheme="majorHAnsi" w:hAnsiTheme="majorHAnsi" w:cstheme="majorHAnsi"/>
        </w:rPr>
      </w:pPr>
      <w:r>
        <w:rPr>
          <w:rFonts w:asciiTheme="majorHAnsi" w:hAnsiTheme="majorHAnsi" w:cstheme="majorHAnsi"/>
        </w:rPr>
        <w:t>20</w:t>
      </w:r>
      <w:r w:rsidRPr="00B93BC6">
        <w:rPr>
          <w:rFonts w:asciiTheme="majorHAnsi" w:hAnsiTheme="majorHAnsi" w:cstheme="majorHAnsi"/>
        </w:rPr>
        <w:t>.</w:t>
      </w:r>
      <w:r w:rsidRPr="00B93BC6">
        <w:rPr>
          <w:rFonts w:asciiTheme="majorHAnsi" w:hAnsiTheme="majorHAnsi" w:cstheme="majorHAnsi"/>
        </w:rPr>
        <w:tab/>
        <w:t xml:space="preserve">Duan, Z. </w:t>
      </w:r>
      <w:r w:rsidRPr="00B93BC6">
        <w:rPr>
          <w:rFonts w:asciiTheme="majorHAnsi" w:hAnsiTheme="majorHAnsi" w:cstheme="majorHAnsi"/>
          <w:i/>
          <w:iCs/>
        </w:rPr>
        <w:t>et al.</w:t>
      </w:r>
      <w:r w:rsidRPr="00B93BC6">
        <w:rPr>
          <w:rFonts w:asciiTheme="majorHAnsi" w:hAnsiTheme="majorHAnsi" w:cstheme="majorHAnsi"/>
        </w:rPr>
        <w:t xml:space="preserve"> Phenotype and function of CXCR5+CD45RA-CD4+ T cells were altered in HBV-related hepatocellular carcinoma and elevated serum CXCL13 predicted better prognosis. </w:t>
      </w:r>
      <w:r w:rsidRPr="00B93BC6">
        <w:rPr>
          <w:rFonts w:asciiTheme="majorHAnsi" w:hAnsiTheme="majorHAnsi" w:cstheme="majorHAnsi"/>
          <w:i/>
          <w:iCs/>
        </w:rPr>
        <w:t>Oncotarget</w:t>
      </w:r>
      <w:r w:rsidRPr="00B93BC6">
        <w:rPr>
          <w:rFonts w:asciiTheme="majorHAnsi" w:hAnsiTheme="majorHAnsi" w:cstheme="majorHAnsi"/>
        </w:rPr>
        <w:t xml:space="preserve">. </w:t>
      </w:r>
      <w:r w:rsidRPr="00B93BC6">
        <w:rPr>
          <w:rFonts w:asciiTheme="majorHAnsi" w:hAnsiTheme="majorHAnsi" w:cstheme="majorHAnsi"/>
          <w:b/>
          <w:bCs/>
        </w:rPr>
        <w:t>6</w:t>
      </w:r>
      <w:r w:rsidRPr="00B93BC6">
        <w:rPr>
          <w:rFonts w:asciiTheme="majorHAnsi" w:hAnsiTheme="majorHAnsi" w:cstheme="majorHAnsi"/>
        </w:rPr>
        <w:t xml:space="preserve"> (42), 44239–44253, doi: 10.18632/oncotarget.6235 (2015).</w:t>
      </w:r>
    </w:p>
    <w:p w14:paraId="7B9630B1" w14:textId="77777777" w:rsidR="00277E15" w:rsidRPr="00B93BC6" w:rsidRDefault="00277E15" w:rsidP="00277E15">
      <w:pPr>
        <w:pStyle w:val="Bibliography"/>
        <w:rPr>
          <w:rFonts w:asciiTheme="majorHAnsi" w:hAnsiTheme="majorHAnsi" w:cstheme="majorHAnsi"/>
        </w:rPr>
      </w:pPr>
      <w:r w:rsidRPr="00B93BC6">
        <w:rPr>
          <w:rFonts w:asciiTheme="majorHAnsi" w:hAnsiTheme="majorHAnsi" w:cstheme="majorHAnsi"/>
        </w:rPr>
        <w:t>2</w:t>
      </w:r>
      <w:r>
        <w:rPr>
          <w:rFonts w:asciiTheme="majorHAnsi" w:hAnsiTheme="majorHAnsi" w:cstheme="majorHAnsi"/>
        </w:rPr>
        <w:t>1</w:t>
      </w:r>
      <w:r w:rsidRPr="00B93BC6">
        <w:rPr>
          <w:rFonts w:asciiTheme="majorHAnsi" w:hAnsiTheme="majorHAnsi" w:cstheme="majorHAnsi"/>
        </w:rPr>
        <w:t>.</w:t>
      </w:r>
      <w:r w:rsidRPr="00B93BC6">
        <w:rPr>
          <w:rFonts w:asciiTheme="majorHAnsi" w:hAnsiTheme="majorHAnsi" w:cstheme="majorHAnsi"/>
        </w:rPr>
        <w:tab/>
        <w:t xml:space="preserve">Zhang, X. </w:t>
      </w:r>
      <w:r w:rsidRPr="00B93BC6">
        <w:rPr>
          <w:rFonts w:asciiTheme="majorHAnsi" w:hAnsiTheme="majorHAnsi" w:cstheme="majorHAnsi"/>
          <w:i/>
          <w:iCs/>
        </w:rPr>
        <w:t>et al.</w:t>
      </w:r>
      <w:r w:rsidRPr="00B93BC6">
        <w:rPr>
          <w:rFonts w:asciiTheme="majorHAnsi" w:hAnsiTheme="majorHAnsi" w:cstheme="majorHAnsi"/>
        </w:rPr>
        <w:t xml:space="preserve"> Circulating CXCR5+CD4+helper T cells in systemic lupus erythematosus patients share phenotypic properties with germinal center follicular helper T cells and promote antibody production. </w:t>
      </w:r>
      <w:r w:rsidRPr="00B93BC6">
        <w:rPr>
          <w:rFonts w:asciiTheme="majorHAnsi" w:hAnsiTheme="majorHAnsi" w:cstheme="majorHAnsi"/>
          <w:i/>
          <w:iCs/>
        </w:rPr>
        <w:t>Lupus</w:t>
      </w:r>
      <w:r w:rsidRPr="00B93BC6">
        <w:rPr>
          <w:rFonts w:asciiTheme="majorHAnsi" w:hAnsiTheme="majorHAnsi" w:cstheme="majorHAnsi"/>
        </w:rPr>
        <w:t xml:space="preserve">. </w:t>
      </w:r>
      <w:r w:rsidRPr="00B93BC6">
        <w:rPr>
          <w:rFonts w:asciiTheme="majorHAnsi" w:hAnsiTheme="majorHAnsi" w:cstheme="majorHAnsi"/>
          <w:b/>
          <w:bCs/>
        </w:rPr>
        <w:t>24</w:t>
      </w:r>
      <w:r w:rsidRPr="00B93BC6">
        <w:rPr>
          <w:rFonts w:asciiTheme="majorHAnsi" w:hAnsiTheme="majorHAnsi" w:cstheme="majorHAnsi"/>
        </w:rPr>
        <w:t xml:space="preserve"> (9), 909–917, doi: 10.1177/0961203314567750 (2015).</w:t>
      </w:r>
    </w:p>
    <w:p w14:paraId="4BD6F4A1" w14:textId="77777777" w:rsidR="00277E15" w:rsidRPr="00B93BC6" w:rsidRDefault="00277E15" w:rsidP="00277E15">
      <w:pPr>
        <w:pStyle w:val="Bibliography"/>
        <w:rPr>
          <w:rFonts w:asciiTheme="majorHAnsi" w:hAnsiTheme="majorHAnsi" w:cstheme="majorHAnsi"/>
        </w:rPr>
      </w:pPr>
      <w:r w:rsidRPr="00B93BC6">
        <w:rPr>
          <w:rFonts w:asciiTheme="majorHAnsi" w:hAnsiTheme="majorHAnsi" w:cstheme="majorHAnsi"/>
        </w:rPr>
        <w:t>22.</w:t>
      </w:r>
      <w:r w:rsidRPr="00B93BC6">
        <w:rPr>
          <w:rFonts w:asciiTheme="majorHAnsi" w:hAnsiTheme="majorHAnsi" w:cstheme="majorHAnsi"/>
        </w:rPr>
        <w:tab/>
        <w:t xml:space="preserve">Sage, P.T., Francisco, L.M., Carman, C.V., Sharpe, A.H. The receptor PD-1 controls follicular regulatory T cells in the lymph nodes and blood. </w:t>
      </w:r>
      <w:r w:rsidRPr="00B93BC6">
        <w:rPr>
          <w:rFonts w:asciiTheme="majorHAnsi" w:hAnsiTheme="majorHAnsi" w:cstheme="majorHAnsi"/>
          <w:i/>
          <w:iCs/>
        </w:rPr>
        <w:t>Nature Immunology</w:t>
      </w:r>
      <w:r w:rsidRPr="00B93BC6">
        <w:rPr>
          <w:rFonts w:asciiTheme="majorHAnsi" w:hAnsiTheme="majorHAnsi" w:cstheme="majorHAnsi"/>
        </w:rPr>
        <w:t xml:space="preserve">. </w:t>
      </w:r>
      <w:r w:rsidRPr="00B93BC6">
        <w:rPr>
          <w:rFonts w:asciiTheme="majorHAnsi" w:hAnsiTheme="majorHAnsi" w:cstheme="majorHAnsi"/>
          <w:b/>
          <w:bCs/>
        </w:rPr>
        <w:t>14</w:t>
      </w:r>
      <w:r w:rsidRPr="00B93BC6">
        <w:rPr>
          <w:rFonts w:asciiTheme="majorHAnsi" w:hAnsiTheme="majorHAnsi" w:cstheme="majorHAnsi"/>
        </w:rPr>
        <w:t xml:space="preserve"> (2), 152–161, doi: 10.1038/ni.2496 (2013).</w:t>
      </w:r>
    </w:p>
    <w:p w14:paraId="1073A7EC" w14:textId="77777777" w:rsidR="00277E15" w:rsidRPr="00B93BC6" w:rsidRDefault="00277E15" w:rsidP="00277E15">
      <w:pPr>
        <w:pStyle w:val="Bibliography"/>
        <w:rPr>
          <w:rFonts w:asciiTheme="majorHAnsi" w:hAnsiTheme="majorHAnsi" w:cstheme="majorHAnsi"/>
        </w:rPr>
      </w:pPr>
      <w:r w:rsidRPr="00B93BC6">
        <w:rPr>
          <w:rFonts w:asciiTheme="majorHAnsi" w:hAnsiTheme="majorHAnsi" w:cstheme="majorHAnsi"/>
        </w:rPr>
        <w:t>23.</w:t>
      </w:r>
      <w:r w:rsidRPr="00B93BC6">
        <w:rPr>
          <w:rFonts w:asciiTheme="majorHAnsi" w:hAnsiTheme="majorHAnsi" w:cstheme="majorHAnsi"/>
        </w:rPr>
        <w:tab/>
        <w:t xml:space="preserve">Sage, P.T., Alvarez, D., Godec, J., Andrian, U.H. von, Sharpe, A.H. Circulating T follicular regulatory and helper cells have memory-like properties. </w:t>
      </w:r>
      <w:r w:rsidRPr="00B93BC6">
        <w:rPr>
          <w:rFonts w:asciiTheme="majorHAnsi" w:hAnsiTheme="majorHAnsi" w:cstheme="majorHAnsi"/>
          <w:i/>
          <w:iCs/>
        </w:rPr>
        <w:t>The Journal of Clinical Investigation</w:t>
      </w:r>
      <w:r w:rsidRPr="00B93BC6">
        <w:rPr>
          <w:rFonts w:asciiTheme="majorHAnsi" w:hAnsiTheme="majorHAnsi" w:cstheme="majorHAnsi"/>
        </w:rPr>
        <w:t xml:space="preserve">. </w:t>
      </w:r>
      <w:r w:rsidRPr="00B93BC6">
        <w:rPr>
          <w:rFonts w:asciiTheme="majorHAnsi" w:hAnsiTheme="majorHAnsi" w:cstheme="majorHAnsi"/>
          <w:b/>
          <w:bCs/>
        </w:rPr>
        <w:t>124</w:t>
      </w:r>
      <w:r w:rsidRPr="00B93BC6">
        <w:rPr>
          <w:rFonts w:asciiTheme="majorHAnsi" w:hAnsiTheme="majorHAnsi" w:cstheme="majorHAnsi"/>
        </w:rPr>
        <w:t xml:space="preserve"> (12), 5191–5204, doi: 10.1172/JCI76861 (2014).</w:t>
      </w:r>
    </w:p>
    <w:p w14:paraId="3FFDBDA2" w14:textId="77777777" w:rsidR="00277E15" w:rsidRPr="00B93BC6" w:rsidRDefault="00277E15" w:rsidP="00277E15">
      <w:pPr>
        <w:pStyle w:val="Bibliography"/>
        <w:rPr>
          <w:rFonts w:asciiTheme="majorHAnsi" w:hAnsiTheme="majorHAnsi" w:cstheme="majorHAnsi"/>
        </w:rPr>
      </w:pPr>
      <w:r w:rsidRPr="00B93BC6">
        <w:rPr>
          <w:rFonts w:asciiTheme="majorHAnsi" w:hAnsiTheme="majorHAnsi" w:cstheme="majorHAnsi"/>
        </w:rPr>
        <w:t>24.</w:t>
      </w:r>
      <w:r w:rsidRPr="00B93BC6">
        <w:rPr>
          <w:rFonts w:asciiTheme="majorHAnsi" w:hAnsiTheme="majorHAnsi" w:cstheme="majorHAnsi"/>
        </w:rPr>
        <w:tab/>
        <w:t xml:space="preserve">Sage, P.T., Tan, C.L., Freeman, G.J., Haigis, M., Sharpe, A.H. Defective TFH Cell Function and Increased TFR Cells Contribute to Defective Antibody Production in Aging. </w:t>
      </w:r>
      <w:r w:rsidRPr="00B93BC6">
        <w:rPr>
          <w:rFonts w:asciiTheme="majorHAnsi" w:hAnsiTheme="majorHAnsi" w:cstheme="majorHAnsi"/>
          <w:i/>
          <w:iCs/>
        </w:rPr>
        <w:t>Cell Reports</w:t>
      </w:r>
      <w:r w:rsidRPr="00B93BC6">
        <w:rPr>
          <w:rFonts w:asciiTheme="majorHAnsi" w:hAnsiTheme="majorHAnsi" w:cstheme="majorHAnsi"/>
        </w:rPr>
        <w:t xml:space="preserve">. </w:t>
      </w:r>
      <w:r w:rsidRPr="00B93BC6">
        <w:rPr>
          <w:rFonts w:asciiTheme="majorHAnsi" w:hAnsiTheme="majorHAnsi" w:cstheme="majorHAnsi"/>
          <w:b/>
          <w:bCs/>
        </w:rPr>
        <w:t>12</w:t>
      </w:r>
      <w:r w:rsidRPr="00B93BC6">
        <w:rPr>
          <w:rFonts w:asciiTheme="majorHAnsi" w:hAnsiTheme="majorHAnsi" w:cstheme="majorHAnsi"/>
        </w:rPr>
        <w:t xml:space="preserve"> (2), 163–171, doi: 10.1016/j.celrep.2015.06.015 (2015).</w:t>
      </w:r>
    </w:p>
    <w:p w14:paraId="0460D2D6" w14:textId="77777777" w:rsidR="00277E15" w:rsidRPr="00B93BC6" w:rsidRDefault="00277E15" w:rsidP="00277E15">
      <w:pPr>
        <w:pStyle w:val="Bibliography"/>
        <w:rPr>
          <w:rFonts w:asciiTheme="majorHAnsi" w:hAnsiTheme="majorHAnsi" w:cstheme="majorHAnsi"/>
        </w:rPr>
      </w:pPr>
      <w:r w:rsidRPr="00B93BC6">
        <w:rPr>
          <w:rFonts w:asciiTheme="majorHAnsi" w:hAnsiTheme="majorHAnsi" w:cstheme="majorHAnsi"/>
        </w:rPr>
        <w:t>25.</w:t>
      </w:r>
      <w:r w:rsidRPr="00B93BC6">
        <w:rPr>
          <w:rFonts w:asciiTheme="majorHAnsi" w:hAnsiTheme="majorHAnsi" w:cstheme="majorHAnsi"/>
        </w:rPr>
        <w:tab/>
        <w:t xml:space="preserve">Yu, N. </w:t>
      </w:r>
      <w:r w:rsidRPr="00B93BC6">
        <w:rPr>
          <w:rFonts w:asciiTheme="majorHAnsi" w:hAnsiTheme="majorHAnsi" w:cstheme="majorHAnsi"/>
          <w:i/>
          <w:iCs/>
        </w:rPr>
        <w:t>et al.</w:t>
      </w:r>
      <w:r w:rsidRPr="00B93BC6">
        <w:rPr>
          <w:rFonts w:asciiTheme="majorHAnsi" w:hAnsiTheme="majorHAnsi" w:cstheme="majorHAnsi"/>
        </w:rPr>
        <w:t xml:space="preserve"> CD4+CD25+CD127low/− T Cells: A More Specific Treg Population in Human Peripheral Blood. </w:t>
      </w:r>
      <w:r w:rsidRPr="00B93BC6">
        <w:rPr>
          <w:rFonts w:asciiTheme="majorHAnsi" w:hAnsiTheme="majorHAnsi" w:cstheme="majorHAnsi"/>
          <w:i/>
          <w:iCs/>
        </w:rPr>
        <w:t>Inflammation</w:t>
      </w:r>
      <w:r w:rsidRPr="00B93BC6">
        <w:rPr>
          <w:rFonts w:asciiTheme="majorHAnsi" w:hAnsiTheme="majorHAnsi" w:cstheme="majorHAnsi"/>
        </w:rPr>
        <w:t xml:space="preserve">. </w:t>
      </w:r>
      <w:r w:rsidRPr="00B93BC6">
        <w:rPr>
          <w:rFonts w:asciiTheme="majorHAnsi" w:hAnsiTheme="majorHAnsi" w:cstheme="majorHAnsi"/>
          <w:b/>
          <w:bCs/>
        </w:rPr>
        <w:t>35</w:t>
      </w:r>
      <w:r w:rsidRPr="00B93BC6">
        <w:rPr>
          <w:rFonts w:asciiTheme="majorHAnsi" w:hAnsiTheme="majorHAnsi" w:cstheme="majorHAnsi"/>
        </w:rPr>
        <w:t xml:space="preserve"> (6), 1773–1780, doi: 10.1007/s10753-012-9496-8 (2012).</w:t>
      </w:r>
    </w:p>
    <w:p w14:paraId="11850D33" w14:textId="77777777" w:rsidR="00277E15" w:rsidRPr="00F53ACD" w:rsidRDefault="00277E15" w:rsidP="00277E15">
      <w:pPr>
        <w:rPr>
          <w:rFonts w:asciiTheme="majorHAnsi" w:hAnsiTheme="majorHAnsi" w:cstheme="majorHAnsi"/>
        </w:rPr>
      </w:pPr>
      <w:r w:rsidRPr="00B93BC6">
        <w:rPr>
          <w:rFonts w:asciiTheme="majorHAnsi" w:hAnsiTheme="majorHAnsi" w:cstheme="majorHAnsi"/>
        </w:rPr>
        <w:fldChar w:fldCharType="end"/>
      </w:r>
    </w:p>
    <w:p w14:paraId="38580C82" w14:textId="77777777" w:rsidR="00277E15" w:rsidRDefault="00277E15" w:rsidP="00277E15"/>
    <w:p w14:paraId="24E4ACCC" w14:textId="77777777" w:rsidR="00277E15" w:rsidRDefault="00277E15" w:rsidP="00277E15"/>
    <w:p w14:paraId="73C5D237" w14:textId="77777777" w:rsidR="00277E15" w:rsidRDefault="00277E15" w:rsidP="00277E15"/>
    <w:p w14:paraId="071E8C75" w14:textId="77777777" w:rsidR="005510E6" w:rsidRDefault="005510E6"/>
    <w:sectPr w:rsidR="005510E6" w:rsidSect="00670FCA">
      <w:headerReference w:type="default" r:id="rId9"/>
      <w:footerReference w:type="even" r:id="rId10"/>
      <w:footerReference w:type="default" r:id="rId11"/>
      <w:headerReference w:type="first" r:id="rId12"/>
      <w:footerReference w:type="first" r:id="rId13"/>
      <w:pgSz w:w="11900" w:h="16820" w:code="1"/>
      <w:pgMar w:top="1440" w:right="1440" w:bottom="1440" w:left="1440" w:header="720" w:footer="605" w:gutter="0"/>
      <w:lnNumType w:countBy="1" w:restart="continuous"/>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399C2" w14:textId="77777777" w:rsidR="0067129E" w:rsidRDefault="006773BF">
      <w:r>
        <w:separator/>
      </w:r>
    </w:p>
  </w:endnote>
  <w:endnote w:type="continuationSeparator" w:id="0">
    <w:p w14:paraId="41E0C48B" w14:textId="77777777" w:rsidR="0067129E" w:rsidRDefault="0067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57159127"/>
      <w:docPartObj>
        <w:docPartGallery w:val="Page Numbers (Bottom of Page)"/>
        <w:docPartUnique/>
      </w:docPartObj>
    </w:sdtPr>
    <w:sdtEndPr>
      <w:rPr>
        <w:rStyle w:val="PageNumber"/>
      </w:rPr>
    </w:sdtEndPr>
    <w:sdtContent>
      <w:p w14:paraId="02E57814" w14:textId="77777777" w:rsidR="00670FCA" w:rsidRDefault="00670FCA" w:rsidP="00670FC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88563750"/>
      <w:docPartObj>
        <w:docPartGallery w:val="Page Numbers (Bottom of Page)"/>
        <w:docPartUnique/>
      </w:docPartObj>
    </w:sdtPr>
    <w:sdtEndPr>
      <w:rPr>
        <w:rStyle w:val="PageNumber"/>
      </w:rPr>
    </w:sdtEndPr>
    <w:sdtContent>
      <w:p w14:paraId="383C5A1A" w14:textId="77777777" w:rsidR="00670FCA" w:rsidRDefault="00670FCA" w:rsidP="00670FCA">
        <w:pPr>
          <w:pStyle w:val="Footer"/>
          <w:framePr w:wrap="none" w:vAnchor="text" w:hAnchor="margin"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59722F" w14:textId="77777777" w:rsidR="00670FCA" w:rsidRDefault="00670FCA" w:rsidP="00670FCA">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7D340" w14:textId="77777777" w:rsidR="00670FCA" w:rsidRPr="00494F77" w:rsidRDefault="00670FCA" w:rsidP="00670FCA">
    <w:pP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48971037"/>
      <w:docPartObj>
        <w:docPartGallery w:val="Page Numbers (Bottom of Page)"/>
        <w:docPartUnique/>
      </w:docPartObj>
    </w:sdtPr>
    <w:sdtEndPr>
      <w:rPr>
        <w:rStyle w:val="PageNumber"/>
      </w:rPr>
    </w:sdtEndPr>
    <w:sdtContent>
      <w:p w14:paraId="53C37DE0" w14:textId="77777777" w:rsidR="00670FCA" w:rsidRDefault="00670FCA" w:rsidP="00670F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0DC0CCCD" w14:textId="77777777" w:rsidR="00670FCA" w:rsidRDefault="00670FCA" w:rsidP="00670FCA">
    <w:pPr>
      <w:ind w:right="360"/>
    </w:pPr>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A8E5C" w14:textId="77777777" w:rsidR="0067129E" w:rsidRDefault="006773BF">
      <w:r>
        <w:separator/>
      </w:r>
    </w:p>
  </w:footnote>
  <w:footnote w:type="continuationSeparator" w:id="0">
    <w:p w14:paraId="0B3C9F97" w14:textId="77777777" w:rsidR="0067129E" w:rsidRDefault="00677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F1D60" w14:textId="77777777" w:rsidR="00670FCA" w:rsidRPr="006F06E4" w:rsidRDefault="00670FCA" w:rsidP="00670FCA">
    <w:pPr>
      <w:pStyle w:val="Header"/>
      <w:tabs>
        <w:tab w:val="clear" w:pos="9360"/>
        <w:tab w:val="left" w:pos="5724"/>
      </w:tabs>
      <w:rPr>
        <w:b/>
        <w:color w:val="1F497D"/>
        <w:sz w:val="28"/>
        <w:szCs w:val="28"/>
      </w:rPr>
    </w:pPr>
    <w:r>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2DADE" w14:textId="77777777" w:rsidR="00670FCA" w:rsidRPr="006F06E4" w:rsidRDefault="00670FCA" w:rsidP="00670FCA">
    <w:pPr>
      <w:pStyle w:val="Header"/>
      <w:jc w:val="right"/>
      <w:rPr>
        <w:b/>
        <w:color w:val="1F497D"/>
        <w:sz w:val="32"/>
        <w:szCs w:val="32"/>
      </w:rPr>
    </w:pPr>
    <w:r>
      <w:rPr>
        <w:b/>
        <w:noProof/>
        <w:color w:val="1F497D"/>
        <w:sz w:val="32"/>
        <w:szCs w:val="32"/>
        <w:lang w:val="en-GB" w:eastAsia="en-GB"/>
      </w:rPr>
      <w:drawing>
        <wp:anchor distT="0" distB="0" distL="114300" distR="114300" simplePos="0" relativeHeight="251659264" behindDoc="1" locked="0" layoutInCell="1" allowOverlap="1" wp14:anchorId="778E5499" wp14:editId="2A506712">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C09B0"/>
    <w:multiLevelType w:val="multilevel"/>
    <w:tmpl w:val="9BE2AE32"/>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E15"/>
    <w:rsid w:val="00277E15"/>
    <w:rsid w:val="00350930"/>
    <w:rsid w:val="004E072C"/>
    <w:rsid w:val="00544B90"/>
    <w:rsid w:val="005510E6"/>
    <w:rsid w:val="00561DC3"/>
    <w:rsid w:val="00670FCA"/>
    <w:rsid w:val="0067129E"/>
    <w:rsid w:val="006773BF"/>
    <w:rsid w:val="00801000"/>
    <w:rsid w:val="009E1187"/>
    <w:rsid w:val="00AB7952"/>
    <w:rsid w:val="00BF15AF"/>
    <w:rsid w:val="00ED206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BA12254"/>
  <w15:docId w15:val="{C0463FCC-DF74-45E6-80CA-632ED882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E15"/>
    <w:pPr>
      <w:widowControl w:val="0"/>
      <w:autoSpaceDE w:val="0"/>
      <w:autoSpaceDN w:val="0"/>
      <w:adjustRightInd w:val="0"/>
      <w:jc w:val="both"/>
    </w:pPr>
    <w:rPr>
      <w:rFonts w:ascii="Calibri" w:eastAsia="Times New Roman" w:hAnsi="Calibri" w:cs="Calibri"/>
      <w:color w:val="000000"/>
      <w:sz w:val="24"/>
      <w:szCs w:val="24"/>
      <w:lang w:val="en-US" w:eastAsia="en-US"/>
    </w:rPr>
  </w:style>
  <w:style w:type="paragraph" w:styleId="Heading1">
    <w:name w:val="heading 1"/>
    <w:basedOn w:val="Normal"/>
    <w:next w:val="Normal"/>
    <w:link w:val="Heading1Char"/>
    <w:qFormat/>
    <w:rsid w:val="00277E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277E15"/>
    <w:pPr>
      <w:keepNext/>
      <w:outlineLvl w:val="1"/>
    </w:pPr>
    <w:rPr>
      <w:rFonts w:cs="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7E15"/>
    <w:rPr>
      <w:rFonts w:ascii="Calibri" w:eastAsia="Times New Roman" w:hAnsi="Calibri" w:cs="Times New Roman"/>
      <w:b/>
      <w:bCs/>
      <w:color w:val="000000"/>
      <w:kern w:val="32"/>
      <w:sz w:val="28"/>
      <w:szCs w:val="32"/>
      <w:lang w:val="en-US" w:eastAsia="en-US"/>
    </w:rPr>
  </w:style>
  <w:style w:type="character" w:customStyle="1" w:styleId="Heading2Char">
    <w:name w:val="Heading 2 Char"/>
    <w:basedOn w:val="DefaultParagraphFont"/>
    <w:link w:val="Heading2"/>
    <w:rsid w:val="00277E15"/>
    <w:rPr>
      <w:rFonts w:ascii="Calibri" w:eastAsia="Times New Roman" w:hAnsi="Calibri" w:cs="Times New Roman"/>
      <w:b/>
      <w:bCs/>
      <w:iCs/>
      <w:color w:val="000000"/>
      <w:sz w:val="24"/>
      <w:szCs w:val="28"/>
      <w:lang w:val="en-US" w:eastAsia="en-US"/>
    </w:rPr>
  </w:style>
  <w:style w:type="paragraph" w:styleId="NormalWeb">
    <w:name w:val="Normal (Web)"/>
    <w:basedOn w:val="Normal"/>
    <w:uiPriority w:val="99"/>
    <w:rsid w:val="00277E15"/>
    <w:pPr>
      <w:spacing w:before="100" w:beforeAutospacing="1" w:after="100" w:afterAutospacing="1"/>
    </w:pPr>
  </w:style>
  <w:style w:type="character" w:styleId="Hyperlink">
    <w:name w:val="Hyperlink"/>
    <w:uiPriority w:val="99"/>
    <w:rsid w:val="00277E15"/>
    <w:rPr>
      <w:color w:val="0000FF"/>
      <w:u w:val="single"/>
    </w:rPr>
  </w:style>
  <w:style w:type="paragraph" w:styleId="Header">
    <w:name w:val="header"/>
    <w:basedOn w:val="Normal"/>
    <w:link w:val="HeaderChar"/>
    <w:rsid w:val="00277E15"/>
    <w:pPr>
      <w:tabs>
        <w:tab w:val="center" w:pos="4680"/>
        <w:tab w:val="right" w:pos="9360"/>
      </w:tabs>
    </w:pPr>
  </w:style>
  <w:style w:type="character" w:customStyle="1" w:styleId="HeaderChar">
    <w:name w:val="Header Char"/>
    <w:basedOn w:val="DefaultParagraphFont"/>
    <w:link w:val="Header"/>
    <w:rsid w:val="00277E15"/>
    <w:rPr>
      <w:rFonts w:ascii="Calibri" w:eastAsia="Times New Roman" w:hAnsi="Calibri" w:cs="Calibri"/>
      <w:color w:val="000000"/>
      <w:sz w:val="24"/>
      <w:szCs w:val="24"/>
      <w:lang w:val="en-US" w:eastAsia="en-US"/>
    </w:rPr>
  </w:style>
  <w:style w:type="paragraph" w:styleId="Footer">
    <w:name w:val="footer"/>
    <w:basedOn w:val="Normal"/>
    <w:link w:val="FooterChar"/>
    <w:uiPriority w:val="99"/>
    <w:rsid w:val="00277E15"/>
    <w:pPr>
      <w:tabs>
        <w:tab w:val="center" w:pos="4680"/>
        <w:tab w:val="right" w:pos="9360"/>
      </w:tabs>
    </w:pPr>
  </w:style>
  <w:style w:type="character" w:customStyle="1" w:styleId="FooterChar">
    <w:name w:val="Footer Char"/>
    <w:basedOn w:val="DefaultParagraphFont"/>
    <w:link w:val="Footer"/>
    <w:uiPriority w:val="99"/>
    <w:rsid w:val="00277E15"/>
    <w:rPr>
      <w:rFonts w:ascii="Calibri" w:eastAsia="Times New Roman" w:hAnsi="Calibri" w:cs="Calibri"/>
      <w:color w:val="000000"/>
      <w:sz w:val="24"/>
      <w:szCs w:val="24"/>
      <w:lang w:val="en-US" w:eastAsia="en-US"/>
    </w:rPr>
  </w:style>
  <w:style w:type="character" w:styleId="PageNumber">
    <w:name w:val="page number"/>
    <w:basedOn w:val="DefaultParagraphFont"/>
    <w:rsid w:val="00277E15"/>
  </w:style>
  <w:style w:type="paragraph" w:styleId="ListParagraph">
    <w:name w:val="List Paragraph"/>
    <w:basedOn w:val="Normal"/>
    <w:uiPriority w:val="34"/>
    <w:qFormat/>
    <w:rsid w:val="00277E15"/>
    <w:pPr>
      <w:ind w:left="720"/>
      <w:contextualSpacing/>
    </w:pPr>
  </w:style>
  <w:style w:type="paragraph" w:styleId="Bibliography">
    <w:name w:val="Bibliography"/>
    <w:basedOn w:val="Normal"/>
    <w:next w:val="Normal"/>
    <w:uiPriority w:val="37"/>
    <w:unhideWhenUsed/>
    <w:rsid w:val="00277E15"/>
    <w:pPr>
      <w:tabs>
        <w:tab w:val="left" w:pos="260"/>
        <w:tab w:val="left" w:pos="380"/>
      </w:tabs>
      <w:ind w:left="384" w:hanging="384"/>
    </w:pPr>
  </w:style>
  <w:style w:type="character" w:styleId="LineNumber">
    <w:name w:val="line number"/>
    <w:basedOn w:val="DefaultParagraphFont"/>
    <w:uiPriority w:val="99"/>
    <w:semiHidden/>
    <w:unhideWhenUsed/>
    <w:rsid w:val="00277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dbiosciences.com/us/s/spectrumviewer"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c513@le.ac.u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7E72BAA6.dotm</Template>
  <TotalTime>31</TotalTime>
  <Pages>11</Pages>
  <Words>14971</Words>
  <Characters>85341</Characters>
  <Application>Microsoft Office Word</Application>
  <DocSecurity>0</DocSecurity>
  <Lines>711</Lines>
  <Paragraphs>200</Paragraphs>
  <ScaleCrop>false</ScaleCrop>
  <Company>Imperial College London</Company>
  <LinksUpToDate>false</LinksUpToDate>
  <CharactersWithSpaces>100112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Wagner</dc:creator>
  <cp:keywords/>
  <dc:description/>
  <cp:lastModifiedBy>Wagner, Simon D. (Prof.)</cp:lastModifiedBy>
  <cp:revision>6</cp:revision>
  <dcterms:created xsi:type="dcterms:W3CDTF">2018-07-26T14:37:00Z</dcterms:created>
  <dcterms:modified xsi:type="dcterms:W3CDTF">2018-07-27T15:50:00Z</dcterms:modified>
</cp:coreProperties>
</file>